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rPr>
      </w:pPr>
      <w:r>
        <w:rPr>
          <w:sz w:val="24"/>
        </w:rPr>
        <mc:AlternateContent>
          <mc:Choice Requires="wps">
            <w:drawing>
              <wp:anchor distT="0" distB="0" distL="114300" distR="114300" simplePos="0" relativeHeight="251664384" behindDoc="0" locked="0" layoutInCell="1" allowOverlap="1">
                <wp:simplePos x="0" y="0"/>
                <wp:positionH relativeFrom="column">
                  <wp:posOffset>133985</wp:posOffset>
                </wp:positionH>
                <wp:positionV relativeFrom="paragraph">
                  <wp:posOffset>63500</wp:posOffset>
                </wp:positionV>
                <wp:extent cx="2420620" cy="317500"/>
                <wp:effectExtent l="4445" t="4445" r="13335" b="20955"/>
                <wp:wrapNone/>
                <wp:docPr id="4" name="文本框 4"/>
                <wp:cNvGraphicFramePr/>
                <a:graphic xmlns:a="http://schemas.openxmlformats.org/drawingml/2006/main">
                  <a:graphicData uri="http://schemas.microsoft.com/office/word/2010/wordprocessingShape">
                    <wps:wsp>
                      <wps:cNvSpPr txBox="1"/>
                      <wps:spPr>
                        <a:xfrm>
                          <a:off x="1033780" y="963295"/>
                          <a:ext cx="242062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lang w:val="en-US" w:eastAsia="zh-CN"/>
                              </w:rPr>
                            </w:pPr>
                            <w:r>
                              <w:rPr>
                                <w:rFonts w:hint="eastAsia"/>
                                <w:b/>
                                <w:bCs/>
                                <w:lang w:val="en-US" w:eastAsia="zh-CN"/>
                              </w:rPr>
                              <w:t>仅供生态环境部门信息公开使用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5pt;height:25pt;width:190.6pt;z-index:251664384;mso-width-relative:page;mso-height-relative:page;" fillcolor="#FFFFFF [3201]" filled="t" stroked="t" coordsize="21600,21600" o:gfxdata="UEsDBAoAAAAAAIdO4kAAAAAAAAAAAAAAAAAEAAAAZHJzL1BLAwQUAAAACACHTuJApMZvJ9MAAAAI&#10;AQAADwAAAGRycy9kb3ducmV2LnhtbE2PwU7DMBBE70j8g7WVuFE7CYpQiFOpSEiIGyUXbm68TSLs&#10;dWS7Tfl7lhMcd2Y0+6bdXb0TF4xpDqSh2CoQSEOwM40a+o+X+0cQKRuyxgVCDd+YYNfd3rSmsWGl&#10;d7wc8ii4hFJjNEw5L42UaZjQm7QNCxJ7pxC9yXzGUdpoVi73TpZK1dKbmfjDZBZ8nnD4Opy9htd6&#10;nz+xt2+2Kquw9nKIJ5e0vtsU6glExmv+C8MvPqNDx0zHcCabhNNQFgUnWVc8if0HVVYgjhpqFmTX&#10;yv8Duh9QSwMEFAAAAAgAh07iQIH3KZRkAgAAwgQAAA4AAABkcnMvZTJvRG9jLnhtbK1UzW4TMRC+&#10;I/EOlu9kN79to26q0CgIKaKVCuLseL1ZC9tjbCe74QHgDThx4c5z9TkYe5P+cuiBHJyxv8k3M9/M&#10;5Pyi1YrshPMSTEH7vZwSYTiU0mwK+unj8s0pJT4wUzIFRhR0Lzy9mL1+dd7YqRhADaoUjiCJ8dPG&#10;FrQOwU6zzPNaaOZ7YIVBsAKnWcCr22SlYw2ya5UN8nySNeBK64AL7/F10YH0wOheQghVJblYAN9q&#10;YULH6oRiAUvytbSezlK2VSV4uKoqLwJRBcVKQzoxCNrreGazczbdOGZryQ8psJek8KQmzaTBoHdU&#10;CxYY2Tr5jEpL7sBDFXocdNYVkhTBKvr5E21uamZFqgWl9vZOdP//aPmH3bUjsizoiBLDNDb89ueP&#10;219/bn9/J6MoT2P9FL1uLPqF9i20ODTHd4+Pseq2cjp+Yz0k4vlweHKKEu8LejYZDs7Gnc6iDYQj&#10;PhgN8skAcY4Ow/7JOE+NyO6JrPPhnQBNolFQh31M8rLdygdMCl2PLjGuByXLpVQqXdxmfakc2THs&#10;+TJ9Ynj8ySM3ZUhT0MlwnCfmR1jkvqNYK8a/PGdAPmWQNurT6RCt0K7bg2hrKPeomYNu6LzlS4m8&#10;K+bDNXM4ZSgA7mG4wqNSgMnAwaKkBvftX+/RH5uPKCUNTm1B/dctc4IS9d7gWJz1RyOkDekyGp9E&#10;kd1DZP0QMVt9CShSHzfe8mRG/6COZuVAf8Z1nceoCDHDMXZBw9G8DN0u4bpzMZ8nJxxsy8LK3Fge&#10;qWNLDMy3ASqZWhdl6rQ5qIejndpzWMO4Ow/vyev+r2f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TGbyfTAAAACAEAAA8AAAAAAAAAAQAgAAAAIgAAAGRycy9kb3ducmV2LnhtbFBLAQIUABQAAAAI&#10;AIdO4kCB9ymUZAIAAMIEAAAOAAAAAAAAAAEAIAAAACI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lang w:val="en-US" w:eastAsia="zh-CN"/>
                        </w:rPr>
                      </w:pPr>
                      <w:r>
                        <w:rPr>
                          <w:rFonts w:hint="eastAsia"/>
                          <w:b/>
                          <w:bCs/>
                          <w:lang w:val="en-US" w:eastAsia="zh-CN"/>
                        </w:rPr>
                        <w:t>仅供生态环境部门信息公开使用</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-850265</wp:posOffset>
            </wp:positionH>
            <wp:positionV relativeFrom="paragraph">
              <wp:posOffset>-895350</wp:posOffset>
            </wp:positionV>
            <wp:extent cx="7519670" cy="10687685"/>
            <wp:effectExtent l="0" t="0" r="5080" b="18415"/>
            <wp:wrapNone/>
            <wp:docPr id="12" name="图片 2" descr="G:/Desktop/wechat_2025-07-21_162543_970.pngwechat_2025-07-21_162543_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G:/Desktop/wechat_2025-07-21_162543_970.pngwechat_2025-07-21_162543_970"/>
                    <pic:cNvPicPr>
                      <a:picLocks noChangeAspect="1"/>
                    </pic:cNvPicPr>
                  </pic:nvPicPr>
                  <pic:blipFill>
                    <a:blip r:embed="rId8"/>
                    <a:srcRect l="475" r="475"/>
                    <a:stretch>
                      <a:fillRect/>
                    </a:stretch>
                  </pic:blipFill>
                  <pic:spPr>
                    <a:xfrm>
                      <a:off x="0" y="0"/>
                      <a:ext cx="7519670" cy="10687685"/>
                    </a:xfrm>
                    <a:prstGeom prst="rect">
                      <a:avLst/>
                    </a:prstGeom>
                    <a:noFill/>
                    <a:ln>
                      <a:noFill/>
                    </a:ln>
                  </pic:spPr>
                </pic:pic>
              </a:graphicData>
            </a:graphic>
          </wp:anchor>
        </w:drawing>
      </w:r>
      <w:r>
        <w:rPr>
          <w:rFonts w:ascii="Times New Roman" w:hAnsi="Times New Roman" w:eastAsia="宋体" w:cs="Times New Roman"/>
          <w:color w:val="auto"/>
          <w:sz w:val="36"/>
        </w:rPr>
        <w:drawing>
          <wp:anchor distT="0" distB="0" distL="114300" distR="114300" simplePos="0" relativeHeight="251659264" behindDoc="0" locked="0" layoutInCell="1" allowOverlap="1">
            <wp:simplePos x="0" y="0"/>
            <wp:positionH relativeFrom="column">
              <wp:posOffset>-3980180</wp:posOffset>
            </wp:positionH>
            <wp:positionV relativeFrom="paragraph">
              <wp:posOffset>-157894655</wp:posOffset>
            </wp:positionV>
            <wp:extent cx="635" cy="0"/>
            <wp:effectExtent l="0" t="0" r="0" b="0"/>
            <wp:wrapNone/>
            <wp:docPr id="1" name="图片 3309" descr="闽侯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09" descr="闽侯风玫瑰图"/>
                    <pic:cNvPicPr>
                      <a:picLocks noChangeAspect="1"/>
                    </pic:cNvPicPr>
                  </pic:nvPicPr>
                  <pic:blipFill>
                    <a:blip r:embed="rId9"/>
                    <a:stretch>
                      <a:fillRect/>
                    </a:stretch>
                  </pic:blipFill>
                  <pic:spPr>
                    <a:xfrm>
                      <a:off x="0" y="0"/>
                      <a:ext cx="635" cy="0"/>
                    </a:xfrm>
                    <a:prstGeom prst="rect">
                      <a:avLst/>
                    </a:prstGeom>
                    <a:noFill/>
                    <a:ln>
                      <a:noFill/>
                    </a:ln>
                  </pic:spPr>
                </pic:pic>
              </a:graphicData>
            </a:graphic>
          </wp:anchor>
        </w:drawing>
      </w:r>
    </w:p>
    <w:p>
      <w:pPr>
        <w:rPr>
          <w:rFonts w:hint="eastAsia" w:ascii="Times New Roman" w:hAnsi="Times New Roman" w:eastAsia="宋体" w:cs="Times New Roman"/>
          <w:color w:val="auto"/>
          <w:sz w:val="36"/>
          <w:szCs w:val="36"/>
          <w:lang w:eastAsia="zh-CN"/>
        </w:rPr>
      </w:pPr>
    </w:p>
    <w:p>
      <w:pPr>
        <w:pStyle w:val="19"/>
        <w:ind w:left="0" w:leftChars="0" w:firstLine="0" w:firstLineChars="0"/>
        <w:rPr>
          <w:rFonts w:hint="eastAsia" w:ascii="Times New Roman" w:hAnsi="Times New Roman" w:eastAsia="宋体" w:cs="Times New Roman"/>
          <w:color w:val="auto"/>
          <w:lang w:eastAsia="zh-CN"/>
        </w:rPr>
      </w:pPr>
    </w:p>
    <w:p>
      <w:pPr>
        <w:rPr>
          <w:rFonts w:hint="default" w:ascii="Times New Roman" w:hAnsi="Times New Roman" w:eastAsia="宋体" w:cs="Times New Roman"/>
          <w:color w:val="auto"/>
          <w:sz w:val="36"/>
          <w:szCs w:val="36"/>
        </w:rPr>
      </w:pP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pPr>
        <w:jc w:val="center"/>
        <w:rPr>
          <w:rFonts w:hint="default" w:ascii="Times New Roman" w:hAnsi="Times New Roman" w:eastAsia="宋体" w:cs="Times New Roman"/>
          <w:color w:val="auto"/>
          <w:sz w:val="52"/>
          <w:szCs w:val="52"/>
        </w:rPr>
      </w:pPr>
    </w:p>
    <w:p>
      <w:pPr>
        <w:rPr>
          <w:rFonts w:hint="default"/>
          <w:color w:val="auto"/>
        </w:rPr>
      </w:pPr>
    </w:p>
    <w:p>
      <w:pPr>
        <w:ind w:firstLine="1040"/>
        <w:rPr>
          <w:rFonts w:hint="default" w:ascii="Times New Roman" w:hAnsi="Times New Roman" w:eastAsia="宋体" w:cs="Times New Roman"/>
          <w:color w:val="auto"/>
          <w:sz w:val="44"/>
          <w:szCs w:val="44"/>
        </w:rPr>
      </w:pPr>
    </w:p>
    <w:p>
      <w:pPr>
        <w:rPr>
          <w:rFonts w:hint="default"/>
          <w:color w:val="auto"/>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textAlignment w:val="auto"/>
        <w:rPr>
          <w:rFonts w:hint="eastAsia"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福建融瀚建材有限公司年加工预拌商品混凝土80万立</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600" w:firstLineChars="500"/>
        <w:textAlignment w:val="auto"/>
        <w:rPr>
          <w:rFonts w:hint="eastAsia" w:ascii="Times New Roman" w:hAnsi="Times New Roman" w:eastAsia="宋体" w:cs="Times New Roman"/>
          <w:color w:val="auto"/>
          <w:sz w:val="32"/>
          <w:szCs w:val="32"/>
          <w:u w:val="single"/>
          <w:lang w:val="en-US" w:eastAsia="zh-CN"/>
        </w:rPr>
      </w:pPr>
      <w:r>
        <w:rPr>
          <w:rFonts w:hint="eastAsia" w:ascii="Times New Roman" w:hAnsi="Times New Roman" w:eastAsia="宋体" w:cs="Times New Roman"/>
          <w:color w:val="auto"/>
          <w:sz w:val="32"/>
          <w:szCs w:val="32"/>
          <w:u w:val="single"/>
          <w:lang w:val="en-US" w:eastAsia="zh-CN"/>
        </w:rPr>
        <w:t>方米、砼结构件20万立方米、年回收加工建筑垃圾60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600" w:firstLineChars="500"/>
        <w:textAlignment w:val="auto"/>
        <w:rPr>
          <w:rFonts w:hint="eastAsia" w:ascii="Times New Roman" w:hAnsi="Times New Roman" w:eastAsia="宋体" w:cs="Times New Roman"/>
          <w:color w:val="auto"/>
          <w:sz w:val="32"/>
          <w:szCs w:val="32"/>
          <w:u w:val="single"/>
          <w:lang w:val="en-US" w:eastAsia="zh-CN"/>
        </w:rPr>
      </w:pPr>
      <w:r>
        <w:rPr>
          <w:rFonts w:hint="eastAsia" w:ascii="Times New Roman" w:hAnsi="Times New Roman" w:eastAsia="宋体" w:cs="Times New Roman"/>
          <w:color w:val="auto"/>
          <w:sz w:val="32"/>
          <w:szCs w:val="32"/>
          <w:u w:val="single"/>
          <w:lang w:val="en-US" w:eastAsia="zh-CN"/>
        </w:rPr>
        <w:t>万立方米</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福建融瀚建材有限公司</w:t>
      </w:r>
      <w:r>
        <w:rPr>
          <w:rFonts w:hint="eastAsia"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highlight w:val="none"/>
          <w:u w:val="single"/>
          <w:lang w:val="en-US" w:eastAsia="zh-CN"/>
        </w:rPr>
        <w:t>7</w:t>
      </w:r>
      <w:r>
        <w:rPr>
          <w:rFonts w:hint="default" w:ascii="Times New Roman" w:hAnsi="Times New Roman" w:eastAsia="宋体" w:cs="Times New Roman"/>
          <w:color w:val="auto"/>
          <w:sz w:val="32"/>
          <w:szCs w:val="32"/>
          <w:highlight w:val="none"/>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rPr>
          <w:rFonts w:hint="default"/>
          <w:color w:val="auto"/>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0"/>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pPr>
    </w:p>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pPr>
      <w:r>
        <w:rPr>
          <w:color w:val="auto"/>
        </w:rPr>
        <w:drawing>
          <wp:anchor distT="0" distB="0" distL="114300" distR="114300" simplePos="0" relativeHeight="251663360" behindDoc="0" locked="0" layoutInCell="1" allowOverlap="1">
            <wp:simplePos x="0" y="0"/>
            <wp:positionH relativeFrom="column">
              <wp:posOffset>-845185</wp:posOffset>
            </wp:positionH>
            <wp:positionV relativeFrom="paragraph">
              <wp:posOffset>-857250</wp:posOffset>
            </wp:positionV>
            <wp:extent cx="7422515" cy="10497820"/>
            <wp:effectExtent l="0" t="0" r="6985" b="17780"/>
            <wp:wrapNone/>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0"/>
                    <a:stretch>
                      <a:fillRect/>
                    </a:stretch>
                  </pic:blipFill>
                  <pic:spPr>
                    <a:xfrm>
                      <a:off x="0" y="0"/>
                      <a:ext cx="7422515" cy="10497820"/>
                    </a:xfrm>
                    <a:prstGeom prst="rect">
                      <a:avLst/>
                    </a:prstGeom>
                    <a:noFill/>
                    <a:ln>
                      <a:noFill/>
                    </a:ln>
                  </pic:spPr>
                </pic:pic>
              </a:graphicData>
            </a:graphic>
          </wp:anchor>
        </w:drawing>
      </w:r>
    </w:p>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color w:val="auto"/>
          <w:kern w:val="2"/>
          <w:sz w:val="21"/>
          <w:szCs w:val="24"/>
          <w:lang w:val="en-US" w:eastAsia="zh-CN" w:bidi="ar-SA"/>
        </w:rPr>
        <w:id w:val="147472365"/>
        <w15:color w:val="DBDBDB"/>
        <w:docPartObj>
          <w:docPartGallery w:val="Table of Contents"/>
          <w:docPartUnique/>
        </w:docPartObj>
      </w:sdtPr>
      <w:sdtEndPr>
        <w:rPr>
          <w:rFonts w:hint="default"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b/>
              <w:bCs/>
              <w:color w:val="auto"/>
              <w:sz w:val="28"/>
              <w:szCs w:val="36"/>
            </w:rPr>
            <w:t>目录</w:t>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 w:val="22"/>
              <w:szCs w:val="22"/>
            </w:rPr>
            <w:fldChar w:fldCharType="begin"/>
          </w:r>
          <w:r>
            <w:rPr>
              <w:rFonts w:hint="default"/>
              <w:color w:val="auto"/>
              <w:sz w:val="22"/>
              <w:szCs w:val="22"/>
            </w:rPr>
            <w:instrText xml:space="preserve">TOC \o "1-1" \h \u </w:instrText>
          </w:r>
          <w:r>
            <w:rPr>
              <w:rFonts w:hint="default"/>
              <w:color w:val="auto"/>
              <w:sz w:val="22"/>
              <w:szCs w:val="22"/>
            </w:rPr>
            <w:fldChar w:fldCharType="separate"/>
          </w:r>
          <w:r>
            <w:rPr>
              <w:rFonts w:hint="default"/>
              <w:color w:val="auto"/>
              <w:szCs w:val="22"/>
            </w:rPr>
            <w:fldChar w:fldCharType="begin"/>
          </w:r>
          <w:r>
            <w:rPr>
              <w:rFonts w:hint="default"/>
              <w:color w:val="auto"/>
              <w:szCs w:val="22"/>
            </w:rPr>
            <w:instrText xml:space="preserve"> HYPERLINK \l _Toc12258 </w:instrText>
          </w:r>
          <w:r>
            <w:rPr>
              <w:rFonts w:hint="default"/>
              <w:color w:val="auto"/>
              <w:szCs w:val="22"/>
            </w:rPr>
            <w:fldChar w:fldCharType="separate"/>
          </w:r>
          <w:r>
            <w:rPr>
              <w:rFonts w:hint="default"/>
              <w:color w:val="auto"/>
            </w:rPr>
            <w:t>一、建设项目基本情况</w:t>
          </w:r>
          <w:r>
            <w:rPr>
              <w:color w:val="auto"/>
            </w:rPr>
            <w:tab/>
          </w:r>
          <w:r>
            <w:rPr>
              <w:color w:val="auto"/>
            </w:rPr>
            <w:fldChar w:fldCharType="begin"/>
          </w:r>
          <w:r>
            <w:rPr>
              <w:color w:val="auto"/>
            </w:rPr>
            <w:instrText xml:space="preserve"> PAGEREF _Toc12258 \h </w:instrText>
          </w:r>
          <w:r>
            <w:rPr>
              <w:color w:val="auto"/>
            </w:rPr>
            <w:fldChar w:fldCharType="separate"/>
          </w:r>
          <w:r>
            <w:rPr>
              <w:color w:val="auto"/>
            </w:rPr>
            <w:t>- 1 -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_Toc8166 </w:instrText>
          </w:r>
          <w:r>
            <w:rPr>
              <w:rFonts w:hint="default"/>
              <w:color w:val="auto"/>
              <w:szCs w:val="22"/>
            </w:rPr>
            <w:fldChar w:fldCharType="separate"/>
          </w:r>
          <w:r>
            <w:rPr>
              <w:rFonts w:hint="default"/>
              <w:color w:val="auto"/>
            </w:rPr>
            <w:t>二、建设项目工程分析</w:t>
          </w:r>
          <w:r>
            <w:rPr>
              <w:color w:val="auto"/>
            </w:rPr>
            <w:tab/>
          </w:r>
          <w:r>
            <w:rPr>
              <w:color w:val="auto"/>
            </w:rPr>
            <w:fldChar w:fldCharType="begin"/>
          </w:r>
          <w:r>
            <w:rPr>
              <w:color w:val="auto"/>
            </w:rPr>
            <w:instrText xml:space="preserve"> PAGEREF _Toc8166 \h </w:instrText>
          </w:r>
          <w:r>
            <w:rPr>
              <w:color w:val="auto"/>
            </w:rPr>
            <w:fldChar w:fldCharType="separate"/>
          </w:r>
          <w:r>
            <w:rPr>
              <w:color w:val="auto"/>
            </w:rPr>
            <w:t>- 18 -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_Toc25314 </w:instrText>
          </w:r>
          <w:r>
            <w:rPr>
              <w:rFonts w:hint="default"/>
              <w:color w:val="auto"/>
              <w:szCs w:val="22"/>
            </w:rPr>
            <w:fldChar w:fldCharType="separate"/>
          </w:r>
          <w:r>
            <w:rPr>
              <w:rFonts w:hint="default"/>
              <w:color w:val="auto"/>
            </w:rPr>
            <w:t>三、区域环境质量现状、环境保护目标及评价标准</w:t>
          </w:r>
          <w:r>
            <w:rPr>
              <w:color w:val="auto"/>
            </w:rPr>
            <w:tab/>
          </w:r>
          <w:r>
            <w:rPr>
              <w:color w:val="auto"/>
            </w:rPr>
            <w:fldChar w:fldCharType="begin"/>
          </w:r>
          <w:r>
            <w:rPr>
              <w:color w:val="auto"/>
            </w:rPr>
            <w:instrText xml:space="preserve"> PAGEREF _Toc25314 \h </w:instrText>
          </w:r>
          <w:r>
            <w:rPr>
              <w:color w:val="auto"/>
            </w:rPr>
            <w:fldChar w:fldCharType="separate"/>
          </w:r>
          <w:r>
            <w:rPr>
              <w:color w:val="auto"/>
            </w:rPr>
            <w:t>- 39 -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_Toc16962 </w:instrText>
          </w:r>
          <w:r>
            <w:rPr>
              <w:rFonts w:hint="default"/>
              <w:color w:val="auto"/>
              <w:szCs w:val="22"/>
            </w:rPr>
            <w:fldChar w:fldCharType="separate"/>
          </w:r>
          <w:r>
            <w:rPr>
              <w:rFonts w:hint="eastAsia" w:ascii="Times New Roman" w:hAnsi="Times New Roman" w:eastAsia="宋体" w:cs="Times New Roman"/>
              <w:bCs/>
              <w:snapToGrid w:val="0"/>
              <w:color w:val="auto"/>
              <w:szCs w:val="30"/>
            </w:rPr>
            <w:t xml:space="preserve">四、 </w:t>
          </w:r>
          <w:r>
            <w:rPr>
              <w:rFonts w:hint="default"/>
              <w:color w:val="auto"/>
            </w:rPr>
            <w:t>主要环境影响和保护措施</w:t>
          </w:r>
          <w:r>
            <w:rPr>
              <w:color w:val="auto"/>
            </w:rPr>
            <w:tab/>
          </w:r>
          <w:r>
            <w:rPr>
              <w:color w:val="auto"/>
            </w:rPr>
            <w:fldChar w:fldCharType="begin"/>
          </w:r>
          <w:r>
            <w:rPr>
              <w:color w:val="auto"/>
            </w:rPr>
            <w:instrText xml:space="preserve"> PAGEREF _Toc16962 \h </w:instrText>
          </w:r>
          <w:r>
            <w:rPr>
              <w:color w:val="auto"/>
            </w:rPr>
            <w:fldChar w:fldCharType="separate"/>
          </w:r>
          <w:r>
            <w:rPr>
              <w:color w:val="auto"/>
            </w:rPr>
            <w:t>- 49 -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_Toc18137 </w:instrText>
          </w:r>
          <w:r>
            <w:rPr>
              <w:rFonts w:hint="default"/>
              <w:color w:val="auto"/>
              <w:szCs w:val="22"/>
            </w:rPr>
            <w:fldChar w:fldCharType="separate"/>
          </w:r>
          <w:r>
            <w:rPr>
              <w:rFonts w:hint="default" w:ascii="Times New Roman" w:hAnsi="Times New Roman" w:eastAsia="宋体" w:cs="Times New Roman"/>
              <w:bCs/>
              <w:snapToGrid w:val="0"/>
              <w:color w:val="auto"/>
              <w:szCs w:val="30"/>
              <w:highlight w:val="none"/>
            </w:rPr>
            <w:t>五、环境保护措施监督检查清单</w:t>
          </w:r>
          <w:r>
            <w:rPr>
              <w:color w:val="auto"/>
            </w:rPr>
            <w:tab/>
          </w:r>
          <w:r>
            <w:rPr>
              <w:color w:val="auto"/>
            </w:rPr>
            <w:fldChar w:fldCharType="begin"/>
          </w:r>
          <w:r>
            <w:rPr>
              <w:color w:val="auto"/>
            </w:rPr>
            <w:instrText xml:space="preserve"> PAGEREF _Toc18137 \h </w:instrText>
          </w:r>
          <w:r>
            <w:rPr>
              <w:color w:val="auto"/>
            </w:rPr>
            <w:fldChar w:fldCharType="separate"/>
          </w:r>
          <w:r>
            <w:rPr>
              <w:color w:val="auto"/>
            </w:rPr>
            <w:t>- 97 -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_Toc15841 </w:instrText>
          </w:r>
          <w:r>
            <w:rPr>
              <w:rFonts w:hint="default"/>
              <w:color w:val="auto"/>
              <w:szCs w:val="22"/>
            </w:rPr>
            <w:fldChar w:fldCharType="separate"/>
          </w:r>
          <w:r>
            <w:rPr>
              <w:rFonts w:hint="default" w:ascii="Times New Roman" w:hAnsi="Times New Roman" w:eastAsia="宋体" w:cs="Times New Roman"/>
              <w:bCs/>
              <w:snapToGrid w:val="0"/>
              <w:color w:val="auto"/>
              <w:szCs w:val="30"/>
            </w:rPr>
            <w:t>六、结论</w:t>
          </w:r>
          <w:r>
            <w:rPr>
              <w:color w:val="auto"/>
            </w:rPr>
            <w:tab/>
          </w:r>
          <w:r>
            <w:rPr>
              <w:color w:val="auto"/>
            </w:rPr>
            <w:fldChar w:fldCharType="begin"/>
          </w:r>
          <w:r>
            <w:rPr>
              <w:color w:val="auto"/>
            </w:rPr>
            <w:instrText xml:space="preserve"> PAGEREF _Toc15841 \h </w:instrText>
          </w:r>
          <w:r>
            <w:rPr>
              <w:color w:val="auto"/>
            </w:rPr>
            <w:fldChar w:fldCharType="separate"/>
          </w:r>
          <w:r>
            <w:rPr>
              <w:color w:val="auto"/>
            </w:rPr>
            <w:t>- 101 -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_Toc17299 </w:instrText>
          </w:r>
          <w:r>
            <w:rPr>
              <w:rFonts w:hint="default"/>
              <w:color w:val="auto"/>
              <w:szCs w:val="22"/>
            </w:rPr>
            <w:fldChar w:fldCharType="separate"/>
          </w:r>
          <w:r>
            <w:rPr>
              <w:rFonts w:hint="default" w:ascii="Times New Roman" w:hAnsi="Times New Roman" w:eastAsia="宋体" w:cs="Times New Roman"/>
              <w:bCs/>
              <w:snapToGrid w:val="0"/>
              <w:color w:val="auto"/>
              <w:szCs w:val="28"/>
            </w:rPr>
            <w:t>附表</w:t>
          </w:r>
          <w:r>
            <w:rPr>
              <w:color w:val="auto"/>
            </w:rPr>
            <w:tab/>
          </w:r>
          <w:r>
            <w:rPr>
              <w:color w:val="auto"/>
            </w:rPr>
            <w:fldChar w:fldCharType="begin"/>
          </w:r>
          <w:r>
            <w:rPr>
              <w:color w:val="auto"/>
            </w:rPr>
            <w:instrText xml:space="preserve"> PAGEREF _Toc17299 \h </w:instrText>
          </w:r>
          <w:r>
            <w:rPr>
              <w:color w:val="auto"/>
            </w:rPr>
            <w:fldChar w:fldCharType="separate"/>
          </w:r>
          <w:r>
            <w:rPr>
              <w:color w:val="auto"/>
            </w:rPr>
            <w:t>- 102 -</w:t>
          </w:r>
          <w:r>
            <w:rPr>
              <w:color w:val="auto"/>
            </w:rPr>
            <w:fldChar w:fldCharType="end"/>
          </w:r>
          <w:r>
            <w:rPr>
              <w:rFonts w:hint="default"/>
              <w:color w:val="auto"/>
              <w:szCs w:val="22"/>
            </w:rPr>
            <w:fldChar w:fldCharType="end"/>
          </w:r>
        </w:p>
        <w:p>
          <w:pPr>
            <w:pStyle w:val="16"/>
            <w:tabs>
              <w:tab w:val="right" w:leader="dot" w:pos="9072"/>
            </w:tabs>
            <w:rPr>
              <w:color w:val="auto"/>
            </w:rPr>
          </w:pPr>
          <w:r>
            <w:rPr>
              <w:rFonts w:hint="default"/>
              <w:color w:val="auto"/>
              <w:szCs w:val="22"/>
            </w:rPr>
            <w:fldChar w:fldCharType="begin"/>
          </w:r>
          <w:r>
            <w:rPr>
              <w:rFonts w:hint="default"/>
              <w:color w:val="auto"/>
              <w:szCs w:val="22"/>
            </w:rPr>
            <w:instrText xml:space="preserve"> HYPERLINK \l _Toc18062 </w:instrText>
          </w:r>
          <w:r>
            <w:rPr>
              <w:rFonts w:hint="default"/>
              <w:color w:val="auto"/>
              <w:szCs w:val="22"/>
            </w:rPr>
            <w:fldChar w:fldCharType="separate"/>
          </w:r>
          <w:r>
            <w:rPr>
              <w:rFonts w:hint="default" w:ascii="Times New Roman" w:hAnsi="Times New Roman" w:eastAsia="宋体" w:cs="Times New Roman"/>
              <w:bCs/>
              <w:snapToGrid w:val="0"/>
              <w:color w:val="auto"/>
              <w:szCs w:val="38"/>
            </w:rPr>
            <w:t>建设项目污染物排放量汇总表</w:t>
          </w:r>
          <w:r>
            <w:rPr>
              <w:color w:val="auto"/>
            </w:rPr>
            <w:tab/>
          </w:r>
          <w:r>
            <w:rPr>
              <w:color w:val="auto"/>
            </w:rPr>
            <w:fldChar w:fldCharType="begin"/>
          </w:r>
          <w:r>
            <w:rPr>
              <w:color w:val="auto"/>
            </w:rPr>
            <w:instrText xml:space="preserve"> PAGEREF _Toc18062 \h </w:instrText>
          </w:r>
          <w:r>
            <w:rPr>
              <w:color w:val="auto"/>
            </w:rPr>
            <w:fldChar w:fldCharType="separate"/>
          </w:r>
          <w:r>
            <w:rPr>
              <w:color w:val="auto"/>
            </w:rPr>
            <w:t>- 102 -</w:t>
          </w:r>
          <w:r>
            <w:rPr>
              <w:color w:val="auto"/>
            </w:rPr>
            <w:fldChar w:fldCharType="end"/>
          </w:r>
          <w:r>
            <w:rPr>
              <w:rFonts w:hint="default"/>
              <w:color w:val="auto"/>
              <w:szCs w:val="22"/>
            </w:rPr>
            <w:fldChar w:fldCharType="end"/>
          </w:r>
        </w:p>
        <w:p>
          <w:pPr>
            <w:pStyle w:val="16"/>
            <w:tabs>
              <w:tab w:val="right" w:leader="dot" w:pos="9072"/>
            </w:tabs>
            <w:rPr>
              <w:color w:val="auto"/>
            </w:rPr>
          </w:pPr>
        </w:p>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pPr>
          <w:r>
            <w:rPr>
              <w:rFonts w:hint="default"/>
              <w:color w:val="auto"/>
              <w:szCs w:val="22"/>
            </w:rPr>
            <w:fldChar w:fldCharType="end"/>
          </w:r>
        </w:p>
      </w:sdtContent>
    </w:sdt>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2"/>
        <w:bidi w:val="0"/>
        <w:jc w:val="center"/>
        <w:rPr>
          <w:rFonts w:hint="default"/>
          <w:color w:val="auto"/>
        </w:rPr>
      </w:pPr>
      <w:bookmarkStart w:id="1" w:name="_Toc12258"/>
      <w:r>
        <w:rPr>
          <w:rFonts w:hint="default"/>
          <w:color w:val="auto"/>
        </w:rPr>
        <w:t>一、建设项目基本情况</w:t>
      </w:r>
      <w:bookmarkEnd w:id="1"/>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76"/>
        <w:gridCol w:w="2800"/>
        <w:gridCol w:w="1619"/>
        <w:gridCol w:w="3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188" w:type="pct"/>
            <w:gridSpan w:val="3"/>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bookmarkStart w:id="50" w:name="_GoBack"/>
            <w:r>
              <w:rPr>
                <w:rFonts w:hint="eastAsia"/>
                <w:color w:val="auto"/>
                <w:sz w:val="24"/>
                <w:szCs w:val="32"/>
                <w:lang w:val="en-US" w:eastAsia="zh-CN"/>
              </w:rPr>
              <w:t>福建融瀚建材有限公司年加工预拌商品混凝土80万立方米、砼结构件20万立方米、年回收加工建筑垃圾60万立方米</w:t>
            </w:r>
            <w:bookmarkEnd w:id="5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188" w:type="pct"/>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2410-350181-04-01-638725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539"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75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188" w:type="pct"/>
            <w:gridSpan w:val="3"/>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188" w:type="pct"/>
            <w:gridSpan w:val="3"/>
            <w:noWrap w:val="0"/>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东经</w:t>
            </w:r>
            <w:r>
              <w:rPr>
                <w:rFonts w:hint="default" w:ascii="Times New Roman" w:hAnsi="Times New Roman" w:eastAsia="宋体" w:cs="Times New Roman"/>
                <w:color w:val="auto"/>
                <w:sz w:val="24"/>
                <w:szCs w:val="24"/>
                <w:lang w:eastAsia="zh-CN"/>
              </w:rPr>
              <w:t>：119°25'24.2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北纬</w:t>
            </w:r>
            <w:r>
              <w:rPr>
                <w:rFonts w:hint="default" w:ascii="Times New Roman" w:hAnsi="Times New Roman" w:eastAsia="宋体" w:cs="Times New Roman"/>
                <w:color w:val="auto"/>
                <w:sz w:val="24"/>
                <w:szCs w:val="24"/>
                <w:lang w:eastAsia="zh-CN"/>
              </w:rPr>
              <w:t>：25°39'40.92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eastAsia="zh-CN"/>
              </w:rPr>
              <w:t>，地理位置图详见</w:t>
            </w:r>
            <w:r>
              <w:rPr>
                <w:rFonts w:hint="default" w:ascii="Times New Roman" w:hAnsi="Times New Roman" w:eastAsia="宋体" w:cs="Times New Roman"/>
                <w:color w:val="auto"/>
                <w:sz w:val="24"/>
                <w:szCs w:val="24"/>
                <w:highlight w:val="none"/>
                <w:lang w:eastAsia="zh-CN"/>
              </w:rPr>
              <w:t>附图</w:t>
            </w:r>
            <w:r>
              <w:rPr>
                <w:rFonts w:hint="eastAsia" w:cs="Times New Roman"/>
                <w:color w:val="auto"/>
                <w:sz w:val="24"/>
                <w:szCs w:val="24"/>
                <w:highlight w:val="none"/>
                <w:lang w:val="en-US" w:eastAsia="zh-CN"/>
              </w:rPr>
              <w:t>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539" w:type="pct"/>
            <w:noWrap w:val="0"/>
            <w:vAlign w:val="center"/>
          </w:tcPr>
          <w:p>
            <w:pPr>
              <w:bidi w:val="0"/>
              <w:spacing w:line="240" w:lineRule="auto"/>
              <w:ind w:left="0" w:leftChars="0" w:firstLine="0" w:firstLineChars="0"/>
              <w:jc w:val="center"/>
              <w:rPr>
                <w:rFonts w:hint="eastAsia"/>
                <w:color w:val="auto"/>
                <w:sz w:val="24"/>
                <w:szCs w:val="32"/>
                <w:lang w:val="en-US" w:eastAsia="zh-CN"/>
              </w:rPr>
            </w:pPr>
            <w:r>
              <w:rPr>
                <w:rFonts w:hint="eastAsia"/>
                <w:color w:val="auto"/>
                <w:sz w:val="24"/>
                <w:szCs w:val="32"/>
              </w:rPr>
              <w:t>C</w:t>
            </w:r>
            <w:r>
              <w:rPr>
                <w:rFonts w:hint="eastAsia"/>
                <w:color w:val="auto"/>
                <w:sz w:val="24"/>
                <w:szCs w:val="32"/>
                <w:lang w:val="en-US" w:eastAsia="zh-CN"/>
              </w:rPr>
              <w:t>3021</w:t>
            </w:r>
          </w:p>
          <w:p>
            <w:pPr>
              <w:bidi w:val="0"/>
              <w:spacing w:line="240" w:lineRule="auto"/>
              <w:ind w:left="0" w:leftChars="0" w:firstLine="0" w:firstLineChars="0"/>
              <w:jc w:val="center"/>
              <w:rPr>
                <w:rFonts w:hint="default"/>
                <w:color w:val="auto"/>
                <w:sz w:val="24"/>
                <w:szCs w:val="32"/>
              </w:rPr>
            </w:pPr>
            <w:r>
              <w:rPr>
                <w:rFonts w:hint="eastAsia"/>
                <w:color w:val="auto"/>
                <w:sz w:val="24"/>
                <w:szCs w:val="32"/>
                <w:lang w:eastAsia="zh-CN"/>
              </w:rPr>
              <w:t>（</w:t>
            </w:r>
            <w:r>
              <w:rPr>
                <w:rFonts w:hint="eastAsia"/>
                <w:color w:val="auto"/>
                <w:sz w:val="24"/>
                <w:szCs w:val="32"/>
                <w:lang w:val="en-US" w:eastAsia="zh-CN"/>
              </w:rPr>
              <w:t>水泥制品</w:t>
            </w:r>
            <w:r>
              <w:rPr>
                <w:rFonts w:hint="eastAsia"/>
                <w:color w:val="auto"/>
                <w:sz w:val="24"/>
                <w:szCs w:val="32"/>
                <w:lang w:eastAsia="zh-CN"/>
              </w:rPr>
              <w:t>制造</w:t>
            </w:r>
            <w:r>
              <w:rPr>
                <w:rFonts w:hint="eastAsia"/>
                <w:color w:val="auto"/>
                <w:sz w:val="24"/>
                <w:szCs w:val="32"/>
                <w:lang w:val="en-US" w:eastAsia="zh-CN"/>
              </w:rPr>
              <w:t>）</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bookmarkStart w:id="2" w:name="_Hlk49843745"/>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2"/>
          </w:p>
        </w:tc>
        <w:tc>
          <w:tcPr>
            <w:tcW w:w="1758" w:type="pct"/>
            <w:noWrap w:val="0"/>
            <w:vAlign w:val="center"/>
          </w:tcPr>
          <w:p>
            <w:pPr>
              <w:spacing w:beforeLines="0" w:afterLines="0" w:line="240" w:lineRule="auto"/>
              <w:ind w:left="0" w:leftChars="0" w:firstLine="0" w:firstLineChars="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二十七、非金属矿物制品业</w:t>
            </w:r>
            <w:r>
              <w:rPr>
                <w:rFonts w:hint="eastAsia" w:ascii="Times New Roman" w:hAnsi="Times New Roman" w:eastAsia="宋体" w:cs="Times New Roman"/>
                <w:color w:val="auto"/>
                <w:sz w:val="24"/>
                <w:szCs w:val="24"/>
                <w:lang w:val="en-US" w:eastAsia="zh-CN"/>
              </w:rPr>
              <w:t>30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55石膏、水泥制品及类似制品制造302</w:t>
            </w:r>
            <w:r>
              <w:rPr>
                <w:rFonts w:hint="eastAsia" w:cs="Times New Roman"/>
                <w:color w:val="auto"/>
                <w:sz w:val="24"/>
                <w:szCs w:val="24"/>
                <w:lang w:val="en-US" w:eastAsia="zh-CN"/>
              </w:rPr>
              <w:t>-商品混凝土；</w:t>
            </w:r>
            <w:r>
              <w:rPr>
                <w:rFonts w:hint="eastAsia" w:ascii="Times New Roman" w:hAnsi="Times New Roman" w:eastAsia="宋体" w:cs="Times New Roman"/>
                <w:color w:val="auto"/>
                <w:sz w:val="24"/>
                <w:szCs w:val="24"/>
                <w:lang w:eastAsia="zh-CN"/>
              </w:rPr>
              <w:t>砼结构构件制造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539" w:type="pct"/>
            <w:noWrap w:val="0"/>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新建（迁建）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改建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扩建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技术改造</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758" w:type="pct"/>
            <w:noWrap w:val="0"/>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首次申报项目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不予批准后再次申报项目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超五年重新审核项目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（选填）</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福清</w:t>
            </w:r>
            <w:r>
              <w:rPr>
                <w:rFonts w:hint="eastAsia" w:ascii="Times New Roman" w:hAnsi="Times New Roman" w:eastAsia="宋体" w:cs="Times New Roman"/>
                <w:color w:val="auto"/>
                <w:sz w:val="24"/>
                <w:szCs w:val="24"/>
                <w:highlight w:val="none"/>
                <w:lang w:eastAsia="zh-CN"/>
              </w:rPr>
              <w:t>市发展和改革局</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（选填）</w:t>
            </w:r>
          </w:p>
        </w:tc>
        <w:tc>
          <w:tcPr>
            <w:tcW w:w="1758" w:type="pct"/>
            <w:noWrap w:val="0"/>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闽发改备</w:t>
            </w:r>
            <w:r>
              <w:rPr>
                <w:rFonts w:hint="eastAsia" w:cs="Times New Roman"/>
                <w:color w:val="auto"/>
                <w:sz w:val="24"/>
                <w:szCs w:val="24"/>
                <w:highlight w:val="none"/>
                <w:lang w:val="en-US" w:eastAsia="zh-CN"/>
              </w:rPr>
              <w:t>[</w:t>
            </w:r>
            <w:r>
              <w:rPr>
                <w:rFonts w:hint="eastAsia" w:cs="Times New Roman"/>
                <w:color w:val="auto"/>
                <w:sz w:val="24"/>
                <w:szCs w:val="24"/>
                <w:highlight w:val="none"/>
                <w:lang w:eastAsia="zh-CN"/>
              </w:rPr>
              <w:t>2024</w:t>
            </w:r>
            <w:r>
              <w:rPr>
                <w:rFonts w:hint="eastAsia" w:cs="Times New Roman"/>
                <w:color w:val="auto"/>
                <w:sz w:val="24"/>
                <w:szCs w:val="24"/>
                <w:highlight w:val="none"/>
                <w:lang w:val="en-US" w:eastAsia="zh-CN"/>
              </w:rPr>
              <w:t>]A060389</w:t>
            </w:r>
            <w:r>
              <w:rPr>
                <w:rFonts w:hint="eastAsia" w:cs="Times New Roman"/>
                <w:color w:val="auto"/>
                <w:sz w:val="24"/>
                <w:szCs w:val="24"/>
                <w:highlight w:val="none"/>
                <w:lang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24600</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758"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0.38</w:t>
            </w:r>
            <w:r>
              <w:rPr>
                <w:rFonts w:hint="eastAsia" w:ascii="Times New Roman" w:hAnsi="Times New Roman" w:eastAsia="宋体" w:cs="Times New Roman"/>
                <w:color w:val="auto"/>
                <w:sz w:val="24"/>
                <w:szCs w:val="24"/>
                <w:highlight w:val="none"/>
                <w:lang w:val="en-US" w:eastAsia="zh-CN"/>
              </w:rPr>
              <w:t>%</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758"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539" w:type="pct"/>
            <w:noWrap w:val="0"/>
            <w:vAlign w:val="center"/>
          </w:tcPr>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否</w:t>
            </w:r>
          </w:p>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lang w:val="en-US" w:eastAsia="zh-CN"/>
              </w:rPr>
              <w:t>_________</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758" w:type="pct"/>
            <w:noWrap w:val="0"/>
            <w:vAlign w:val="center"/>
          </w:tcPr>
          <w:p>
            <w:pPr>
              <w:bidi w:val="0"/>
              <w:spacing w:line="240" w:lineRule="auto"/>
              <w:ind w:left="0" w:leftChars="0" w:firstLine="0" w:firstLineChars="0"/>
              <w:jc w:val="center"/>
              <w:rPr>
                <w:rFonts w:hint="eastAsia"/>
                <w:color w:val="auto"/>
                <w:sz w:val="24"/>
                <w:szCs w:val="32"/>
                <w:vertAlign w:val="superscript"/>
                <w:lang w:val="en-US" w:eastAsia="zh-CN"/>
              </w:rPr>
            </w:pPr>
            <w:r>
              <w:rPr>
                <w:rFonts w:hint="eastAsia"/>
                <w:color w:val="auto"/>
                <w:sz w:val="24"/>
                <w:szCs w:val="32"/>
                <w:lang w:val="en-US" w:eastAsia="zh-CN"/>
              </w:rPr>
              <w:t>用地面积36469m</w:t>
            </w:r>
            <w:r>
              <w:rPr>
                <w:rFonts w:hint="eastAsia"/>
                <w:color w:val="auto"/>
                <w:sz w:val="24"/>
                <w:szCs w:val="32"/>
                <w:vertAlign w:val="superscript"/>
                <w:lang w:val="en-US" w:eastAsia="zh-CN"/>
              </w:rPr>
              <w:t>2</w:t>
            </w:r>
          </w:p>
          <w:p>
            <w:pPr>
              <w:bidi w:val="0"/>
              <w:spacing w:line="240" w:lineRule="auto"/>
              <w:ind w:left="0" w:leftChars="0"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olor w:val="auto"/>
                <w:sz w:val="24"/>
                <w:szCs w:val="32"/>
                <w:lang w:val="en-US" w:eastAsia="zh-CN"/>
              </w:rPr>
              <w:t>（合54.7亩）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4188" w:type="pct"/>
            <w:gridSpan w:val="3"/>
            <w:noWrap w:val="0"/>
            <w:vAlign w:val="center"/>
          </w:tcPr>
          <w:p>
            <w:pPr>
              <w:bidi w:val="0"/>
              <w:rPr>
                <w:rFonts w:hint="eastAsia"/>
                <w:color w:val="auto"/>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default"/>
                <w:color w:val="auto"/>
                <w:lang w:val="zh-CN" w:eastAsia="zh-CN"/>
              </w:rPr>
              <w:t>环办环评〔2020〕33号</w:t>
            </w:r>
            <w:r>
              <w:rPr>
                <w:rFonts w:hint="eastAsia"/>
                <w:color w:val="auto"/>
                <w:lang w:val="zh-CN" w:eastAsia="zh-CN"/>
              </w:rPr>
              <w:t>）</w:t>
            </w:r>
            <w:r>
              <w:rPr>
                <w:rFonts w:hint="eastAsia"/>
                <w:color w:val="auto"/>
              </w:rPr>
              <w:t>，土壤、声不开展专项评价，地下水原则不开展专项评价。项目专项</w:t>
            </w:r>
            <w:r>
              <w:rPr>
                <w:rFonts w:hint="eastAsia"/>
                <w:color w:val="auto"/>
                <w:lang w:val="en-US" w:eastAsia="zh-CN"/>
              </w:rPr>
              <w:t>评价</w:t>
            </w:r>
            <w:r>
              <w:rPr>
                <w:rFonts w:hint="eastAsia"/>
                <w:color w:val="auto"/>
              </w:rPr>
              <w:t>设置</w:t>
            </w:r>
            <w:r>
              <w:rPr>
                <w:rFonts w:hint="eastAsia"/>
                <w:color w:val="auto"/>
                <w:lang w:val="en-US" w:eastAsia="zh-CN"/>
              </w:rPr>
              <w:t>原则</w:t>
            </w:r>
            <w:r>
              <w:rPr>
                <w:rFonts w:hint="eastAsia"/>
                <w:color w:val="auto"/>
              </w:rPr>
              <w:t>情况具体见表1</w:t>
            </w:r>
            <w:r>
              <w:rPr>
                <w:rFonts w:hint="eastAsia"/>
                <w:color w:val="auto"/>
                <w:lang w:val="en-US" w:eastAsia="zh-CN"/>
              </w:rPr>
              <w:t>-1</w:t>
            </w:r>
            <w:r>
              <w:rPr>
                <w:rFonts w:hint="eastAsia"/>
                <w:color w:val="auto"/>
              </w:rPr>
              <w:t>。</w:t>
            </w:r>
          </w:p>
          <w:p>
            <w:pPr>
              <w:spacing w:before="120" w:beforeLines="50"/>
              <w:ind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专项评价设置</w:t>
            </w:r>
            <w:r>
              <w:rPr>
                <w:rFonts w:hint="eastAsia" w:ascii="Times New Roman" w:hAnsi="Times New Roman" w:eastAsia="宋体" w:cs="Times New Roman"/>
                <w:b/>
                <w:bCs/>
                <w:color w:val="auto"/>
                <w:sz w:val="21"/>
                <w:szCs w:val="21"/>
                <w:lang w:val="en-US" w:eastAsia="zh-CN"/>
              </w:rPr>
              <w:t>原则</w:t>
            </w:r>
            <w:r>
              <w:rPr>
                <w:rFonts w:hint="eastAsia" w:ascii="Times New Roman" w:hAnsi="Times New Roman" w:eastAsia="宋体" w:cs="Times New Roman"/>
                <w:b/>
                <w:bCs/>
                <w:color w:val="auto"/>
                <w:sz w:val="21"/>
                <w:szCs w:val="21"/>
              </w:rPr>
              <w:t>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98"/>
              <w:gridCol w:w="3754"/>
              <w:gridCol w:w="1998"/>
              <w:gridCol w:w="7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专项评价类别</w:t>
                  </w:r>
                </w:p>
              </w:tc>
              <w:tc>
                <w:tcPr>
                  <w:tcW w:w="2535"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设置原则</w:t>
                  </w:r>
                </w:p>
              </w:tc>
              <w:tc>
                <w:tcPr>
                  <w:tcW w:w="1349"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rPr>
                    <w:t>本项目</w:t>
                  </w:r>
                  <w:r>
                    <w:rPr>
                      <w:rFonts w:hint="default"/>
                      <w:color w:val="auto"/>
                      <w:sz w:val="21"/>
                      <w:szCs w:val="21"/>
                      <w:lang w:val="en-US" w:eastAsia="zh-CN"/>
                    </w:rPr>
                    <w:t>情况</w:t>
                  </w:r>
                </w:p>
              </w:tc>
              <w:tc>
                <w:tcPr>
                  <w:tcW w:w="508"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是否设置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大气</w:t>
                  </w:r>
                </w:p>
              </w:tc>
              <w:tc>
                <w:tcPr>
                  <w:tcW w:w="2535"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排放废气含有毒有害污染物、二噁英、苯并[a]芘、氰化物、氯气且厂界外500米范围内有环境空气保护目标的建设项目。</w:t>
                  </w:r>
                </w:p>
              </w:tc>
              <w:tc>
                <w:tcPr>
                  <w:tcW w:w="1349"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本项目排放的废气污染物</w:t>
                  </w:r>
                  <w:r>
                    <w:rPr>
                      <w:rFonts w:hint="default"/>
                      <w:color w:val="auto"/>
                      <w:sz w:val="21"/>
                      <w:szCs w:val="21"/>
                    </w:rPr>
                    <w:t>不涉及</w:t>
                  </w:r>
                  <w:r>
                    <w:rPr>
                      <w:rFonts w:hint="eastAsia"/>
                      <w:color w:val="auto"/>
                      <w:sz w:val="21"/>
                      <w:szCs w:val="21"/>
                      <w:lang w:val="en-US" w:eastAsia="zh-CN"/>
                    </w:rPr>
                    <w:t>所述</w:t>
                  </w:r>
                  <w:r>
                    <w:rPr>
                      <w:rFonts w:hint="default"/>
                      <w:color w:val="auto"/>
                      <w:sz w:val="21"/>
                      <w:szCs w:val="21"/>
                    </w:rPr>
                    <w:t>大气污染物。</w:t>
                  </w:r>
                </w:p>
              </w:tc>
              <w:tc>
                <w:tcPr>
                  <w:tcW w:w="508"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地表水</w:t>
                  </w:r>
                </w:p>
              </w:tc>
              <w:tc>
                <w:tcPr>
                  <w:tcW w:w="2535"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新增工业废水直排建设项目</w:t>
                  </w:r>
                  <w:r>
                    <w:rPr>
                      <w:rFonts w:hint="eastAsia"/>
                      <w:color w:val="auto"/>
                      <w:sz w:val="21"/>
                      <w:szCs w:val="21"/>
                      <w:lang w:eastAsia="zh-CN"/>
                    </w:rPr>
                    <w:t>（</w:t>
                  </w:r>
                  <w:r>
                    <w:rPr>
                      <w:rFonts w:hint="default"/>
                      <w:color w:val="auto"/>
                      <w:sz w:val="21"/>
                      <w:szCs w:val="21"/>
                    </w:rPr>
                    <w:t>槽罐车外送污水处理厂的除外</w:t>
                  </w:r>
                  <w:r>
                    <w:rPr>
                      <w:rFonts w:hint="eastAsia"/>
                      <w:color w:val="auto"/>
                      <w:sz w:val="21"/>
                      <w:szCs w:val="21"/>
                      <w:lang w:eastAsia="zh-CN"/>
                    </w:rPr>
                    <w:t>）</w:t>
                  </w:r>
                  <w:r>
                    <w:rPr>
                      <w:rFonts w:hint="default"/>
                      <w:color w:val="auto"/>
                      <w:sz w:val="21"/>
                      <w:szCs w:val="21"/>
                    </w:rPr>
                    <w:t>；新增废水直排的污水集中处理厂。</w:t>
                  </w:r>
                </w:p>
              </w:tc>
              <w:tc>
                <w:tcPr>
                  <w:tcW w:w="1349"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eastAsia="zh-CN"/>
                    </w:rPr>
                  </w:pPr>
                  <w:r>
                    <w:rPr>
                      <w:rFonts w:hint="default"/>
                      <w:color w:val="auto"/>
                      <w:sz w:val="21"/>
                      <w:szCs w:val="21"/>
                    </w:rPr>
                    <w:t>本项目不涉及</w:t>
                  </w:r>
                  <w:r>
                    <w:rPr>
                      <w:rFonts w:hint="default"/>
                      <w:color w:val="auto"/>
                      <w:sz w:val="21"/>
                      <w:szCs w:val="21"/>
                      <w:lang w:eastAsia="zh-CN"/>
                    </w:rPr>
                    <w:t>。</w:t>
                  </w:r>
                </w:p>
              </w:tc>
              <w:tc>
                <w:tcPr>
                  <w:tcW w:w="508"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环境</w:t>
                  </w:r>
                </w:p>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风险</w:t>
                  </w:r>
                </w:p>
              </w:tc>
              <w:tc>
                <w:tcPr>
                  <w:tcW w:w="2535"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有毒有害和易燃易爆危险物质存储量超过临界量的建设项目。</w:t>
                  </w:r>
                </w:p>
              </w:tc>
              <w:tc>
                <w:tcPr>
                  <w:tcW w:w="1349"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w:t>
                  </w:r>
                  <w:r>
                    <w:rPr>
                      <w:rFonts w:hint="eastAsia"/>
                      <w:color w:val="auto"/>
                      <w:sz w:val="21"/>
                      <w:szCs w:val="21"/>
                      <w:lang w:val="en-US" w:eastAsia="zh-CN"/>
                    </w:rPr>
                    <w:t>厂内主要涉及废机油等危险废物储存，</w:t>
                  </w:r>
                  <w:r>
                    <w:rPr>
                      <w:rFonts w:hint="default" w:ascii="Times New Roman" w:hAnsi="Times New Roman" w:eastAsia="宋体" w:cs="Times New Roman"/>
                      <w:b w:val="0"/>
                      <w:bCs w:val="0"/>
                      <w:color w:val="auto"/>
                      <w:sz w:val="21"/>
                      <w:szCs w:val="21"/>
                      <w:highlight w:val="none"/>
                      <w:lang w:val="en-US" w:eastAsia="zh-CN"/>
                    </w:rPr>
                    <w:t>环境风险物质数量与临界量比值</w:t>
                  </w:r>
                  <w:r>
                    <w:rPr>
                      <w:rFonts w:ascii="Times New Roman" w:hAnsi="Times New Roman" w:eastAsia="宋体"/>
                      <w:color w:val="auto"/>
                      <w:sz w:val="21"/>
                      <w:szCs w:val="21"/>
                      <w:highlight w:val="none"/>
                      <w:lang w:val="zh-CN"/>
                    </w:rPr>
                    <w:t>Q=</w:t>
                  </w:r>
                  <w:r>
                    <w:rPr>
                      <w:rFonts w:hint="eastAsia"/>
                      <w:color w:val="auto"/>
                      <w:sz w:val="21"/>
                      <w:szCs w:val="21"/>
                      <w:highlight w:val="none"/>
                      <w:lang w:val="en-US" w:eastAsia="zh-CN"/>
                    </w:rPr>
                    <w:t>0.00718</w:t>
                  </w:r>
                  <w:r>
                    <w:rPr>
                      <w:rFonts w:hint="eastAsia" w:ascii="Times New Roman" w:hAnsi="Times New Roman" w:eastAsia="宋体"/>
                      <w:color w:val="auto"/>
                      <w:sz w:val="21"/>
                      <w:szCs w:val="21"/>
                      <w:highlight w:val="none"/>
                      <w:lang w:val="en-US" w:eastAsia="zh-CN"/>
                    </w:rPr>
                    <w:t>＜1</w:t>
                  </w:r>
                  <w:r>
                    <w:rPr>
                      <w:rFonts w:hint="default"/>
                      <w:color w:val="auto"/>
                      <w:sz w:val="21"/>
                      <w:szCs w:val="21"/>
                    </w:rPr>
                    <w:t>。</w:t>
                  </w:r>
                </w:p>
              </w:tc>
              <w:tc>
                <w:tcPr>
                  <w:tcW w:w="508"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生态</w:t>
                  </w:r>
                </w:p>
              </w:tc>
              <w:tc>
                <w:tcPr>
                  <w:tcW w:w="2535"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取水口下游500米范围内有重要水生生物的自然产卵场、索饵场、越冬场和洄游通道的新增河道取水的污染类建设项目。</w:t>
                  </w:r>
                </w:p>
              </w:tc>
              <w:tc>
                <w:tcPr>
                  <w:tcW w:w="1349"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本项目不涉及取水口。</w:t>
                  </w:r>
                </w:p>
              </w:tc>
              <w:tc>
                <w:tcPr>
                  <w:tcW w:w="508"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海洋</w:t>
                  </w:r>
                </w:p>
              </w:tc>
              <w:tc>
                <w:tcPr>
                  <w:tcW w:w="2535"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直接向海排放污染物的海洋工程建设项目。</w:t>
                  </w:r>
                </w:p>
              </w:tc>
              <w:tc>
                <w:tcPr>
                  <w:tcW w:w="1349"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本项目不属于海洋工程建设项目。</w:t>
                  </w:r>
                </w:p>
              </w:tc>
              <w:tc>
                <w:tcPr>
                  <w:tcW w:w="508" w:type="pct"/>
                  <w:noWrap w:val="0"/>
                  <w:vAlign w:val="center"/>
                </w:tcPr>
                <w:p>
                  <w:pPr>
                    <w:pStyle w:val="31"/>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注：</w:t>
                  </w:r>
                  <w:r>
                    <w:rPr>
                      <w:rFonts w:hint="default" w:ascii="Times New Roman" w:hAnsi="Times New Roman" w:eastAsia="宋体" w:cs="Times New Roman"/>
                      <w:color w:val="auto"/>
                      <w:sz w:val="21"/>
                      <w:szCs w:val="21"/>
                    </w:rPr>
                    <w:t>①废气中有毒有害污染物指纳入《有毒有害大气污染物名录》的污染物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不包括无排放标准的污染物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②环境空气保护目标指自然保护区、风景名胜区居住区、文化区和农村地区中人群较集中的区域。</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③临界量及其计算方法参考《建设项目环境风险评价技术导则》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 169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附录B、附录C。</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kern w:val="0"/>
                <w:szCs w:val="21"/>
                <w:lang w:eastAsia="zh-CN"/>
              </w:rPr>
            </w:pPr>
            <w:r>
              <w:rPr>
                <w:rFonts w:hint="eastAsia"/>
                <w:color w:val="auto"/>
              </w:rPr>
              <w:t>根据上表分析，本项目</w:t>
            </w:r>
            <w:r>
              <w:rPr>
                <w:rFonts w:hint="eastAsia"/>
                <w:color w:val="auto"/>
                <w:lang w:eastAsia="zh-CN"/>
              </w:rPr>
              <w:t>无需设置</w:t>
            </w:r>
            <w:r>
              <w:rPr>
                <w:rFonts w:hint="eastAsia"/>
                <w:color w:val="auto"/>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规划情况</w:t>
            </w:r>
          </w:p>
        </w:tc>
        <w:tc>
          <w:tcPr>
            <w:tcW w:w="4188"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firstLine="0" w:firstLineChars="0"/>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lang w:val="en-US" w:eastAsia="zh-CN"/>
              </w:rPr>
              <w:t>《福清市海口镇桥南工业园区控制性详细规划》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w:t>
            </w:r>
            <w:r>
              <w:rPr>
                <w:rFonts w:hint="eastAsia" w:ascii="宋体" w:hAnsi="宋体" w:eastAsia="宋体" w:cs="宋体"/>
                <w:i w:val="0"/>
                <w:iCs w:val="0"/>
                <w:caps w:val="0"/>
                <w:color w:val="auto"/>
                <w:spacing w:val="0"/>
                <w:sz w:val="24"/>
                <w:szCs w:val="24"/>
                <w:shd w:val="clear" w:fill="FFFFFF"/>
              </w:rPr>
              <w:t>福清市人民政府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福清市人民政府关于福清市海口镇桥南工业园区控制性详细规划的批复</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融政土〔2021〕138号</w:t>
            </w:r>
            <w:r>
              <w:rPr>
                <w:rFonts w:hint="eastAsia" w:ascii="Times New Roman" w:hAnsi="Times New Roman" w:eastAsia="宋体" w:cs="Times New Roman"/>
                <w:b w:val="0"/>
                <w:bCs w:val="0"/>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规划环境影响评价情况</w:t>
            </w:r>
          </w:p>
        </w:tc>
        <w:tc>
          <w:tcPr>
            <w:tcW w:w="4188"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规划及规划环境影响评价符合性分析</w:t>
            </w:r>
          </w:p>
        </w:tc>
        <w:tc>
          <w:tcPr>
            <w:tcW w:w="4188" w:type="pct"/>
            <w:gridSpan w:val="3"/>
            <w:noWrap w:val="0"/>
            <w:vAlign w:val="center"/>
          </w:tcPr>
          <w:p>
            <w:pPr>
              <w:numPr>
                <w:ilvl w:val="0"/>
                <w:numId w:val="2"/>
              </w:numPr>
              <w:bidi w:val="0"/>
              <w:rPr>
                <w:rFonts w:hint="eastAsia" w:ascii="Times New Roman" w:hAnsi="Times New Roman" w:eastAsia="宋体" w:cs="Times New Roman"/>
                <w:color w:val="auto"/>
                <w:sz w:val="24"/>
                <w:szCs w:val="24"/>
                <w:lang w:val="en-US" w:eastAsia="zh-CN"/>
              </w:rPr>
            </w:pPr>
            <w:r>
              <w:rPr>
                <w:rFonts w:hint="eastAsia"/>
                <w:color w:val="auto"/>
                <w:lang w:val="en-US" w:eastAsia="zh-CN"/>
              </w:rPr>
              <w:t>与《福清市国土空间总体规划（2021-2035年）》符合性分析</w:t>
            </w:r>
          </w:p>
          <w:p>
            <w:pPr>
              <w:bidi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val="en-US" w:eastAsia="zh-CN"/>
              </w:rPr>
              <w:t>根据《福清市国土空间总体规划（2021-2035年）》，</w:t>
            </w:r>
            <w:r>
              <w:rPr>
                <w:rFonts w:hint="default" w:ascii="Times New Roman" w:hAnsi="Times New Roman" w:eastAsia="宋体" w:cs="Times New Roman"/>
                <w:color w:val="auto"/>
                <w:sz w:val="24"/>
                <w:szCs w:val="24"/>
              </w:rPr>
              <w:t>福清市行政辖区，包括陆域和管辖海域，总面积2430平方公里。</w:t>
            </w:r>
            <w:r>
              <w:rPr>
                <w:rFonts w:hint="default" w:ascii="Times New Roman" w:hAnsi="Times New Roman" w:eastAsia="宋体" w:cs="Times New Roman"/>
                <w:color w:val="auto"/>
                <w:sz w:val="24"/>
                <w:szCs w:val="24"/>
                <w:lang w:val="en-US" w:eastAsia="zh-CN"/>
              </w:rPr>
              <w:t>总体规划的</w:t>
            </w:r>
            <w:r>
              <w:rPr>
                <w:rFonts w:hint="eastAsia" w:ascii="Times New Roman" w:hAnsi="Times New Roman" w:cs="Times New Roman"/>
                <w:color w:val="auto"/>
                <w:sz w:val="24"/>
                <w:szCs w:val="24"/>
                <w:lang w:val="en-US" w:eastAsia="zh-CN"/>
              </w:rPr>
              <w:t>内容</w:t>
            </w:r>
            <w:r>
              <w:rPr>
                <w:rFonts w:hint="default" w:ascii="Times New Roman" w:hAnsi="Times New Roman" w:eastAsia="宋体" w:cs="Times New Roman"/>
                <w:color w:val="auto"/>
                <w:sz w:val="24"/>
                <w:szCs w:val="24"/>
                <w:lang w:val="en-US" w:eastAsia="zh-CN"/>
              </w:rPr>
              <w:t>涵盖目标战略、五大总体格局、六大支撑要素和三大保障机制。</w:t>
            </w:r>
            <w:r>
              <w:rPr>
                <w:rFonts w:hint="eastAsia" w:ascii="宋体" w:hAnsi="宋体" w:eastAsia="宋体" w:cs="宋体"/>
                <w:color w:val="auto"/>
                <w:sz w:val="24"/>
                <w:szCs w:val="24"/>
                <w:lang w:val="en-US" w:eastAsia="zh-CN"/>
              </w:rPr>
              <w:t>坚持底线思维，以国土空间规划为依据，将“三区三线”作为调整经济结构、规划产业发展、推进城镇化不可逾越的红线。</w:t>
            </w:r>
          </w:p>
          <w:p>
            <w:pPr>
              <w:pStyle w:val="7"/>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国土空间格局：规划</w:t>
            </w:r>
            <w:r>
              <w:rPr>
                <w:rFonts w:hint="eastAsia" w:ascii="宋体" w:hAnsi="宋体" w:eastAsia="宋体" w:cs="宋体"/>
                <w:color w:val="auto"/>
                <w:sz w:val="24"/>
                <w:szCs w:val="24"/>
                <w:lang w:val="en-US" w:eastAsia="zh-CN"/>
              </w:rPr>
              <w:t>“一轴两湾五组团”</w:t>
            </w:r>
            <w:r>
              <w:rPr>
                <w:rFonts w:hint="eastAsia" w:ascii="宋体" w:hAnsi="宋体" w:cs="宋体"/>
                <w:color w:val="auto"/>
                <w:sz w:val="24"/>
                <w:szCs w:val="24"/>
                <w:lang w:val="en-US" w:eastAsia="zh-CN"/>
              </w:rPr>
              <w:t>的国土空间格局。</w:t>
            </w:r>
            <w:r>
              <w:rPr>
                <w:rFonts w:hint="eastAsia" w:ascii="宋体" w:hAnsi="宋体" w:eastAsia="宋体" w:cs="宋体"/>
                <w:color w:val="auto"/>
                <w:sz w:val="24"/>
                <w:szCs w:val="24"/>
                <w:lang w:val="en-US" w:eastAsia="zh-CN"/>
              </w:rPr>
              <w:t>一轴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龙江城市综合发展轴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两湾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福清湾生态宜居湾、江阴湾临港产业湾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五组团</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中心城区组团、元洪港城组团、江阴港城组团、龙高半岛城镇组团、西北部特色生态组团。</w:t>
            </w:r>
          </w:p>
          <w:p>
            <w:pPr>
              <w:pStyle w:val="7"/>
              <w:rPr>
                <w:rFonts w:ascii="宋体" w:hAnsi="宋体" w:eastAsia="宋体" w:cs="宋体"/>
                <w:color w:val="auto"/>
                <w:sz w:val="24"/>
                <w:szCs w:val="24"/>
              </w:rPr>
            </w:pPr>
            <w:r>
              <w:rPr>
                <w:rFonts w:hint="eastAsia" w:ascii="宋体" w:hAnsi="宋体" w:eastAsia="宋体" w:cs="宋体"/>
                <w:color w:val="auto"/>
                <w:sz w:val="24"/>
                <w:szCs w:val="24"/>
                <w:lang w:val="en-US" w:eastAsia="zh-CN"/>
              </w:rPr>
              <w:t>产业发展格局：形成“一带两湾四区”的产业发展格局，壮大</w:t>
            </w:r>
            <w:r>
              <w:rPr>
                <w:rFonts w:ascii="宋体" w:hAnsi="宋体" w:eastAsia="宋体" w:cs="宋体"/>
                <w:color w:val="auto"/>
                <w:sz w:val="24"/>
                <w:szCs w:val="24"/>
              </w:rPr>
              <w:t>电子信息、食品、化工新材料、精密汽车部件</w:t>
            </w:r>
            <w:r>
              <w:rPr>
                <w:rFonts w:hint="eastAsia" w:ascii="宋体" w:hAnsi="宋体" w:eastAsia="宋体" w:cs="宋体"/>
                <w:color w:val="auto"/>
                <w:sz w:val="24"/>
                <w:szCs w:val="24"/>
                <w:lang w:val="en-US" w:eastAsia="zh-CN"/>
              </w:rPr>
              <w:t>等四大优势产业，培育</w:t>
            </w:r>
            <w:r>
              <w:rPr>
                <w:rFonts w:ascii="宋体" w:hAnsi="宋体" w:eastAsia="宋体" w:cs="宋体"/>
                <w:color w:val="auto"/>
                <w:sz w:val="24"/>
                <w:szCs w:val="24"/>
              </w:rPr>
              <w:t>氢能源和新能源、高端装备制造、海洋生物医药、互联网与大数据</w:t>
            </w:r>
            <w:r>
              <w:rPr>
                <w:rFonts w:hint="eastAsia" w:ascii="宋体" w:hAnsi="宋体" w:eastAsia="宋体" w:cs="宋体"/>
                <w:color w:val="auto"/>
                <w:sz w:val="24"/>
                <w:szCs w:val="24"/>
                <w:lang w:val="en-US" w:eastAsia="zh-CN"/>
              </w:rPr>
              <w:t>等四大新兴产业，提升</w:t>
            </w:r>
            <w:r>
              <w:rPr>
                <w:rFonts w:ascii="宋体" w:hAnsi="宋体" w:eastAsia="宋体" w:cs="宋体"/>
                <w:color w:val="auto"/>
                <w:sz w:val="24"/>
                <w:szCs w:val="24"/>
              </w:rPr>
              <w:t>塑胶产业、纺织产业</w:t>
            </w:r>
            <w:r>
              <w:rPr>
                <w:rFonts w:hint="eastAsia" w:ascii="宋体" w:hAnsi="宋体" w:eastAsia="宋体" w:cs="宋体"/>
                <w:color w:val="auto"/>
                <w:sz w:val="24"/>
                <w:szCs w:val="24"/>
                <w:lang w:val="en-US" w:eastAsia="zh-CN"/>
              </w:rPr>
              <w:t>两大传统产业，发展</w:t>
            </w:r>
            <w:r>
              <w:rPr>
                <w:rFonts w:ascii="宋体" w:hAnsi="宋体" w:eastAsia="宋体" w:cs="宋体"/>
                <w:color w:val="auto"/>
                <w:sz w:val="24"/>
                <w:szCs w:val="24"/>
              </w:rPr>
              <w:t>现代服务业、现代农业</w:t>
            </w:r>
            <w:r>
              <w:rPr>
                <w:rFonts w:hint="eastAsia" w:ascii="宋体" w:hAnsi="宋体" w:eastAsia="宋体" w:cs="宋体"/>
                <w:color w:val="auto"/>
                <w:sz w:val="24"/>
                <w:szCs w:val="24"/>
                <w:lang w:val="en-US" w:eastAsia="zh-CN"/>
              </w:rPr>
              <w:t>两大现代特色产业，培育</w:t>
            </w:r>
            <w:r>
              <w:rPr>
                <w:rFonts w:ascii="宋体" w:hAnsi="宋体" w:eastAsia="宋体" w:cs="宋体"/>
                <w:color w:val="auto"/>
                <w:sz w:val="24"/>
                <w:szCs w:val="24"/>
              </w:rPr>
              <w:t>三大千亿产业集群+N个百亿产业集群</w:t>
            </w:r>
            <w:r>
              <w:rPr>
                <w:rFonts w:hint="eastAsia" w:ascii="宋体" w:hAnsi="宋体" w:eastAsia="宋体" w:cs="宋体"/>
                <w:color w:val="auto"/>
                <w:sz w:val="24"/>
                <w:szCs w:val="24"/>
                <w:lang w:eastAsia="zh-CN"/>
              </w:rPr>
              <w:t>。</w:t>
            </w:r>
            <w:r>
              <w:rPr>
                <w:rFonts w:ascii="宋体" w:hAnsi="宋体" w:eastAsia="宋体" w:cs="宋体"/>
                <w:color w:val="auto"/>
                <w:sz w:val="24"/>
                <w:szCs w:val="24"/>
              </w:rPr>
              <w:t>形成“四个重点园区、多个工业集中区”的产业园区空间布局，加快推进重点产业园区标准化建设，统筹划定工业用地控制线。</w:t>
            </w:r>
          </w:p>
          <w:p>
            <w:pPr>
              <w:pStyle w:val="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符合性分析：本项目位于福清市海口镇南厝村，属</w:t>
            </w:r>
            <w:r>
              <w:rPr>
                <w:rFonts w:hint="default" w:ascii="Times New Roman" w:hAnsi="Times New Roman"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《福清市国土空间总体规划（2021-2035年）》中划定的</w:t>
            </w:r>
            <w:r>
              <w:rPr>
                <w:rFonts w:hint="default" w:ascii="Times New Roman" w:hAnsi="Times New Roman" w:eastAsia="宋体" w:cs="Times New Roman"/>
                <w:color w:val="auto"/>
                <w:sz w:val="24"/>
                <w:szCs w:val="24"/>
              </w:rPr>
              <w:t>元洪港城组团</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项目所在的</w:t>
            </w:r>
            <w:r>
              <w:rPr>
                <w:rFonts w:hint="eastAsia"/>
                <w:color w:val="auto"/>
                <w:sz w:val="24"/>
                <w:szCs w:val="24"/>
              </w:rPr>
              <w:t>海口镇桥南工业园区</w:t>
            </w:r>
            <w:r>
              <w:rPr>
                <w:rFonts w:hint="eastAsia" w:ascii="Times New Roman" w:hAnsi="Times New Roman" w:eastAsia="宋体" w:cs="Times New Roman"/>
                <w:b w:val="0"/>
                <w:bCs w:val="0"/>
                <w:color w:val="auto"/>
                <w:sz w:val="24"/>
                <w:szCs w:val="24"/>
                <w:lang w:val="en-US" w:eastAsia="zh-CN"/>
              </w:rPr>
              <w:t>功能定位为工业、仓储物流、商业等功能为一体的现代化工业园区，未对园区产业进一步规划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本项目主要从事预制混凝土和预制砼结构件的加工，属于水泥制品制造业，作为传统建材生产加工行业，为福清市的城乡建设发展提供基本的建设保障</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与福清市国土空间总体规划的产业体系和产业空间布局不相冲突。</w:t>
            </w:r>
          </w:p>
          <w:p>
            <w:pPr>
              <w:pStyle w:val="7"/>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经查询</w:t>
            </w:r>
            <w:r>
              <w:rPr>
                <w:rFonts w:hint="eastAsia" w:ascii="宋体" w:hAnsi="宋体" w:cs="宋体"/>
                <w:color w:val="auto"/>
                <w:sz w:val="24"/>
                <w:szCs w:val="24"/>
                <w:lang w:val="en-US" w:eastAsia="zh-CN"/>
              </w:rPr>
              <w:t>福清市</w:t>
            </w:r>
            <w:r>
              <w:rPr>
                <w:rFonts w:hint="default" w:ascii="宋体" w:hAnsi="宋体" w:eastAsia="宋体" w:cs="宋体"/>
                <w:color w:val="auto"/>
                <w:sz w:val="24"/>
                <w:szCs w:val="24"/>
                <w:lang w:val="en-US" w:eastAsia="zh-CN"/>
              </w:rPr>
              <w:t>阳光规划网站国土空间</w:t>
            </w:r>
            <w:r>
              <w:rPr>
                <w:rFonts w:hint="eastAsia" w:ascii="宋体" w:hAnsi="宋体" w:cs="宋体"/>
                <w:color w:val="auto"/>
                <w:sz w:val="24"/>
                <w:szCs w:val="24"/>
                <w:lang w:val="en-US" w:eastAsia="zh-CN"/>
              </w:rPr>
              <w:t>规划</w:t>
            </w:r>
            <w:r>
              <w:rPr>
                <w:rFonts w:hint="default" w:ascii="宋体" w:hAnsi="宋体" w:eastAsia="宋体" w:cs="宋体"/>
                <w:color w:val="auto"/>
                <w:sz w:val="24"/>
                <w:szCs w:val="24"/>
                <w:lang w:val="en-US" w:eastAsia="zh-CN"/>
              </w:rPr>
              <w:t>，本项目选址用地现状为</w:t>
            </w:r>
            <w:r>
              <w:rPr>
                <w:rFonts w:hint="eastAsia" w:ascii="宋体" w:hAnsi="宋体" w:eastAsia="宋体" w:cs="宋体"/>
                <w:color w:val="auto"/>
                <w:sz w:val="24"/>
                <w:szCs w:val="24"/>
                <w:lang w:val="en-US" w:eastAsia="zh-CN"/>
              </w:rPr>
              <w:t>留白</w:t>
            </w:r>
            <w:r>
              <w:rPr>
                <w:rFonts w:hint="default" w:ascii="宋体" w:hAnsi="宋体" w:eastAsia="宋体" w:cs="宋体"/>
                <w:color w:val="auto"/>
                <w:sz w:val="24"/>
                <w:szCs w:val="24"/>
                <w:lang w:val="en-US" w:eastAsia="zh-CN"/>
              </w:rPr>
              <w:t>用地，不涉及永久基本农田、生态保护红线等敏感区，位于城镇开发边界内，</w:t>
            </w:r>
            <w:r>
              <w:rPr>
                <w:rFonts w:hint="eastAsia" w:ascii="宋体" w:hAnsi="宋体" w:cs="宋体"/>
                <w:color w:val="auto"/>
                <w:sz w:val="24"/>
                <w:szCs w:val="24"/>
                <w:lang w:val="en-US" w:eastAsia="zh-CN"/>
              </w:rPr>
              <w:t>因此项目</w:t>
            </w:r>
            <w:r>
              <w:rPr>
                <w:rFonts w:hint="default" w:ascii="宋体" w:hAnsi="宋体" w:eastAsia="宋体" w:cs="宋体"/>
                <w:color w:val="auto"/>
                <w:sz w:val="24"/>
                <w:szCs w:val="24"/>
                <w:lang w:val="en-US" w:eastAsia="zh-CN"/>
              </w:rPr>
              <w:t>符合</w:t>
            </w:r>
            <w:r>
              <w:rPr>
                <w:rFonts w:hint="eastAsia" w:ascii="宋体" w:hAnsi="宋体" w:eastAsia="宋体" w:cs="宋体"/>
                <w:color w:val="auto"/>
                <w:sz w:val="24"/>
                <w:szCs w:val="24"/>
                <w:lang w:val="en-US" w:eastAsia="zh-CN"/>
              </w:rPr>
              <w:t>福清市</w:t>
            </w:r>
            <w:r>
              <w:rPr>
                <w:rFonts w:hint="default" w:ascii="宋体" w:hAnsi="宋体" w:eastAsia="宋体" w:cs="宋体"/>
                <w:color w:val="auto"/>
                <w:sz w:val="24"/>
                <w:szCs w:val="24"/>
                <w:lang w:val="en-US" w:eastAsia="zh-CN"/>
              </w:rPr>
              <w:t>国土空间总体规划的三线控制要求。</w:t>
            </w:r>
            <w:r>
              <w:rPr>
                <w:rFonts w:hint="eastAsia" w:ascii="宋体" w:hAnsi="宋体" w:cs="宋体"/>
                <w:color w:val="auto"/>
                <w:sz w:val="24"/>
                <w:szCs w:val="24"/>
                <w:lang w:val="en-US" w:eastAsia="zh-CN"/>
              </w:rPr>
              <w:t>项目与三区三线叠图结果</w:t>
            </w:r>
            <w:r>
              <w:rPr>
                <w:rFonts w:hint="eastAsia" w:ascii="宋体" w:hAnsi="宋体" w:eastAsia="宋体" w:cs="宋体"/>
                <w:color w:val="auto"/>
                <w:sz w:val="24"/>
                <w:szCs w:val="24"/>
                <w:lang w:val="en-US" w:eastAsia="zh-CN"/>
              </w:rPr>
              <w:t>详见附图</w:t>
            </w:r>
            <w:r>
              <w:rPr>
                <w:rFonts w:hint="eastAsia" w:ascii="宋体" w:hAnsi="宋体" w:cs="宋体"/>
                <w:color w:val="auto"/>
                <w:sz w:val="24"/>
                <w:szCs w:val="24"/>
                <w:lang w:val="en-US" w:eastAsia="zh-CN"/>
              </w:rPr>
              <w:t>十。</w:t>
            </w:r>
          </w:p>
          <w:p>
            <w:pPr>
              <w:numPr>
                <w:ilvl w:val="0"/>
                <w:numId w:val="2"/>
              </w:numPr>
              <w:bidi w:val="0"/>
              <w:rPr>
                <w:rFonts w:hint="eastAsia" w:ascii="Times New Roman" w:hAnsi="Times New Roman" w:eastAsia="宋体" w:cs="Times New Roman"/>
                <w:color w:val="auto"/>
                <w:sz w:val="24"/>
                <w:szCs w:val="24"/>
                <w:lang w:val="en-US" w:eastAsia="zh-CN"/>
              </w:rPr>
            </w:pPr>
            <w:r>
              <w:rPr>
                <w:rFonts w:hint="eastAsia"/>
                <w:color w:val="auto"/>
                <w:sz w:val="24"/>
                <w:szCs w:val="24"/>
              </w:rPr>
              <w:t>与《福清市海口镇桥南工业园区控制性详细规划》</w:t>
            </w:r>
            <w:r>
              <w:rPr>
                <w:rFonts w:hint="eastAsia"/>
                <w:color w:val="auto"/>
                <w:sz w:val="24"/>
                <w:szCs w:val="24"/>
                <w:lang w:eastAsia="zh-CN"/>
              </w:rPr>
              <w:t>符合性分析</w:t>
            </w:r>
          </w:p>
          <w:p>
            <w:pPr>
              <w:numPr>
                <w:ilvl w:val="-1"/>
                <w:numId w:val="0"/>
              </w:numPr>
              <w:bidi w:val="0"/>
              <w:ind w:firstLine="42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eastAsia="zh-CN"/>
              </w:rPr>
              <w:t>根据《福清市海口镇桥南工业园区控制性详细规划》，桥南工业园区位于海口镇，布局规划范围位于大真线两侧，北至商贸城地块，南至海口南部镇界，东西两侧主要以调整后的城镇开发边界为规划范围，规划范围总面积为125.35公顷</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规划</w:t>
            </w:r>
            <w:r>
              <w:rPr>
                <w:rFonts w:hint="eastAsia" w:ascii="Times New Roman" w:hAnsi="Times New Roman" w:eastAsia="宋体" w:cs="Times New Roman"/>
                <w:color w:val="auto"/>
                <w:sz w:val="24"/>
                <w:szCs w:val="24"/>
                <w:lang w:val="en-US" w:eastAsia="zh-CN"/>
              </w:rPr>
              <w:t>区位于福清市中心城区周边，靠近国家级工业园区-元洪投资区，同时地处临港区域，与福清市中心城区、福州市滨海新城、福州市中心城区等均有较好的可达性，区位优势明显。桥南工业园区是在顺应历史发展的前提下，进一步优化营商环境，促进福清制造业发展的有力举措，桥南工业园区的科学规划将有利于海口镇进一步发</w:t>
            </w:r>
            <w:r>
              <w:rPr>
                <w:rFonts w:hint="eastAsia" w:cs="Times New Roman"/>
                <w:color w:val="auto"/>
                <w:sz w:val="24"/>
                <w:szCs w:val="24"/>
                <w:lang w:val="en-US" w:eastAsia="zh-CN"/>
              </w:rPr>
              <w:t>展。规划总体形成“一心、一轴、三片区”的整体规划结构。“一心”为配套服务中心，“一轴”即指大真线的交通发展轴，“三片区”即指由北部商业物流片区、中部工业发展片区和南部商业片区。</w:t>
            </w:r>
          </w:p>
          <w:p>
            <w:pPr>
              <w:bidi w:val="0"/>
              <w:rPr>
                <w:rFonts w:hint="default"/>
                <w:color w:val="auto"/>
                <w:lang w:val="en-US" w:eastAsia="zh-CN"/>
              </w:rPr>
            </w:pPr>
            <w:r>
              <w:rPr>
                <w:rFonts w:hint="eastAsia"/>
                <w:color w:val="auto"/>
                <w:lang w:val="en-US" w:eastAsia="zh-CN"/>
              </w:rPr>
              <w:t>桥南工业园区结合自身发展实际情况和桥南片区的用地、交通、区位等发展条件，衔接海口商贸城规划，沿大真线两翼扩展，形成北侧以商贸、文化、旅游项目为主的商贸城片区、南侧以工业项目为主的桥南工业园区。</w:t>
            </w:r>
          </w:p>
          <w:p>
            <w:pPr>
              <w:autoSpaceDE w:val="0"/>
              <w:autoSpaceDN w:val="0"/>
              <w:adjustRightInd w:val="0"/>
              <w:snapToGrid w:val="0"/>
              <w:spacing w:line="360" w:lineRule="auto"/>
              <w:ind w:firstLine="482" w:firstLineChars="200"/>
              <w:jc w:val="left"/>
              <w:rPr>
                <w:rFonts w:hint="eastAsia" w:ascii="Times New Roman" w:hAnsi="Times New Roman" w:eastAsia="宋体"/>
                <w:b/>
                <w:bCs/>
                <w:color w:val="auto"/>
                <w:sz w:val="21"/>
                <w:szCs w:val="21"/>
              </w:rPr>
            </w:pPr>
            <w:r>
              <w:rPr>
                <w:rFonts w:hint="eastAsia" w:ascii="Times New Roman" w:hAnsi="Times New Roman" w:eastAsia="宋体" w:cs="Times New Roman"/>
                <w:b/>
                <w:bCs/>
                <w:color w:val="auto"/>
                <w:sz w:val="24"/>
                <w:szCs w:val="24"/>
                <w:lang w:val="en-US" w:eastAsia="zh-CN"/>
              </w:rPr>
              <w:t>符合性分析：</w:t>
            </w:r>
            <w:r>
              <w:rPr>
                <w:rFonts w:hint="eastAsia" w:ascii="Times New Roman" w:hAnsi="Times New Roman" w:eastAsia="宋体" w:cs="Times New Roman"/>
                <w:b w:val="0"/>
                <w:bCs w:val="0"/>
                <w:color w:val="auto"/>
                <w:sz w:val="24"/>
                <w:szCs w:val="24"/>
                <w:lang w:val="en-US" w:eastAsia="zh-CN"/>
              </w:rPr>
              <w:t>桥南工业园区功能定位为工业、仓储物流、商业等功能为一体的现代化工业园区，未对园区工业产业进一步规划，</w:t>
            </w:r>
            <w:r>
              <w:rPr>
                <w:rFonts w:hint="eastAsia" w:cs="Times New Roman"/>
                <w:b w:val="0"/>
                <w:bCs w:val="0"/>
                <w:color w:val="auto"/>
                <w:sz w:val="24"/>
                <w:szCs w:val="24"/>
                <w:lang w:val="en-US" w:eastAsia="zh-CN"/>
              </w:rPr>
              <w:t>根据附图十四，本项目选址位于规</w:t>
            </w:r>
            <w:r>
              <w:rPr>
                <w:rFonts w:hint="eastAsia" w:ascii="Times New Roman" w:hAnsi="Times New Roman" w:eastAsia="宋体" w:cs="Times New Roman"/>
                <w:b w:val="0"/>
                <w:bCs w:val="0"/>
                <w:color w:val="auto"/>
                <w:sz w:val="24"/>
                <w:szCs w:val="24"/>
                <w:lang w:val="en-US" w:eastAsia="zh-CN"/>
              </w:rPr>
              <w:t>划的二类工业用地，</w:t>
            </w:r>
            <w:r>
              <w:rPr>
                <w:rFonts w:hint="eastAsia" w:cs="Times New Roman"/>
                <w:b w:val="0"/>
                <w:bCs w:val="0"/>
                <w:color w:val="auto"/>
                <w:sz w:val="24"/>
                <w:szCs w:val="24"/>
                <w:lang w:val="en-US" w:eastAsia="zh-CN"/>
              </w:rPr>
              <w:t>因此本项目符合</w:t>
            </w:r>
            <w:r>
              <w:rPr>
                <w:rFonts w:hint="eastAsia" w:ascii="Times New Roman" w:hAnsi="Times New Roman" w:eastAsia="宋体"/>
                <w:color w:val="auto"/>
                <w:sz w:val="24"/>
                <w:szCs w:val="24"/>
                <w:highlight w:val="none"/>
                <w:lang w:eastAsia="zh-CN"/>
              </w:rPr>
              <w:t>《福清市海口镇桥南工业园区控制性详细规划》。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11" w:type="pct"/>
            <w:noWrap w:val="0"/>
            <w:vAlign w:val="center"/>
          </w:tcPr>
          <w:p>
            <w:p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其他符合性分析</w:t>
            </w:r>
          </w:p>
        </w:tc>
        <w:tc>
          <w:tcPr>
            <w:tcW w:w="41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w:t>
            </w:r>
            <w:r>
              <w:rPr>
                <w:rFonts w:hint="default" w:ascii="Times New Roman" w:hAnsi="Times New Roman" w:eastAsia="宋体"/>
                <w:b/>
                <w:bCs/>
                <w:color w:val="auto"/>
                <w:sz w:val="24"/>
                <w:szCs w:val="24"/>
                <w:lang w:val="en-US" w:eastAsia="zh-CN"/>
              </w:rPr>
              <w:t>、产业政策</w:t>
            </w:r>
            <w:r>
              <w:rPr>
                <w:rFonts w:hint="eastAsia"/>
                <w:b/>
                <w:bCs/>
                <w:color w:val="auto"/>
                <w:sz w:val="24"/>
                <w:szCs w:val="24"/>
                <w:lang w:val="en-US" w:eastAsia="zh-CN"/>
              </w:rPr>
              <w:t>符合</w:t>
            </w:r>
            <w:r>
              <w:rPr>
                <w:rFonts w:hint="default" w:ascii="Times New Roman" w:hAnsi="Times New Roman" w:eastAsia="宋体"/>
                <w:b/>
                <w:bCs/>
                <w:color w:val="auto"/>
                <w:sz w:val="24"/>
                <w:szCs w:val="24"/>
                <w:lang w:val="en-US" w:eastAsia="zh-CN"/>
              </w:rPr>
              <w:t>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项目主要</w:t>
            </w:r>
            <w:r>
              <w:rPr>
                <w:rFonts w:hint="default" w:ascii="Times New Roman" w:hAnsi="Times New Roman" w:eastAsia="宋体" w:cs="Times New Roman"/>
                <w:color w:val="auto"/>
                <w:spacing w:val="0"/>
                <w:sz w:val="24"/>
                <w:szCs w:val="24"/>
                <w:highlight w:val="none"/>
                <w:lang w:eastAsia="zh-CN"/>
              </w:rPr>
              <w:t>从事预拌商品混凝土、砼构件的生产，对照《产业结构调整指导目录（2024年本）》，项目不属于</w:t>
            </w:r>
            <w:r>
              <w:rPr>
                <w:rFonts w:hint="eastAsia" w:ascii="Times New Roman" w:hAnsi="Times New Roman" w:eastAsia="宋体" w:cs="Times New Roman"/>
                <w:color w:val="auto"/>
                <w:spacing w:val="0"/>
                <w:sz w:val="24"/>
                <w:szCs w:val="24"/>
                <w:highlight w:val="none"/>
                <w:lang w:val="en-US" w:eastAsia="zh-CN"/>
              </w:rPr>
              <w:t>其中</w:t>
            </w:r>
            <w:r>
              <w:rPr>
                <w:rFonts w:hint="default" w:ascii="Times New Roman" w:hAnsi="Times New Roman" w:eastAsia="宋体" w:cs="Times New Roman"/>
                <w:color w:val="auto"/>
                <w:spacing w:val="0"/>
                <w:sz w:val="24"/>
                <w:szCs w:val="24"/>
                <w:highlight w:val="none"/>
                <w:lang w:eastAsia="zh-CN"/>
              </w:rPr>
              <w:t>限制和淘汰类的项目，且未被纳入《市场准入负面清单（2022年版）》负面清单中。根据《促进产业结构调整暂行规定》（国发〔2005〕40号）可知，不属于鼓励类、限制类和淘汰类，且符合国家有关法律法规和政策规定的，为允许类，因此，项目属于允许类。该项目于</w:t>
            </w:r>
            <w:r>
              <w:rPr>
                <w:rFonts w:hint="eastAsia" w:ascii="Times New Roman" w:hAnsi="Times New Roman" w:eastAsia="宋体" w:cs="Times New Roman"/>
                <w:color w:val="auto"/>
                <w:spacing w:val="0"/>
                <w:sz w:val="24"/>
                <w:szCs w:val="24"/>
                <w:highlight w:val="none"/>
                <w:lang w:val="en-US" w:eastAsia="zh-CN"/>
              </w:rPr>
              <w:t>2024年1</w:t>
            </w:r>
            <w:r>
              <w:rPr>
                <w:rFonts w:hint="eastAsia" w:cs="Times New Roman"/>
                <w:color w:val="auto"/>
                <w:spacing w:val="0"/>
                <w:sz w:val="24"/>
                <w:szCs w:val="24"/>
                <w:highlight w:val="none"/>
                <w:lang w:val="en-US" w:eastAsia="zh-CN"/>
              </w:rPr>
              <w:t>0</w:t>
            </w:r>
            <w:r>
              <w:rPr>
                <w:rFonts w:hint="eastAsia" w:ascii="Times New Roman" w:hAnsi="Times New Roman" w:eastAsia="宋体" w:cs="Times New Roman"/>
                <w:color w:val="auto"/>
                <w:spacing w:val="0"/>
                <w:sz w:val="24"/>
                <w:szCs w:val="24"/>
                <w:highlight w:val="none"/>
                <w:lang w:val="en-US" w:eastAsia="zh-CN"/>
              </w:rPr>
              <w:t>月</w:t>
            </w:r>
            <w:r>
              <w:rPr>
                <w:rFonts w:hint="eastAsia" w:cs="Times New Roman"/>
                <w:color w:val="auto"/>
                <w:spacing w:val="0"/>
                <w:sz w:val="24"/>
                <w:szCs w:val="24"/>
                <w:highlight w:val="none"/>
                <w:lang w:val="en-US" w:eastAsia="zh-CN"/>
              </w:rPr>
              <w:t>24</w:t>
            </w:r>
            <w:r>
              <w:rPr>
                <w:rFonts w:hint="eastAsia" w:ascii="Times New Roman" w:hAnsi="Times New Roman" w:eastAsia="宋体" w:cs="Times New Roman"/>
                <w:color w:val="auto"/>
                <w:spacing w:val="0"/>
                <w:sz w:val="24"/>
                <w:szCs w:val="24"/>
                <w:highlight w:val="none"/>
                <w:lang w:val="en-US" w:eastAsia="zh-CN"/>
              </w:rPr>
              <w:t>日通过</w:t>
            </w:r>
            <w:r>
              <w:rPr>
                <w:rFonts w:hint="eastAsia" w:cs="Times New Roman"/>
                <w:color w:val="auto"/>
                <w:spacing w:val="0"/>
                <w:sz w:val="24"/>
                <w:szCs w:val="24"/>
                <w:highlight w:val="none"/>
                <w:lang w:val="en-US" w:eastAsia="zh-CN"/>
              </w:rPr>
              <w:t>福清</w:t>
            </w:r>
            <w:r>
              <w:rPr>
                <w:rFonts w:hint="eastAsia" w:ascii="Times New Roman" w:hAnsi="Times New Roman" w:eastAsia="宋体" w:cs="Times New Roman"/>
                <w:color w:val="auto"/>
                <w:spacing w:val="0"/>
                <w:sz w:val="24"/>
                <w:szCs w:val="24"/>
                <w:highlight w:val="none"/>
                <w:lang w:val="en-US" w:eastAsia="zh-CN"/>
              </w:rPr>
              <w:t>市发展和改革局备案</w:t>
            </w:r>
            <w:r>
              <w:rPr>
                <w:rFonts w:hint="default" w:ascii="Times New Roman" w:hAnsi="Times New Roman" w:eastAsia="宋体" w:cs="Times New Roman"/>
                <w:color w:val="auto"/>
                <w:spacing w:val="0"/>
                <w:sz w:val="24"/>
                <w:szCs w:val="24"/>
                <w:highlight w:val="none"/>
                <w:lang w:eastAsia="zh-CN"/>
              </w:rPr>
              <w:t>（闽发改备</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2024</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A060389号，详见附件</w:t>
            </w:r>
            <w:r>
              <w:rPr>
                <w:rFonts w:hint="eastAsia" w:cs="Times New Roman"/>
                <w:color w:val="auto"/>
                <w:spacing w:val="0"/>
                <w:sz w:val="24"/>
                <w:szCs w:val="24"/>
                <w:highlight w:val="none"/>
                <w:lang w:val="en-US" w:eastAsia="zh-CN"/>
              </w:rPr>
              <w:t>二</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因此项目的建设内容符合当前国家和地方的产业政策。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4"/>
                <w:szCs w:val="24"/>
                <w:highlight w:val="none"/>
                <w:lang w:eastAsia="zh-CN"/>
              </w:rPr>
              <w:t>根据</w:t>
            </w:r>
            <w:r>
              <w:rPr>
                <w:rFonts w:hint="eastAsia" w:cs="Times New Roman"/>
                <w:color w:val="auto"/>
                <w:spacing w:val="0"/>
                <w:sz w:val="24"/>
                <w:szCs w:val="24"/>
                <w:highlight w:val="none"/>
                <w:lang w:val="en-US" w:eastAsia="zh-CN"/>
              </w:rPr>
              <w:t>福清市自然资源和规划局出具</w:t>
            </w:r>
            <w:r>
              <w:rPr>
                <w:rFonts w:hint="eastAsia" w:ascii="Times New Roman" w:hAnsi="Times New Roman" w:eastAsia="宋体" w:cs="Times New Roman"/>
                <w:color w:val="auto"/>
                <w:spacing w:val="0"/>
                <w:sz w:val="24"/>
                <w:szCs w:val="24"/>
                <w:highlight w:val="none"/>
                <w:lang w:eastAsia="zh-CN"/>
              </w:rPr>
              <w:t>的</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福清市建设项目规划条件函</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融规地[2023]第100号，详见附件四</w:t>
            </w:r>
            <w:r>
              <w:rPr>
                <w:rFonts w:hint="eastAsia"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eastAsia="zh-CN"/>
              </w:rPr>
              <w:t>，本项目</w:t>
            </w:r>
            <w:r>
              <w:rPr>
                <w:rFonts w:hint="eastAsia" w:cs="Times New Roman"/>
                <w:color w:val="auto"/>
                <w:spacing w:val="0"/>
                <w:sz w:val="24"/>
                <w:szCs w:val="24"/>
                <w:highlight w:val="none"/>
                <w:lang w:val="en-US" w:eastAsia="zh-CN"/>
              </w:rPr>
              <w:t>土地用途为</w:t>
            </w:r>
            <w:r>
              <w:rPr>
                <w:rFonts w:hint="eastAsia" w:ascii="Times New Roman" w:hAnsi="Times New Roman" w:eastAsia="宋体" w:cs="Times New Roman"/>
                <w:color w:val="auto"/>
                <w:spacing w:val="0"/>
                <w:sz w:val="24"/>
                <w:szCs w:val="24"/>
                <w:highlight w:val="none"/>
                <w:lang w:eastAsia="zh-CN"/>
              </w:rPr>
              <w:t>工业用地，</w:t>
            </w:r>
            <w:r>
              <w:rPr>
                <w:rFonts w:hint="eastAsia"/>
                <w:b w:val="0"/>
                <w:bCs w:val="0"/>
                <w:color w:val="auto"/>
                <w:sz w:val="24"/>
                <w:szCs w:val="24"/>
                <w:u w:val="none"/>
                <w:lang w:val="en-US" w:eastAsia="zh-CN"/>
              </w:rPr>
              <w:t>且已取得建设工程规划许可证（建字第350181202400398号，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s="Times New Roman"/>
                <w:b w:val="0"/>
                <w:bCs w:val="0"/>
                <w:color w:val="auto"/>
                <w:sz w:val="24"/>
                <w:szCs w:val="24"/>
                <w:u w:val="none"/>
                <w:lang w:val="en-US" w:eastAsia="zh-CN"/>
              </w:rPr>
              <w:t>。</w:t>
            </w:r>
            <w:r>
              <w:rPr>
                <w:rFonts w:hint="eastAsia" w:ascii="Times New Roman" w:hAnsi="Times New Roman" w:eastAsia="宋体" w:cs="Times New Roman"/>
                <w:color w:val="auto"/>
                <w:spacing w:val="0"/>
                <w:sz w:val="24"/>
                <w:szCs w:val="24"/>
                <w:highlight w:val="none"/>
                <w:lang w:eastAsia="zh-CN"/>
              </w:rPr>
              <w:t>项目主要</w:t>
            </w:r>
            <w:r>
              <w:rPr>
                <w:rFonts w:hint="eastAsia" w:cs="Times New Roman"/>
                <w:color w:val="auto"/>
                <w:spacing w:val="0"/>
                <w:sz w:val="24"/>
                <w:szCs w:val="24"/>
                <w:highlight w:val="none"/>
                <w:lang w:eastAsia="zh-CN"/>
              </w:rPr>
              <w:t>从事</w:t>
            </w:r>
            <w:r>
              <w:rPr>
                <w:rFonts w:hint="eastAsia" w:cs="Times New Roman"/>
                <w:color w:val="auto"/>
                <w:spacing w:val="0"/>
                <w:sz w:val="24"/>
                <w:szCs w:val="24"/>
                <w:highlight w:val="none"/>
                <w:lang w:val="en-US" w:eastAsia="zh-CN"/>
              </w:rPr>
              <w:t>商用混凝土搅拌和</w:t>
            </w:r>
            <w:r>
              <w:rPr>
                <w:rFonts w:hint="eastAsia" w:ascii="Times New Roman" w:hAnsi="Times New Roman" w:eastAsia="宋体" w:cs="Times New Roman"/>
                <w:color w:val="auto"/>
                <w:spacing w:val="0"/>
                <w:sz w:val="24"/>
                <w:szCs w:val="24"/>
                <w:highlight w:val="none"/>
                <w:lang w:eastAsia="zh-CN"/>
              </w:rPr>
              <w:t>混凝</w:t>
            </w:r>
            <w:r>
              <w:rPr>
                <w:rFonts w:hint="eastAsia" w:cs="Times New Roman"/>
                <w:color w:val="auto"/>
                <w:spacing w:val="0"/>
                <w:sz w:val="24"/>
                <w:szCs w:val="24"/>
                <w:highlight w:val="none"/>
                <w:lang w:val="en-US" w:eastAsia="zh-CN"/>
              </w:rPr>
              <w:t>土</w:t>
            </w:r>
            <w:r>
              <w:rPr>
                <w:rFonts w:hint="eastAsia" w:ascii="Times New Roman" w:hAnsi="Times New Roman" w:eastAsia="宋体" w:cs="Times New Roman"/>
                <w:color w:val="auto"/>
                <w:spacing w:val="0"/>
                <w:sz w:val="24"/>
                <w:szCs w:val="24"/>
                <w:highlight w:val="none"/>
                <w:lang w:eastAsia="zh-CN"/>
              </w:rPr>
              <w:t>预制</w:t>
            </w:r>
            <w:r>
              <w:rPr>
                <w:rFonts w:hint="eastAsia" w:cs="Times New Roman"/>
                <w:color w:val="auto"/>
                <w:spacing w:val="0"/>
                <w:sz w:val="24"/>
                <w:szCs w:val="24"/>
                <w:highlight w:val="none"/>
                <w:lang w:val="en-US" w:eastAsia="zh-CN"/>
              </w:rPr>
              <w:t>件的</w:t>
            </w:r>
            <w:r>
              <w:rPr>
                <w:rFonts w:hint="eastAsia" w:ascii="Times New Roman" w:hAnsi="Times New Roman" w:eastAsia="宋体" w:cs="Times New Roman"/>
                <w:color w:val="auto"/>
                <w:spacing w:val="0"/>
                <w:sz w:val="24"/>
                <w:szCs w:val="24"/>
                <w:highlight w:val="none"/>
                <w:lang w:eastAsia="zh-CN"/>
              </w:rPr>
              <w:t>生产，属于工业企业，</w:t>
            </w:r>
            <w:r>
              <w:rPr>
                <w:rFonts w:hint="default" w:ascii="Times New Roman" w:hAnsi="Times New Roman" w:eastAsia="宋体" w:cs="Times New Roman"/>
                <w:color w:val="auto"/>
                <w:spacing w:val="0"/>
                <w:sz w:val="24"/>
                <w:szCs w:val="24"/>
                <w:highlight w:val="none"/>
              </w:rPr>
              <w:t>选址符合土地利用规划要求。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、环境功能区划符合性分析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项目运营期废气采取有效的治理措施后，对周围环境空气不会产生显著影响，不会改变区域环境空气质量等级；项目生产废水及收集的初期雨水经处理后，全部回用于搅拌等，不外排；生活污水经化粪池</w:t>
            </w:r>
            <w:r>
              <w:rPr>
                <w:rFonts w:hint="eastAsia" w:cs="Times New Roman"/>
                <w:color w:val="auto"/>
                <w:spacing w:val="0"/>
                <w:sz w:val="24"/>
                <w:szCs w:val="24"/>
                <w:highlight w:val="none"/>
                <w:lang w:val="en-US" w:eastAsia="zh-CN"/>
              </w:rPr>
              <w:t>和一体化污水处理设施</w:t>
            </w:r>
            <w:r>
              <w:rPr>
                <w:rFonts w:hint="eastAsia" w:ascii="Times New Roman" w:hAnsi="Times New Roman" w:eastAsia="宋体" w:cs="Times New Roman"/>
                <w:color w:val="auto"/>
                <w:spacing w:val="0"/>
                <w:sz w:val="24"/>
                <w:szCs w:val="24"/>
                <w:highlight w:val="none"/>
                <w:lang w:val="en-US" w:eastAsia="zh-CN"/>
              </w:rPr>
              <w:t>处理后</w:t>
            </w:r>
            <w:r>
              <w:rPr>
                <w:rFonts w:hint="eastAsia" w:cs="Times New Roman"/>
                <w:color w:val="auto"/>
                <w:spacing w:val="0"/>
                <w:sz w:val="24"/>
                <w:szCs w:val="24"/>
                <w:highlight w:val="none"/>
                <w:lang w:val="en-US" w:eastAsia="zh-CN"/>
              </w:rPr>
              <w:t>，回用于厂区绿化灌溉及生产</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不外排</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pacing w:val="0"/>
                <w:sz w:val="24"/>
                <w:szCs w:val="24"/>
                <w:highlight w:val="none"/>
                <w:lang w:val="en-US" w:eastAsia="zh-CN"/>
              </w:rPr>
              <w:t>不会改变区域</w:t>
            </w:r>
            <w:r>
              <w:rPr>
                <w:rFonts w:hint="default" w:ascii="Times New Roman" w:hAnsi="Times New Roman" w:eastAsia="宋体" w:cs="Times New Roman"/>
                <w:color w:val="auto"/>
                <w:spacing w:val="0"/>
                <w:sz w:val="24"/>
                <w:szCs w:val="24"/>
                <w:highlight w:val="none"/>
                <w:lang w:val="en-US" w:eastAsia="zh-CN"/>
              </w:rPr>
              <w:t>地表水环境质量</w:t>
            </w:r>
            <w:r>
              <w:rPr>
                <w:rFonts w:hint="eastAsia" w:ascii="Times New Roman" w:hAnsi="Times New Roman" w:eastAsia="宋体" w:cs="Times New Roman"/>
                <w:color w:val="auto"/>
                <w:spacing w:val="0"/>
                <w:sz w:val="24"/>
                <w:szCs w:val="24"/>
                <w:highlight w:val="none"/>
                <w:lang w:val="en-US" w:eastAsia="zh-CN"/>
              </w:rPr>
              <w:t>等级</w:t>
            </w:r>
            <w:r>
              <w:rPr>
                <w:rFonts w:hint="default" w:ascii="Times New Roman" w:hAnsi="Times New Roman" w:eastAsia="宋体"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en-US" w:eastAsia="zh-CN"/>
              </w:rPr>
              <w:t>项目在采取一定的噪声污染防治措施后，项目产生的噪声不会对周围环境产生显著影响，不会改变区域环境噪声质量等级；项目周边地下水、土壤环境相对不敏感，采取有效的防渗措施后，项目对地下水、土壤环境影响小，不会改变地下水环境、土壤环境质量现状等级，因此，项目建设符合环境功能。</w:t>
            </w:r>
          </w:p>
          <w:p>
            <w:pPr>
              <w:bidi w:val="0"/>
              <w:rPr>
                <w:rFonts w:hint="default"/>
                <w:b/>
                <w:bCs/>
                <w:color w:val="auto"/>
                <w:lang w:val="en-US" w:eastAsia="zh-CN"/>
              </w:rPr>
            </w:pPr>
            <w:r>
              <w:rPr>
                <w:rFonts w:hint="eastAsia"/>
                <w:b/>
                <w:bCs/>
                <w:color w:val="auto"/>
                <w:lang w:val="en-US" w:eastAsia="zh-CN"/>
              </w:rPr>
              <w:t>4</w:t>
            </w:r>
            <w:r>
              <w:rPr>
                <w:rFonts w:hint="default"/>
                <w:b/>
                <w:bCs/>
                <w:color w:val="auto"/>
                <w:lang w:val="en-US" w:eastAsia="zh-CN"/>
              </w:rPr>
              <w:t>、与周边</w:t>
            </w:r>
            <w:r>
              <w:rPr>
                <w:rFonts w:hint="eastAsia"/>
                <w:b/>
                <w:bCs/>
                <w:color w:val="auto"/>
                <w:lang w:val="en-US" w:eastAsia="zh-CN"/>
              </w:rPr>
              <w:t>环境</w:t>
            </w:r>
            <w:r>
              <w:rPr>
                <w:rFonts w:hint="default"/>
                <w:b/>
                <w:bCs/>
                <w:color w:val="auto"/>
                <w:lang w:val="en-US" w:eastAsia="zh-CN"/>
              </w:rPr>
              <w:t>相容性分析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pacing w:val="0"/>
                <w:sz w:val="24"/>
                <w:szCs w:val="24"/>
                <w:highlight w:val="none"/>
                <w:lang w:val="en-US" w:eastAsia="zh-CN"/>
              </w:rPr>
            </w:pPr>
            <w:r>
              <w:rPr>
                <w:rFonts w:hint="eastAsia"/>
                <w:color w:val="auto"/>
                <w:lang w:val="en-US" w:eastAsia="zh-CN"/>
              </w:rPr>
              <w:t>项目厂址不位于自然保护区、风景名胜区、饮用水水源保护区和其他需要特别保护等法律法规禁止开发建设的区域。</w:t>
            </w:r>
            <w:r>
              <w:rPr>
                <w:rFonts w:hint="default" w:ascii="Times New Roman" w:hAnsi="Times New Roman" w:eastAsia="宋体" w:cs="Times New Roman"/>
                <w:color w:val="auto"/>
                <w:spacing w:val="0"/>
                <w:sz w:val="24"/>
                <w:szCs w:val="24"/>
                <w:highlight w:val="none"/>
                <w:lang w:val="en-US" w:eastAsia="zh-CN"/>
              </w:rPr>
              <w:t>根据现场勘查，</w:t>
            </w:r>
            <w:r>
              <w:rPr>
                <w:rFonts w:hint="eastAsia" w:cs="Times New Roman"/>
                <w:color w:val="auto"/>
                <w:spacing w:val="0"/>
                <w:sz w:val="24"/>
                <w:szCs w:val="24"/>
                <w:highlight w:val="none"/>
                <w:lang w:val="en-US" w:eastAsia="zh-CN"/>
              </w:rPr>
              <w:t>项目</w:t>
            </w:r>
            <w:r>
              <w:rPr>
                <w:rFonts w:hint="default" w:ascii="Times New Roman" w:hAnsi="Times New Roman" w:eastAsia="宋体" w:cs="Times New Roman"/>
                <w:color w:val="auto"/>
                <w:spacing w:val="0"/>
                <w:sz w:val="24"/>
                <w:szCs w:val="24"/>
                <w:highlight w:val="none"/>
                <w:lang w:eastAsia="zh-CN"/>
              </w:rPr>
              <w:t>周边</w:t>
            </w:r>
            <w:r>
              <w:rPr>
                <w:rFonts w:hint="eastAsia" w:ascii="Times New Roman" w:hAnsi="Times New Roman" w:eastAsia="宋体" w:cs="Times New Roman"/>
                <w:color w:val="auto"/>
                <w:spacing w:val="0"/>
                <w:sz w:val="24"/>
                <w:szCs w:val="24"/>
                <w:highlight w:val="none"/>
                <w:lang w:val="en-US" w:eastAsia="zh-CN"/>
              </w:rPr>
              <w:t>以工业企业、</w:t>
            </w:r>
            <w:r>
              <w:rPr>
                <w:rFonts w:hint="eastAsia" w:ascii="Times New Roman" w:hAnsi="Times New Roman" w:eastAsia="宋体"/>
                <w:color w:val="auto"/>
                <w:sz w:val="24"/>
                <w:szCs w:val="24"/>
                <w:lang w:val="en-US" w:eastAsia="zh-CN"/>
              </w:rPr>
              <w:t>农田</w:t>
            </w:r>
            <w:r>
              <w:rPr>
                <w:rFonts w:hint="eastAsia" w:ascii="Times New Roman" w:hAnsi="Times New Roman" w:eastAsia="宋体" w:cs="Times New Roman"/>
                <w:color w:val="auto"/>
                <w:spacing w:val="0"/>
                <w:sz w:val="24"/>
                <w:szCs w:val="24"/>
                <w:highlight w:val="none"/>
                <w:lang w:val="en-US" w:eastAsia="zh-CN"/>
              </w:rPr>
              <w:t>等为主</w:t>
            </w:r>
            <w:r>
              <w:rPr>
                <w:rFonts w:hint="eastAsia"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其中厂区南侧主要有福建平达新材料科技有限公司、福清市伟达塑料制品有限公司和福清市海兴保健食品有限公司（从事紫菜饼、绿藻粉和海带粉的生产）等企业，</w:t>
            </w:r>
            <w:r>
              <w:rPr>
                <w:rFonts w:hint="eastAsia" w:ascii="Times New Roman" w:hAnsi="Times New Roman" w:eastAsia="宋体" w:cs="Times New Roman"/>
                <w:color w:val="auto"/>
                <w:spacing w:val="0"/>
                <w:sz w:val="24"/>
                <w:szCs w:val="24"/>
                <w:highlight w:val="none"/>
                <w:lang w:val="en-US" w:eastAsia="zh-CN"/>
              </w:rPr>
              <w:t>主要环境保护目标为</w:t>
            </w:r>
            <w:r>
              <w:rPr>
                <w:rFonts w:hint="eastAsia"/>
                <w:color w:val="auto"/>
                <w:lang w:val="en-US" w:eastAsia="zh-CN"/>
              </w:rPr>
              <w:t>石溪村（西北侧约260m）</w:t>
            </w:r>
            <w:r>
              <w:rPr>
                <w:rFonts w:hint="eastAsia" w:ascii="Times New Roman" w:hAnsi="Times New Roman" w:eastAsia="宋体" w:cs="Times New Roman"/>
                <w:color w:val="auto"/>
                <w:spacing w:val="0"/>
                <w:sz w:val="24"/>
                <w:szCs w:val="24"/>
                <w:highlight w:val="none"/>
                <w:lang w:val="en-US" w:eastAsia="zh-CN"/>
              </w:rPr>
              <w:t>，</w:t>
            </w:r>
            <w:r>
              <w:rPr>
                <w:rFonts w:hint="eastAsia"/>
                <w:color w:val="auto"/>
                <w:lang w:eastAsia="zh-CN"/>
              </w:rPr>
              <w:t>项目周边环境现状</w:t>
            </w:r>
            <w:r>
              <w:rPr>
                <w:rFonts w:hint="eastAsia"/>
                <w:color w:val="auto"/>
                <w:lang w:val="en-US" w:eastAsia="zh-CN"/>
              </w:rPr>
              <w:t>及敏感目标</w:t>
            </w:r>
            <w:r>
              <w:rPr>
                <w:rFonts w:hint="eastAsia"/>
                <w:color w:val="auto"/>
                <w:lang w:eastAsia="zh-CN"/>
              </w:rPr>
              <w:t>示意图详见附图</w:t>
            </w:r>
            <w:r>
              <w:rPr>
                <w:rFonts w:hint="eastAsia"/>
                <w:color w:val="auto"/>
                <w:lang w:val="en-US" w:eastAsia="zh-CN"/>
              </w:rPr>
              <w:t>二，</w:t>
            </w:r>
            <w:r>
              <w:rPr>
                <w:rFonts w:hint="eastAsia"/>
                <w:color w:val="auto"/>
                <w:lang w:eastAsia="zh-CN"/>
              </w:rPr>
              <w:t>项目周边环境现状拍摄图详见附图</w:t>
            </w:r>
            <w:r>
              <w:rPr>
                <w:rFonts w:hint="eastAsia"/>
                <w:color w:val="auto"/>
                <w:lang w:val="en-US" w:eastAsia="zh-CN"/>
              </w:rPr>
              <w:t>三</w:t>
            </w:r>
            <w:r>
              <w:rPr>
                <w:rFonts w:hint="eastAsia" w:cs="Times New Roman"/>
                <w:color w:val="auto"/>
                <w:spacing w:val="0"/>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color w:val="auto"/>
                <w:spacing w:val="0"/>
                <w:sz w:val="24"/>
                <w:szCs w:val="24"/>
                <w:highlight w:val="none"/>
                <w:lang w:val="en-US" w:eastAsia="zh-CN"/>
              </w:rPr>
              <w:t>本项目距离环境保护目标较远，产生的噪声和废气等各类污染物基本不会对其产生影响。</w:t>
            </w:r>
            <w:r>
              <w:rPr>
                <w:rFonts w:hint="default" w:ascii="Times New Roman" w:hAnsi="Times New Roman" w:eastAsia="宋体" w:cs="Times New Roman"/>
                <w:color w:val="auto"/>
                <w:spacing w:val="0"/>
                <w:sz w:val="24"/>
                <w:szCs w:val="24"/>
                <w:highlight w:val="none"/>
                <w:lang w:eastAsia="zh-CN"/>
              </w:rPr>
              <w:t>建设单位在</w:t>
            </w:r>
            <w:r>
              <w:rPr>
                <w:rFonts w:hint="eastAsia" w:ascii="Times New Roman" w:hAnsi="Times New Roman" w:eastAsia="宋体" w:cs="Times New Roman"/>
                <w:color w:val="auto"/>
                <w:spacing w:val="0"/>
                <w:sz w:val="24"/>
                <w:szCs w:val="24"/>
                <w:highlight w:val="none"/>
                <w:lang w:eastAsia="zh-CN"/>
              </w:rPr>
              <w:t>切实落实</w:t>
            </w:r>
            <w:r>
              <w:rPr>
                <w:rFonts w:hint="default" w:ascii="Times New Roman" w:hAnsi="Times New Roman" w:eastAsia="宋体" w:cs="Times New Roman"/>
                <w:color w:val="auto"/>
                <w:spacing w:val="0"/>
                <w:sz w:val="24"/>
                <w:szCs w:val="24"/>
                <w:highlight w:val="none"/>
                <w:lang w:eastAsia="zh-CN"/>
              </w:rPr>
              <w:t>本评价提出的各项污染治理措施</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做好车间和堆场封闭、定期喷淋抑尘等，控制粉尘排放</w:t>
            </w:r>
            <w:r>
              <w:rPr>
                <w:rFonts w:hint="default" w:ascii="Times New Roman" w:hAnsi="Times New Roman" w:eastAsia="宋体" w:cs="Times New Roman"/>
                <w:color w:val="auto"/>
                <w:spacing w:val="0"/>
                <w:sz w:val="24"/>
                <w:szCs w:val="24"/>
                <w:highlight w:val="none"/>
                <w:lang w:eastAsia="zh-CN"/>
              </w:rPr>
              <w:t>的前提下，</w:t>
            </w:r>
            <w:r>
              <w:rPr>
                <w:rFonts w:hint="eastAsia" w:ascii="Times New Roman" w:hAnsi="Times New Roman" w:eastAsia="宋体" w:cs="Times New Roman"/>
                <w:color w:val="auto"/>
                <w:spacing w:val="0"/>
                <w:sz w:val="24"/>
                <w:szCs w:val="24"/>
                <w:highlight w:val="none"/>
                <w:lang w:val="en-US" w:eastAsia="zh-CN"/>
              </w:rPr>
              <w:t>对</w:t>
            </w:r>
            <w:r>
              <w:rPr>
                <w:rFonts w:hint="eastAsia" w:cs="Times New Roman"/>
                <w:color w:val="auto"/>
                <w:spacing w:val="0"/>
                <w:sz w:val="24"/>
                <w:szCs w:val="24"/>
                <w:highlight w:val="none"/>
                <w:lang w:val="en-US" w:eastAsia="zh-CN"/>
              </w:rPr>
              <w:t>福清市海兴保健食品有限公司</w:t>
            </w:r>
            <w:r>
              <w:rPr>
                <w:rFonts w:hint="eastAsia" w:ascii="Times New Roman" w:hAnsi="Times New Roman" w:eastAsia="宋体" w:cs="Times New Roman"/>
                <w:color w:val="auto"/>
                <w:spacing w:val="0"/>
                <w:sz w:val="24"/>
                <w:szCs w:val="24"/>
                <w:highlight w:val="none"/>
                <w:lang w:val="en-US" w:eastAsia="zh-CN"/>
              </w:rPr>
              <w:t>及周边企业影响较小，且通过合理布局，将靠近</w:t>
            </w:r>
            <w:r>
              <w:rPr>
                <w:rFonts w:hint="eastAsia" w:cs="Times New Roman"/>
                <w:color w:val="auto"/>
                <w:spacing w:val="0"/>
                <w:sz w:val="24"/>
                <w:szCs w:val="24"/>
                <w:highlight w:val="none"/>
                <w:lang w:val="en-US" w:eastAsia="zh-CN"/>
              </w:rPr>
              <w:t>海兴食品公司位置布置为停车区，进一步减少对海兴食品公司的影响</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因此，项目建设与周边环境基本相容。</w:t>
            </w:r>
          </w:p>
          <w:p>
            <w:pPr>
              <w:bidi w:val="0"/>
              <w:rPr>
                <w:rFonts w:hint="default"/>
                <w:b/>
                <w:bCs/>
                <w:color w:val="auto"/>
                <w:lang w:val="en-US" w:eastAsia="zh-CN"/>
              </w:rPr>
            </w:pPr>
            <w:r>
              <w:rPr>
                <w:rFonts w:hint="eastAsia"/>
                <w:b/>
                <w:bCs/>
                <w:color w:val="auto"/>
                <w:lang w:val="en-US" w:eastAsia="zh-CN"/>
              </w:rPr>
              <w:t>5</w:t>
            </w:r>
            <w:r>
              <w:rPr>
                <w:rFonts w:hint="default"/>
                <w:b/>
                <w:bCs/>
                <w:color w:val="auto"/>
                <w:lang w:val="en-US" w:eastAsia="zh-CN"/>
              </w:rPr>
              <w:t>、</w:t>
            </w:r>
            <w:r>
              <w:rPr>
                <w:rFonts w:hint="eastAsia"/>
                <w:b/>
                <w:bCs/>
                <w:color w:val="auto"/>
                <w:lang w:val="en-US" w:eastAsia="zh-CN"/>
              </w:rPr>
              <w:t>生态环境分区管控要求的符合性分析</w:t>
            </w:r>
          </w:p>
          <w:p>
            <w:pPr>
              <w:bidi w:val="0"/>
              <w:rPr>
                <w:rFonts w:hint="eastAsia"/>
                <w:color w:val="auto"/>
                <w:sz w:val="24"/>
                <w:szCs w:val="24"/>
                <w:lang w:val="en-US" w:eastAsia="zh-CN"/>
              </w:rPr>
            </w:pPr>
            <w:bookmarkStart w:id="3" w:name="_Toc27236"/>
            <w:bookmarkStart w:id="4" w:name="_Toc3067"/>
            <w:bookmarkStart w:id="5" w:name="_Toc16029"/>
            <w:bookmarkStart w:id="6" w:name="_Toc7228"/>
            <w:bookmarkStart w:id="7" w:name="_Toc3746"/>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《福州市生态环境局关于发布福州市2024年生态环境分区管控动态更新成果的通知》（榕环保综〔2025〕1号）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ascii="Times New Roman" w:hAnsi="Times New Roman" w:eastAsia="宋体" w:cs="Times New Roman"/>
                <w:color w:val="auto"/>
                <w:sz w:val="24"/>
                <w:szCs w:val="24"/>
                <w:lang w:val="en-US" w:eastAsia="zh-CN"/>
              </w:rPr>
              <w:t>，</w:t>
            </w:r>
            <w:r>
              <w:rPr>
                <w:rFonts w:hint="eastAsia"/>
                <w:color w:val="auto"/>
                <w:sz w:val="24"/>
                <w:szCs w:val="24"/>
                <w:lang w:val="en-US" w:eastAsia="zh-CN"/>
              </w:rPr>
              <w:t>项目与福州市生态环境分区管控要求符合性分析如下：</w:t>
            </w:r>
          </w:p>
          <w:p>
            <w:pPr>
              <w:bidi w:val="0"/>
              <w:rPr>
                <w:rFonts w:hint="eastAsia"/>
                <w:b/>
                <w:bCs/>
                <w:color w:val="auto"/>
                <w:lang w:val="en-US" w:eastAsia="zh-CN"/>
              </w:rPr>
            </w:pPr>
            <w:r>
              <w:rPr>
                <w:rFonts w:hint="eastAsia"/>
                <w:b/>
                <w:bCs/>
                <w:color w:val="auto"/>
                <w:lang w:val="en-US" w:eastAsia="zh-CN"/>
              </w:rPr>
              <w:t>（1）</w:t>
            </w:r>
            <w:r>
              <w:rPr>
                <w:rFonts w:hint="default"/>
                <w:b/>
                <w:bCs/>
                <w:color w:val="auto"/>
                <w:lang w:val="en-US" w:eastAsia="zh-CN"/>
              </w:rPr>
              <w:t>生态保护红线与一般生态空间</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生态保护红线</w:t>
            </w:r>
          </w:p>
          <w:p>
            <w:pPr>
              <w:bidi w:val="0"/>
              <w:rPr>
                <w:rFonts w:hint="default" w:ascii="Times New Roman" w:hAnsi="Times New Roman" w:eastAsia="宋体" w:cs="Times New Roman"/>
                <w:color w:val="auto"/>
                <w:szCs w:val="21"/>
                <w:lang w:val="en-US" w:eastAsia="zh-CN"/>
              </w:rPr>
            </w:pPr>
            <w:r>
              <w:rPr>
                <w:rFonts w:hint="default"/>
                <w:color w:val="auto"/>
                <w:lang w:val="en-US" w:eastAsia="zh-CN"/>
              </w:rPr>
              <w:t>完整利用福建省“三区三线”生态保护红线划定成果，福州市生态保护红线划定面积为5082.05平方千米，其中陆域面积为2410.32平方千米，海域面积为2671.73平方千米。生态保护红线最终面积以省政府发布结果为准。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一般生态空间</w:t>
            </w:r>
          </w:p>
          <w:p>
            <w:pPr>
              <w:bidi w:val="0"/>
              <w:rPr>
                <w:rFonts w:hint="default"/>
                <w:color w:val="auto"/>
                <w:lang w:val="en-US" w:eastAsia="zh-CN"/>
              </w:rPr>
            </w:pPr>
            <w:r>
              <w:rPr>
                <w:rFonts w:hint="default"/>
                <w:color w:val="auto"/>
                <w:lang w:val="en-US" w:eastAsia="zh-CN"/>
              </w:rPr>
              <w:t>一般生态空间面积为5022.51平方千米，其中陆域面积为3703.34平方千米、海域面积为1319.17平方千米。一般生态空间将随生态保护红线最终发布成果做调整。</w:t>
            </w:r>
          </w:p>
          <w:p>
            <w:pPr>
              <w:bidi w:val="0"/>
              <w:rPr>
                <w:rFonts w:hint="default"/>
                <w:color w:val="auto"/>
                <w:lang w:val="en-US" w:eastAsia="zh-CN"/>
              </w:rPr>
            </w:pPr>
            <w:r>
              <w:rPr>
                <w:rFonts w:hint="default"/>
                <w:color w:val="auto"/>
                <w:lang w:val="en-US" w:eastAsia="zh-CN"/>
              </w:rPr>
              <w:t>陆域一般生态空间主要包括生态评估得到的生态功能重要区域和生态环境敏感区域以及未纳入生态保护红线的各类法定保护地、饮用水水源保护区等需要保护的区域。</w:t>
            </w:r>
          </w:p>
          <w:p>
            <w:pPr>
              <w:bidi w:val="0"/>
              <w:rPr>
                <w:rFonts w:hint="default" w:ascii="Times New Roman" w:hAnsi="Times New Roman" w:eastAsia="宋体" w:cs="Times New Roman"/>
                <w:color w:val="auto"/>
                <w:szCs w:val="21"/>
                <w:lang w:val="en-US" w:eastAsia="zh-CN"/>
              </w:rPr>
            </w:pPr>
            <w:r>
              <w:rPr>
                <w:rFonts w:hint="default"/>
                <w:color w:val="auto"/>
                <w:lang w:val="en-US" w:eastAsia="zh-CN"/>
              </w:rPr>
              <w:t>项目位于陆域范围，经对照福建省“三区三线”生态保护红线划定成果</w:t>
            </w:r>
            <w:r>
              <w:rPr>
                <w:rFonts w:hint="eastAsia"/>
                <w:color w:val="auto"/>
                <w:lang w:val="en-US" w:eastAsia="zh-CN"/>
              </w:rPr>
              <w:t>和一般生态空间划定成果</w:t>
            </w:r>
            <w:r>
              <w:rPr>
                <w:rFonts w:hint="default"/>
                <w:color w:val="auto"/>
                <w:lang w:val="en-US" w:eastAsia="zh-CN"/>
              </w:rPr>
              <w:t>，项目建设区未涉及生态保护红线</w:t>
            </w:r>
            <w:r>
              <w:rPr>
                <w:rFonts w:hint="eastAsia"/>
                <w:color w:val="auto"/>
                <w:lang w:val="en-US" w:eastAsia="zh-CN"/>
              </w:rPr>
              <w:t>和一般生态空间</w:t>
            </w:r>
            <w:r>
              <w:rPr>
                <w:rFonts w:hint="default"/>
                <w:color w:val="auto"/>
                <w:lang w:val="en-US" w:eastAsia="zh-CN"/>
              </w:rPr>
              <w:t>，因此项目建设与生态保护红线</w:t>
            </w:r>
            <w:r>
              <w:rPr>
                <w:rFonts w:hint="eastAsia"/>
                <w:color w:val="auto"/>
                <w:lang w:val="en-US" w:eastAsia="zh-CN"/>
              </w:rPr>
              <w:t>及</w:t>
            </w:r>
            <w:r>
              <w:rPr>
                <w:rFonts w:hint="default"/>
                <w:color w:val="auto"/>
                <w:lang w:val="en-US" w:eastAsia="zh-CN"/>
              </w:rPr>
              <w:t>一般生态空间管控要求不冲突。</w:t>
            </w:r>
          </w:p>
          <w:p>
            <w:pPr>
              <w:bidi w:val="0"/>
              <w:rPr>
                <w:rFonts w:hint="default"/>
                <w:b/>
                <w:bCs/>
                <w:color w:val="auto"/>
                <w:lang w:val="en-US" w:eastAsia="zh-CN"/>
              </w:rPr>
            </w:pPr>
            <w:r>
              <w:rPr>
                <w:rFonts w:hint="eastAsia"/>
                <w:b/>
                <w:bCs/>
                <w:color w:val="auto"/>
                <w:lang w:val="en-US" w:eastAsia="zh-CN"/>
              </w:rPr>
              <w:t>（</w:t>
            </w:r>
            <w:r>
              <w:rPr>
                <w:rFonts w:hint="default"/>
                <w:b/>
                <w:bCs/>
                <w:color w:val="auto"/>
                <w:lang w:val="en-US" w:eastAsia="zh-CN"/>
              </w:rPr>
              <w:t>2</w:t>
            </w:r>
            <w:r>
              <w:rPr>
                <w:rFonts w:hint="eastAsia"/>
                <w:b/>
                <w:bCs/>
                <w:color w:val="auto"/>
                <w:lang w:val="en-US" w:eastAsia="zh-CN"/>
              </w:rPr>
              <w:t>）</w:t>
            </w:r>
            <w:r>
              <w:rPr>
                <w:rFonts w:hint="default"/>
                <w:b/>
                <w:bCs/>
                <w:color w:val="auto"/>
                <w:lang w:val="en-US" w:eastAsia="zh-CN"/>
              </w:rPr>
              <w:t>环境质量底线</w:t>
            </w:r>
          </w:p>
          <w:p>
            <w:pPr>
              <w:bidi w:val="0"/>
              <w:rPr>
                <w:rFonts w:hint="eastAsia"/>
                <w:color w:val="auto"/>
                <w:lang w:val="en-US" w:eastAsia="zh-CN"/>
              </w:rPr>
            </w:pPr>
            <w:r>
              <w:rPr>
                <w:rFonts w:hint="default"/>
                <w:color w:val="auto"/>
                <w:lang w:val="en-US" w:eastAsia="zh-CN"/>
              </w:rPr>
              <w:t>①</w:t>
            </w:r>
            <w:r>
              <w:rPr>
                <w:rFonts w:hint="eastAsia"/>
                <w:color w:val="auto"/>
                <w:lang w:val="en-US" w:eastAsia="zh-CN"/>
              </w:rPr>
              <w:t>地表水</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到2025年，国省控断面水质优良（达到或优于Ⅲ类）比例总体达97.2%以上；县级以上集中式饮用水水源水质达标率达100%。到2035年，国省控断面水质优良（达到或优于Ⅲ类）比例总体达到100%；生态系统实现良性循环。</w:t>
            </w:r>
          </w:p>
          <w:p>
            <w:pPr>
              <w:bidi w:val="0"/>
              <w:rPr>
                <w:rFonts w:hint="default"/>
                <w:color w:val="auto"/>
                <w:lang w:val="en-US" w:eastAsia="zh-CN"/>
              </w:rPr>
            </w:pPr>
            <w:r>
              <w:rPr>
                <w:rFonts w:hint="eastAsia"/>
                <w:color w:val="auto"/>
                <w:lang w:val="en-US" w:eastAsia="zh-CN"/>
              </w:rPr>
              <w:t>②</w:t>
            </w:r>
            <w:r>
              <w:rPr>
                <w:rFonts w:hint="default"/>
                <w:color w:val="auto"/>
                <w:lang w:val="en-US" w:eastAsia="zh-CN"/>
              </w:rPr>
              <w:t>近岸海域环境质量底线</w:t>
            </w:r>
          </w:p>
          <w:p>
            <w:pPr>
              <w:bidi w:val="0"/>
              <w:rPr>
                <w:rFonts w:hint="default"/>
                <w:color w:val="auto"/>
                <w:lang w:val="en-US" w:eastAsia="zh-CN"/>
              </w:rPr>
            </w:pPr>
            <w:r>
              <w:rPr>
                <w:rFonts w:hint="default"/>
                <w:color w:val="auto"/>
                <w:lang w:val="en-US" w:eastAsia="zh-CN"/>
              </w:rPr>
              <w:t>到2025年，近岸海域水质持续改善，重要河口海湾水质稳定好转，鉴江半岛—黄岐半岛东部海域湾区、长乐东部海域湾区建成美丽海湾，近岸海域优良水质面积比例不低于85%（国控点优良水质面积不低于84.0%）。到2035年，海洋生态环境显著改善，重要河口海湾水质大幅提升，近岸海域优良水质面积比例不低于89%，全面建成美丽海湾。</w:t>
            </w:r>
          </w:p>
          <w:p>
            <w:pPr>
              <w:bidi w:val="0"/>
              <w:rPr>
                <w:rFonts w:hint="default"/>
                <w:color w:val="auto"/>
                <w:lang w:val="en-US" w:eastAsia="zh-CN"/>
              </w:rPr>
            </w:pPr>
            <w:r>
              <w:rPr>
                <w:rFonts w:hint="eastAsia"/>
                <w:color w:val="auto"/>
                <w:lang w:val="en-US" w:eastAsia="zh-CN"/>
              </w:rPr>
              <w:t>项目不位于</w:t>
            </w:r>
            <w:r>
              <w:rPr>
                <w:rFonts w:hint="default"/>
                <w:color w:val="auto"/>
                <w:lang w:val="en-US" w:eastAsia="zh-CN"/>
              </w:rPr>
              <w:t>近岸海域</w:t>
            </w:r>
            <w:r>
              <w:rPr>
                <w:rFonts w:hint="eastAsia"/>
                <w:color w:val="auto"/>
                <w:lang w:val="en-US" w:eastAsia="zh-CN"/>
              </w:rPr>
              <w:t>，项目生产废水及收集的初期雨水经处理后，全部回用于搅拌等，不外排；厂区职工生活污水经化粪池+一体化污水处理设施处理后回用于厂区绿化灌溉及生产，不外排，因此项目无废水排入地表水外环境</w:t>
            </w:r>
            <w:r>
              <w:rPr>
                <w:color w:val="auto"/>
              </w:rPr>
              <w:t>，</w:t>
            </w:r>
            <w:r>
              <w:rPr>
                <w:rFonts w:hint="eastAsia"/>
                <w:color w:val="auto"/>
                <w:lang w:eastAsia="zh-CN"/>
              </w:rPr>
              <w:t>不会</w:t>
            </w:r>
            <w:r>
              <w:rPr>
                <w:rFonts w:hint="eastAsia"/>
                <w:color w:val="auto"/>
                <w:lang w:val="en-US" w:eastAsia="zh-CN"/>
              </w:rPr>
              <w:t>改变区域</w:t>
            </w:r>
            <w:r>
              <w:rPr>
                <w:rFonts w:hint="default"/>
                <w:color w:val="auto"/>
                <w:lang w:val="en-US" w:eastAsia="zh-CN"/>
              </w:rPr>
              <w:t>地表水环境质量</w:t>
            </w:r>
            <w:r>
              <w:rPr>
                <w:rFonts w:hint="eastAsia"/>
                <w:color w:val="auto"/>
                <w:lang w:val="en-US" w:eastAsia="zh-CN"/>
              </w:rPr>
              <w:t>等级，</w:t>
            </w:r>
            <w:r>
              <w:rPr>
                <w:rFonts w:hint="default"/>
                <w:color w:val="auto"/>
                <w:lang w:val="en-US" w:eastAsia="zh-CN"/>
              </w:rPr>
              <w:t>项目建设不会突破区域</w:t>
            </w:r>
            <w:r>
              <w:rPr>
                <w:rFonts w:hint="eastAsia"/>
                <w:color w:val="auto"/>
                <w:lang w:val="en-US" w:eastAsia="zh-CN"/>
              </w:rPr>
              <w:t>地表</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③大气环境质量底线</w:t>
            </w:r>
          </w:p>
          <w:p>
            <w:pPr>
              <w:bidi w:val="0"/>
              <w:rPr>
                <w:rFonts w:hint="default"/>
                <w:color w:val="auto"/>
                <w:lang w:val="en-US" w:eastAsia="zh-CN"/>
              </w:rPr>
            </w:pPr>
            <w:r>
              <w:rPr>
                <w:rFonts w:hint="default"/>
                <w:color w:val="auto"/>
                <w:lang w:val="en-US" w:eastAsia="zh-CN"/>
              </w:rPr>
              <w:t>到2025年，环境空气质量持续改善，细颗粒物（PM2.5）年均浓度降至18.6μg/m</w:t>
            </w:r>
            <w:r>
              <w:rPr>
                <w:rFonts w:hint="default"/>
                <w:color w:val="auto"/>
                <w:vertAlign w:val="superscript"/>
                <w:lang w:val="en-US" w:eastAsia="zh-CN"/>
              </w:rPr>
              <w:t>3</w:t>
            </w:r>
            <w:r>
              <w:rPr>
                <w:rFonts w:hint="default"/>
                <w:color w:val="auto"/>
                <w:lang w:val="en-US" w:eastAsia="zh-CN"/>
              </w:rPr>
              <w:t>。到2035年，县级城市细颗粒物（PM2.5）年均浓度小于15μg/m</w:t>
            </w:r>
            <w:r>
              <w:rPr>
                <w:rFonts w:hint="default"/>
                <w:color w:val="auto"/>
                <w:vertAlign w:val="superscript"/>
                <w:lang w:val="en-US" w:eastAsia="zh-CN"/>
              </w:rPr>
              <w:t>3</w:t>
            </w:r>
            <w:r>
              <w:rPr>
                <w:rFonts w:hint="default"/>
                <w:color w:val="auto"/>
                <w:lang w:val="en-US" w:eastAsia="zh-CN"/>
              </w:rPr>
              <w:t>，最终指标值以省下达指标为准。</w:t>
            </w:r>
          </w:p>
          <w:p>
            <w:pPr>
              <w:bidi w:val="0"/>
              <w:rPr>
                <w:rFonts w:hint="eastAsia"/>
                <w:color w:val="auto"/>
                <w:lang w:val="en-US" w:eastAsia="zh-CN"/>
              </w:rPr>
            </w:pPr>
            <w:r>
              <w:rPr>
                <w:rFonts w:hint="eastAsia"/>
                <w:color w:val="auto"/>
                <w:lang w:val="en-US" w:eastAsia="zh-CN"/>
              </w:rPr>
              <w:t>项目废气经采取有效的污染防治措施后，各污染物均可实现达标排放，</w:t>
            </w:r>
            <w:r>
              <w:rPr>
                <w:rFonts w:hint="default"/>
                <w:color w:val="auto"/>
                <w:lang w:val="en-US" w:eastAsia="zh-CN"/>
              </w:rPr>
              <w:t>项目的建设不会突破区域大气环境质量底线。</w:t>
            </w:r>
          </w:p>
          <w:p>
            <w:pPr>
              <w:bidi w:val="0"/>
              <w:rPr>
                <w:rFonts w:hint="eastAsia"/>
                <w:color w:val="auto"/>
                <w:lang w:val="en-US" w:eastAsia="zh-CN"/>
              </w:rPr>
            </w:pPr>
            <w:r>
              <w:rPr>
                <w:rFonts w:hint="eastAsia"/>
                <w:color w:val="auto"/>
                <w:lang w:val="en-US" w:eastAsia="zh-CN"/>
              </w:rPr>
              <w:t>④土壤环境风险防控底线</w:t>
            </w:r>
          </w:p>
          <w:p>
            <w:pPr>
              <w:bidi w:val="0"/>
              <w:rPr>
                <w:rFonts w:hint="eastAsia"/>
                <w:color w:val="auto"/>
                <w:lang w:val="en-US" w:eastAsia="zh-CN"/>
              </w:rPr>
            </w:pPr>
            <w:r>
              <w:rPr>
                <w:rFonts w:hint="eastAsia"/>
                <w:color w:val="auto"/>
                <w:lang w:val="en-US"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w:t>
            </w:r>
          </w:p>
          <w:p>
            <w:pPr>
              <w:bidi w:val="0"/>
              <w:rPr>
                <w:rFonts w:hint="eastAsia"/>
                <w:color w:val="auto"/>
                <w:lang w:val="en-US" w:eastAsia="zh-CN"/>
              </w:rPr>
            </w:pPr>
            <w:r>
              <w:rPr>
                <w:rFonts w:hint="eastAsia"/>
                <w:color w:val="auto"/>
                <w:lang w:val="en-US" w:eastAsia="zh-CN"/>
              </w:rPr>
              <w:t>项目建设后，项目厂区除绿化区域外地面全部硬化，生产过程不排放持久性及重金属等污染物，并严格按照要求进行分区防渗防控，对土壤环境影响小，不会改变地下水环境、土壤环境质量现状等级，符合土壤环境风险防控底线要求。</w:t>
            </w:r>
          </w:p>
          <w:p>
            <w:pPr>
              <w:bidi w:val="0"/>
              <w:rPr>
                <w:rFonts w:hint="eastAsia"/>
                <w:b/>
                <w:bCs/>
                <w:color w:val="auto"/>
                <w:lang w:val="en-US" w:eastAsia="zh-CN"/>
              </w:rPr>
            </w:pPr>
            <w:r>
              <w:rPr>
                <w:rFonts w:hint="eastAsia"/>
                <w:b/>
                <w:bCs/>
                <w:color w:val="auto"/>
                <w:lang w:val="en-US" w:eastAsia="zh-CN"/>
              </w:rPr>
              <w:t>（3）资源利用上线</w:t>
            </w:r>
          </w:p>
          <w:p>
            <w:pPr>
              <w:bidi w:val="0"/>
              <w:rPr>
                <w:rFonts w:hint="eastAsia"/>
                <w:color w:val="auto"/>
                <w:lang w:val="en-US" w:eastAsia="zh-CN"/>
              </w:rPr>
            </w:pPr>
            <w:r>
              <w:rPr>
                <w:rFonts w:hint="eastAsia"/>
                <w:color w:val="auto"/>
                <w:lang w:val="en-US" w:eastAsia="zh-CN"/>
              </w:rPr>
              <w:t>①水资源利用上线</w:t>
            </w:r>
          </w:p>
          <w:p>
            <w:pPr>
              <w:bidi w:val="0"/>
              <w:rPr>
                <w:rFonts w:hint="eastAsia"/>
                <w:color w:val="auto"/>
                <w:lang w:val="en-US" w:eastAsia="zh-CN"/>
              </w:rPr>
            </w:pPr>
            <w:r>
              <w:rPr>
                <w:rFonts w:hint="eastAsia"/>
                <w:color w:val="auto"/>
                <w:lang w:val="en-US" w:eastAsia="zh-CN"/>
              </w:rPr>
              <w:t>到2025年，全市总用水量目标值为28亿立方米，万元工业增加值用水量达到12立方米、万元GDP用水量达到19立方米、农田灌溉有效利用系数达到0.586。2035年指标以省人民政府下达为准</w:t>
            </w:r>
            <w:r>
              <w:rPr>
                <w:rFonts w:hint="default"/>
                <w:color w:val="auto"/>
                <w:lang w:val="en-US" w:eastAsia="zh-CN"/>
              </w:rPr>
              <w:t>。</w:t>
            </w:r>
          </w:p>
          <w:p>
            <w:pPr>
              <w:bidi w:val="0"/>
              <w:rPr>
                <w:rFonts w:hint="eastAsia"/>
                <w:color w:val="auto"/>
                <w:lang w:val="en-US" w:eastAsia="zh-CN"/>
              </w:rPr>
            </w:pPr>
            <w:r>
              <w:rPr>
                <w:rFonts w:hint="eastAsia"/>
                <w:color w:val="auto"/>
                <w:lang w:val="en-US" w:eastAsia="zh-CN"/>
              </w:rPr>
              <w:t>项目运营期用水均来自市政供水，用水量不大，不属于高耗水项目，因此项目建设不会突破水资源利用上线。</w:t>
            </w:r>
          </w:p>
          <w:p>
            <w:pPr>
              <w:bidi w:val="0"/>
              <w:rPr>
                <w:rFonts w:hint="eastAsia"/>
                <w:color w:val="auto"/>
                <w:lang w:val="en-US" w:eastAsia="zh-CN"/>
              </w:rPr>
            </w:pPr>
            <w:r>
              <w:rPr>
                <w:rFonts w:hint="eastAsia"/>
                <w:color w:val="auto"/>
                <w:lang w:val="en-US" w:eastAsia="zh-CN"/>
              </w:rPr>
              <w:t>②土地资源利用上线</w:t>
            </w:r>
          </w:p>
          <w:p>
            <w:pPr>
              <w:bidi w:val="0"/>
              <w:rPr>
                <w:rFonts w:hint="eastAsia"/>
                <w:color w:val="auto"/>
                <w:lang w:val="en-US" w:eastAsia="zh-CN"/>
              </w:rPr>
            </w:pPr>
            <w:r>
              <w:rPr>
                <w:rFonts w:hint="eastAsia"/>
                <w:color w:val="auto"/>
                <w:lang w:val="en-US" w:eastAsia="zh-CN"/>
              </w:rPr>
              <w:t>到2025年，耕地保有量达到947.53平方千米，基本农田保护面积达到844.82平方千米。2035年指标与2025年保持一致。</w:t>
            </w:r>
          </w:p>
          <w:p>
            <w:pPr>
              <w:bidi w:val="0"/>
              <w:rPr>
                <w:rFonts w:hint="eastAsia"/>
                <w:color w:val="auto"/>
                <w:lang w:val="en-US" w:eastAsia="zh-CN"/>
              </w:rPr>
            </w:pPr>
            <w:r>
              <w:rPr>
                <w:rFonts w:hint="eastAsia" w:ascii="Times New Roman" w:hAnsi="Times New Roman" w:eastAsia="宋体" w:cs="Times New Roman"/>
                <w:color w:val="auto"/>
                <w:spacing w:val="0"/>
                <w:sz w:val="24"/>
                <w:szCs w:val="24"/>
                <w:highlight w:val="none"/>
                <w:lang w:eastAsia="zh-CN"/>
              </w:rPr>
              <w:t>本项目</w:t>
            </w:r>
            <w:r>
              <w:rPr>
                <w:rFonts w:hint="eastAsia"/>
                <w:color w:val="auto"/>
                <w:lang w:val="en-US" w:eastAsia="zh-CN"/>
              </w:rPr>
              <w:t>不涉及占用基本农田，</w:t>
            </w:r>
            <w:r>
              <w:rPr>
                <w:rFonts w:hint="eastAsia" w:cs="Times New Roman"/>
                <w:color w:val="auto"/>
                <w:spacing w:val="0"/>
                <w:sz w:val="24"/>
                <w:szCs w:val="24"/>
                <w:highlight w:val="none"/>
                <w:lang w:val="en-US" w:eastAsia="zh-CN"/>
              </w:rPr>
              <w:t>土地用途已变更为</w:t>
            </w:r>
            <w:r>
              <w:rPr>
                <w:rFonts w:hint="eastAsia" w:ascii="Times New Roman" w:hAnsi="Times New Roman" w:eastAsia="宋体" w:cs="Times New Roman"/>
                <w:color w:val="auto"/>
                <w:spacing w:val="0"/>
                <w:sz w:val="24"/>
                <w:szCs w:val="24"/>
                <w:highlight w:val="none"/>
                <w:lang w:eastAsia="zh-CN"/>
              </w:rPr>
              <w:t>工业用地，</w:t>
            </w:r>
            <w:r>
              <w:rPr>
                <w:rFonts w:hint="eastAsia"/>
                <w:b w:val="0"/>
                <w:bCs w:val="0"/>
                <w:color w:val="auto"/>
                <w:sz w:val="24"/>
                <w:szCs w:val="24"/>
                <w:u w:val="none"/>
                <w:lang w:val="en-US" w:eastAsia="zh-CN"/>
              </w:rPr>
              <w:t>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lang w:val="en-US" w:eastAsia="zh-CN"/>
              </w:rPr>
              <w:t>，符合土地资源利用上线管控要求。</w:t>
            </w:r>
          </w:p>
          <w:p>
            <w:pPr>
              <w:bidi w:val="0"/>
              <w:rPr>
                <w:rFonts w:hint="eastAsia"/>
                <w:color w:val="auto"/>
                <w:lang w:val="en-US" w:eastAsia="zh-CN"/>
              </w:rPr>
            </w:pPr>
            <w:r>
              <w:rPr>
                <w:rFonts w:hint="eastAsia"/>
                <w:color w:val="auto"/>
                <w:lang w:val="en-US" w:eastAsia="zh-CN"/>
              </w:rPr>
              <w:t>③能源资源利用上线</w:t>
            </w:r>
          </w:p>
          <w:p>
            <w:pPr>
              <w:bidi w:val="0"/>
              <w:rPr>
                <w:rFonts w:hint="eastAsia"/>
                <w:color w:val="auto"/>
                <w:lang w:val="en-US" w:eastAsia="zh-CN"/>
              </w:rPr>
            </w:pPr>
            <w:r>
              <w:rPr>
                <w:rFonts w:hint="eastAsia"/>
                <w:color w:val="auto"/>
                <w:lang w:val="en-US" w:eastAsia="zh-CN"/>
              </w:rPr>
              <w:t>到2025年，单位地区生产总值二氧化碳排放降低率达到19.5%，单位地区生产总值能源消耗降低率达到14%，非化石能源占一次能源消费比例达到32%。2035年指标以省人民政府下达为准。</w:t>
            </w:r>
          </w:p>
          <w:p>
            <w:pPr>
              <w:bidi w:val="0"/>
              <w:rPr>
                <w:rFonts w:hint="eastAsia"/>
                <w:color w:val="auto"/>
                <w:lang w:val="en-US" w:eastAsia="zh-CN"/>
              </w:rPr>
            </w:pPr>
            <w:r>
              <w:rPr>
                <w:rFonts w:hint="eastAsia"/>
                <w:color w:val="auto"/>
                <w:lang w:val="en-US" w:eastAsia="zh-CN"/>
              </w:rPr>
              <w:t>项目设备使用电能作为能源，不涉及高污染燃料使用，项目与福州市能源资源利用上线要求相符。</w:t>
            </w:r>
          </w:p>
          <w:p>
            <w:pPr>
              <w:pStyle w:val="26"/>
              <w:spacing w:line="360" w:lineRule="auto"/>
              <w:ind w:firstLine="480" w:firstLineChars="200"/>
              <w:outlineLvl w:val="1"/>
              <w:rPr>
                <w:rFonts w:hint="default"/>
                <w:color w:val="auto"/>
                <w:lang w:val="en-US" w:eastAsia="zh-CN"/>
              </w:rPr>
            </w:pPr>
            <w:r>
              <w:rPr>
                <w:rFonts w:hint="eastAsia"/>
                <w:color w:val="auto"/>
                <w:u w:val="none"/>
              </w:rPr>
              <w:t>综上所述，项目建设不会突破区域资源利用上线。</w:t>
            </w:r>
          </w:p>
          <w:p>
            <w:pPr>
              <w:bidi w:val="0"/>
              <w:rPr>
                <w:rFonts w:hint="eastAsia"/>
                <w:b/>
                <w:bCs/>
                <w:color w:val="auto"/>
                <w:lang w:val="en-US" w:eastAsia="zh-CN"/>
              </w:rPr>
            </w:pPr>
            <w:r>
              <w:rPr>
                <w:rFonts w:hint="eastAsia"/>
                <w:b/>
                <w:bCs/>
                <w:color w:val="auto"/>
                <w:lang w:val="en-US" w:eastAsia="zh-CN"/>
              </w:rPr>
              <w:t>（4）</w:t>
            </w:r>
            <w:r>
              <w:rPr>
                <w:rFonts w:hint="default"/>
                <w:b/>
                <w:bCs/>
                <w:color w:val="auto"/>
                <w:lang w:val="en-US" w:eastAsia="zh-CN"/>
              </w:rPr>
              <w:t>生态环境准入清单</w:t>
            </w:r>
          </w:p>
          <w:p>
            <w:pPr>
              <w:bidi w:val="0"/>
              <w:rPr>
                <w:rFonts w:hint="default" w:ascii="Times New Roman" w:hAnsi="Times New Roman" w:eastAsia="宋体"/>
                <w:color w:val="auto"/>
                <w:sz w:val="21"/>
                <w:szCs w:val="21"/>
                <w:lang w:val="en-US" w:eastAsia="zh-CN"/>
              </w:rPr>
            </w:pPr>
            <w:r>
              <w:rPr>
                <w:rFonts w:hint="eastAsia"/>
                <w:b w:val="0"/>
                <w:bCs w:val="0"/>
                <w:color w:val="auto"/>
                <w:lang w:val="en-US" w:eastAsia="zh-CN"/>
              </w:rPr>
              <w:t>对照</w:t>
            </w:r>
            <w:r>
              <w:rPr>
                <w:rFonts w:hint="default" w:ascii="Times New Roman" w:hAnsi="Times New Roman" w:eastAsia="宋体" w:cs="Times New Roman"/>
                <w:color w:val="auto"/>
                <w:sz w:val="24"/>
                <w:szCs w:val="24"/>
                <w:lang w:val="en-US" w:eastAsia="zh-CN"/>
              </w:rPr>
              <w:t>《福州市生态环境局关于发布福州市2024年生态环境分区管控动态更新成果的通知》（榕环保综〔2025〕1号）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b w:val="0"/>
                <w:bCs w:val="0"/>
                <w:color w:val="auto"/>
                <w:lang w:val="en-US" w:eastAsia="zh-CN"/>
              </w:rPr>
              <w:t>，项目与福州市陆域总体准入要求符合性分析见表1-2，与福清市重点管控单元准入要求符合性分析见表1-3。福建省生态环境分区管控数据应用平台查询结果截图详见附图十五、附件八。</w:t>
            </w:r>
            <w:bookmarkEnd w:id="3"/>
            <w:bookmarkEnd w:id="4"/>
            <w:bookmarkEnd w:id="5"/>
            <w:bookmarkEnd w:id="6"/>
            <w:bookmarkEnd w:id="7"/>
          </w:p>
        </w:tc>
      </w:tr>
    </w:tbl>
    <w:p>
      <w:pPr>
        <w:pStyle w:val="17"/>
        <w:jc w:val="center"/>
        <w:outlineLvl w:val="9"/>
        <w:rPr>
          <w:rFonts w:hint="default" w:ascii="Times New Roman" w:hAnsi="Times New Roman" w:eastAsia="宋体" w:cs="Times New Roman"/>
          <w:snapToGrid w:val="0"/>
          <w:color w:val="auto"/>
          <w:sz w:val="30"/>
          <w:szCs w:val="30"/>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07" w:type="dxa"/>
            <w:noWrap w:val="0"/>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12945"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 xml:space="preserve"> 与福州市陆域总体准入要求的符合性分析</w:t>
            </w:r>
          </w:p>
          <w:tbl>
            <w:tblPr>
              <w:tblStyle w:val="20"/>
              <w:tblW w:w="12923"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8"/>
              <w:gridCol w:w="558"/>
              <w:gridCol w:w="416"/>
              <w:gridCol w:w="165"/>
              <w:gridCol w:w="788"/>
              <w:gridCol w:w="687"/>
              <w:gridCol w:w="749"/>
              <w:gridCol w:w="4874"/>
              <w:gridCol w:w="1"/>
              <w:gridCol w:w="1833"/>
              <w:gridCol w:w="3"/>
              <w:gridCol w:w="1786"/>
              <w:gridCol w:w="1"/>
              <w:gridCol w:w="375"/>
              <w:gridCol w:w="3"/>
              <w:gridCol w:w="445"/>
              <w:gridCol w:w="1"/>
              <w:gridCol w:w="114"/>
              <w:gridCol w:w="3"/>
              <w:gridCol w:w="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1"/>
                <w:wBefore w:w="41" w:type="pct"/>
                <w:wAfter w:w="1" w:type="pct"/>
                <w:trHeight w:val="397" w:hRule="atLeast"/>
              </w:trPr>
              <w:tc>
                <w:tcPr>
                  <w:tcW w:w="216" w:type="pc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3682" w:type="pct"/>
                  <w:gridSpan w:val="9"/>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restar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福州市</w:t>
                  </w:r>
                  <w:r>
                    <w:rPr>
                      <w:rFonts w:hint="default" w:ascii="Times New Roman" w:hAnsi="Times New Roman" w:eastAsia="宋体" w:cs="Times New Roman"/>
                      <w:color w:val="auto"/>
                      <w:sz w:val="21"/>
                      <w:szCs w:val="21"/>
                    </w:rPr>
                    <w:t>陆域</w:t>
                  </w:r>
                </w:p>
              </w:tc>
              <w:tc>
                <w:tcPr>
                  <w:tcW w:w="225" w:type="pct"/>
                  <w:gridSpan w:val="2"/>
                  <w:vMerge w:val="restar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456" w:type="pct"/>
                  <w:gridSpan w:val="6"/>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管护巡护、保护执法、科学研究、调查监测、测绘导航、防灾减灾救灾、军事国防、疫情防控等活动及相关的必要设施修筑。</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经依法批准的考古调查发掘、古生物化石调查发掘、标本采集和文物保护活动。</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按规定对人工商品林进行抚育采伐，或以提升森林质量、优化栖息地、建设生物防火隔离带等为目的的树种更新，依法开展的竹林采伐经营。</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不破坏生态功能的适度参观旅游、科普宣教及符合相关规划的配套性服务设施和相关的必要公共设施建设及维护。</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必须且无法避让、符合县级以上国土空间规划的线性基础设施、通讯和防洪、供水设施建设和船舶航行、航道疏浚清淤等活动；已有的合法水利、交通运输等设施运行维护改造。</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依据县级以上国土空间规划和生态保护修复专项规划开展的生态修复。</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（9）法律法规规定允许的其他人为活动。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2.依据《福建省自然资源厅福建省生态环境厅福建省林业局关于进一步加强生态保护红线监管的通知（试行）》（闽自然资发〔2023〕56号），允许占用生态保护红线的重大项目范围：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（1）党中央、国务院发布文件或批准规划中明确具体名称的项目和国务院批准的项目。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（2）中央军委及其有关部门批准的军事国防项目。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（3）国家级规划（指国务院及其有关部门正式颁布）明确的交通、水利项目。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（4）国家级规划明确的电网项目，国家级规划明确的且符合国家产业政策的能源矿产勘查开采、油气管线、水电、核电项目。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（5）为贯彻落实党中央、国务院重大决策部署，国务院投资主管部门或国务院投资主管部门会同有关部门确认的交通、能源、水利等基础设施项目。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（6）按照国家重大项目用地保障工作机制要求，国家发展</w:t>
                  </w:r>
                  <w:r>
                    <w:rPr>
                      <w:rFonts w:hint="eastAsia" w:cs="Times New Roman"/>
                      <w:color w:val="auto"/>
                      <w:kern w:val="0"/>
                      <w:sz w:val="21"/>
                      <w:szCs w:val="21"/>
                      <w:lang w:val="en-US" w:eastAsia="zh-CN" w:bidi="ar-SA"/>
                    </w:rPr>
                    <w:t>和</w:t>
                  </w:r>
                  <w:r>
                    <w:rPr>
                      <w:rFonts w:hint="eastAsia" w:ascii="Times New Roman" w:hAnsi="Times New Roman" w:eastAsia="宋体" w:cs="Times New Roman"/>
                      <w:color w:val="auto"/>
                      <w:kern w:val="0"/>
                      <w:sz w:val="21"/>
                      <w:szCs w:val="21"/>
                      <w:lang w:val="en-US" w:eastAsia="zh-CN" w:bidi="ar-SA"/>
                    </w:rPr>
                    <w:t>改革委</w:t>
                  </w:r>
                  <w:r>
                    <w:rPr>
                      <w:rFonts w:hint="eastAsia" w:cs="Times New Roman"/>
                      <w:color w:val="auto"/>
                      <w:kern w:val="0"/>
                      <w:sz w:val="21"/>
                      <w:szCs w:val="21"/>
                      <w:lang w:val="en-US" w:eastAsia="zh-CN" w:bidi="ar-SA"/>
                    </w:rPr>
                    <w:t>员</w:t>
                  </w:r>
                  <w:r>
                    <w:rPr>
                      <w:rFonts w:hint="eastAsia" w:ascii="Times New Roman" w:hAnsi="Times New Roman" w:eastAsia="宋体" w:cs="Times New Roman"/>
                      <w:color w:val="auto"/>
                      <w:kern w:val="0"/>
                      <w:sz w:val="21"/>
                      <w:szCs w:val="21"/>
                      <w:lang w:val="en-US" w:eastAsia="zh-CN" w:bidi="ar-SA"/>
                    </w:rPr>
                    <w:t>会同有关部门确认的需中央加大建设用地保障力度，确实难以避让的国家重大项目。</w:t>
                  </w:r>
                </w:p>
              </w:tc>
              <w:tc>
                <w:tcPr>
                  <w:tcW w:w="838" w:type="pct"/>
                  <w:gridSpan w:val="4"/>
                  <w:noWrap w:val="0"/>
                  <w:vAlign w:val="center"/>
                </w:tcPr>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本项目位于福建省福州市福清市海口镇南厝村，不涉及生态保护红线。</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3456" w:type="pct"/>
                  <w:gridSpan w:val="6"/>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二、优先保护单元中的一般生态空间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1.一般生态空间以保护和修复生态环境、提供生态产品和服务为首要任务，因地制宜地发展不影响主体功能定位的适宜产业。</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2.一般生态空间内未纳入生态保护红线的饮用水水源保护区等各类法定保护地，其管控要求依照相关法律法规执行。</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3.一般生态空间内现有合法的水泥厂、矿山开发等生产性设施及生活垃圾处置等民生工程予以保留，应按照法律法规要求落实污染防治和生态保护措施，避免对生态功能造成破坏。</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本项目位于</w:t>
                  </w:r>
                  <w:r>
                    <w:rPr>
                      <w:rFonts w:hint="eastAsia" w:ascii="Times New Roman" w:hAnsi="Times New Roman" w:eastAsia="宋体" w:cs="Times New Roman"/>
                      <w:color w:val="auto"/>
                      <w:kern w:val="0"/>
                      <w:sz w:val="21"/>
                      <w:szCs w:val="21"/>
                      <w:lang w:val="en-US" w:eastAsia="zh-CN" w:bidi="ar-SA"/>
                    </w:rPr>
                    <w:t>福清市海口镇南厝村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kern w:val="0"/>
                      <w:sz w:val="21"/>
                      <w:szCs w:val="21"/>
                      <w:lang w:val="en-US" w:eastAsia="zh-CN" w:bidi="ar-SA"/>
                    </w:rPr>
                    <w:t>不涉及一般生态空间。</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90"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3456" w:type="pct"/>
                  <w:gridSpan w:val="6"/>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三、其他要求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1.福州市石化中上游项目重点在福州江阴港城经济区、可门港经济区化工新材料产业园布局。</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2.禁止在闽江马尾罗星塔以上流域范围新、扩建制革项目，严控新（扩）建植物制浆、印染、合成革及人造革、电镀项目。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3.禁止在通风廊道和主导风向的上风向布局大气重污染企业，推进建成区大气重污染企业搬迁或升级改造、环境风险企业搬迁或关闭退出。</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4.禁止新、改、扩建生产高VOCs含量有机溶剂型涂料、油墨和胶黏剂的项目。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5.持续加强闽清等地建陶产业的环境综合治理，充分衔接国土空间规划和生态环境分区管控，并对照产业政策、城市总体发展规划等要求，进一步明确发展定位，优化产业布局和规模。</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6.新建、扩建的涉及重点重金属污染物</w:t>
                  </w:r>
                  <w:r>
                    <w:rPr>
                      <w:rFonts w:hint="eastAsia" w:ascii="Times New Roman" w:hAnsi="Times New Roman" w:eastAsia="宋体" w:cs="Times New Roman"/>
                      <w:b w:val="0"/>
                      <w:bCs w:val="0"/>
                      <w:color w:val="auto"/>
                      <w:kern w:val="0"/>
                      <w:sz w:val="21"/>
                      <w:szCs w:val="21"/>
                      <w:vertAlign w:val="super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7.禁止在流域上游新建、扩建重污染企业和项目。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8.重要敏感水体及富营养化湖库生态缓冲带除相关政府部门批准的科学研究活动外，禁止其它可能对保护区构成危害或不良影响的大规模生产、建设活动。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9.新、改、扩建煤电、钢铁、建材、石化、化工等“两高”项目，严格落实国家、省、市产业规划、产业政策、“三线一单”、规划环评，以及产能置换、煤炭消费减量替代、区域污染削减等相关要求。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w:t>
                  </w:r>
                  <w:r>
                    <w:rPr>
                      <w:rFonts w:hint="eastAsia" w:ascii="Times New Roman" w:hAnsi="Times New Roman" w:cs="Times New Roman"/>
                      <w:color w:val="auto"/>
                      <w:kern w:val="0"/>
                      <w:sz w:val="21"/>
                      <w:szCs w:val="21"/>
                      <w:lang w:val="en-US" w:eastAsia="zh-CN" w:bidi="ar-SA"/>
                    </w:rPr>
                    <w:t>项目</w:t>
                  </w:r>
                  <w:r>
                    <w:rPr>
                      <w:rFonts w:hint="eastAsia" w:ascii="Times New Roman" w:hAnsi="Times New Roman" w:eastAsia="宋体" w:cs="Times New Roman"/>
                      <w:color w:val="auto"/>
                      <w:kern w:val="0"/>
                      <w:sz w:val="21"/>
                      <w:szCs w:val="21"/>
                      <w:lang w:val="en-US" w:eastAsia="zh-CN" w:bidi="ar-SA"/>
                    </w:rPr>
                    <w:t>，不属于低端落后产能项目，不涉及使用汞的电石法（聚）氯乙烯生产工艺，不属于电镀企业；</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3.严格控制新建、改建、扩建钢铁、水泥、平板玻璃、有色金属冶炼、化工等工业项目。新</w:t>
                  </w:r>
                  <w:r>
                    <w:rPr>
                      <w:rFonts w:hint="default" w:ascii="Times New Roman" w:hAnsi="Times New Roman" w:eastAsia="宋体" w:cs="Times New Roman"/>
                      <w:color w:val="auto"/>
                      <w:sz w:val="21"/>
                      <w:szCs w:val="21"/>
                    </w:rPr>
                    <w:t>改扩建钢铁、火电项目应执行超低排放限值，有色项目应当执行大气污染物特别排放限值。重点控制区新建化工、石化应当执行大气污染物特别排放限值。</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cs="Times New Roman"/>
                      <w:color w:val="auto"/>
                      <w:sz w:val="21"/>
                      <w:szCs w:val="21"/>
                      <w:lang w:val="en-US" w:eastAsia="zh-CN"/>
                    </w:rPr>
                    <w:t>水和大气不涉及新增排放总量指标。</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2.项目不涉及VOCs排放；</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w:t>
                  </w:r>
                  <w:r>
                    <w:rPr>
                      <w:rFonts w:hint="eastAsia" w:ascii="Times New Roman" w:hAnsi="Times New Roman" w:eastAsia="宋体" w:cs="Times New Roman"/>
                      <w:color w:val="auto"/>
                      <w:sz w:val="21"/>
                      <w:szCs w:val="21"/>
                      <w:lang w:val="en-US" w:eastAsia="zh-CN"/>
                    </w:rPr>
                    <w:t>不属于</w:t>
                  </w:r>
                  <w:r>
                    <w:rPr>
                      <w:rFonts w:hint="eastAsia" w:ascii="Times New Roman" w:hAnsi="Times New Roman" w:cs="Times New Roman"/>
                      <w:color w:val="auto"/>
                      <w:sz w:val="21"/>
                      <w:szCs w:val="21"/>
                      <w:lang w:val="en-US" w:eastAsia="zh-CN"/>
                    </w:rPr>
                    <w:t>严格控制的</w:t>
                  </w:r>
                  <w:r>
                    <w:rPr>
                      <w:rFonts w:hint="eastAsia" w:ascii="Times New Roman" w:hAnsi="Times New Roman" w:eastAsia="宋体" w:cs="Times New Roman"/>
                      <w:color w:val="auto"/>
                      <w:sz w:val="21"/>
                      <w:szCs w:val="21"/>
                      <w:lang w:val="en-US" w:eastAsia="zh-CN"/>
                    </w:rPr>
                    <w:t>钢铁、水泥、平板玻璃、有色金属冶炼、化工等工业项目；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6.项目不涉及燃煤、燃油、燃生物质锅炉</w:t>
                  </w:r>
                  <w:r>
                    <w:rPr>
                      <w:rFonts w:hint="eastAsia" w:cs="Times New Roman"/>
                      <w:color w:val="auto"/>
                      <w:kern w:val="0"/>
                      <w:sz w:val="21"/>
                      <w:szCs w:val="21"/>
                      <w:lang w:val="en-US" w:eastAsia="zh-CN" w:bidi="ar-SA"/>
                    </w:rPr>
                    <w:t>的</w:t>
                  </w:r>
                  <w:r>
                    <w:rPr>
                      <w:rFonts w:hint="eastAsia" w:ascii="Times New Roman" w:hAnsi="Times New Roman" w:eastAsia="宋体" w:cs="Times New Roman"/>
                      <w:color w:val="auto"/>
                      <w:kern w:val="0"/>
                      <w:sz w:val="21"/>
                      <w:szCs w:val="21"/>
                      <w:lang w:val="en-US" w:eastAsia="zh-CN" w:bidi="ar-SA"/>
                    </w:rPr>
                    <w:t>使用；</w:t>
                  </w:r>
                </w:p>
                <w:p>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不涉及水泥生产，不需执行超低排放要求的水泥行业</w:t>
                  </w:r>
                  <w:r>
                    <w:rPr>
                      <w:rFonts w:hint="eastAsia" w:ascii="Times New Roman" w:hAnsi="Times New Roman" w:eastAsia="宋体" w:cs="Times New Roman"/>
                      <w:color w:val="auto"/>
                      <w:sz w:val="21"/>
                      <w:szCs w:val="21"/>
                      <w:lang w:val="en-US" w:eastAsia="zh-CN"/>
                    </w:rPr>
                    <w:t>；</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8.项目不属于化工项目，选址不位于化工园区，不属于印染、皮革、农药、医药、涂料等行业。</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949"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w:t>
                  </w:r>
                </w:p>
              </w:tc>
              <w:tc>
                <w:tcPr>
                  <w:tcW w:w="838" w:type="pct"/>
                  <w:gridSpan w:val="4"/>
                  <w:noWrap w:val="0"/>
                  <w:vAlign w:val="center"/>
                </w:tcPr>
                <w:p>
                  <w:pPr>
                    <w:keepNext w:val="0"/>
                    <w:keepLines w:val="0"/>
                    <w:pageBreakBefore w:val="0"/>
                    <w:widowControl/>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资源开发效率要求</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ascii="Times New Roman" w:hAnsi="Times New Roman" w:cs="Times New Roman"/>
                      <w:color w:val="auto"/>
                      <w:sz w:val="21"/>
                      <w:szCs w:val="21"/>
                      <w:lang w:val="en-US" w:eastAsia="zh-CN"/>
                    </w:rPr>
                    <w:t>不位于集中供热管网覆盖区域，</w:t>
                  </w:r>
                  <w:r>
                    <w:rPr>
                      <w:rFonts w:hint="eastAsia" w:ascii="Times New Roman" w:hAnsi="Times New Roman" w:eastAsia="宋体" w:cs="Times New Roman"/>
                      <w:color w:val="auto"/>
                      <w:sz w:val="21"/>
                      <w:szCs w:val="21"/>
                      <w:lang w:val="en-US" w:eastAsia="zh-CN"/>
                    </w:rPr>
                    <w:t>不涉及燃煤、燃油、燃生物质等高污染燃料锅炉的使用；</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wBefore w:w="41" w:type="pct"/>
                <w:trHeight w:val="397" w:hRule="atLeast"/>
              </w:trPr>
              <w:tc>
                <w:tcPr>
                  <w:tcW w:w="4958" w:type="pct"/>
                  <w:gridSpan w:val="19"/>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p>
                  <w:pPr>
                    <w:spacing w:before="120" w:beforeLines="50"/>
                    <w:jc w:val="center"/>
                    <w:rPr>
                      <w:rFonts w:hint="eastAsia"/>
                      <w:color w:val="auto"/>
                      <w:lang w:val="en-US" w:eastAsia="zh-CN"/>
                    </w:rPr>
                  </w:pPr>
                  <w:r>
                    <w:rPr>
                      <w:rFonts w:hint="default"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3 </w:t>
                  </w:r>
                  <w:r>
                    <w:rPr>
                      <w:rFonts w:hint="eastAsia" w:ascii="Times New Roman" w:hAnsi="Times New Roman" w:eastAsia="宋体" w:cs="Times New Roman"/>
                      <w:b/>
                      <w:bCs/>
                      <w:color w:val="auto"/>
                      <w:sz w:val="21"/>
                      <w:szCs w:val="21"/>
                      <w:lang w:val="en-US" w:eastAsia="zh-CN"/>
                    </w:rPr>
                    <w:t>与环境管控单元准入要求符合性分析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44" w:type="pct"/>
                <w:trHeight w:val="397" w:hRule="atLeast"/>
              </w:trPr>
              <w:tc>
                <w:tcPr>
                  <w:tcW w:w="419" w:type="pct"/>
                  <w:gridSpan w:val="3"/>
                  <w:tcBorders>
                    <w:top w:val="single" w:color="auto" w:sz="12" w:space="0"/>
                    <w:left w:val="nil"/>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w:t>
                  </w:r>
                </w:p>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单元编码</w:t>
                  </w:r>
                </w:p>
              </w:tc>
              <w:tc>
                <w:tcPr>
                  <w:tcW w:w="369" w:type="pct"/>
                  <w:gridSpan w:val="2"/>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环境管控单元名称</w:t>
                  </w:r>
                </w:p>
              </w:tc>
              <w:tc>
                <w:tcPr>
                  <w:tcW w:w="266"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管控单元分类</w:t>
                  </w:r>
                </w:p>
              </w:tc>
              <w:tc>
                <w:tcPr>
                  <w:tcW w:w="2176" w:type="pct"/>
                  <w:gridSpan w:val="3"/>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管控要求</w:t>
                  </w:r>
                </w:p>
              </w:tc>
              <w:tc>
                <w:tcPr>
                  <w:tcW w:w="1402" w:type="pct"/>
                  <w:gridSpan w:val="4"/>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本项目</w:t>
                  </w:r>
                </w:p>
              </w:tc>
              <w:tc>
                <w:tcPr>
                  <w:tcW w:w="319" w:type="pct"/>
                  <w:gridSpan w:val="4"/>
                  <w:tcBorders>
                    <w:top w:val="single" w:color="auto" w:sz="12" w:space="0"/>
                    <w:left w:val="single" w:color="auto" w:sz="4" w:space="0"/>
                    <w:bottom w:val="single" w:color="auto" w:sz="4" w:space="0"/>
                    <w:right w:val="nil"/>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95" w:hRule="atLeast"/>
              </w:trPr>
              <w:tc>
                <w:tcPr>
                  <w:tcW w:w="419" w:type="pct"/>
                  <w:gridSpan w:val="3"/>
                  <w:tcBorders>
                    <w:top w:val="single" w:color="auto" w:sz="4" w:space="0"/>
                    <w:left w:val="nil"/>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ZH35018120008</w:t>
                  </w:r>
                </w:p>
              </w:tc>
              <w:tc>
                <w:tcPr>
                  <w:tcW w:w="36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福清市重点管控单元1</w:t>
                  </w:r>
                </w:p>
              </w:tc>
              <w:tc>
                <w:tcPr>
                  <w:tcW w:w="26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重点管控单元</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空间布局约束</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1、</w:t>
                  </w:r>
                  <w:r>
                    <w:rPr>
                      <w:rFonts w:hint="default"/>
                      <w:color w:val="auto"/>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2、</w:t>
                  </w:r>
                  <w:r>
                    <w:rPr>
                      <w:rFonts w:hint="default"/>
                      <w:color w:val="auto"/>
                    </w:rPr>
                    <w:t>严格控制包装印刷、工业涂装、制鞋等高VOCs排放的项目建设，相关新建项目必须进入工业园区。</w:t>
                  </w:r>
                </w:p>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rPr>
                  </w:pPr>
                  <w:r>
                    <w:rPr>
                      <w:rFonts w:hint="default"/>
                      <w:color w:val="auto"/>
                    </w:rPr>
                    <w:t>3.禁止开发利用未经评估和无害化处理的列入建设用地污染地块名录及开发利用负面清单的土地。</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1.本项目不属于危险化学品生产企业，也不属于有色金属、印染、原料药制造、化工等污染较重的企业；</w:t>
                  </w:r>
                </w:p>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2.项目</w:t>
                  </w:r>
                  <w:r>
                    <w:rPr>
                      <w:rFonts w:hint="eastAsia"/>
                      <w:color w:val="auto"/>
                      <w:lang w:val="en-US" w:eastAsia="zh-CN"/>
                    </w:rPr>
                    <w:t>不属于</w:t>
                  </w:r>
                  <w:r>
                    <w:rPr>
                      <w:rFonts w:hint="default"/>
                      <w:color w:val="auto"/>
                    </w:rPr>
                    <w:t>包装印刷、工业涂装、制鞋等高VOCs排放的项目，不涉及VOCs排放；</w:t>
                  </w:r>
                </w:p>
                <w:p>
                  <w:pPr>
                    <w:pStyle w:val="31"/>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lang w:eastAsia="zh-CN"/>
                    </w:rPr>
                  </w:pPr>
                  <w:r>
                    <w:rPr>
                      <w:rFonts w:hint="default"/>
                      <w:color w:val="auto"/>
                    </w:rPr>
                    <w:t>3.本项目用地未被列入福建省建设用地污染地块名录及开发利用负面清单</w:t>
                  </w:r>
                  <w:r>
                    <w:rPr>
                      <w:rFonts w:hint="eastAsia"/>
                      <w:color w:val="auto"/>
                      <w:lang w:eastAsia="zh-CN"/>
                    </w:rPr>
                    <w:t>。</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1388" w:hRule="atLeast"/>
              </w:trPr>
              <w:tc>
                <w:tcPr>
                  <w:tcW w:w="419" w:type="pct"/>
                  <w:gridSpan w:val="3"/>
                  <w:vMerge w:val="restart"/>
                  <w:tcBorders>
                    <w:top w:val="single" w:color="auto" w:sz="4" w:space="0"/>
                    <w:left w:val="nil"/>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p>
              </w:tc>
              <w:tc>
                <w:tcPr>
                  <w:tcW w:w="369" w:type="pct"/>
                  <w:gridSpan w:val="2"/>
                  <w:vMerge w:val="restart"/>
                  <w:tcBorders>
                    <w:top w:val="single" w:color="auto" w:sz="4" w:space="0"/>
                    <w:left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污染物排放管控</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落实新增二氧化硫、氮氧化物和VOCs排放总量控制要求</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lang w:eastAsia="zh-CN"/>
                    </w:rPr>
                  </w:pPr>
                  <w:r>
                    <w:rPr>
                      <w:rFonts w:hint="default"/>
                      <w:color w:val="auto"/>
                    </w:rPr>
                    <w:t>项目不涉及二氧化硫、氮氧化物、VOCs排放</w:t>
                  </w:r>
                  <w:r>
                    <w:rPr>
                      <w:rFonts w:hint="eastAsia"/>
                      <w:color w:val="auto"/>
                      <w:lang w:eastAsia="zh-CN"/>
                    </w:rPr>
                    <w:t>。</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2011" w:hRule="atLeast"/>
              </w:trPr>
              <w:tc>
                <w:tcPr>
                  <w:tcW w:w="419" w:type="pct"/>
                  <w:gridSpan w:val="3"/>
                  <w:vMerge w:val="continue"/>
                  <w:tcBorders>
                    <w:top w:val="single" w:color="auto" w:sz="4" w:space="0"/>
                    <w:left w:val="nil"/>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369" w:type="pct"/>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环境风险</w:t>
                  </w:r>
                </w:p>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防控</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项目为新建项目，且不属于化学原料和化学制品制造业、有色金属冶炼和压延加工业等具有潜在土壤污染环境风险的企业。</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397" w:hRule="atLeast"/>
              </w:trPr>
              <w:tc>
                <w:tcPr>
                  <w:tcW w:w="419" w:type="pct"/>
                  <w:gridSpan w:val="3"/>
                  <w:vMerge w:val="continue"/>
                  <w:tcBorders>
                    <w:top w:val="single" w:color="auto" w:sz="4" w:space="0"/>
                    <w:left w:val="nil"/>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369" w:type="pct"/>
                  <w:gridSpan w:val="2"/>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资源开发效率要求</w:t>
                  </w:r>
                </w:p>
              </w:tc>
              <w:tc>
                <w:tcPr>
                  <w:tcW w:w="1886"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高污染燃料禁燃区内禁止燃用高污染燃料，禁止新建、扩建燃用高污染燃料的设施。已建的燃用高污染燃料设施，限期改用电、天然气、液化石油气等清洁能源。</w:t>
                  </w:r>
                </w:p>
              </w:tc>
              <w:tc>
                <w:tcPr>
                  <w:tcW w:w="1402" w:type="pct"/>
                  <w:gridSpan w:val="4"/>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项目建成后不使用燃用高污染燃料，主要能源形式为电力，为清洁能源。</w:t>
                  </w:r>
                </w:p>
              </w:tc>
              <w:tc>
                <w:tcPr>
                  <w:tcW w:w="319" w:type="pct"/>
                  <w:gridSpan w:val="4"/>
                  <w:tcBorders>
                    <w:top w:val="single" w:color="auto" w:sz="4" w:space="0"/>
                    <w:left w:val="single" w:color="auto" w:sz="4" w:space="0"/>
                    <w:bottom w:val="single" w:color="auto" w:sz="12" w:space="0"/>
                    <w:right w:val="nil"/>
                    <w:tl2br w:val="nil"/>
                    <w:tr2bl w:val="nil"/>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rPr>
            </w:pPr>
            <w:r>
              <w:rPr>
                <w:rFonts w:hint="default" w:ascii="Times New Roman" w:hAnsi="Times New Roman" w:eastAsia="宋体" w:cs="Times New Roman"/>
                <w:color w:val="auto"/>
                <w:kern w:val="2"/>
                <w:sz w:val="24"/>
                <w:szCs w:val="24"/>
                <w:lang w:val="en-US" w:eastAsia="zh-CN" w:bidi="ar-SA"/>
              </w:rPr>
              <w:t>综上所述，项目建设符合</w:t>
            </w:r>
            <w:r>
              <w:rPr>
                <w:rFonts w:hint="eastAsia"/>
                <w:color w:val="auto"/>
                <w:sz w:val="24"/>
                <w:szCs w:val="24"/>
              </w:rPr>
              <w:t>区域总体管控要求，符合环境管控单元准入要求，符合福州市生态环境分区管控要求。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color w:val="auto"/>
                <w:kern w:val="2"/>
                <w:sz w:val="21"/>
                <w:szCs w:val="24"/>
                <w:lang w:val="en-US" w:eastAsia="zh-CN" w:bidi="ar-SA"/>
              </w:rPr>
            </w:pPr>
          </w:p>
        </w:tc>
      </w:tr>
    </w:tbl>
    <w:p>
      <w:pPr>
        <w:jc w:val="both"/>
        <w:outlineLvl w:val="9"/>
        <w:rPr>
          <w:rFonts w:hint="default" w:ascii="Times New Roman" w:hAnsi="Times New Roman" w:eastAsia="宋体" w:cs="Times New Roman"/>
          <w:snapToGrid w:val="0"/>
          <w:color w:val="auto"/>
          <w:sz w:val="30"/>
          <w:szCs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8" w:hRule="atLeast"/>
        </w:trPr>
        <w:tc>
          <w:tcPr>
            <w:tcW w:w="803" w:type="dxa"/>
            <w:noWrap w:val="0"/>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82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1"/>
                <w:szCs w:val="21"/>
                <w:lang w:val="en-US" w:eastAsia="zh-CN"/>
              </w:rPr>
            </w:pPr>
            <w:r>
              <w:rPr>
                <w:rFonts w:hint="eastAsia"/>
                <w:b/>
                <w:bCs/>
                <w:color w:val="auto"/>
                <w:lang w:val="en-US" w:eastAsia="zh-CN"/>
              </w:rPr>
              <w:t>6、与绿色预拌混凝土搅拌站建设符合性分析</w:t>
            </w:r>
          </w:p>
          <w:p>
            <w:pPr>
              <w:pStyle w:val="15"/>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20" w:firstLineChars="200"/>
              <w:jc w:val="left"/>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1"/>
                <w:szCs w:val="21"/>
                <w:lang w:val="en-US" w:eastAsia="zh-CN" w:bidi="ar-SA"/>
              </w:rPr>
              <w:t>本项目涉及预拌混凝土工艺，建设有预拌混凝土搅拌</w:t>
            </w:r>
            <w:r>
              <w:rPr>
                <w:rFonts w:hint="eastAsia" w:cs="Times New Roman"/>
                <w:color w:val="auto"/>
                <w:kern w:val="2"/>
                <w:sz w:val="21"/>
                <w:szCs w:val="21"/>
                <w:lang w:val="en-US" w:eastAsia="zh-CN" w:bidi="ar-SA"/>
              </w:rPr>
              <w:t>楼</w:t>
            </w:r>
            <w:r>
              <w:rPr>
                <w:rFonts w:hint="eastAsia" w:ascii="Times New Roman" w:hAnsi="Times New Roman" w:eastAsia="宋体" w:cs="Times New Roman"/>
                <w:color w:val="auto"/>
                <w:kern w:val="2"/>
                <w:sz w:val="21"/>
                <w:szCs w:val="21"/>
                <w:lang w:val="en-US" w:eastAsia="zh-CN" w:bidi="ar-SA"/>
              </w:rPr>
              <w:t>。根据下表分析可知，本项目基本符合《预拌混凝土绿色生产及管理技术规程》（JGJ/T328-2014）、《福州市城乡建设局关于加强绿色预拌混凝土搅拌站建设的通知》（榕建筑</w:t>
            </w:r>
            <w:r>
              <w:rPr>
                <w:rFonts w:hint="eastAsia" w:cs="Times New Roman"/>
                <w:color w:val="auto"/>
                <w:kern w:val="2"/>
                <w:sz w:val="21"/>
                <w:szCs w:val="21"/>
                <w:lang w:val="en-US" w:eastAsia="zh-CN" w:bidi="ar-SA"/>
              </w:rPr>
              <w:t>〔2019〕151号</w:t>
            </w:r>
            <w:r>
              <w:rPr>
                <w:rFonts w:hint="eastAsia" w:ascii="Times New Roman" w:hAnsi="Times New Roman" w:eastAsia="宋体" w:cs="Times New Roman"/>
                <w:color w:val="auto"/>
                <w:kern w:val="2"/>
                <w:sz w:val="21"/>
                <w:szCs w:val="21"/>
                <w:lang w:val="en-US" w:eastAsia="zh-CN" w:bidi="ar-SA"/>
              </w:rPr>
              <w:t>）中相关生产环保要求，属绿色生产。</w:t>
            </w:r>
          </w:p>
          <w:p>
            <w:pPr>
              <w:pStyle w:val="33"/>
              <w:bidi w:val="0"/>
              <w:rPr>
                <w:rFonts w:hint="eastAsia"/>
                <w:color w:val="auto"/>
              </w:rPr>
            </w:pPr>
            <w:r>
              <w:rPr>
                <w:rFonts w:hint="eastAsia"/>
                <w:color w:val="auto"/>
              </w:rPr>
              <w:t>表</w:t>
            </w:r>
            <w:r>
              <w:rPr>
                <w:rFonts w:hint="eastAsia"/>
                <w:color w:val="auto"/>
                <w:lang w:val="en-US" w:eastAsia="zh-CN"/>
              </w:rPr>
              <w:t xml:space="preserve">1-4 </w:t>
            </w:r>
            <w:r>
              <w:rPr>
                <w:rFonts w:hint="eastAsia"/>
                <w:color w:val="auto"/>
              </w:rPr>
              <w:t>与《预拌混凝土绿色生产及管理技术规程》（JGJ/T328-2014）要求符合性分析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458"/>
              <w:gridCol w:w="3149"/>
              <w:gridCol w:w="312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4" w:type="pct"/>
                  <w:gridSpan w:val="2"/>
                  <w:noWrap w:val="0"/>
                  <w:vAlign w:val="center"/>
                </w:tcPr>
                <w:p>
                  <w:pPr>
                    <w:pStyle w:val="31"/>
                    <w:bidi w:val="0"/>
                    <w:rPr>
                      <w:b/>
                      <w:bCs/>
                      <w:color w:val="auto"/>
                    </w:rPr>
                  </w:pPr>
                  <w:r>
                    <w:rPr>
                      <w:rFonts w:hint="eastAsia"/>
                      <w:b/>
                      <w:bCs/>
                      <w:color w:val="auto"/>
                    </w:rPr>
                    <w:t>项目</w:t>
                  </w:r>
                </w:p>
              </w:tc>
              <w:tc>
                <w:tcPr>
                  <w:tcW w:w="1958" w:type="pct"/>
                  <w:noWrap w:val="0"/>
                  <w:vAlign w:val="center"/>
                </w:tcPr>
                <w:p>
                  <w:pPr>
                    <w:pStyle w:val="31"/>
                    <w:bidi w:val="0"/>
                    <w:rPr>
                      <w:rFonts w:hint="eastAsia"/>
                      <w:b/>
                      <w:bCs/>
                      <w:color w:val="auto"/>
                      <w:lang w:eastAsia="zh-CN"/>
                    </w:rPr>
                  </w:pPr>
                  <w:r>
                    <w:rPr>
                      <w:b/>
                      <w:bCs/>
                      <w:color w:val="auto"/>
                    </w:rPr>
                    <w:t>预拌混凝土绿色生产及管理技术规程</w:t>
                  </w:r>
                  <w:r>
                    <w:rPr>
                      <w:rFonts w:hint="eastAsia"/>
                      <w:b/>
                      <w:bCs/>
                      <w:color w:val="auto"/>
                      <w:lang w:eastAsia="zh-CN"/>
                    </w:rPr>
                    <w:t>（摘录）</w:t>
                  </w:r>
                </w:p>
              </w:tc>
              <w:tc>
                <w:tcPr>
                  <w:tcW w:w="1940" w:type="pct"/>
                  <w:noWrap w:val="0"/>
                  <w:vAlign w:val="center"/>
                </w:tcPr>
                <w:p>
                  <w:pPr>
                    <w:pStyle w:val="31"/>
                    <w:bidi w:val="0"/>
                    <w:rPr>
                      <w:b/>
                      <w:bCs/>
                      <w:color w:val="auto"/>
                    </w:rPr>
                  </w:pPr>
                  <w:r>
                    <w:rPr>
                      <w:rFonts w:hint="eastAsia"/>
                      <w:b/>
                      <w:bCs/>
                      <w:color w:val="auto"/>
                    </w:rPr>
                    <w:t>项目情况</w:t>
                  </w:r>
                </w:p>
              </w:tc>
              <w:tc>
                <w:tcPr>
                  <w:tcW w:w="536" w:type="pct"/>
                  <w:noWrap w:val="0"/>
                  <w:vAlign w:val="center"/>
                </w:tcPr>
                <w:p>
                  <w:pPr>
                    <w:pStyle w:val="31"/>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4" w:type="pct"/>
                  <w:gridSpan w:val="2"/>
                  <w:vMerge w:val="restart"/>
                  <w:noWrap w:val="0"/>
                  <w:vAlign w:val="center"/>
                </w:tcPr>
                <w:p>
                  <w:pPr>
                    <w:pStyle w:val="31"/>
                    <w:bidi w:val="0"/>
                    <w:rPr>
                      <w:color w:val="auto"/>
                    </w:rPr>
                  </w:pPr>
                  <w:r>
                    <w:rPr>
                      <w:rFonts w:hint="eastAsia"/>
                      <w:color w:val="auto"/>
                    </w:rPr>
                    <w:t>厂区要求</w:t>
                  </w:r>
                </w:p>
              </w:tc>
              <w:tc>
                <w:tcPr>
                  <w:tcW w:w="1958" w:type="pct"/>
                  <w:noWrap w:val="0"/>
                  <w:vAlign w:val="center"/>
                </w:tcPr>
                <w:p>
                  <w:pPr>
                    <w:pStyle w:val="31"/>
                    <w:bidi w:val="0"/>
                    <w:rPr>
                      <w:color w:val="auto"/>
                    </w:rPr>
                  </w:pPr>
                  <w:r>
                    <w:rPr>
                      <w:color w:val="auto"/>
                    </w:rPr>
                    <w:t>厂区内的生产区、办公区和生活区宜分区布置</w:t>
                  </w:r>
                </w:p>
              </w:tc>
              <w:tc>
                <w:tcPr>
                  <w:tcW w:w="1940" w:type="pct"/>
                  <w:noWrap w:val="0"/>
                  <w:vAlign w:val="center"/>
                </w:tcPr>
                <w:p>
                  <w:pPr>
                    <w:pStyle w:val="31"/>
                    <w:bidi w:val="0"/>
                    <w:rPr>
                      <w:rFonts w:hint="eastAsia"/>
                      <w:color w:val="auto"/>
                      <w:lang w:eastAsia="zh-CN"/>
                    </w:rPr>
                  </w:pPr>
                  <w:r>
                    <w:rPr>
                      <w:color w:val="auto"/>
                    </w:rPr>
                    <w:t>厂区内的生产区</w:t>
                  </w:r>
                  <w:r>
                    <w:rPr>
                      <w:rFonts w:hint="eastAsia"/>
                      <w:color w:val="auto"/>
                    </w:rPr>
                    <w:t>、</w:t>
                  </w:r>
                  <w:r>
                    <w:rPr>
                      <w:rFonts w:hint="eastAsia"/>
                      <w:color w:val="auto"/>
                      <w:lang w:eastAsia="zh-CN"/>
                    </w:rPr>
                    <w:t>办公</w:t>
                  </w:r>
                  <w:r>
                    <w:rPr>
                      <w:rFonts w:hint="eastAsia"/>
                      <w:color w:val="auto"/>
                    </w:rPr>
                    <w:t>生活区分区合理布置</w:t>
                  </w:r>
                  <w:r>
                    <w:rPr>
                      <w:rFonts w:hint="eastAsia"/>
                      <w:color w:val="auto"/>
                      <w:lang w:eastAsia="zh-CN"/>
                    </w:rPr>
                    <w:t>，降低生产区对办公生活区的影响</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25"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color w:val="auto"/>
                    </w:rPr>
                    <w:t>厂区内道路应硬化，功能应满足生产和运输要求；未硬化的空地应进行绿化或采取其他防止扬尘措施，且应保持卫生清洁</w:t>
                  </w:r>
                </w:p>
              </w:tc>
              <w:tc>
                <w:tcPr>
                  <w:tcW w:w="1940" w:type="pct"/>
                  <w:noWrap w:val="0"/>
                  <w:vAlign w:val="center"/>
                </w:tcPr>
                <w:p>
                  <w:pPr>
                    <w:pStyle w:val="31"/>
                    <w:bidi w:val="0"/>
                    <w:rPr>
                      <w:rFonts w:hint="eastAsia"/>
                      <w:color w:val="auto"/>
                      <w:lang w:eastAsia="zh-CN"/>
                    </w:rPr>
                  </w:pPr>
                  <w:r>
                    <w:rPr>
                      <w:rFonts w:hint="eastAsia"/>
                      <w:color w:val="auto"/>
                    </w:rPr>
                    <w:t>厂区</w:t>
                  </w:r>
                  <w:r>
                    <w:rPr>
                      <w:rFonts w:hint="eastAsia"/>
                      <w:color w:val="auto"/>
                      <w:lang w:eastAsia="zh-CN"/>
                    </w:rPr>
                    <w:t>内道路</w:t>
                  </w:r>
                  <w:r>
                    <w:rPr>
                      <w:color w:val="auto"/>
                    </w:rPr>
                    <w:t>进行硬化处理，并保持卫生清洁</w:t>
                  </w:r>
                  <w:r>
                    <w:rPr>
                      <w:rFonts w:hint="eastAsia"/>
                      <w:color w:val="auto"/>
                    </w:rPr>
                    <w:t>，定期人工洒水抑尘和</w:t>
                  </w:r>
                  <w:r>
                    <w:rPr>
                      <w:rFonts w:hint="eastAsia"/>
                      <w:color w:val="auto"/>
                      <w:lang w:eastAsia="zh-CN"/>
                    </w:rPr>
                    <w:t>清扫</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color w:val="auto"/>
                    </w:rPr>
                    <w:t>生产区内应设置生产废弃物存放处，生产类废弃物应分类存放、集中处理</w:t>
                  </w:r>
                </w:p>
              </w:tc>
              <w:tc>
                <w:tcPr>
                  <w:tcW w:w="1940" w:type="pct"/>
                  <w:noWrap w:val="0"/>
                  <w:vAlign w:val="center"/>
                </w:tcPr>
                <w:p>
                  <w:pPr>
                    <w:pStyle w:val="31"/>
                    <w:bidi w:val="0"/>
                    <w:rPr>
                      <w:rFonts w:hint="eastAsia"/>
                      <w:color w:val="auto"/>
                      <w:lang w:eastAsia="zh-CN"/>
                    </w:rPr>
                  </w:pPr>
                  <w:r>
                    <w:rPr>
                      <w:color w:val="auto"/>
                    </w:rPr>
                    <w:t>厂区设有一般固废暂存</w:t>
                  </w:r>
                  <w:r>
                    <w:rPr>
                      <w:rFonts w:hint="eastAsia"/>
                      <w:color w:val="auto"/>
                    </w:rPr>
                    <w:t>间、危险废物贮存间，将固体废物分类收集、</w:t>
                  </w:r>
                  <w:r>
                    <w:rPr>
                      <w:rFonts w:hint="eastAsia"/>
                      <w:color w:val="auto"/>
                      <w:lang w:eastAsia="zh-CN"/>
                    </w:rPr>
                    <w:t>集中妥善处理处置</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color w:val="auto"/>
                    </w:rPr>
                    <w:t>厂区内应配备生产废水处置系统，宜建立雨水收集系统并有效利用</w:t>
                  </w:r>
                </w:p>
              </w:tc>
              <w:tc>
                <w:tcPr>
                  <w:tcW w:w="1940" w:type="pct"/>
                  <w:noWrap w:val="0"/>
                  <w:vAlign w:val="center"/>
                </w:tcPr>
                <w:p>
                  <w:pPr>
                    <w:pStyle w:val="31"/>
                    <w:bidi w:val="0"/>
                    <w:rPr>
                      <w:rFonts w:hint="eastAsia"/>
                      <w:color w:val="auto"/>
                      <w:lang w:eastAsia="zh-CN"/>
                    </w:rPr>
                  </w:pPr>
                  <w:r>
                    <w:rPr>
                      <w:rFonts w:hint="eastAsia"/>
                      <w:color w:val="auto"/>
                    </w:rPr>
                    <w:t>厂内配置生产废水处理系统，并修建</w:t>
                  </w:r>
                  <w:r>
                    <w:rPr>
                      <w:rFonts w:hint="eastAsia"/>
                      <w:color w:val="auto"/>
                      <w:lang w:eastAsia="zh-CN"/>
                    </w:rPr>
                    <w:t>导流沟槽</w:t>
                  </w:r>
                  <w:r>
                    <w:rPr>
                      <w:rFonts w:hint="eastAsia"/>
                      <w:color w:val="auto"/>
                    </w:rPr>
                    <w:t>和雨水收集池收集</w:t>
                  </w:r>
                  <w:r>
                    <w:rPr>
                      <w:rFonts w:hint="eastAsia"/>
                      <w:color w:val="auto"/>
                      <w:lang w:eastAsia="zh-CN"/>
                    </w:rPr>
                    <w:t>生产区初期</w:t>
                  </w:r>
                  <w:r>
                    <w:rPr>
                      <w:rFonts w:hint="eastAsia"/>
                      <w:color w:val="auto"/>
                    </w:rPr>
                    <w:t>雨水</w:t>
                  </w:r>
                  <w:r>
                    <w:rPr>
                      <w:rFonts w:hint="eastAsia"/>
                      <w:color w:val="auto"/>
                      <w:lang w:eastAsia="zh-CN"/>
                    </w:rPr>
                    <w:t>，经处理后的生产废水和初期雨水，全部回用，不外排</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64" w:type="pct"/>
                  <w:gridSpan w:val="2"/>
                  <w:vMerge w:val="restart"/>
                  <w:noWrap w:val="0"/>
                  <w:vAlign w:val="center"/>
                </w:tcPr>
                <w:p>
                  <w:pPr>
                    <w:pStyle w:val="31"/>
                    <w:bidi w:val="0"/>
                    <w:rPr>
                      <w:color w:val="auto"/>
                    </w:rPr>
                  </w:pPr>
                  <w:r>
                    <w:rPr>
                      <w:rFonts w:hint="eastAsia"/>
                      <w:color w:val="auto"/>
                    </w:rPr>
                    <w:t>设备设施</w:t>
                  </w:r>
                </w:p>
              </w:tc>
              <w:tc>
                <w:tcPr>
                  <w:tcW w:w="1958" w:type="pct"/>
                  <w:noWrap w:val="0"/>
                  <w:vAlign w:val="center"/>
                </w:tcPr>
                <w:p>
                  <w:pPr>
                    <w:pStyle w:val="31"/>
                    <w:bidi w:val="0"/>
                    <w:rPr>
                      <w:color w:val="auto"/>
                    </w:rPr>
                  </w:pPr>
                  <w:r>
                    <w:rPr>
                      <w:rFonts w:hint="eastAsia"/>
                      <w:color w:val="auto"/>
                      <w:lang w:val="en-US" w:eastAsia="zh-CN"/>
                    </w:rPr>
                    <w:t>搅拌站（楼）</w:t>
                  </w:r>
                  <w:r>
                    <w:rPr>
                      <w:color w:val="auto"/>
                    </w:rPr>
                    <w:t>宜采用整体封闭方式</w:t>
                  </w:r>
                </w:p>
              </w:tc>
              <w:tc>
                <w:tcPr>
                  <w:tcW w:w="1940" w:type="pct"/>
                  <w:noWrap w:val="0"/>
                  <w:vAlign w:val="center"/>
                </w:tcPr>
                <w:p>
                  <w:pPr>
                    <w:pStyle w:val="31"/>
                    <w:bidi w:val="0"/>
                    <w:rPr>
                      <w:color w:val="auto"/>
                    </w:rPr>
                  </w:pPr>
                  <w:r>
                    <w:rPr>
                      <w:color w:val="auto"/>
                    </w:rPr>
                    <w:t>项目搅拌</w:t>
                  </w:r>
                  <w:r>
                    <w:rPr>
                      <w:rFonts w:hint="eastAsia"/>
                      <w:color w:val="auto"/>
                      <w:lang w:val="en-US" w:eastAsia="zh-CN"/>
                    </w:rPr>
                    <w:t>楼为整体封闭式设置</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27"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rFonts w:hint="eastAsia"/>
                      <w:color w:val="auto"/>
                      <w:lang w:val="en-US" w:eastAsia="zh-CN"/>
                    </w:rPr>
                    <w:t>搅拌站（楼）</w:t>
                  </w:r>
                  <w:r>
                    <w:rPr>
                      <w:color w:val="auto"/>
                    </w:rPr>
                    <w:t>应安装除尘装置，并应保持正常使用</w:t>
                  </w:r>
                </w:p>
              </w:tc>
              <w:tc>
                <w:tcPr>
                  <w:tcW w:w="1940" w:type="pct"/>
                  <w:noWrap w:val="0"/>
                  <w:vAlign w:val="center"/>
                </w:tcPr>
                <w:p>
                  <w:pPr>
                    <w:pStyle w:val="31"/>
                    <w:bidi w:val="0"/>
                    <w:rPr>
                      <w:color w:val="auto"/>
                    </w:rPr>
                  </w:pPr>
                  <w:r>
                    <w:rPr>
                      <w:color w:val="auto"/>
                    </w:rPr>
                    <w:t>项目</w:t>
                  </w:r>
                  <w:r>
                    <w:rPr>
                      <w:rFonts w:hint="eastAsia"/>
                      <w:color w:val="auto"/>
                      <w:lang w:eastAsia="zh-CN"/>
                    </w:rPr>
                    <w:t>搅拌</w:t>
                  </w:r>
                  <w:r>
                    <w:rPr>
                      <w:rFonts w:hint="eastAsia"/>
                      <w:color w:val="auto"/>
                      <w:lang w:val="en-US" w:eastAsia="zh-CN"/>
                    </w:rPr>
                    <w:t>楼</w:t>
                  </w:r>
                  <w:r>
                    <w:rPr>
                      <w:rFonts w:hint="eastAsia"/>
                      <w:color w:val="auto"/>
                      <w:lang w:eastAsia="zh-CN"/>
                    </w:rPr>
                    <w:t>整体封闭，搅拌机加水并密闭搅拌，配套喷淋装置除尘，</w:t>
                  </w:r>
                  <w:r>
                    <w:rPr>
                      <w:rFonts w:hint="eastAsia"/>
                      <w:color w:val="auto"/>
                    </w:rPr>
                    <w:t>并保持其正常运行</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rFonts w:hint="default"/>
                      <w:color w:val="auto"/>
                      <w:lang w:val="en-US" w:eastAsia="zh-CN"/>
                    </w:rPr>
                  </w:pPr>
                  <w:r>
                    <w:rPr>
                      <w:rFonts w:hint="eastAsia"/>
                      <w:color w:val="auto"/>
                      <w:lang w:val="en-US" w:eastAsia="zh-CN"/>
                    </w:rPr>
                    <w:t>搅拌站（楼）的搅拌层和称量层宜设置水冲洗装置，冲洗产生的废水宜通过专用管道进入生产废水处置系统</w:t>
                  </w:r>
                </w:p>
              </w:tc>
              <w:tc>
                <w:tcPr>
                  <w:tcW w:w="1940" w:type="pct"/>
                  <w:noWrap w:val="0"/>
                  <w:vAlign w:val="center"/>
                </w:tcPr>
                <w:p>
                  <w:pPr>
                    <w:pStyle w:val="31"/>
                    <w:bidi w:val="0"/>
                    <w:rPr>
                      <w:rFonts w:hint="eastAsia"/>
                      <w:color w:val="auto"/>
                      <w:lang w:eastAsia="zh-CN"/>
                    </w:rPr>
                  </w:pPr>
                  <w:r>
                    <w:rPr>
                      <w:rFonts w:hint="eastAsia"/>
                      <w:color w:val="auto"/>
                      <w:lang w:eastAsia="zh-CN"/>
                    </w:rPr>
                    <w:t>项目对搅拌</w:t>
                  </w:r>
                  <w:r>
                    <w:rPr>
                      <w:rFonts w:hint="eastAsia"/>
                      <w:color w:val="auto"/>
                      <w:lang w:val="en-US" w:eastAsia="zh-CN"/>
                    </w:rPr>
                    <w:t>楼各层</w:t>
                  </w:r>
                  <w:r>
                    <w:rPr>
                      <w:rFonts w:hint="eastAsia"/>
                      <w:color w:val="auto"/>
                      <w:lang w:eastAsia="zh-CN"/>
                    </w:rPr>
                    <w:t>设置水冲洗装置进行冲洗，产生的冲洗废水通过专用管道进入生产废水处理系统处理后，全部回用，不外排。</w:t>
                  </w:r>
                </w:p>
              </w:tc>
              <w:tc>
                <w:tcPr>
                  <w:tcW w:w="536" w:type="pct"/>
                  <w:noWrap w:val="0"/>
                  <w:vAlign w:val="center"/>
                </w:tcPr>
                <w:p>
                  <w:pPr>
                    <w:pStyle w:val="31"/>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color w:val="auto"/>
                    </w:rPr>
                    <w:t>骨料堆场应硬化地面并确保排水通畅、粗细骨料应分隔堆放；骨料堆场宜建成封闭式堆场，宜安装喷淋抑尘装置</w:t>
                  </w:r>
                </w:p>
              </w:tc>
              <w:tc>
                <w:tcPr>
                  <w:tcW w:w="1940" w:type="pct"/>
                  <w:noWrap w:val="0"/>
                  <w:vAlign w:val="center"/>
                </w:tcPr>
                <w:p>
                  <w:pPr>
                    <w:pStyle w:val="31"/>
                    <w:bidi w:val="0"/>
                    <w:rPr>
                      <w:color w:val="auto"/>
                    </w:rPr>
                  </w:pPr>
                  <w:r>
                    <w:rPr>
                      <w:rFonts w:hint="eastAsia"/>
                      <w:color w:val="auto"/>
                      <w:lang w:val="en-US" w:eastAsia="zh-CN"/>
                    </w:rPr>
                    <w:t>项目骨料砂石设置在物料库储存，为封闭式堆场（仅保留物料进出口面敞开）</w:t>
                  </w:r>
                  <w:r>
                    <w:rPr>
                      <w:rFonts w:hint="eastAsia"/>
                      <w:color w:val="auto"/>
                    </w:rPr>
                    <w:t>，</w:t>
                  </w:r>
                  <w:r>
                    <w:rPr>
                      <w:color w:val="auto"/>
                    </w:rPr>
                    <w:t>地面硬化、排水通畅，</w:t>
                  </w:r>
                  <w:r>
                    <w:rPr>
                      <w:rFonts w:hint="eastAsia"/>
                      <w:color w:val="auto"/>
                      <w:lang w:eastAsia="zh-CN"/>
                    </w:rPr>
                    <w:t>各原料</w:t>
                  </w:r>
                  <w:r>
                    <w:rPr>
                      <w:color w:val="auto"/>
                    </w:rPr>
                    <w:t>分</w:t>
                  </w:r>
                  <w:r>
                    <w:rPr>
                      <w:rFonts w:hint="eastAsia"/>
                      <w:color w:val="auto"/>
                      <w:lang w:eastAsia="zh-CN"/>
                    </w:rPr>
                    <w:t>仓</w:t>
                  </w:r>
                  <w:r>
                    <w:rPr>
                      <w:color w:val="auto"/>
                    </w:rPr>
                    <w:t>堆放</w:t>
                  </w:r>
                  <w:r>
                    <w:rPr>
                      <w:rFonts w:hint="eastAsia"/>
                      <w:color w:val="auto"/>
                    </w:rPr>
                    <w:t>，并</w:t>
                  </w:r>
                  <w:r>
                    <w:rPr>
                      <w:color w:val="auto"/>
                    </w:rPr>
                    <w:t>安装</w:t>
                  </w:r>
                  <w:r>
                    <w:rPr>
                      <w:rFonts w:hint="eastAsia"/>
                      <w:color w:val="auto"/>
                      <w:lang w:val="en-US" w:eastAsia="zh-CN"/>
                    </w:rPr>
                    <w:t>喷淋装置抑尘。</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64" w:type="pct"/>
                  <w:gridSpan w:val="2"/>
                  <w:vMerge w:val="continue"/>
                  <w:noWrap w:val="0"/>
                  <w:vAlign w:val="center"/>
                </w:tcPr>
                <w:p>
                  <w:pPr>
                    <w:pStyle w:val="31"/>
                    <w:bidi w:val="0"/>
                    <w:rPr>
                      <w:color w:val="auto"/>
                    </w:rPr>
                  </w:pPr>
                </w:p>
              </w:tc>
              <w:tc>
                <w:tcPr>
                  <w:tcW w:w="1958" w:type="pct"/>
                  <w:noWrap w:val="0"/>
                  <w:vAlign w:val="center"/>
                </w:tcPr>
                <w:p>
                  <w:pPr>
                    <w:pStyle w:val="31"/>
                    <w:bidi w:val="0"/>
                    <w:rPr>
                      <w:color w:val="auto"/>
                    </w:rPr>
                  </w:pPr>
                  <w:r>
                    <w:rPr>
                      <w:color w:val="auto"/>
                    </w:rPr>
                    <w:t>预拌混凝土生产企业应配备运输车辆清洗装置，冲洗产生的废水应通过专用管道进入生产废水处置系统</w:t>
                  </w:r>
                </w:p>
              </w:tc>
              <w:tc>
                <w:tcPr>
                  <w:tcW w:w="1940" w:type="pct"/>
                  <w:noWrap w:val="0"/>
                  <w:vAlign w:val="center"/>
                </w:tcPr>
                <w:p>
                  <w:pPr>
                    <w:pStyle w:val="31"/>
                    <w:bidi w:val="0"/>
                    <w:rPr>
                      <w:rFonts w:hint="eastAsia"/>
                      <w:color w:val="auto"/>
                      <w:lang w:val="en-US" w:eastAsia="zh-CN"/>
                    </w:rPr>
                  </w:pPr>
                  <w:r>
                    <w:rPr>
                      <w:color w:val="auto"/>
                    </w:rPr>
                    <w:t>厂区设有洗车台，</w:t>
                  </w:r>
                  <w:r>
                    <w:rPr>
                      <w:rFonts w:hint="eastAsia"/>
                      <w:color w:val="auto"/>
                      <w:lang w:eastAsia="zh-CN"/>
                    </w:rPr>
                    <w:t>洗车废水</w:t>
                  </w:r>
                  <w:r>
                    <w:rPr>
                      <w:rFonts w:hint="eastAsia"/>
                      <w:color w:val="auto"/>
                    </w:rPr>
                    <w:t>经收集后进入</w:t>
                  </w:r>
                  <w:r>
                    <w:rPr>
                      <w:rFonts w:hint="eastAsia"/>
                      <w:color w:val="auto"/>
                      <w:lang w:eastAsia="zh-CN"/>
                    </w:rPr>
                    <w:t>洗车废水沉淀池处理后回用于洗车，不外排。</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restart"/>
                  <w:noWrap w:val="0"/>
                  <w:vAlign w:val="center"/>
                </w:tcPr>
                <w:p>
                  <w:pPr>
                    <w:pStyle w:val="31"/>
                    <w:bidi w:val="0"/>
                    <w:rPr>
                      <w:color w:val="auto"/>
                    </w:rPr>
                  </w:pPr>
                  <w:r>
                    <w:rPr>
                      <w:rFonts w:hint="eastAsia"/>
                      <w:color w:val="auto"/>
                    </w:rPr>
                    <w:t>控制要求</w:t>
                  </w:r>
                </w:p>
              </w:tc>
              <w:tc>
                <w:tcPr>
                  <w:tcW w:w="284" w:type="pct"/>
                  <w:noWrap w:val="0"/>
                  <w:vAlign w:val="center"/>
                </w:tcPr>
                <w:p>
                  <w:pPr>
                    <w:pStyle w:val="31"/>
                    <w:bidi w:val="0"/>
                    <w:rPr>
                      <w:rFonts w:hint="eastAsia"/>
                      <w:color w:val="auto"/>
                      <w:lang w:val="en-US" w:eastAsia="zh-CN"/>
                    </w:rPr>
                  </w:pPr>
                  <w:r>
                    <w:rPr>
                      <w:rFonts w:hint="eastAsia"/>
                      <w:color w:val="auto"/>
                      <w:lang w:val="en-US" w:eastAsia="zh-CN"/>
                    </w:rPr>
                    <w:t>原材料</w:t>
                  </w:r>
                </w:p>
              </w:tc>
              <w:tc>
                <w:tcPr>
                  <w:tcW w:w="1958" w:type="pct"/>
                  <w:noWrap w:val="0"/>
                  <w:vAlign w:val="center"/>
                </w:tcPr>
                <w:p>
                  <w:pPr>
                    <w:pStyle w:val="31"/>
                    <w:bidi w:val="0"/>
                    <w:rPr>
                      <w:color w:val="auto"/>
                    </w:rPr>
                  </w:pPr>
                  <w:r>
                    <w:rPr>
                      <w:color w:val="auto"/>
                    </w:rPr>
                    <w:t>原材料的运输、装卸和存放应采取降低噪声和粉尘的措施</w:t>
                  </w:r>
                </w:p>
              </w:tc>
              <w:tc>
                <w:tcPr>
                  <w:tcW w:w="1940" w:type="pct"/>
                  <w:noWrap w:val="0"/>
                  <w:vAlign w:val="center"/>
                </w:tcPr>
                <w:p>
                  <w:pPr>
                    <w:pStyle w:val="31"/>
                    <w:bidi w:val="0"/>
                    <w:rPr>
                      <w:color w:val="auto"/>
                    </w:rPr>
                  </w:pP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rPr>
                    <w:t>设置洗车台</w:t>
                  </w:r>
                  <w:r>
                    <w:rPr>
                      <w:color w:val="auto"/>
                    </w:rPr>
                    <w:t>对</w:t>
                  </w:r>
                  <w:r>
                    <w:rPr>
                      <w:rFonts w:hint="eastAsia"/>
                      <w:color w:val="auto"/>
                    </w:rPr>
                    <w:t>运输车辆进行冲洗</w:t>
                  </w:r>
                  <w:r>
                    <w:rPr>
                      <w:color w:val="auto"/>
                    </w:rPr>
                    <w:t>；</w:t>
                  </w:r>
                  <w:r>
                    <w:rPr>
                      <w:rFonts w:hint="eastAsia"/>
                      <w:color w:val="auto"/>
                      <w:lang w:val="en-US" w:eastAsia="zh-CN"/>
                    </w:rPr>
                    <w:t>砂石物料库为封闭式（仅保留物料进出口敞开）并配套喷淋装置</w:t>
                  </w:r>
                  <w:r>
                    <w:rPr>
                      <w:color w:val="auto"/>
                    </w:rPr>
                    <w:t>；</w:t>
                  </w:r>
                  <w:r>
                    <w:rPr>
                      <w:rFonts w:hint="eastAsia"/>
                      <w:color w:val="auto"/>
                      <w:lang w:eastAsia="zh-CN"/>
                    </w:rPr>
                    <w:t>粉料仓</w:t>
                  </w:r>
                  <w:r>
                    <w:rPr>
                      <w:rFonts w:hint="eastAsia"/>
                      <w:color w:val="auto"/>
                      <w:lang w:val="en-US" w:eastAsia="zh-CN"/>
                    </w:rPr>
                    <w:t>顶部</w:t>
                  </w:r>
                  <w:r>
                    <w:rPr>
                      <w:color w:val="auto"/>
                    </w:rPr>
                    <w:t>各</w:t>
                  </w:r>
                  <w:r>
                    <w:rPr>
                      <w:rFonts w:hint="eastAsia"/>
                      <w:color w:val="auto"/>
                      <w:lang w:val="en-US" w:eastAsia="zh-CN"/>
                    </w:rPr>
                    <w:t>自带</w:t>
                  </w:r>
                  <w:r>
                    <w:rPr>
                      <w:color w:val="auto"/>
                    </w:rPr>
                    <w:t>1台</w:t>
                  </w:r>
                  <w:r>
                    <w:rPr>
                      <w:rFonts w:hint="eastAsia"/>
                      <w:color w:val="auto"/>
                    </w:rPr>
                    <w:t>袋式除尘器</w:t>
                  </w:r>
                  <w:r>
                    <w:rPr>
                      <w:rFonts w:hint="eastAsia"/>
                      <w:color w:val="auto"/>
                      <w:lang w:eastAsia="zh-CN"/>
                    </w:rPr>
                    <w:t>除尘</w:t>
                  </w:r>
                  <w:r>
                    <w:rPr>
                      <w:rFonts w:hint="eastAsia"/>
                      <w:color w:val="auto"/>
                    </w:rPr>
                    <w:t>；车辆在厂区运输时低速禁鸣，相关设备采取基础减振措施。</w:t>
                  </w:r>
                </w:p>
              </w:tc>
              <w:tc>
                <w:tcPr>
                  <w:tcW w:w="536" w:type="pct"/>
                  <w:noWrap w:val="0"/>
                  <w:vAlign w:val="center"/>
                </w:tcPr>
                <w:p>
                  <w:pPr>
                    <w:pStyle w:val="31"/>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31"/>
                    <w:bidi w:val="0"/>
                    <w:rPr>
                      <w:color w:val="auto"/>
                    </w:rPr>
                  </w:pPr>
                </w:p>
              </w:tc>
              <w:tc>
                <w:tcPr>
                  <w:tcW w:w="284" w:type="pct"/>
                  <w:noWrap w:val="0"/>
                  <w:vAlign w:val="center"/>
                </w:tcPr>
                <w:p>
                  <w:pPr>
                    <w:pStyle w:val="31"/>
                    <w:bidi w:val="0"/>
                    <w:rPr>
                      <w:color w:val="auto"/>
                    </w:rPr>
                  </w:pPr>
                  <w:r>
                    <w:rPr>
                      <w:rFonts w:hint="eastAsia"/>
                      <w:color w:val="auto"/>
                    </w:rPr>
                    <w:t>生产废水和废浆</w:t>
                  </w:r>
                </w:p>
              </w:tc>
              <w:tc>
                <w:tcPr>
                  <w:tcW w:w="1958" w:type="pct"/>
                  <w:noWrap w:val="0"/>
                  <w:vAlign w:val="center"/>
                </w:tcPr>
                <w:p>
                  <w:pPr>
                    <w:pStyle w:val="31"/>
                    <w:bidi w:val="0"/>
                    <w:rPr>
                      <w:color w:val="auto"/>
                    </w:rPr>
                  </w:pPr>
                  <w:r>
                    <w:rPr>
                      <w:color w:val="auto"/>
                    </w:rPr>
                    <w:t>预拌混凝土绿色生产应配备完善的生产废水处置系统，排水沟系统应覆盖连通搅拌站装车层、骨料堆场、砂石分离机和车辆清洗场等区域，并于多级沉淀池连接</w:t>
                  </w:r>
                </w:p>
              </w:tc>
              <w:tc>
                <w:tcPr>
                  <w:tcW w:w="1940" w:type="pct"/>
                  <w:noWrap w:val="0"/>
                  <w:vAlign w:val="center"/>
                </w:tcPr>
                <w:p>
                  <w:pPr>
                    <w:pStyle w:val="31"/>
                    <w:bidi w:val="0"/>
                    <w:rPr>
                      <w:rFonts w:hint="eastAsia"/>
                      <w:color w:val="auto"/>
                      <w:lang w:eastAsia="zh-CN"/>
                    </w:rPr>
                  </w:pPr>
                  <w:r>
                    <w:rPr>
                      <w:rFonts w:hint="eastAsia"/>
                      <w:color w:val="auto"/>
                    </w:rPr>
                    <w:t>项目</w:t>
                  </w:r>
                  <w:r>
                    <w:rPr>
                      <w:color w:val="auto"/>
                    </w:rPr>
                    <w:t>厂区排水沟</w:t>
                  </w:r>
                  <w:r>
                    <w:rPr>
                      <w:rFonts w:hint="eastAsia"/>
                      <w:color w:val="auto"/>
                      <w:lang w:eastAsia="zh-CN"/>
                    </w:rPr>
                    <w:t>系统</w:t>
                  </w:r>
                  <w:r>
                    <w:rPr>
                      <w:rFonts w:hint="eastAsia"/>
                      <w:color w:val="auto"/>
                    </w:rPr>
                    <w:t>按要求</w:t>
                  </w:r>
                  <w:r>
                    <w:rPr>
                      <w:color w:val="auto"/>
                    </w:rPr>
                    <w:t>覆盖整个生产区域，</w:t>
                  </w:r>
                  <w:r>
                    <w:rPr>
                      <w:rFonts w:hint="eastAsia"/>
                      <w:color w:val="auto"/>
                    </w:rPr>
                    <w:t>包含搅拌</w:t>
                  </w:r>
                  <w:r>
                    <w:rPr>
                      <w:rFonts w:hint="eastAsia"/>
                      <w:color w:val="auto"/>
                      <w:lang w:val="en-US" w:eastAsia="zh-CN"/>
                    </w:rPr>
                    <w:t>楼</w:t>
                  </w:r>
                  <w:r>
                    <w:rPr>
                      <w:rFonts w:hint="eastAsia"/>
                      <w:color w:val="auto"/>
                    </w:rPr>
                    <w:t>装车层、</w:t>
                  </w:r>
                  <w:r>
                    <w:rPr>
                      <w:rFonts w:hint="eastAsia"/>
                      <w:color w:val="auto"/>
                      <w:lang w:val="en-US" w:eastAsia="zh-CN"/>
                    </w:rPr>
                    <w:t>砂石料堆场、砂石分离机</w:t>
                  </w:r>
                  <w:r>
                    <w:rPr>
                      <w:rFonts w:hint="eastAsia"/>
                      <w:color w:val="auto"/>
                    </w:rPr>
                    <w:t>和</w:t>
                  </w:r>
                  <w:r>
                    <w:rPr>
                      <w:rFonts w:hint="eastAsia"/>
                      <w:color w:val="auto"/>
                      <w:lang w:eastAsia="zh-CN"/>
                    </w:rPr>
                    <w:t>洗车台</w:t>
                  </w:r>
                  <w:r>
                    <w:rPr>
                      <w:rFonts w:hint="eastAsia"/>
                      <w:color w:val="auto"/>
                    </w:rPr>
                    <w:t>等区域</w:t>
                  </w:r>
                  <w:r>
                    <w:rPr>
                      <w:color w:val="auto"/>
                    </w:rPr>
                    <w:t>，</w:t>
                  </w:r>
                  <w:r>
                    <w:rPr>
                      <w:rFonts w:hint="eastAsia"/>
                      <w:color w:val="auto"/>
                      <w:lang w:eastAsia="zh-CN"/>
                    </w:rPr>
                    <w:t>并与相应</w:t>
                  </w:r>
                  <w:r>
                    <w:rPr>
                      <w:rFonts w:hint="eastAsia"/>
                      <w:color w:val="auto"/>
                      <w:lang w:val="en-US" w:eastAsia="zh-CN"/>
                    </w:rPr>
                    <w:t>废水处理系统</w:t>
                  </w:r>
                  <w:r>
                    <w:rPr>
                      <w:rFonts w:hint="eastAsia"/>
                      <w:color w:val="auto"/>
                    </w:rPr>
                    <w:t>相连</w:t>
                  </w:r>
                  <w:r>
                    <w:rPr>
                      <w:rFonts w:hint="eastAsia"/>
                      <w:color w:val="auto"/>
                      <w:lang w:eastAsia="zh-CN"/>
                    </w:rPr>
                    <w:t>。</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31"/>
                    <w:bidi w:val="0"/>
                    <w:rPr>
                      <w:color w:val="auto"/>
                    </w:rPr>
                  </w:pPr>
                </w:p>
              </w:tc>
              <w:tc>
                <w:tcPr>
                  <w:tcW w:w="284" w:type="pct"/>
                  <w:noWrap w:val="0"/>
                  <w:vAlign w:val="center"/>
                </w:tcPr>
                <w:p>
                  <w:pPr>
                    <w:pStyle w:val="31"/>
                    <w:bidi w:val="0"/>
                    <w:rPr>
                      <w:rFonts w:hint="eastAsia"/>
                      <w:color w:val="auto"/>
                      <w:lang w:val="en-US" w:eastAsia="zh-CN"/>
                    </w:rPr>
                  </w:pPr>
                  <w:r>
                    <w:rPr>
                      <w:rFonts w:hint="eastAsia"/>
                      <w:color w:val="auto"/>
                      <w:lang w:val="en-US" w:eastAsia="zh-CN"/>
                    </w:rPr>
                    <w:t>噪声</w:t>
                  </w:r>
                </w:p>
              </w:tc>
              <w:tc>
                <w:tcPr>
                  <w:tcW w:w="1958" w:type="pct"/>
                  <w:noWrap w:val="0"/>
                  <w:vAlign w:val="center"/>
                </w:tcPr>
                <w:p>
                  <w:pPr>
                    <w:pStyle w:val="31"/>
                    <w:bidi w:val="0"/>
                    <w:rPr>
                      <w:color w:val="auto"/>
                    </w:rPr>
                  </w:pPr>
                  <w:r>
                    <w:rPr>
                      <w:color w:val="auto"/>
                    </w:rPr>
                    <w:t>对产生噪声的主要设备设施应进行降噪处理</w:t>
                  </w:r>
                </w:p>
              </w:tc>
              <w:tc>
                <w:tcPr>
                  <w:tcW w:w="1940" w:type="pct"/>
                  <w:noWrap w:val="0"/>
                  <w:vAlign w:val="center"/>
                </w:tcPr>
                <w:p>
                  <w:pPr>
                    <w:pStyle w:val="31"/>
                    <w:bidi w:val="0"/>
                    <w:rPr>
                      <w:rFonts w:hint="eastAsia" w:eastAsia="宋体"/>
                      <w:color w:val="auto"/>
                      <w:lang w:eastAsia="zh-CN"/>
                    </w:rPr>
                  </w:pPr>
                  <w:r>
                    <w:rPr>
                      <w:rFonts w:hint="eastAsia"/>
                      <w:color w:val="auto"/>
                      <w:lang w:eastAsia="zh-CN"/>
                    </w:rPr>
                    <w:t>项目将</w:t>
                  </w:r>
                  <w:r>
                    <w:rPr>
                      <w:color w:val="auto"/>
                    </w:rPr>
                    <w:t>主要生产设备放置于</w:t>
                  </w:r>
                  <w:r>
                    <w:rPr>
                      <w:rFonts w:hint="eastAsia"/>
                      <w:color w:val="auto"/>
                      <w:lang w:eastAsia="zh-CN"/>
                    </w:rPr>
                    <w:t>车间</w:t>
                  </w:r>
                  <w:r>
                    <w:rPr>
                      <w:color w:val="auto"/>
                    </w:rPr>
                    <w:t>内，对厂区高噪声设备采用隔声、消声、吸声、减振等有效措施，以有效降低车间噪声</w:t>
                  </w:r>
                  <w:r>
                    <w:rPr>
                      <w:rFonts w:hint="eastAsia"/>
                      <w:color w:val="auto"/>
                      <w:lang w:eastAsia="zh-CN"/>
                    </w:rPr>
                    <w:t>。</w:t>
                  </w:r>
                </w:p>
              </w:tc>
              <w:tc>
                <w:tcPr>
                  <w:tcW w:w="536" w:type="pct"/>
                  <w:noWrap w:val="0"/>
                  <w:vAlign w:val="center"/>
                </w:tcPr>
                <w:p>
                  <w:pPr>
                    <w:pStyle w:val="31"/>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31"/>
                    <w:bidi w:val="0"/>
                    <w:rPr>
                      <w:color w:val="auto"/>
                    </w:rPr>
                  </w:pPr>
                </w:p>
              </w:tc>
              <w:tc>
                <w:tcPr>
                  <w:tcW w:w="284" w:type="pct"/>
                  <w:vMerge w:val="restart"/>
                  <w:noWrap w:val="0"/>
                  <w:vAlign w:val="center"/>
                </w:tcPr>
                <w:p>
                  <w:pPr>
                    <w:pStyle w:val="31"/>
                    <w:bidi w:val="0"/>
                    <w:rPr>
                      <w:rFonts w:hint="eastAsia"/>
                      <w:color w:val="auto"/>
                      <w:lang w:val="en-US" w:eastAsia="zh-CN"/>
                    </w:rPr>
                  </w:pPr>
                  <w:r>
                    <w:rPr>
                      <w:rFonts w:hint="eastAsia"/>
                      <w:color w:val="auto"/>
                      <w:lang w:val="en-US" w:eastAsia="zh-CN"/>
                    </w:rPr>
                    <w:t>粉尘</w:t>
                  </w:r>
                </w:p>
              </w:tc>
              <w:tc>
                <w:tcPr>
                  <w:tcW w:w="1958" w:type="pct"/>
                  <w:noWrap w:val="0"/>
                  <w:vAlign w:val="center"/>
                </w:tcPr>
                <w:p>
                  <w:pPr>
                    <w:pStyle w:val="31"/>
                    <w:bidi w:val="0"/>
                    <w:rPr>
                      <w:color w:val="auto"/>
                    </w:rPr>
                  </w:pPr>
                  <w:r>
                    <w:rPr>
                      <w:color w:val="auto"/>
                    </w:rPr>
                    <w:t>对产生粉尘排放的设备设施或场所进行封闭处理或安装除尘装置</w:t>
                  </w:r>
                </w:p>
              </w:tc>
              <w:tc>
                <w:tcPr>
                  <w:tcW w:w="1940" w:type="pct"/>
                  <w:noWrap w:val="0"/>
                  <w:vAlign w:val="center"/>
                </w:tcPr>
                <w:p>
                  <w:pPr>
                    <w:pStyle w:val="31"/>
                    <w:bidi w:val="0"/>
                    <w:rPr>
                      <w:rFonts w:hint="eastAsia"/>
                      <w:color w:val="auto"/>
                      <w:lang w:eastAsia="zh-CN"/>
                    </w:rPr>
                  </w:pPr>
                  <w:r>
                    <w:rPr>
                      <w:rFonts w:hint="eastAsia"/>
                      <w:color w:val="auto"/>
                    </w:rPr>
                    <w:t>项目厂内物料输送采用密闭皮带和管道，</w:t>
                  </w:r>
                  <w:r>
                    <w:rPr>
                      <w:color w:val="auto"/>
                    </w:rPr>
                    <w:t>粉料仓</w:t>
                  </w:r>
                  <w:r>
                    <w:rPr>
                      <w:rFonts w:hint="eastAsia"/>
                      <w:color w:val="auto"/>
                    </w:rPr>
                    <w:t>密闭</w:t>
                  </w:r>
                  <w:r>
                    <w:rPr>
                      <w:rFonts w:hint="eastAsia"/>
                      <w:color w:val="auto"/>
                      <w:lang w:eastAsia="zh-CN"/>
                    </w:rPr>
                    <w:t>并</w:t>
                  </w:r>
                  <w:r>
                    <w:rPr>
                      <w:color w:val="auto"/>
                    </w:rPr>
                    <w:t>配置</w:t>
                  </w:r>
                  <w:r>
                    <w:rPr>
                      <w:rFonts w:hint="eastAsia"/>
                      <w:color w:val="auto"/>
                    </w:rPr>
                    <w:t>袋式除尘器进行除尘</w:t>
                  </w:r>
                  <w:r>
                    <w:rPr>
                      <w:color w:val="auto"/>
                    </w:rPr>
                    <w:t>；</w:t>
                  </w:r>
                  <w:r>
                    <w:rPr>
                      <w:rFonts w:hint="eastAsia"/>
                      <w:color w:val="auto"/>
                      <w:lang w:eastAsia="zh-CN"/>
                    </w:rPr>
                    <w:t>搅拌</w:t>
                  </w:r>
                  <w:r>
                    <w:rPr>
                      <w:rFonts w:hint="eastAsia"/>
                      <w:color w:val="auto"/>
                      <w:lang w:val="en-US" w:eastAsia="zh-CN"/>
                    </w:rPr>
                    <w:t>楼</w:t>
                  </w:r>
                  <w:r>
                    <w:rPr>
                      <w:rFonts w:hint="eastAsia"/>
                      <w:color w:val="auto"/>
                      <w:lang w:eastAsia="zh-CN"/>
                    </w:rPr>
                    <w:t>、</w:t>
                  </w:r>
                  <w:r>
                    <w:rPr>
                      <w:rFonts w:hint="eastAsia"/>
                      <w:color w:val="auto"/>
                      <w:lang w:val="en-US" w:eastAsia="zh-CN"/>
                    </w:rPr>
                    <w:t>砂石物料库</w:t>
                  </w:r>
                  <w:r>
                    <w:rPr>
                      <w:rFonts w:hint="eastAsia"/>
                      <w:color w:val="auto"/>
                      <w:lang w:eastAsia="zh-CN"/>
                    </w:rPr>
                    <w:t>封闭设置</w:t>
                  </w:r>
                  <w:r>
                    <w:rPr>
                      <w:rFonts w:hint="eastAsia"/>
                      <w:color w:val="auto"/>
                    </w:rPr>
                    <w:t>并</w:t>
                  </w:r>
                  <w:r>
                    <w:rPr>
                      <w:color w:val="auto"/>
                    </w:rPr>
                    <w:t>设有喷</w:t>
                  </w:r>
                  <w:r>
                    <w:rPr>
                      <w:rFonts w:hint="eastAsia"/>
                      <w:color w:val="auto"/>
                    </w:rPr>
                    <w:t>淋</w:t>
                  </w:r>
                  <w:r>
                    <w:rPr>
                      <w:color w:val="auto"/>
                    </w:rPr>
                    <w:t>降尘系统</w:t>
                  </w:r>
                  <w:r>
                    <w:rPr>
                      <w:rFonts w:hint="eastAsia"/>
                      <w:color w:val="auto"/>
                    </w:rPr>
                    <w:t>；</w:t>
                  </w: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lang w:eastAsia="zh-CN"/>
                    </w:rPr>
                    <w:t>并</w:t>
                  </w:r>
                  <w:r>
                    <w:rPr>
                      <w:rFonts w:hint="eastAsia"/>
                      <w:color w:val="auto"/>
                    </w:rPr>
                    <w:t>设置洗车台</w:t>
                  </w:r>
                  <w:r>
                    <w:rPr>
                      <w:color w:val="auto"/>
                    </w:rPr>
                    <w:t>对</w:t>
                  </w:r>
                  <w:r>
                    <w:rPr>
                      <w:rFonts w:hint="eastAsia"/>
                      <w:color w:val="auto"/>
                    </w:rPr>
                    <w:t>运输车辆</w:t>
                  </w:r>
                  <w:r>
                    <w:rPr>
                      <w:color w:val="auto"/>
                    </w:rPr>
                    <w:t>轮进行</w:t>
                  </w:r>
                  <w:r>
                    <w:rPr>
                      <w:rFonts w:hint="eastAsia"/>
                      <w:color w:val="auto"/>
                    </w:rPr>
                    <w:t>冲洗</w:t>
                  </w:r>
                  <w:r>
                    <w:rPr>
                      <w:rFonts w:hint="eastAsia"/>
                      <w:color w:val="auto"/>
                      <w:lang w:eastAsia="zh-CN"/>
                    </w:rPr>
                    <w:t>。</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31"/>
                    <w:bidi w:val="0"/>
                    <w:rPr>
                      <w:color w:val="auto"/>
                    </w:rPr>
                  </w:pPr>
                </w:p>
              </w:tc>
              <w:tc>
                <w:tcPr>
                  <w:tcW w:w="284" w:type="pct"/>
                  <w:vMerge w:val="continue"/>
                  <w:noWrap w:val="0"/>
                  <w:vAlign w:val="center"/>
                </w:tcPr>
                <w:p>
                  <w:pPr>
                    <w:pStyle w:val="31"/>
                    <w:bidi w:val="0"/>
                    <w:rPr>
                      <w:color w:val="auto"/>
                    </w:rPr>
                  </w:pPr>
                </w:p>
              </w:tc>
              <w:tc>
                <w:tcPr>
                  <w:tcW w:w="1958" w:type="pct"/>
                  <w:noWrap w:val="0"/>
                  <w:vAlign w:val="center"/>
                </w:tcPr>
                <w:p>
                  <w:pPr>
                    <w:pStyle w:val="31"/>
                    <w:bidi w:val="0"/>
                    <w:rPr>
                      <w:color w:val="auto"/>
                    </w:rPr>
                  </w:pPr>
                  <w:r>
                    <w:rPr>
                      <w:rFonts w:hint="eastAsia"/>
                      <w:color w:val="auto"/>
                    </w:rPr>
                    <w:t>利用喷淋装置进行预湿处理</w:t>
                  </w:r>
                </w:p>
              </w:tc>
              <w:tc>
                <w:tcPr>
                  <w:tcW w:w="1940" w:type="pct"/>
                  <w:noWrap w:val="0"/>
                  <w:vAlign w:val="center"/>
                </w:tcPr>
                <w:p>
                  <w:pPr>
                    <w:pStyle w:val="31"/>
                    <w:bidi w:val="0"/>
                    <w:rPr>
                      <w:color w:val="auto"/>
                    </w:rPr>
                  </w:pPr>
                  <w:r>
                    <w:rPr>
                      <w:color w:val="auto"/>
                    </w:rPr>
                    <w:t>项目</w:t>
                  </w:r>
                  <w:r>
                    <w:rPr>
                      <w:rFonts w:hint="eastAsia"/>
                      <w:color w:val="auto"/>
                      <w:lang w:val="en-US" w:eastAsia="zh-CN"/>
                    </w:rPr>
                    <w:t>砂石</w:t>
                  </w:r>
                  <w:r>
                    <w:rPr>
                      <w:color w:val="auto"/>
                    </w:rPr>
                    <w:t>在输送</w:t>
                  </w:r>
                  <w:r>
                    <w:rPr>
                      <w:rFonts w:hint="eastAsia"/>
                      <w:color w:val="auto"/>
                      <w:lang w:val="en-US" w:eastAsia="zh-CN"/>
                    </w:rPr>
                    <w:t>及</w:t>
                  </w:r>
                  <w:r>
                    <w:rPr>
                      <w:rFonts w:hint="eastAsia"/>
                      <w:color w:val="auto"/>
                      <w:lang w:eastAsia="zh-CN"/>
                    </w:rPr>
                    <w:t>堆存</w:t>
                  </w:r>
                  <w:r>
                    <w:rPr>
                      <w:rFonts w:hint="eastAsia"/>
                      <w:color w:val="auto"/>
                      <w:lang w:val="en-US" w:eastAsia="zh-CN"/>
                    </w:rPr>
                    <w:t>期间喷淋</w:t>
                  </w:r>
                  <w:r>
                    <w:rPr>
                      <w:color w:val="auto"/>
                    </w:rPr>
                    <w:t>预湿</w:t>
                  </w:r>
                  <w:r>
                    <w:rPr>
                      <w:rFonts w:hint="eastAsia"/>
                      <w:color w:val="auto"/>
                    </w:rPr>
                    <w:t>。</w:t>
                  </w:r>
                </w:p>
              </w:tc>
              <w:tc>
                <w:tcPr>
                  <w:tcW w:w="536" w:type="pct"/>
                  <w:noWrap w:val="0"/>
                  <w:vAlign w:val="center"/>
                </w:tcPr>
                <w:p>
                  <w:pPr>
                    <w:pStyle w:val="31"/>
                    <w:bidi w:val="0"/>
                    <w:rPr>
                      <w:rFonts w:hint="eastAsia"/>
                      <w:color w:val="auto"/>
                    </w:rPr>
                  </w:pPr>
                  <w:r>
                    <w:rPr>
                      <w:rFonts w:hint="eastAsia"/>
                      <w:color w:val="auto"/>
                    </w:rPr>
                    <w:t>符合</w:t>
                  </w:r>
                </w:p>
              </w:tc>
            </w:tr>
          </w:tbl>
          <w:p>
            <w:pPr>
              <w:pStyle w:val="33"/>
              <w:bidi w:val="0"/>
              <w:rPr>
                <w:rFonts w:hint="eastAsia"/>
                <w:color w:val="auto"/>
              </w:rPr>
            </w:pPr>
            <w:r>
              <w:rPr>
                <w:rFonts w:hint="eastAsia"/>
                <w:color w:val="auto"/>
              </w:rPr>
              <w:t>表</w:t>
            </w:r>
            <w:r>
              <w:rPr>
                <w:rFonts w:hint="eastAsia"/>
                <w:color w:val="auto"/>
                <w:lang w:val="en-US" w:eastAsia="zh-CN"/>
              </w:rPr>
              <w:t xml:space="preserve">1-5 </w:t>
            </w:r>
            <w:r>
              <w:rPr>
                <w:rFonts w:hint="eastAsia"/>
                <w:color w:val="auto"/>
              </w:rPr>
              <w:t>项目与《福州市城乡建设局关于加强绿色预拌混凝土搅拌站建设的通知》</w:t>
            </w:r>
          </w:p>
          <w:p>
            <w:pPr>
              <w:pStyle w:val="33"/>
              <w:bidi w:val="0"/>
              <w:rPr>
                <w:rFonts w:hint="eastAsia"/>
                <w:color w:val="auto"/>
              </w:rPr>
            </w:pPr>
            <w:r>
              <w:rPr>
                <w:rFonts w:hint="eastAsia"/>
                <w:color w:val="auto"/>
              </w:rPr>
              <w:t>（榕建筑</w:t>
            </w:r>
            <w:r>
              <w:rPr>
                <w:rFonts w:hint="eastAsia"/>
                <w:color w:val="auto"/>
                <w:lang w:eastAsia="zh-CN"/>
              </w:rPr>
              <w:t>〔2019〕151号</w:t>
            </w:r>
            <w:r>
              <w:rPr>
                <w:rFonts w:hint="eastAsia"/>
                <w:color w:val="auto"/>
              </w:rPr>
              <w:t>）</w:t>
            </w:r>
            <w:r>
              <w:rPr>
                <w:rFonts w:hint="eastAsia"/>
                <w:color w:val="auto"/>
                <w:lang w:eastAsia="zh-CN"/>
              </w:rPr>
              <w:t>中生产环保</w:t>
            </w:r>
            <w:r>
              <w:rPr>
                <w:rFonts w:hint="eastAsia"/>
                <w:color w:val="auto"/>
              </w:rPr>
              <w:t>要求符合性分析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3027"/>
              <w:gridCol w:w="32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2" w:type="pct"/>
                  <w:noWrap w:val="0"/>
                  <w:vAlign w:val="center"/>
                </w:tcPr>
                <w:p>
                  <w:pPr>
                    <w:pStyle w:val="31"/>
                    <w:bidi w:val="0"/>
                    <w:rPr>
                      <w:b/>
                      <w:bCs/>
                      <w:color w:val="auto"/>
                    </w:rPr>
                  </w:pPr>
                  <w:r>
                    <w:rPr>
                      <w:rFonts w:hint="eastAsia"/>
                      <w:b/>
                      <w:bCs/>
                      <w:color w:val="auto"/>
                    </w:rPr>
                    <w:t>项目</w:t>
                  </w:r>
                </w:p>
              </w:tc>
              <w:tc>
                <w:tcPr>
                  <w:tcW w:w="1882" w:type="pct"/>
                  <w:noWrap w:val="0"/>
                  <w:vAlign w:val="center"/>
                </w:tcPr>
                <w:p>
                  <w:pPr>
                    <w:pStyle w:val="31"/>
                    <w:bidi w:val="0"/>
                    <w:rPr>
                      <w:rFonts w:hint="eastAsia"/>
                      <w:b/>
                      <w:bCs/>
                      <w:color w:val="auto"/>
                      <w:lang w:eastAsia="zh-CN"/>
                    </w:rPr>
                  </w:pPr>
                  <w:r>
                    <w:rPr>
                      <w:rFonts w:hint="eastAsia"/>
                      <w:b/>
                      <w:bCs/>
                      <w:color w:val="auto"/>
                    </w:rPr>
                    <w:t>榕建筑</w:t>
                  </w:r>
                  <w:r>
                    <w:rPr>
                      <w:rFonts w:hint="eastAsia"/>
                      <w:b/>
                      <w:bCs/>
                      <w:color w:val="auto"/>
                      <w:lang w:eastAsia="zh-CN"/>
                    </w:rPr>
                    <w:t>〔2019〕151号生产环保要求（摘录）</w:t>
                  </w:r>
                </w:p>
              </w:tc>
              <w:tc>
                <w:tcPr>
                  <w:tcW w:w="2017" w:type="pct"/>
                  <w:noWrap w:val="0"/>
                  <w:vAlign w:val="center"/>
                </w:tcPr>
                <w:p>
                  <w:pPr>
                    <w:pStyle w:val="31"/>
                    <w:bidi w:val="0"/>
                    <w:rPr>
                      <w:b/>
                      <w:bCs/>
                      <w:color w:val="auto"/>
                    </w:rPr>
                  </w:pPr>
                  <w:r>
                    <w:rPr>
                      <w:rFonts w:hint="eastAsia"/>
                      <w:b/>
                      <w:bCs/>
                      <w:color w:val="auto"/>
                    </w:rPr>
                    <w:t>项目情况</w:t>
                  </w:r>
                </w:p>
              </w:tc>
              <w:tc>
                <w:tcPr>
                  <w:tcW w:w="536" w:type="pct"/>
                  <w:noWrap w:val="0"/>
                  <w:vAlign w:val="center"/>
                </w:tcPr>
                <w:p>
                  <w:pPr>
                    <w:pStyle w:val="31"/>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2" w:type="pct"/>
                  <w:vMerge w:val="restart"/>
                  <w:noWrap w:val="0"/>
                  <w:vAlign w:val="center"/>
                </w:tcPr>
                <w:p>
                  <w:pPr>
                    <w:pStyle w:val="31"/>
                    <w:bidi w:val="0"/>
                    <w:rPr>
                      <w:rFonts w:hint="eastAsia"/>
                      <w:color w:val="auto"/>
                      <w:lang w:eastAsia="zh-CN"/>
                    </w:rPr>
                  </w:pPr>
                  <w:r>
                    <w:rPr>
                      <w:rFonts w:hint="eastAsia"/>
                      <w:color w:val="auto"/>
                      <w:lang w:eastAsia="zh-CN"/>
                    </w:rPr>
                    <w:t>噪声</w:t>
                  </w:r>
                </w:p>
                <w:p>
                  <w:pPr>
                    <w:pStyle w:val="31"/>
                    <w:bidi w:val="0"/>
                    <w:rPr>
                      <w:rFonts w:hint="eastAsia"/>
                      <w:color w:val="auto"/>
                      <w:lang w:eastAsia="zh-CN"/>
                    </w:rPr>
                  </w:pPr>
                  <w:r>
                    <w:rPr>
                      <w:rFonts w:hint="eastAsia"/>
                      <w:color w:val="auto"/>
                      <w:lang w:eastAsia="zh-CN"/>
                    </w:rPr>
                    <w:t>防治</w:t>
                  </w:r>
                </w:p>
              </w:tc>
              <w:tc>
                <w:tcPr>
                  <w:tcW w:w="1882" w:type="pct"/>
                  <w:noWrap w:val="0"/>
                  <w:vAlign w:val="center"/>
                </w:tcPr>
                <w:p>
                  <w:pPr>
                    <w:pStyle w:val="31"/>
                    <w:bidi w:val="0"/>
                    <w:rPr>
                      <w:rFonts w:hint="default"/>
                      <w:color w:val="auto"/>
                      <w:lang w:val="en-US" w:eastAsia="zh-CN"/>
                    </w:rPr>
                  </w:pPr>
                  <w:r>
                    <w:rPr>
                      <w:rFonts w:hint="eastAsia"/>
                      <w:color w:val="auto"/>
                      <w:lang w:eastAsia="zh-CN"/>
                    </w:rPr>
                    <w:t>每日22点至次日7点，车辆进出场禁止鸣喇叭、厂区内禁止使用ERP叫号系统</w:t>
                  </w:r>
                </w:p>
              </w:tc>
              <w:tc>
                <w:tcPr>
                  <w:tcW w:w="2017" w:type="pct"/>
                  <w:noWrap w:val="0"/>
                  <w:vAlign w:val="center"/>
                </w:tcPr>
                <w:p>
                  <w:pPr>
                    <w:pStyle w:val="31"/>
                    <w:bidi w:val="0"/>
                    <w:rPr>
                      <w:rFonts w:hint="eastAsia"/>
                      <w:color w:val="auto"/>
                      <w:lang w:eastAsia="zh-CN"/>
                    </w:rPr>
                  </w:pPr>
                  <w:r>
                    <w:rPr>
                      <w:rFonts w:hint="eastAsia"/>
                      <w:color w:val="auto"/>
                      <w:lang w:eastAsia="zh-CN"/>
                    </w:rPr>
                    <w:t>项目不涉及夜间生产，车辆不在每日22点至次日7点进出场运输</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62" w:type="pct"/>
                  <w:vMerge w:val="continue"/>
                  <w:noWrap w:val="0"/>
                  <w:vAlign w:val="center"/>
                </w:tcPr>
                <w:p>
                  <w:pPr>
                    <w:pStyle w:val="31"/>
                    <w:bidi w:val="0"/>
                    <w:rPr>
                      <w:color w:val="auto"/>
                    </w:rPr>
                  </w:pPr>
                </w:p>
              </w:tc>
              <w:tc>
                <w:tcPr>
                  <w:tcW w:w="1882" w:type="pct"/>
                  <w:noWrap w:val="0"/>
                  <w:vAlign w:val="center"/>
                </w:tcPr>
                <w:p>
                  <w:pPr>
                    <w:pStyle w:val="31"/>
                    <w:bidi w:val="0"/>
                    <w:rPr>
                      <w:color w:val="auto"/>
                    </w:rPr>
                  </w:pPr>
                  <w:r>
                    <w:rPr>
                      <w:rFonts w:hint="eastAsia"/>
                      <w:color w:val="auto"/>
                    </w:rPr>
                    <w:t>禁止使用活塞式空气压缩机</w:t>
                  </w:r>
                  <w:r>
                    <w:rPr>
                      <w:rFonts w:hint="eastAsia"/>
                      <w:color w:val="auto"/>
                      <w:lang w:eastAsia="zh-CN"/>
                    </w:rPr>
                    <w:t>，</w:t>
                  </w:r>
                  <w:r>
                    <w:rPr>
                      <w:rFonts w:hint="eastAsia"/>
                      <w:color w:val="auto"/>
                    </w:rPr>
                    <w:t>推广低噪音螺杆式空气压缩机</w:t>
                  </w:r>
                </w:p>
              </w:tc>
              <w:tc>
                <w:tcPr>
                  <w:tcW w:w="2017" w:type="pct"/>
                  <w:noWrap w:val="0"/>
                  <w:vAlign w:val="center"/>
                </w:tcPr>
                <w:p>
                  <w:pPr>
                    <w:pStyle w:val="31"/>
                    <w:bidi w:val="0"/>
                    <w:rPr>
                      <w:rFonts w:hint="eastAsia"/>
                      <w:color w:val="auto"/>
                      <w:lang w:eastAsia="zh-CN"/>
                    </w:rPr>
                  </w:pPr>
                  <w:r>
                    <w:rPr>
                      <w:rFonts w:hint="eastAsia"/>
                      <w:color w:val="auto"/>
                      <w:lang w:eastAsia="zh-CN"/>
                    </w:rPr>
                    <w:t>项目使用低噪声空气压缩机。</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62" w:type="pct"/>
                  <w:vMerge w:val="restart"/>
                  <w:noWrap w:val="0"/>
                  <w:vAlign w:val="center"/>
                </w:tcPr>
                <w:p>
                  <w:pPr>
                    <w:pStyle w:val="31"/>
                    <w:bidi w:val="0"/>
                    <w:rPr>
                      <w:rFonts w:hint="eastAsia"/>
                      <w:color w:val="auto"/>
                      <w:lang w:eastAsia="zh-CN"/>
                    </w:rPr>
                  </w:pPr>
                  <w:r>
                    <w:rPr>
                      <w:rFonts w:hint="eastAsia"/>
                      <w:color w:val="auto"/>
                      <w:lang w:eastAsia="zh-CN"/>
                    </w:rPr>
                    <w:t>扬尘</w:t>
                  </w:r>
                </w:p>
                <w:p>
                  <w:pPr>
                    <w:pStyle w:val="31"/>
                    <w:bidi w:val="0"/>
                    <w:rPr>
                      <w:rFonts w:hint="eastAsia"/>
                      <w:color w:val="auto"/>
                      <w:lang w:eastAsia="zh-CN"/>
                    </w:rPr>
                  </w:pPr>
                  <w:r>
                    <w:rPr>
                      <w:rFonts w:hint="eastAsia"/>
                      <w:color w:val="auto"/>
                      <w:lang w:eastAsia="zh-CN"/>
                    </w:rPr>
                    <w:t>防治</w:t>
                  </w:r>
                </w:p>
              </w:tc>
              <w:tc>
                <w:tcPr>
                  <w:tcW w:w="1882" w:type="pct"/>
                  <w:noWrap w:val="0"/>
                  <w:vAlign w:val="center"/>
                </w:tcPr>
                <w:p>
                  <w:pPr>
                    <w:pStyle w:val="31"/>
                    <w:bidi w:val="0"/>
                    <w:rPr>
                      <w:color w:val="auto"/>
                    </w:rPr>
                  </w:pPr>
                  <w:r>
                    <w:rPr>
                      <w:rFonts w:hint="eastAsia"/>
                      <w:color w:val="auto"/>
                    </w:rPr>
                    <w:t>我市所有预拌混凝土搅拌站的主楼、骨料仓和传送装置均应采用钢结构封闭。</w:t>
                  </w:r>
                </w:p>
              </w:tc>
              <w:tc>
                <w:tcPr>
                  <w:tcW w:w="2017" w:type="pct"/>
                  <w:noWrap w:val="0"/>
                  <w:vAlign w:val="center"/>
                </w:tcPr>
                <w:p>
                  <w:pPr>
                    <w:pStyle w:val="31"/>
                    <w:bidi w:val="0"/>
                    <w:rPr>
                      <w:rFonts w:hint="default"/>
                      <w:color w:val="auto"/>
                      <w:lang w:val="en-US" w:eastAsia="zh-CN"/>
                    </w:rPr>
                  </w:pPr>
                  <w:r>
                    <w:rPr>
                      <w:rFonts w:hint="eastAsia"/>
                      <w:color w:val="auto"/>
                      <w:lang w:eastAsia="zh-CN"/>
                    </w:rPr>
                    <w:t>项目搅拌楼、</w:t>
                  </w:r>
                  <w:r>
                    <w:rPr>
                      <w:rFonts w:hint="eastAsia"/>
                      <w:color w:val="auto"/>
                      <w:lang w:val="en-US" w:eastAsia="zh-CN"/>
                    </w:rPr>
                    <w:t>物料库</w:t>
                  </w:r>
                  <w:r>
                    <w:rPr>
                      <w:rFonts w:hint="eastAsia"/>
                      <w:color w:val="auto"/>
                      <w:lang w:eastAsia="zh-CN"/>
                    </w:rPr>
                    <w:t>、</w:t>
                  </w:r>
                  <w:r>
                    <w:rPr>
                      <w:rFonts w:hint="eastAsia"/>
                      <w:color w:val="auto"/>
                      <w:lang w:val="en-US" w:eastAsia="zh-CN"/>
                    </w:rPr>
                    <w:t>砼结构件浇筑车间</w:t>
                  </w:r>
                  <w:r>
                    <w:rPr>
                      <w:rFonts w:hint="eastAsia"/>
                      <w:color w:val="auto"/>
                      <w:lang w:eastAsia="zh-CN"/>
                    </w:rPr>
                    <w:t>采取钢结构封闭设置，</w:t>
                  </w:r>
                  <w:r>
                    <w:rPr>
                      <w:rFonts w:hint="eastAsia"/>
                      <w:color w:val="auto"/>
                      <w:lang w:val="en-US" w:eastAsia="zh-CN"/>
                    </w:rPr>
                    <w:t>物料输送</w:t>
                  </w:r>
                  <w:r>
                    <w:rPr>
                      <w:rFonts w:hint="eastAsia"/>
                      <w:color w:val="auto"/>
                      <w:lang w:eastAsia="zh-CN"/>
                    </w:rPr>
                    <w:t>装置</w:t>
                  </w:r>
                  <w:r>
                    <w:rPr>
                      <w:rFonts w:hint="eastAsia"/>
                      <w:color w:val="auto"/>
                      <w:lang w:val="en-US" w:eastAsia="zh-CN"/>
                    </w:rPr>
                    <w:t>采用钢结构封闭</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2" w:type="pct"/>
                  <w:vMerge w:val="continue"/>
                  <w:noWrap w:val="0"/>
                  <w:vAlign w:val="center"/>
                </w:tcPr>
                <w:p>
                  <w:pPr>
                    <w:pStyle w:val="31"/>
                    <w:bidi w:val="0"/>
                    <w:rPr>
                      <w:color w:val="auto"/>
                    </w:rPr>
                  </w:pPr>
                </w:p>
              </w:tc>
              <w:tc>
                <w:tcPr>
                  <w:tcW w:w="1882" w:type="pct"/>
                  <w:noWrap w:val="0"/>
                  <w:vAlign w:val="center"/>
                </w:tcPr>
                <w:p>
                  <w:pPr>
                    <w:pStyle w:val="31"/>
                    <w:bidi w:val="0"/>
                    <w:rPr>
                      <w:color w:val="auto"/>
                    </w:rPr>
                  </w:pPr>
                  <w:r>
                    <w:rPr>
                      <w:rFonts w:hint="eastAsia"/>
                      <w:color w:val="auto"/>
                    </w:rPr>
                    <w:t>搅拌站主楼、原料罐应设置降尘除尘装置</w:t>
                  </w:r>
                  <w:r>
                    <w:rPr>
                      <w:rFonts w:hint="eastAsia"/>
                      <w:color w:val="auto"/>
                      <w:lang w:eastAsia="zh-CN"/>
                    </w:rPr>
                    <w:t>，</w:t>
                  </w:r>
                  <w:r>
                    <w:rPr>
                      <w:rFonts w:hint="eastAsia"/>
                      <w:color w:val="auto"/>
                    </w:rPr>
                    <w:t>骨料仓、厂区围墙应安装有喷淋、喷雾设备</w:t>
                  </w:r>
                  <w:r>
                    <w:rPr>
                      <w:rFonts w:hint="eastAsia"/>
                      <w:color w:val="auto"/>
                      <w:lang w:eastAsia="zh-CN"/>
                    </w:rPr>
                    <w:t>，</w:t>
                  </w:r>
                  <w:r>
                    <w:rPr>
                      <w:rFonts w:hint="eastAsia"/>
                      <w:color w:val="auto"/>
                    </w:rPr>
                    <w:t>以有效降低粉尘污染</w:t>
                  </w:r>
                </w:p>
              </w:tc>
              <w:tc>
                <w:tcPr>
                  <w:tcW w:w="2017" w:type="pct"/>
                  <w:noWrap w:val="0"/>
                  <w:vAlign w:val="center"/>
                </w:tcPr>
                <w:p>
                  <w:pPr>
                    <w:pStyle w:val="31"/>
                    <w:bidi w:val="0"/>
                    <w:rPr>
                      <w:rFonts w:hint="eastAsia"/>
                      <w:color w:val="auto"/>
                      <w:lang w:eastAsia="zh-CN"/>
                    </w:rPr>
                  </w:pPr>
                  <w:r>
                    <w:rPr>
                      <w:rFonts w:hint="eastAsia"/>
                      <w:color w:val="auto"/>
                      <w:lang w:eastAsia="zh-CN"/>
                    </w:rPr>
                    <w:t>项目搅拌楼、</w:t>
                  </w:r>
                  <w:r>
                    <w:rPr>
                      <w:rFonts w:hint="eastAsia"/>
                      <w:color w:val="auto"/>
                      <w:lang w:val="en-US" w:eastAsia="zh-CN"/>
                    </w:rPr>
                    <w:t>物料库、砼结构件浇筑车间</w:t>
                  </w:r>
                  <w:r>
                    <w:rPr>
                      <w:rFonts w:hint="eastAsia"/>
                      <w:color w:val="auto"/>
                      <w:lang w:eastAsia="zh-CN"/>
                    </w:rPr>
                    <w:t>设置喷淋降尘装置，水泥及矿粉仓配套</w:t>
                  </w:r>
                  <w:r>
                    <w:rPr>
                      <w:rFonts w:hint="eastAsia"/>
                      <w:color w:val="auto"/>
                    </w:rPr>
                    <w:t>袋式除尘器</w:t>
                  </w:r>
                  <w:r>
                    <w:rPr>
                      <w:rFonts w:hint="eastAsia"/>
                      <w:color w:val="auto"/>
                      <w:lang w:eastAsia="zh-CN"/>
                    </w:rPr>
                    <w:t>，厂区靠近生产及原料堆场侧的</w:t>
                  </w:r>
                  <w:r>
                    <w:rPr>
                      <w:rFonts w:hint="eastAsia"/>
                      <w:color w:val="auto"/>
                      <w:lang w:val="en-US" w:eastAsia="zh-CN"/>
                    </w:rPr>
                    <w:t>北</w:t>
                  </w:r>
                  <w:r>
                    <w:rPr>
                      <w:rFonts w:hint="eastAsia"/>
                      <w:color w:val="auto"/>
                      <w:lang w:eastAsia="zh-CN"/>
                    </w:rPr>
                    <w:t>侧及东</w:t>
                  </w:r>
                  <w:r>
                    <w:rPr>
                      <w:rFonts w:hint="eastAsia"/>
                      <w:color w:val="auto"/>
                      <w:lang w:val="en-US" w:eastAsia="zh-CN"/>
                    </w:rPr>
                    <w:t>北</w:t>
                  </w:r>
                  <w:r>
                    <w:rPr>
                      <w:rFonts w:hint="eastAsia"/>
                      <w:color w:val="auto"/>
                      <w:lang w:eastAsia="zh-CN"/>
                    </w:rPr>
                    <w:t>侧围墙安装喷淋设备，降低粉尘污染</w:t>
                  </w:r>
                </w:p>
              </w:tc>
              <w:tc>
                <w:tcPr>
                  <w:tcW w:w="536" w:type="pct"/>
                  <w:noWrap w:val="0"/>
                  <w:vAlign w:val="center"/>
                </w:tcPr>
                <w:p>
                  <w:pPr>
                    <w:pStyle w:val="31"/>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2" w:type="pct"/>
                  <w:vMerge w:val="continue"/>
                  <w:noWrap w:val="0"/>
                  <w:vAlign w:val="center"/>
                </w:tcPr>
                <w:p>
                  <w:pPr>
                    <w:pStyle w:val="31"/>
                    <w:bidi w:val="0"/>
                    <w:rPr>
                      <w:color w:val="auto"/>
                    </w:rPr>
                  </w:pPr>
                </w:p>
              </w:tc>
              <w:tc>
                <w:tcPr>
                  <w:tcW w:w="1882" w:type="pct"/>
                  <w:noWrap w:val="0"/>
                  <w:vAlign w:val="center"/>
                </w:tcPr>
                <w:p>
                  <w:pPr>
                    <w:pStyle w:val="31"/>
                    <w:bidi w:val="0"/>
                    <w:rPr>
                      <w:rFonts w:hint="eastAsia"/>
                      <w:color w:val="auto"/>
                    </w:rPr>
                  </w:pPr>
                  <w:r>
                    <w:rPr>
                      <w:rFonts w:hint="eastAsia"/>
                      <w:color w:val="auto"/>
                    </w:rPr>
                    <w:t>预拌混凝土搅拌站应配套洗车台</w:t>
                  </w:r>
                  <w:r>
                    <w:rPr>
                      <w:rFonts w:hint="eastAsia"/>
                      <w:color w:val="auto"/>
                      <w:lang w:eastAsia="zh-CN"/>
                    </w:rPr>
                    <w:t>，</w:t>
                  </w:r>
                  <w:r>
                    <w:rPr>
                      <w:rFonts w:hint="eastAsia"/>
                      <w:color w:val="auto"/>
                    </w:rPr>
                    <w:t>用于冲洗运输车</w:t>
                  </w:r>
                  <w:r>
                    <w:rPr>
                      <w:rFonts w:hint="eastAsia"/>
                      <w:color w:val="auto"/>
                      <w:lang w:eastAsia="zh-CN"/>
                    </w:rPr>
                    <w:t>，</w:t>
                  </w:r>
                  <w:r>
                    <w:rPr>
                      <w:rFonts w:hint="eastAsia"/>
                      <w:color w:val="auto"/>
                    </w:rPr>
                    <w:t>做到净车出厂</w:t>
                  </w:r>
                  <w:r>
                    <w:rPr>
                      <w:rFonts w:hint="eastAsia"/>
                      <w:color w:val="auto"/>
                      <w:lang w:eastAsia="zh-CN"/>
                    </w:rPr>
                    <w:t>，</w:t>
                  </w:r>
                  <w:r>
                    <w:rPr>
                      <w:rFonts w:hint="eastAsia"/>
                      <w:color w:val="auto"/>
                    </w:rPr>
                    <w:t>严禁运输车驶离生产厂区时车轮带泥上路。</w:t>
                  </w:r>
                </w:p>
              </w:tc>
              <w:tc>
                <w:tcPr>
                  <w:tcW w:w="2017" w:type="pct"/>
                  <w:noWrap w:val="0"/>
                  <w:vAlign w:val="center"/>
                </w:tcPr>
                <w:p>
                  <w:pPr>
                    <w:pStyle w:val="31"/>
                    <w:bidi w:val="0"/>
                    <w:rPr>
                      <w:rFonts w:hint="eastAsia"/>
                      <w:color w:val="auto"/>
                      <w:lang w:eastAsia="zh-CN"/>
                    </w:rPr>
                  </w:pPr>
                  <w:r>
                    <w:rPr>
                      <w:rFonts w:hint="eastAsia"/>
                      <w:color w:val="auto"/>
                      <w:lang w:eastAsia="zh-CN"/>
                    </w:rPr>
                    <w:t>项目配套洗车台，用于冲洗运输车，做到净车出厂</w:t>
                  </w:r>
                </w:p>
              </w:tc>
              <w:tc>
                <w:tcPr>
                  <w:tcW w:w="536" w:type="pct"/>
                  <w:noWrap w:val="0"/>
                  <w:vAlign w:val="center"/>
                </w:tcPr>
                <w:p>
                  <w:pPr>
                    <w:pStyle w:val="31"/>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62" w:type="pct"/>
                  <w:noWrap w:val="0"/>
                  <w:vAlign w:val="center"/>
                </w:tcPr>
                <w:p>
                  <w:pPr>
                    <w:pStyle w:val="31"/>
                    <w:bidi w:val="0"/>
                    <w:rPr>
                      <w:rFonts w:hint="eastAsia"/>
                      <w:color w:val="auto"/>
                      <w:lang w:eastAsia="zh-CN"/>
                    </w:rPr>
                  </w:pPr>
                  <w:r>
                    <w:rPr>
                      <w:rFonts w:hint="eastAsia"/>
                      <w:color w:val="auto"/>
                      <w:lang w:eastAsia="zh-CN"/>
                    </w:rPr>
                    <w:t>废水</w:t>
                  </w:r>
                </w:p>
                <w:p>
                  <w:pPr>
                    <w:pStyle w:val="31"/>
                    <w:bidi w:val="0"/>
                    <w:rPr>
                      <w:rFonts w:hint="eastAsia"/>
                      <w:color w:val="auto"/>
                      <w:lang w:eastAsia="zh-CN"/>
                    </w:rPr>
                  </w:pPr>
                  <w:r>
                    <w:rPr>
                      <w:rFonts w:hint="eastAsia"/>
                      <w:color w:val="auto"/>
                      <w:lang w:eastAsia="zh-CN"/>
                    </w:rPr>
                    <w:t>排放</w:t>
                  </w:r>
                </w:p>
              </w:tc>
              <w:tc>
                <w:tcPr>
                  <w:tcW w:w="1882" w:type="pct"/>
                  <w:noWrap w:val="0"/>
                  <w:vAlign w:val="center"/>
                </w:tcPr>
                <w:p>
                  <w:pPr>
                    <w:pStyle w:val="31"/>
                    <w:bidi w:val="0"/>
                    <w:rPr>
                      <w:rFonts w:hint="eastAsia"/>
                      <w:color w:val="auto"/>
                      <w:lang w:eastAsia="zh-CN"/>
                    </w:rPr>
                  </w:pPr>
                  <w:r>
                    <w:rPr>
                      <w:rFonts w:hint="eastAsia"/>
                      <w:color w:val="auto"/>
                      <w:lang w:eastAsia="zh-CN"/>
                    </w:rPr>
                    <w:t>厂区内的生产用水应设有循环使用系统，确保污水不外排，定期收集沉淀的泥浆废料，循环利用</w:t>
                  </w:r>
                </w:p>
              </w:tc>
              <w:tc>
                <w:tcPr>
                  <w:tcW w:w="2017" w:type="pct"/>
                  <w:noWrap w:val="0"/>
                  <w:vAlign w:val="center"/>
                </w:tcPr>
                <w:p>
                  <w:pPr>
                    <w:pStyle w:val="31"/>
                    <w:bidi w:val="0"/>
                    <w:rPr>
                      <w:rFonts w:hint="eastAsia"/>
                      <w:color w:val="auto"/>
                      <w:lang w:eastAsia="zh-CN"/>
                    </w:rPr>
                  </w:pPr>
                  <w:r>
                    <w:rPr>
                      <w:rFonts w:hint="eastAsia"/>
                      <w:color w:val="auto"/>
                      <w:lang w:eastAsia="zh-CN"/>
                    </w:rPr>
                    <w:t>项目设置生产废水处理系统，对生产废水收集处理后全部回用，不外排。沉淀泥渣回用于生产。</w:t>
                  </w:r>
                </w:p>
              </w:tc>
              <w:tc>
                <w:tcPr>
                  <w:tcW w:w="536" w:type="pct"/>
                  <w:noWrap w:val="0"/>
                  <w:vAlign w:val="center"/>
                </w:tcPr>
                <w:p>
                  <w:pPr>
                    <w:pStyle w:val="31"/>
                    <w:bidi w:val="0"/>
                    <w:rPr>
                      <w:color w:val="auto"/>
                    </w:rPr>
                  </w:pPr>
                  <w:r>
                    <w:rPr>
                      <w:rFonts w:hint="eastAsia"/>
                      <w:color w:val="auto"/>
                    </w:rPr>
                    <w:t>符合</w:t>
                  </w:r>
                </w:p>
              </w:tc>
            </w:tr>
          </w:tbl>
          <w:p>
            <w:pPr>
              <w:bidi w:val="0"/>
              <w:rPr>
                <w:rFonts w:hint="default"/>
                <w:b/>
                <w:bCs/>
                <w:color w:val="auto"/>
                <w:lang w:val="en-US" w:eastAsia="zh-CN"/>
              </w:rPr>
            </w:pPr>
            <w:r>
              <w:rPr>
                <w:rFonts w:hint="eastAsia"/>
                <w:b/>
                <w:bCs/>
                <w:color w:val="auto"/>
                <w:lang w:val="en-US" w:eastAsia="zh-CN"/>
              </w:rPr>
              <w:t>7、与《环境空气细颗粒物污染综合防治技术政策》（生态环境部公告2013年第59号）符合性分析</w:t>
            </w:r>
          </w:p>
          <w:p>
            <w:pPr>
              <w:pStyle w:val="33"/>
              <w:bidi w:val="0"/>
              <w:rPr>
                <w:rFonts w:hint="default"/>
                <w:color w:val="auto"/>
                <w:lang w:val="en-US"/>
              </w:rPr>
            </w:pPr>
            <w:r>
              <w:rPr>
                <w:rFonts w:hint="eastAsia"/>
                <w:color w:val="auto"/>
              </w:rPr>
              <w:t>表</w:t>
            </w:r>
            <w:r>
              <w:rPr>
                <w:rFonts w:hint="eastAsia"/>
                <w:color w:val="auto"/>
                <w:lang w:val="en-US" w:eastAsia="zh-CN"/>
              </w:rPr>
              <w:t>1-6 与《环境空气细颗粒物污染综合防治技术政策》符合性分析表</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2860"/>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9" w:type="pct"/>
                  <w:tcBorders>
                    <w:tl2br w:val="nil"/>
                    <w:tr2bl w:val="nil"/>
                  </w:tcBorders>
                  <w:noWrap w:val="0"/>
                  <w:vAlign w:val="center"/>
                </w:tcPr>
                <w:p>
                  <w:pPr>
                    <w:pStyle w:val="31"/>
                    <w:bidi w:val="0"/>
                    <w:rPr>
                      <w:rFonts w:hint="default"/>
                      <w:b/>
                      <w:bCs/>
                      <w:color w:val="auto"/>
                      <w:lang w:val="en-US" w:eastAsia="zh-CN"/>
                    </w:rPr>
                  </w:pPr>
                  <w:r>
                    <w:rPr>
                      <w:rFonts w:hint="default"/>
                      <w:b/>
                      <w:bCs/>
                      <w:color w:val="auto"/>
                      <w:lang w:val="en-US" w:eastAsia="zh-CN"/>
                    </w:rPr>
                    <w:t>“</w:t>
                  </w:r>
                  <w:r>
                    <w:rPr>
                      <w:rFonts w:hint="eastAsia"/>
                      <w:b/>
                      <w:bCs/>
                      <w:color w:val="auto"/>
                      <w:lang w:val="en-US" w:eastAsia="zh-CN"/>
                    </w:rPr>
                    <w:t>防治技术政策</w:t>
                  </w:r>
                  <w:r>
                    <w:rPr>
                      <w:rFonts w:hint="default"/>
                      <w:b/>
                      <w:bCs/>
                      <w:color w:val="auto"/>
                      <w:lang w:val="en-US" w:eastAsia="zh-CN"/>
                    </w:rPr>
                    <w:t>”要求</w:t>
                  </w:r>
                </w:p>
              </w:tc>
              <w:tc>
                <w:tcPr>
                  <w:tcW w:w="1780" w:type="pct"/>
                  <w:tcBorders>
                    <w:tl2br w:val="nil"/>
                    <w:tr2bl w:val="nil"/>
                  </w:tcBorders>
                  <w:noWrap w:val="0"/>
                  <w:vAlign w:val="center"/>
                </w:tcPr>
                <w:p>
                  <w:pPr>
                    <w:pStyle w:val="31"/>
                    <w:bidi w:val="0"/>
                    <w:rPr>
                      <w:rFonts w:hint="default"/>
                      <w:b/>
                      <w:bCs/>
                      <w:color w:val="auto"/>
                      <w:lang w:val="en-US" w:eastAsia="zh-CN"/>
                    </w:rPr>
                  </w:pPr>
                  <w:r>
                    <w:rPr>
                      <w:rFonts w:hint="default"/>
                      <w:b/>
                      <w:bCs/>
                      <w:color w:val="auto"/>
                      <w:lang w:val="en-US" w:eastAsia="zh-CN"/>
                    </w:rPr>
                    <w:t>本项目</w:t>
                  </w:r>
                </w:p>
              </w:tc>
              <w:tc>
                <w:tcPr>
                  <w:tcW w:w="590" w:type="pct"/>
                  <w:tcBorders>
                    <w:tl2br w:val="nil"/>
                    <w:tr2bl w:val="nil"/>
                  </w:tcBorders>
                  <w:noWrap w:val="0"/>
                  <w:vAlign w:val="center"/>
                </w:tcPr>
                <w:p>
                  <w:pPr>
                    <w:pStyle w:val="31"/>
                    <w:bidi w:val="0"/>
                    <w:rPr>
                      <w:rFonts w:hint="default"/>
                      <w:b/>
                      <w:bCs/>
                      <w:color w:val="auto"/>
                      <w:lang w:val="en-US" w:eastAsia="zh-CN"/>
                    </w:rPr>
                  </w:pPr>
                  <w:r>
                    <w:rPr>
                      <w:rFonts w:hint="default"/>
                      <w:b/>
                      <w:bCs/>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629" w:type="pct"/>
                  <w:tcBorders>
                    <w:tl2br w:val="nil"/>
                    <w:tr2bl w:val="nil"/>
                  </w:tcBorders>
                  <w:noWrap w:val="0"/>
                  <w:vAlign w:val="center"/>
                </w:tcPr>
                <w:p>
                  <w:pPr>
                    <w:pStyle w:val="31"/>
                    <w:bidi w:val="0"/>
                    <w:rPr>
                      <w:rFonts w:hint="default" w:ascii="Times New Roman" w:hAnsi="Times New Roman" w:eastAsia="宋体" w:cs="Times New Roman"/>
                      <w:color w:val="auto"/>
                      <w:szCs w:val="21"/>
                      <w:lang w:val="en-US" w:eastAsia="zh-CN"/>
                    </w:rPr>
                  </w:pPr>
                  <w:r>
                    <w:rPr>
                      <w:rFonts w:hint="eastAsia"/>
                      <w:color w:val="auto"/>
                      <w:lang w:val="en-US" w:eastAsia="zh-CN"/>
                    </w:rPr>
                    <w:t>应加强对各类污染源的监管，确保污染治理设施稳定运行，切实落实企业环保责任。鼓励采用低能耗、低污染的生产工艺，提高各个行业的清洁生产水平，降低污染物产生量。</w:t>
                  </w:r>
                </w:p>
              </w:tc>
              <w:tc>
                <w:tcPr>
                  <w:tcW w:w="1780"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项目将严格要求，采用低能耗低污染生产工艺，对环保设施进行维护管理，确保污染治理设施稳定运行。</w:t>
                  </w:r>
                </w:p>
              </w:tc>
              <w:tc>
                <w:tcPr>
                  <w:tcW w:w="590" w:type="pc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2629"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780"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项目搅拌楼、物料库</w:t>
                  </w:r>
                  <w:r>
                    <w:rPr>
                      <w:rFonts w:hint="eastAsia"/>
                      <w:color w:val="auto"/>
                      <w:lang w:eastAsia="zh-CN"/>
                    </w:rPr>
                    <w:t>等设置喷淋抑尘，粉料</w:t>
                  </w:r>
                  <w:r>
                    <w:rPr>
                      <w:rFonts w:hint="eastAsia"/>
                      <w:color w:val="auto"/>
                      <w:lang w:val="en-US" w:eastAsia="zh-CN"/>
                    </w:rPr>
                    <w:t>仓呼吸尘采用设备自带袋式除尘器处理；项目不涉及火电机组和燃煤锅炉的使用。</w:t>
                  </w:r>
                </w:p>
              </w:tc>
              <w:tc>
                <w:tcPr>
                  <w:tcW w:w="590" w:type="pc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9"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产生大气颗粒物及其前体物污染物的生产活动应尽量采用密闭装置，避免无组织排放；无法完全密闭的，应安装集气装置收集逸散的污染物，经净化后排放。</w:t>
                  </w:r>
                </w:p>
              </w:tc>
              <w:tc>
                <w:tcPr>
                  <w:tcW w:w="1780"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项目搅拌楼、物料库、砼结构件浇筑车间</w:t>
                  </w:r>
                  <w:r>
                    <w:rPr>
                      <w:rFonts w:hint="eastAsia"/>
                      <w:color w:val="auto"/>
                      <w:lang w:eastAsia="zh-CN"/>
                    </w:rPr>
                    <w:t>、输送带</w:t>
                  </w:r>
                  <w:r>
                    <w:rPr>
                      <w:rFonts w:hint="eastAsia"/>
                      <w:color w:val="auto"/>
                      <w:lang w:val="en-US" w:eastAsia="zh-CN"/>
                    </w:rPr>
                    <w:t>为封闭设置</w:t>
                  </w:r>
                  <w:r>
                    <w:rPr>
                      <w:rFonts w:hint="eastAsia"/>
                      <w:color w:val="auto"/>
                      <w:lang w:eastAsia="zh-CN"/>
                    </w:rPr>
                    <w:t>，</w:t>
                  </w:r>
                  <w:r>
                    <w:rPr>
                      <w:rFonts w:hint="eastAsia"/>
                      <w:color w:val="auto"/>
                      <w:lang w:val="en-US" w:eastAsia="zh-CN"/>
                    </w:rPr>
                    <w:t>配套喷淋除尘设施，粉料仓配套顶置</w:t>
                  </w:r>
                  <w:r>
                    <w:rPr>
                      <w:rFonts w:hint="eastAsia"/>
                      <w:color w:val="auto"/>
                    </w:rPr>
                    <w:t>袋式除尘器</w:t>
                  </w:r>
                  <w:r>
                    <w:rPr>
                      <w:rFonts w:hint="eastAsia"/>
                      <w:color w:val="auto"/>
                      <w:lang w:eastAsia="zh-CN"/>
                    </w:rPr>
                    <w:t>处理</w:t>
                  </w:r>
                  <w:r>
                    <w:rPr>
                      <w:rFonts w:hint="eastAsia"/>
                      <w:color w:val="auto"/>
                      <w:lang w:val="en-US" w:eastAsia="zh-CN"/>
                    </w:rPr>
                    <w:t>。</w:t>
                  </w:r>
                </w:p>
              </w:tc>
              <w:tc>
                <w:tcPr>
                  <w:tcW w:w="590" w:type="pc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eastAsia" w:cs="Times New Roman"/>
                <w:b/>
                <w:bCs/>
                <w:color w:val="auto"/>
                <w:lang w:val="en-US" w:eastAsia="zh-CN"/>
              </w:rPr>
            </w:pPr>
            <w:r>
              <w:rPr>
                <w:rFonts w:hint="eastAsia" w:cs="Times New Roman"/>
                <w:b/>
                <w:bCs/>
                <w:color w:val="auto"/>
                <w:lang w:val="en-US" w:eastAsia="zh-CN"/>
              </w:rPr>
              <w:t>8、与《公路安全保护条例》（中华人民共和国国务院令第593号）符合性分析</w:t>
            </w:r>
          </w:p>
          <w:p>
            <w:pPr>
              <w:bidi w:val="0"/>
              <w:rPr>
                <w:rFonts w:hint="default"/>
                <w:color w:val="auto"/>
                <w:lang w:val="en-US" w:eastAsia="zh-CN"/>
              </w:rPr>
            </w:pPr>
            <w:r>
              <w:rPr>
                <w:rFonts w:hint="eastAsia"/>
                <w:color w:val="auto"/>
                <w:lang w:val="en-US" w:eastAsia="zh-CN"/>
              </w:rPr>
              <w:t>本项目位于福清市海口镇南厝村，项目西北侧有福厦高速（闽高速编号：S11）经过，高速道路东北-西南走向。根据《公路安全保护条例》（中华人民共和国国务院令第593号）规定，高速公路的公路建筑控制区的范围从公路用地外缘起向外的距离标准不少于30米。本项目用地红线距离高速道路的最近距离为52米，因此符合《公路安全保护条例》的相关规定</w:t>
            </w:r>
            <w:r>
              <w:rPr>
                <w:rFonts w:hint="eastAsia" w:ascii="宋体" w:hAnsi="宋体" w:eastAsia="宋体" w:cs="宋体"/>
                <w:i w:val="0"/>
                <w:iCs w:val="0"/>
                <w:caps w:val="0"/>
                <w:color w:val="auto"/>
                <w:spacing w:val="0"/>
                <w:sz w:val="24"/>
                <w:szCs w:val="24"/>
                <w:shd w:val="clear" w:fill="FFFFFF"/>
              </w:rPr>
              <w:t>。</w:t>
            </w:r>
          </w:p>
          <w:p>
            <w:pPr>
              <w:pStyle w:val="26"/>
              <w:rPr>
                <w:rFonts w:hint="default" w:eastAsia="宋体"/>
                <w:color w:val="auto"/>
                <w:lang w:val="en-US" w:eastAsia="zh-CN"/>
              </w:rPr>
            </w:pPr>
          </w:p>
        </w:tc>
      </w:tr>
    </w:tbl>
    <w:p>
      <w:pPr>
        <w:jc w:val="both"/>
        <w:outlineLvl w:val="9"/>
        <w:rPr>
          <w:rFonts w:hint="default" w:ascii="Times New Roman" w:hAnsi="Times New Roman" w:eastAsia="宋体" w:cs="Times New Roman"/>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
        <w:bidi w:val="0"/>
        <w:jc w:val="center"/>
        <w:rPr>
          <w:rFonts w:hint="default"/>
          <w:color w:val="auto"/>
        </w:rPr>
      </w:pPr>
      <w:bookmarkStart w:id="8" w:name="_Toc28523"/>
      <w:bookmarkStart w:id="9" w:name="_Toc8166"/>
      <w:r>
        <w:rPr>
          <w:rFonts w:hint="default"/>
          <w:color w:val="auto"/>
        </w:rPr>
        <w:t>二、建设项目工程分析</w:t>
      </w:r>
      <w:bookmarkEnd w:id="8"/>
      <w:bookmarkEnd w:id="9"/>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pPr>
              <w:bidi w:val="0"/>
              <w:ind w:left="0" w:leftChars="0" w:firstLine="0" w:firstLineChars="0"/>
              <w:rPr>
                <w:rFonts w:hint="default" w:ascii="Times New Roman" w:hAnsi="Times New Roman" w:eastAsia="宋体" w:cs="Times New Roman"/>
                <w:color w:val="auto"/>
                <w:szCs w:val="21"/>
              </w:rPr>
            </w:pPr>
            <w:r>
              <w:rPr>
                <w:rFonts w:hint="default" w:ascii="Times New Roman" w:hAnsi="Times New Roman" w:eastAsia="宋体"/>
                <w:color w:val="auto"/>
              </w:rPr>
              <w:t>建设内容</w:t>
            </w:r>
          </w:p>
        </w:tc>
        <w:tc>
          <w:tcPr>
            <w:tcW w:w="8129" w:type="dxa"/>
            <w:noWrap w:val="0"/>
            <w:vAlign w:val="top"/>
          </w:tcPr>
          <w:p>
            <w:pPr>
              <w:pStyle w:val="3"/>
              <w:bidi w:val="0"/>
              <w:rPr>
                <w:rFonts w:hint="default"/>
                <w:color w:val="auto"/>
                <w:lang w:val="en-US" w:eastAsia="zh-CN"/>
              </w:rPr>
            </w:pPr>
            <w:r>
              <w:rPr>
                <w:rFonts w:hint="default"/>
                <w:color w:val="auto"/>
                <w:lang w:val="en-US" w:eastAsia="zh-CN"/>
              </w:rPr>
              <w:t>2.1 项目由来</w:t>
            </w:r>
          </w:p>
          <w:p>
            <w:pPr>
              <w:bidi w:val="0"/>
              <w:rPr>
                <w:rFonts w:hint="default"/>
                <w:color w:val="auto"/>
                <w:lang w:val="en-US" w:eastAsia="zh-CN"/>
              </w:rPr>
            </w:pPr>
            <w:r>
              <w:rPr>
                <w:rFonts w:hint="eastAsia"/>
                <w:color w:val="auto"/>
                <w:lang w:val="en-US" w:eastAsia="zh-CN"/>
              </w:rPr>
              <w:t>福建融瀚建材有限公司（以下简称“建设单位”）成立于2015年5月13日，经营范围包括：制造、销售预应力高强混凝土管桩、预应力钢筒混凝土管、预应力钢筋混凝土管、水泥制品、水泥预制构件。商品混凝土生产、销售。建材、五金批发、零售；普通货物道路运输等。</w:t>
            </w:r>
            <w:r>
              <w:rPr>
                <w:rFonts w:hint="default"/>
                <w:color w:val="auto"/>
                <w:highlight w:val="none"/>
                <w:lang w:val="en-US" w:eastAsia="zh-CN"/>
              </w:rPr>
              <w:t>(营业执照和法定代表人身份证详见附件</w:t>
            </w:r>
            <w:r>
              <w:rPr>
                <w:rFonts w:hint="eastAsia"/>
                <w:color w:val="auto"/>
                <w:highlight w:val="none"/>
                <w:lang w:val="en-US" w:eastAsia="zh-CN"/>
              </w:rPr>
              <w:t>六</w:t>
            </w:r>
            <w:r>
              <w:rPr>
                <w:rFonts w:hint="default"/>
                <w:color w:val="auto"/>
                <w:highlight w:val="none"/>
                <w:lang w:val="en-US" w:eastAsia="zh-CN"/>
              </w:rPr>
              <w:t>)。</w:t>
            </w:r>
          </w:p>
          <w:p>
            <w:pPr>
              <w:bidi w:val="0"/>
              <w:rPr>
                <w:rFonts w:hint="default"/>
                <w:color w:val="auto"/>
                <w:lang w:val="en-US" w:eastAsia="zh-CN"/>
              </w:rPr>
            </w:pPr>
            <w:r>
              <w:rPr>
                <w:rFonts w:hint="eastAsia"/>
                <w:color w:val="auto"/>
                <w:lang w:val="en-US" w:eastAsia="zh-CN"/>
              </w:rPr>
              <w:t>福建融瀚建材有限公司原址</w:t>
            </w:r>
            <w:r>
              <w:rPr>
                <w:rFonts w:hint="default"/>
                <w:color w:val="auto"/>
                <w:lang w:val="en-US" w:eastAsia="zh-CN"/>
              </w:rPr>
              <w:t>位于福建省福州市福清市海口镇东阁村真大线21公里处，</w:t>
            </w:r>
            <w:r>
              <w:rPr>
                <w:rFonts w:hint="eastAsia"/>
                <w:color w:val="auto"/>
                <w:lang w:val="en-US" w:eastAsia="zh-CN"/>
              </w:rPr>
              <w:t>为</w:t>
            </w:r>
            <w:r>
              <w:rPr>
                <w:rFonts w:hint="default"/>
                <w:color w:val="auto"/>
                <w:lang w:val="en-US" w:eastAsia="zh-CN"/>
              </w:rPr>
              <w:t>租赁福清市日盛饲料有限公司土地，从事商品混凝土生产，</w:t>
            </w:r>
            <w:r>
              <w:rPr>
                <w:rFonts w:hint="eastAsia"/>
                <w:color w:val="auto"/>
                <w:lang w:val="en-US" w:eastAsia="zh-CN"/>
              </w:rPr>
              <w:t>该址</w:t>
            </w:r>
            <w:r>
              <w:rPr>
                <w:rFonts w:hint="default"/>
                <w:color w:val="auto"/>
                <w:lang w:val="en-US" w:eastAsia="zh-CN"/>
              </w:rPr>
              <w:t>占地面积5565平方米，建筑面积4000平方米</w:t>
            </w:r>
            <w:r>
              <w:rPr>
                <w:rFonts w:hint="eastAsia"/>
                <w:color w:val="auto"/>
                <w:lang w:val="en-US" w:eastAsia="zh-CN"/>
              </w:rPr>
              <w:t>，</w:t>
            </w:r>
            <w:r>
              <w:rPr>
                <w:rFonts w:hint="default"/>
                <w:color w:val="auto"/>
                <w:lang w:val="en-US" w:eastAsia="zh-CN"/>
              </w:rPr>
              <w:t>年产预拌商品混凝土80万吨。</w:t>
            </w:r>
            <w:r>
              <w:rPr>
                <w:rFonts w:hint="eastAsia"/>
                <w:color w:val="auto"/>
                <w:lang w:val="en-US" w:eastAsia="zh-CN"/>
              </w:rPr>
              <w:t>迁建前工程企业员工58人，均不住厂，厂内不设食堂、公厕等辅助设施，年工作天数350天，单班制，每班8小时。</w:t>
            </w:r>
          </w:p>
          <w:p>
            <w:pPr>
              <w:bidi w:val="0"/>
              <w:rPr>
                <w:rFonts w:hint="eastAsia"/>
                <w:color w:val="auto"/>
                <w:lang w:val="en-US" w:eastAsia="zh-CN"/>
              </w:rPr>
            </w:pPr>
            <w:r>
              <w:rPr>
                <w:rFonts w:hint="eastAsia"/>
                <w:color w:val="auto"/>
                <w:lang w:val="en-US" w:eastAsia="zh-CN"/>
              </w:rPr>
              <w:t>近年来，随着企业的发展壮大，现有用地已不能满足企业生产经营需求，因此，建设单位于2024年10月8日通过土地出让的形式购买位于福建省福州市福清市海口镇南厝村</w:t>
            </w:r>
            <w:r>
              <w:rPr>
                <w:rFonts w:hint="eastAsia"/>
                <w:color w:val="auto"/>
                <w:sz w:val="24"/>
                <w:lang w:eastAsia="zh-CN"/>
              </w:rPr>
              <w:t>962号</w:t>
            </w:r>
            <w:r>
              <w:rPr>
                <w:rFonts w:hint="eastAsia"/>
                <w:color w:val="auto"/>
                <w:sz w:val="24"/>
                <w:lang w:val="en-US" w:eastAsia="zh-CN"/>
              </w:rPr>
              <w:t>福建平达新材料科技</w:t>
            </w:r>
            <w:r>
              <w:rPr>
                <w:rFonts w:hint="eastAsia"/>
                <w:color w:val="auto"/>
                <w:sz w:val="24"/>
                <w:lang w:eastAsia="zh-CN"/>
              </w:rPr>
              <w:t>有限公司</w:t>
            </w:r>
            <w:r>
              <w:rPr>
                <w:rFonts w:hint="eastAsia"/>
                <w:color w:val="auto"/>
                <w:sz w:val="24"/>
                <w:lang w:val="en-US" w:eastAsia="zh-CN"/>
              </w:rPr>
              <w:t>西南侧</w:t>
            </w:r>
            <w:r>
              <w:rPr>
                <w:rFonts w:hint="eastAsia"/>
                <w:color w:val="auto"/>
                <w:lang w:val="en-US" w:eastAsia="zh-CN"/>
              </w:rPr>
              <w:t>工业场地36469m</w:t>
            </w:r>
            <w:r>
              <w:rPr>
                <w:rFonts w:hint="eastAsia"/>
                <w:color w:val="auto"/>
                <w:vertAlign w:val="superscript"/>
                <w:lang w:val="en-US" w:eastAsia="zh-CN"/>
              </w:rPr>
              <w:t>2</w:t>
            </w:r>
            <w:r>
              <w:rPr>
                <w:rFonts w:hint="eastAsia"/>
                <w:color w:val="auto"/>
                <w:lang w:val="en-US" w:eastAsia="zh-CN"/>
              </w:rPr>
              <w:t>，合约54.70亩，拟投资24600万元建设“福建融瀚建材有限公司年加工预拌商品混凝土80万立方米、砼结构件20万立方米、年回收加工建筑垃圾60万立方米项目”（国有建设用地使用权出让合同见附件三），该项目于2024年10月24日取得福州市福清市发展和改革局备案（闽发改备[2024]A060389号，</w:t>
            </w:r>
            <w:r>
              <w:rPr>
                <w:rFonts w:hint="eastAsia"/>
                <w:color w:val="auto"/>
                <w:highlight w:val="none"/>
                <w:lang w:val="en-US" w:eastAsia="zh-CN"/>
              </w:rPr>
              <w:t>详见附件二</w:t>
            </w:r>
            <w:r>
              <w:rPr>
                <w:rFonts w:hint="eastAsia"/>
                <w:color w:val="auto"/>
                <w:lang w:val="en-US" w:eastAsia="zh-CN"/>
              </w:rPr>
              <w:t>）</w:t>
            </w:r>
            <w:r>
              <w:rPr>
                <w:rFonts w:hint="eastAsia"/>
                <w:b w:val="0"/>
                <w:bCs w:val="0"/>
                <w:color w:val="auto"/>
                <w:sz w:val="24"/>
                <w:szCs w:val="24"/>
                <w:u w:val="none"/>
                <w:lang w:val="en-US" w:eastAsia="zh-CN"/>
              </w:rPr>
              <w:t>，</w:t>
            </w:r>
            <w:r>
              <w:rPr>
                <w:rFonts w:hint="eastAsia"/>
                <w:color w:val="auto"/>
                <w:u w:val="none"/>
                <w:lang w:val="en-US" w:eastAsia="zh-CN"/>
              </w:rPr>
              <w:t>于</w:t>
            </w:r>
            <w:r>
              <w:rPr>
                <w:rFonts w:hint="eastAsia"/>
                <w:color w:val="auto"/>
                <w:u w:val="none"/>
              </w:rPr>
              <w:t>202</w:t>
            </w:r>
            <w:r>
              <w:rPr>
                <w:rFonts w:hint="eastAsia"/>
                <w:color w:val="auto"/>
                <w:u w:val="none"/>
                <w:lang w:val="en-US" w:eastAsia="zh-CN"/>
              </w:rPr>
              <w:t>4</w:t>
            </w:r>
            <w:r>
              <w:rPr>
                <w:rFonts w:hint="eastAsia"/>
                <w:color w:val="auto"/>
                <w:u w:val="none"/>
              </w:rPr>
              <w:t>年</w:t>
            </w:r>
            <w:r>
              <w:rPr>
                <w:rFonts w:hint="eastAsia"/>
                <w:color w:val="auto"/>
                <w:u w:val="none"/>
                <w:lang w:val="en-US" w:eastAsia="zh-CN"/>
              </w:rPr>
              <w:t>12</w:t>
            </w:r>
            <w:r>
              <w:rPr>
                <w:rFonts w:hint="eastAsia"/>
                <w:color w:val="auto"/>
                <w:u w:val="none"/>
              </w:rPr>
              <w:t>月</w:t>
            </w:r>
            <w:r>
              <w:rPr>
                <w:rFonts w:hint="eastAsia"/>
                <w:color w:val="auto"/>
                <w:u w:val="none"/>
                <w:lang w:val="en-US" w:eastAsia="zh-CN"/>
              </w:rPr>
              <w:t>19</w:t>
            </w:r>
            <w:r>
              <w:rPr>
                <w:rFonts w:hint="eastAsia"/>
                <w:color w:val="auto"/>
                <w:u w:val="none"/>
              </w:rPr>
              <w:t>日取得</w:t>
            </w:r>
            <w:r>
              <w:rPr>
                <w:rFonts w:hint="eastAsia"/>
                <w:b w:val="0"/>
                <w:bCs w:val="0"/>
                <w:color w:val="auto"/>
                <w:sz w:val="24"/>
                <w:szCs w:val="24"/>
                <w:u w:val="none"/>
                <w:lang w:val="en-US" w:eastAsia="zh-CN"/>
              </w:rPr>
              <w:t>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highlight w:val="none"/>
                <w:lang w:val="en-US" w:eastAsia="zh-CN"/>
              </w:rPr>
              <w:t>。</w:t>
            </w:r>
          </w:p>
          <w:p>
            <w:pPr>
              <w:bidi w:val="0"/>
              <w:rPr>
                <w:rFonts w:hint="default"/>
                <w:color w:val="auto"/>
                <w:lang w:val="en-US" w:eastAsia="zh-CN"/>
              </w:rPr>
            </w:pPr>
            <w:r>
              <w:rPr>
                <w:rFonts w:hint="eastAsia"/>
                <w:color w:val="auto"/>
                <w:lang w:val="en-US" w:eastAsia="zh-CN"/>
              </w:rPr>
              <w:t>迁建项目设计规模年加工预拌商品混凝土80万立方米、砼结构件20万立方米、年回收加工建筑垃圾60万立方米。鉴于投资资金等问题，企业拟分二期建设，其中一期建设年加工预拌商品混凝土80万立方米、砼结构件20万立方米内容，二期建设年回收加工建筑垃圾60万立方米内容。由于二期年回收加工建筑垃圾60万立方米内容生产设备、原料来源等尚未确定，本次评价不含二期建设内容，主要评价内容为一期年加工预拌商品混凝土80万立方米、砼结构件20万立方米。</w:t>
            </w:r>
          </w:p>
          <w:p>
            <w:pPr>
              <w:rPr>
                <w:rFonts w:hint="eastAsia"/>
                <w:color w:val="auto"/>
                <w:lang w:val="en-US" w:eastAsia="zh-CN"/>
              </w:rPr>
            </w:pPr>
            <w:r>
              <w:rPr>
                <w:rFonts w:hint="eastAsia"/>
                <w:color w:val="auto"/>
                <w:lang w:val="en-US" w:eastAsia="zh-CN"/>
              </w:rPr>
              <w:t>根据《中华人民共和国环境保护税法》(2015年)、《中华人民共和国环境影响评价法》(2018年修正)、《建设项目环境保护管理条例》(2017年)的相关规定，项目需要办理环境影响评价手续；根据《建设项目环境影响评价分类管理名录》(2021年版)规定，本项目环评类别为环境影响报告表，详见表2.1-1。</w:t>
            </w:r>
          </w:p>
          <w:p>
            <w:pPr>
              <w:rPr>
                <w:rFonts w:hint="eastAsia"/>
                <w:color w:val="auto"/>
                <w:lang w:val="en-US" w:eastAsia="zh-CN"/>
              </w:rPr>
            </w:pPr>
            <w:r>
              <w:rPr>
                <w:rFonts w:hint="eastAsia"/>
                <w:color w:val="auto"/>
                <w:lang w:val="en-US" w:eastAsia="zh-CN"/>
              </w:rPr>
              <w:t>为此，建设单位委托我司编制该项目的环境影响报告表(委托书详见附件一)。本环评单位接受委托后，立即派技术人员踏勘现场和收集有关资料，按照《建设项目环境影响报告表编制技术指南(污染影响类)》(试行)及相关技术规范要求，编制了本环境影响报告表。</w:t>
            </w:r>
          </w:p>
          <w:p>
            <w:pPr>
              <w:pStyle w:val="33"/>
              <w:bidi w:val="0"/>
              <w:rPr>
                <w:rFonts w:hint="default"/>
                <w:color w:val="auto"/>
                <w:sz w:val="24"/>
                <w:szCs w:val="24"/>
              </w:rPr>
            </w:pPr>
            <w:r>
              <w:rPr>
                <w:rFonts w:hint="default"/>
                <w:color w:val="auto"/>
                <w:sz w:val="24"/>
                <w:szCs w:val="24"/>
              </w:rPr>
              <w:t>表2</w:t>
            </w:r>
            <w:r>
              <w:rPr>
                <w:rFonts w:hint="eastAsia"/>
                <w:color w:val="auto"/>
                <w:sz w:val="24"/>
                <w:szCs w:val="24"/>
                <w:lang w:val="en-US" w:eastAsia="zh-CN"/>
              </w:rPr>
              <w:t>.1-1</w:t>
            </w:r>
            <w:r>
              <w:rPr>
                <w:rFonts w:hint="default"/>
                <w:color w:val="auto"/>
                <w:sz w:val="24"/>
                <w:szCs w:val="24"/>
              </w:rPr>
              <w:t xml:space="preserve">  建设</w:t>
            </w:r>
            <w:r>
              <w:rPr>
                <w:rFonts w:hint="default"/>
                <w:color w:val="auto"/>
                <w:sz w:val="24"/>
                <w:szCs w:val="24"/>
                <w:lang w:eastAsia="zh-CN"/>
              </w:rPr>
              <w:t>项目</w:t>
            </w:r>
            <w:r>
              <w:rPr>
                <w:rFonts w:hint="default"/>
                <w:color w:val="auto"/>
                <w:sz w:val="24"/>
                <w:szCs w:val="24"/>
              </w:rPr>
              <w:t>环境影响评价分类管理名录(摘录)</w:t>
            </w:r>
          </w:p>
          <w:tbl>
            <w:tblPr>
              <w:tblStyle w:val="20"/>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850"/>
              <w:gridCol w:w="2018"/>
              <w:gridCol w:w="2332"/>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pct"/>
                  <w:gridSpan w:val="2"/>
                  <w:tcBorders>
                    <w:tl2br w:val="single" w:color="auto" w:sz="4" w:space="0"/>
                    <w:tr2bl w:val="nil"/>
                  </w:tcBorders>
                  <w:shd w:val="clear" w:color="auto" w:fill="auto"/>
                  <w:noWrap w:val="0"/>
                  <w:vAlign w:val="top"/>
                </w:tcPr>
                <w:p>
                  <w:pPr>
                    <w:pStyle w:val="31"/>
                    <w:bidi w:val="0"/>
                    <w:jc w:val="right"/>
                    <w:rPr>
                      <w:rFonts w:hint="default"/>
                      <w:color w:val="auto"/>
                    </w:rPr>
                  </w:pPr>
                  <w:r>
                    <w:rPr>
                      <w:rFonts w:hint="default"/>
                      <w:color w:val="auto"/>
                    </w:rPr>
                    <w:t>环评类别</w:t>
                  </w:r>
                </w:p>
                <w:p>
                  <w:pPr>
                    <w:pStyle w:val="31"/>
                    <w:bidi w:val="0"/>
                    <w:jc w:val="left"/>
                    <w:rPr>
                      <w:rFonts w:hint="default"/>
                      <w:color w:val="auto"/>
                    </w:rPr>
                  </w:pPr>
                  <w:r>
                    <w:rPr>
                      <w:rFonts w:hint="default"/>
                      <w:color w:val="auto"/>
                    </w:rPr>
                    <w:t>项目类别</w:t>
                  </w:r>
                </w:p>
              </w:tc>
              <w:tc>
                <w:tcPr>
                  <w:tcW w:w="1310" w:type="pct"/>
                  <w:tcBorders>
                    <w:tl2br w:val="nil"/>
                    <w:tr2bl w:val="nil"/>
                  </w:tcBorders>
                  <w:shd w:val="clear" w:color="auto" w:fill="auto"/>
                  <w:noWrap w:val="0"/>
                  <w:vAlign w:val="center"/>
                </w:tcPr>
                <w:p>
                  <w:pPr>
                    <w:pStyle w:val="31"/>
                    <w:bidi w:val="0"/>
                    <w:rPr>
                      <w:rFonts w:hint="default"/>
                      <w:color w:val="auto"/>
                    </w:rPr>
                  </w:pPr>
                  <w:r>
                    <w:rPr>
                      <w:rFonts w:hint="default"/>
                      <w:color w:val="auto"/>
                    </w:rPr>
                    <w:t>报告书</w:t>
                  </w:r>
                </w:p>
              </w:tc>
              <w:tc>
                <w:tcPr>
                  <w:tcW w:w="1514" w:type="pct"/>
                  <w:tcBorders>
                    <w:tl2br w:val="nil"/>
                    <w:tr2bl w:val="nil"/>
                  </w:tcBorders>
                  <w:shd w:val="clear" w:color="auto" w:fill="BEBEBE"/>
                  <w:noWrap w:val="0"/>
                  <w:vAlign w:val="center"/>
                </w:tcPr>
                <w:p>
                  <w:pPr>
                    <w:pStyle w:val="31"/>
                    <w:bidi w:val="0"/>
                    <w:rPr>
                      <w:rFonts w:hint="default"/>
                      <w:color w:val="auto"/>
                    </w:rPr>
                  </w:pPr>
                  <w:r>
                    <w:rPr>
                      <w:rFonts w:hint="default"/>
                      <w:color w:val="auto"/>
                    </w:rPr>
                    <w:t>报告表</w:t>
                  </w:r>
                </w:p>
              </w:tc>
              <w:tc>
                <w:tcPr>
                  <w:tcW w:w="550" w:type="pct"/>
                  <w:tcBorders>
                    <w:tl2br w:val="nil"/>
                    <w:tr2bl w:val="nil"/>
                  </w:tcBorders>
                  <w:noWrap w:val="0"/>
                  <w:vAlign w:val="center"/>
                </w:tcPr>
                <w:p>
                  <w:pPr>
                    <w:pStyle w:val="31"/>
                    <w:bidi w:val="0"/>
                    <w:rPr>
                      <w:rFonts w:hint="default"/>
                      <w:color w:val="auto"/>
                    </w:rPr>
                  </w:pPr>
                  <w:r>
                    <w:rPr>
                      <w:rFonts w:hint="default"/>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pStyle w:val="31"/>
                    <w:bidi w:val="0"/>
                    <w:jc w:val="both"/>
                    <w:rPr>
                      <w:rFonts w:hint="default"/>
                      <w:color w:val="auto"/>
                      <w:lang w:val="en-US" w:eastAsia="zh-CN"/>
                    </w:rPr>
                  </w:pPr>
                  <w:r>
                    <w:rPr>
                      <w:rFonts w:hint="eastAsia"/>
                      <w:color w:val="auto"/>
                      <w:lang w:eastAsia="zh-CN"/>
                    </w:rPr>
                    <w:t>二十七、非金属矿物制品业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pStyle w:val="31"/>
                    <w:bidi w:val="0"/>
                    <w:jc w:val="center"/>
                    <w:rPr>
                      <w:rFonts w:hint="default"/>
                      <w:color w:val="auto"/>
                      <w:lang w:val="en-US"/>
                    </w:rPr>
                  </w:pPr>
                  <w:r>
                    <w:rPr>
                      <w:rFonts w:hint="eastAsia"/>
                      <w:color w:val="auto"/>
                      <w:lang w:val="en-US" w:eastAsia="zh-CN"/>
                    </w:rPr>
                    <w:t>55</w:t>
                  </w:r>
                </w:p>
              </w:tc>
              <w:tc>
                <w:tcPr>
                  <w:tcW w:w="1201" w:type="pct"/>
                  <w:tcBorders>
                    <w:tl2br w:val="nil"/>
                    <w:tr2bl w:val="nil"/>
                  </w:tcBorders>
                  <w:shd w:val="clear" w:color="auto" w:fill="auto"/>
                  <w:noWrap w:val="0"/>
                  <w:vAlign w:val="center"/>
                </w:tcPr>
                <w:p>
                  <w:pPr>
                    <w:pStyle w:val="31"/>
                    <w:bidi w:val="0"/>
                    <w:jc w:val="center"/>
                    <w:rPr>
                      <w:rFonts w:hint="default"/>
                      <w:color w:val="auto"/>
                      <w:lang w:val="en-US" w:eastAsia="zh-CN"/>
                    </w:rPr>
                  </w:pPr>
                  <w:r>
                    <w:rPr>
                      <w:rFonts w:hint="eastAsia"/>
                      <w:color w:val="auto"/>
                      <w:lang w:val="en-US" w:eastAsia="zh-CN"/>
                    </w:rPr>
                    <w:t>石膏、水泥制品及类似制品制造302</w:t>
                  </w:r>
                </w:p>
              </w:tc>
              <w:tc>
                <w:tcPr>
                  <w:tcW w:w="1310" w:type="pct"/>
                  <w:tcBorders>
                    <w:tl2br w:val="nil"/>
                    <w:tr2bl w:val="nil"/>
                  </w:tcBorders>
                  <w:shd w:val="clear" w:color="auto" w:fill="auto"/>
                  <w:noWrap w:val="0"/>
                  <w:vAlign w:val="center"/>
                </w:tcPr>
                <w:p>
                  <w:pPr>
                    <w:pStyle w:val="31"/>
                    <w:bidi w:val="0"/>
                    <w:jc w:val="center"/>
                    <w:rPr>
                      <w:rFonts w:hint="eastAsia"/>
                      <w:color w:val="auto"/>
                      <w:lang w:eastAsia="zh-CN"/>
                    </w:rPr>
                  </w:pPr>
                  <w:r>
                    <w:rPr>
                      <w:rFonts w:hint="eastAsia"/>
                      <w:color w:val="auto"/>
                      <w:lang w:val="en-US" w:eastAsia="zh-CN"/>
                    </w:rPr>
                    <w:t>/</w:t>
                  </w:r>
                </w:p>
              </w:tc>
              <w:tc>
                <w:tcPr>
                  <w:tcW w:w="1514" w:type="pct"/>
                  <w:tcBorders>
                    <w:tl2br w:val="nil"/>
                    <w:tr2bl w:val="nil"/>
                  </w:tcBorders>
                  <w:shd w:val="clear" w:color="auto" w:fill="BEBEBE"/>
                  <w:noWrap w:val="0"/>
                  <w:vAlign w:val="center"/>
                </w:tcPr>
                <w:p>
                  <w:pPr>
                    <w:pStyle w:val="31"/>
                    <w:bidi w:val="0"/>
                    <w:jc w:val="center"/>
                    <w:rPr>
                      <w:rFonts w:hint="eastAsia"/>
                      <w:color w:val="auto"/>
                      <w:lang w:eastAsia="zh-CN"/>
                    </w:rPr>
                  </w:pPr>
                  <w:r>
                    <w:rPr>
                      <w:rFonts w:hint="eastAsia"/>
                      <w:color w:val="auto"/>
                      <w:lang w:eastAsia="zh-CN"/>
                    </w:rPr>
                    <w:t>商品混凝土；砼结构构件制造；水泥制品制造</w:t>
                  </w:r>
                </w:p>
              </w:tc>
              <w:tc>
                <w:tcPr>
                  <w:tcW w:w="550" w:type="pct"/>
                  <w:tcBorders>
                    <w:tl2br w:val="nil"/>
                    <w:tr2bl w:val="nil"/>
                  </w:tcBorders>
                  <w:noWrap w:val="0"/>
                  <w:vAlign w:val="center"/>
                </w:tcPr>
                <w:p>
                  <w:pPr>
                    <w:pStyle w:val="31"/>
                    <w:bidi w:val="0"/>
                    <w:jc w:val="center"/>
                    <w:rPr>
                      <w:rFonts w:hint="eastAsia"/>
                      <w:color w:val="auto"/>
                      <w:lang w:eastAsia="zh-CN"/>
                    </w:rPr>
                  </w:pPr>
                  <w:r>
                    <w:rPr>
                      <w:rFonts w:hint="eastAsia"/>
                      <w:color w:val="auto"/>
                      <w:lang w:val="en-US" w:eastAsia="zh-CN"/>
                    </w:rPr>
                    <w:t>/</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2.2工程概况</w:t>
            </w:r>
          </w:p>
          <w:p>
            <w:pPr>
              <w:pStyle w:val="4"/>
              <w:bidi w:val="0"/>
              <w:rPr>
                <w:rFonts w:hint="default"/>
                <w:color w:val="auto"/>
              </w:rPr>
            </w:pPr>
            <w:bookmarkStart w:id="10" w:name="_Toc7446"/>
            <w:bookmarkStart w:id="11" w:name="_Toc7532"/>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1</w:t>
            </w:r>
            <w:r>
              <w:rPr>
                <w:rFonts w:hint="default"/>
                <w:color w:val="auto"/>
              </w:rPr>
              <w:t xml:space="preserve"> </w:t>
            </w:r>
            <w:r>
              <w:rPr>
                <w:rFonts w:hint="eastAsia"/>
                <w:color w:val="auto"/>
                <w:lang w:val="en-US" w:eastAsia="zh-CN"/>
              </w:rPr>
              <w:t>项目</w:t>
            </w:r>
            <w:r>
              <w:rPr>
                <w:rFonts w:hint="default"/>
                <w:color w:val="auto"/>
              </w:rPr>
              <w:t>基本概况</w:t>
            </w:r>
            <w:bookmarkEnd w:id="10"/>
            <w:bookmarkEnd w:id="11"/>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项目名称：福建融瀚建材有限公司年加工预拌商品混凝土80万立方米、砼结构件20万立方米、年回收加工建筑垃圾60万立方米</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建设单位：福建融瀚建材有限公司</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建设地点：福建省福州市福清市海口镇南厝村</w:t>
            </w:r>
          </w:p>
          <w:p>
            <w:pPr>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企业性质：内资企业</w:t>
            </w:r>
          </w:p>
          <w:p>
            <w:pPr>
              <w:bidi w:val="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项目</w:t>
            </w:r>
            <w:r>
              <w:rPr>
                <w:rFonts w:hint="default"/>
                <w:color w:val="auto"/>
              </w:rPr>
              <w:t>总投资：</w:t>
            </w:r>
            <w:r>
              <w:rPr>
                <w:rFonts w:hint="eastAsia"/>
                <w:color w:val="auto"/>
                <w:lang w:val="en-US" w:eastAsia="zh-CN"/>
              </w:rPr>
              <w:t>24600万元</w:t>
            </w:r>
          </w:p>
          <w:p>
            <w:pPr>
              <w:bidi w:val="0"/>
              <w:rPr>
                <w:rFonts w:hint="eastAsia"/>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建设规模：</w:t>
            </w:r>
            <w:r>
              <w:rPr>
                <w:rFonts w:hint="eastAsia"/>
                <w:color w:val="auto"/>
                <w:lang w:val="en-US" w:eastAsia="zh-CN"/>
              </w:rPr>
              <w:t>项目占地面积36469平方米，约54.7亩。</w:t>
            </w:r>
          </w:p>
          <w:p>
            <w:pPr>
              <w:bidi w:val="0"/>
              <w:rPr>
                <w:rFonts w:hint="eastAsia" w:eastAsia="宋体"/>
                <w:color w:val="auto"/>
                <w:lang w:val="en-US" w:eastAsia="zh-CN"/>
              </w:rPr>
            </w:pPr>
            <w:r>
              <w:rPr>
                <w:rFonts w:hint="eastAsia"/>
                <w:color w:val="auto"/>
                <w:lang w:val="en-US" w:eastAsia="zh-CN"/>
              </w:rPr>
              <w:t>（7）</w:t>
            </w:r>
            <w:r>
              <w:rPr>
                <w:rFonts w:hint="default"/>
                <w:color w:val="auto"/>
                <w:lang w:val="en-US" w:eastAsia="zh-CN"/>
              </w:rPr>
              <w:t>生产规模：</w:t>
            </w:r>
            <w:r>
              <w:rPr>
                <w:rFonts w:hint="default"/>
                <w:color w:val="auto"/>
              </w:rPr>
              <w:t>年加工预拌商品混凝土80万立方米、砼结构件20万立方米</w:t>
            </w:r>
            <w:r>
              <w:rPr>
                <w:rFonts w:hint="eastAsia"/>
                <w:color w:val="auto"/>
                <w:lang w:eastAsia="zh-CN"/>
              </w:rPr>
              <w:t>（</w:t>
            </w:r>
            <w:r>
              <w:rPr>
                <w:rFonts w:hint="eastAsia"/>
                <w:color w:val="auto"/>
                <w:lang w:val="en-US" w:eastAsia="zh-CN"/>
              </w:rPr>
              <w:t>不含</w:t>
            </w:r>
            <w:r>
              <w:rPr>
                <w:rFonts w:hint="default"/>
                <w:color w:val="auto"/>
              </w:rPr>
              <w:t>年回收加工建筑垃圾60万立方米</w:t>
            </w:r>
            <w:r>
              <w:rPr>
                <w:rFonts w:hint="eastAsia"/>
                <w:color w:val="auto"/>
                <w:lang w:eastAsia="zh-CN"/>
              </w:rPr>
              <w:t>）</w:t>
            </w:r>
          </w:p>
          <w:p>
            <w:pPr>
              <w:bidi w:val="0"/>
              <w:rPr>
                <w:rFonts w:hint="default"/>
                <w:color w:val="auto"/>
                <w:lang w:val="en-US"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rPr>
              <w:t>职工人数：职工人数</w:t>
            </w:r>
            <w:r>
              <w:rPr>
                <w:rFonts w:hint="eastAsia"/>
                <w:color w:val="auto"/>
                <w:lang w:val="en-US" w:eastAsia="zh-CN"/>
              </w:rPr>
              <w:t>145人，均住厂，厂内不设置食堂。</w:t>
            </w:r>
          </w:p>
          <w:p>
            <w:pPr>
              <w:bidi w:val="0"/>
              <w:rPr>
                <w:rFonts w:hint="default"/>
                <w:color w:val="auto"/>
                <w:lang w:val="en-US"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rFonts w:hint="default"/>
                <w:color w:val="auto"/>
              </w:rPr>
              <w:t>工作制度：年工作日</w:t>
            </w:r>
            <w:r>
              <w:rPr>
                <w:rFonts w:hint="eastAsia"/>
                <w:color w:val="auto"/>
                <w:lang w:val="en-US" w:eastAsia="zh-CN"/>
              </w:rPr>
              <w:t>330</w:t>
            </w:r>
            <w:r>
              <w:rPr>
                <w:rFonts w:hint="default"/>
                <w:color w:val="auto"/>
              </w:rPr>
              <w:t>天，实行白班制</w:t>
            </w:r>
            <w:r>
              <w:rPr>
                <w:rFonts w:hint="eastAsia"/>
                <w:color w:val="auto"/>
                <w:lang w:eastAsia="zh-CN"/>
              </w:rPr>
              <w:t>（</w:t>
            </w:r>
            <w:r>
              <w:rPr>
                <w:rFonts w:hint="eastAsia"/>
                <w:color w:val="auto"/>
                <w:lang w:val="en-US" w:eastAsia="zh-CN"/>
              </w:rPr>
              <w:t>8h/d</w:t>
            </w:r>
            <w:r>
              <w:rPr>
                <w:rFonts w:hint="eastAsia"/>
                <w:color w:val="auto"/>
                <w:lang w:eastAsia="zh-CN"/>
              </w:rPr>
              <w:t>），</w:t>
            </w:r>
            <w:r>
              <w:rPr>
                <w:rFonts w:hint="eastAsia"/>
                <w:color w:val="auto"/>
                <w:lang w:val="en-US" w:eastAsia="zh-CN"/>
              </w:rPr>
              <w:t>夜间不生产</w:t>
            </w:r>
          </w:p>
          <w:p>
            <w:pPr>
              <w:pStyle w:val="4"/>
              <w:bidi w:val="0"/>
              <w:rPr>
                <w:rFonts w:hint="eastAsia"/>
                <w:color w:val="auto"/>
                <w:lang w:val="en-US" w:eastAsia="zh-CN"/>
              </w:rPr>
            </w:pPr>
            <w:r>
              <w:rPr>
                <w:rFonts w:hint="default" w:ascii="Times New Roman" w:hAnsi="Times New Roman" w:cs="Times New Roman"/>
                <w:color w:val="auto"/>
                <w:lang w:val="en-US" w:eastAsia="zh-CN"/>
              </w:rPr>
              <w:t>2.2.2</w:t>
            </w:r>
            <w:r>
              <w:rPr>
                <w:rFonts w:hint="eastAsia"/>
                <w:color w:val="auto"/>
                <w:lang w:val="en-US" w:eastAsia="zh-CN"/>
              </w:rPr>
              <w:t xml:space="preserve"> 产品方案</w:t>
            </w:r>
          </w:p>
          <w:p>
            <w:pPr>
              <w:bidi w:val="0"/>
              <w:rPr>
                <w:rFonts w:hint="eastAsia"/>
                <w:color w:val="auto"/>
                <w:lang w:val="en-US" w:eastAsia="zh-CN"/>
              </w:rPr>
            </w:pPr>
            <w:r>
              <w:rPr>
                <w:rFonts w:hint="eastAsia"/>
                <w:color w:val="auto"/>
                <w:lang w:val="en-US" w:eastAsia="zh-CN"/>
              </w:rPr>
              <w:t>本项目产品方案见表2.2-1。</w:t>
            </w: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1 项目产品方案</w:t>
            </w:r>
          </w:p>
          <w:tbl>
            <w:tblPr>
              <w:tblStyle w:val="20"/>
              <w:tblW w:w="494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26"/>
              <w:gridCol w:w="1119"/>
              <w:gridCol w:w="1663"/>
              <w:gridCol w:w="3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4" w:type="pct"/>
                  <w:noWrap/>
                  <w:vAlign w:val="center"/>
                </w:tcPr>
                <w:p>
                  <w:pPr>
                    <w:pStyle w:val="31"/>
                    <w:bidi w:val="0"/>
                    <w:rPr>
                      <w:color w:val="auto"/>
                    </w:rPr>
                  </w:pPr>
                  <w:r>
                    <w:rPr>
                      <w:color w:val="auto"/>
                    </w:rPr>
                    <w:t>序号</w:t>
                  </w:r>
                </w:p>
              </w:tc>
              <w:tc>
                <w:tcPr>
                  <w:tcW w:w="782" w:type="pct"/>
                  <w:noWrap/>
                  <w:vAlign w:val="center"/>
                </w:tcPr>
                <w:p>
                  <w:pPr>
                    <w:pStyle w:val="31"/>
                    <w:bidi w:val="0"/>
                    <w:rPr>
                      <w:color w:val="auto"/>
                    </w:rPr>
                  </w:pPr>
                  <w:r>
                    <w:rPr>
                      <w:color w:val="auto"/>
                    </w:rPr>
                    <w:t>产品名称</w:t>
                  </w:r>
                </w:p>
              </w:tc>
              <w:tc>
                <w:tcPr>
                  <w:tcW w:w="714" w:type="pct"/>
                  <w:noWrap/>
                  <w:vAlign w:val="center"/>
                </w:tcPr>
                <w:p>
                  <w:pPr>
                    <w:pStyle w:val="31"/>
                    <w:bidi w:val="0"/>
                    <w:rPr>
                      <w:color w:val="auto"/>
                    </w:rPr>
                  </w:pPr>
                  <w:r>
                    <w:rPr>
                      <w:color w:val="auto"/>
                    </w:rPr>
                    <w:t>产品产量</w:t>
                  </w:r>
                </w:p>
              </w:tc>
              <w:tc>
                <w:tcPr>
                  <w:tcW w:w="1061" w:type="pct"/>
                  <w:noWrap/>
                  <w:vAlign w:val="center"/>
                </w:tcPr>
                <w:p>
                  <w:pPr>
                    <w:pStyle w:val="31"/>
                    <w:bidi w:val="0"/>
                    <w:rPr>
                      <w:rFonts w:hint="eastAsia"/>
                      <w:color w:val="auto"/>
                      <w:lang w:val="en-US" w:eastAsia="zh-CN"/>
                    </w:rPr>
                  </w:pPr>
                  <w:r>
                    <w:rPr>
                      <w:rFonts w:hint="eastAsia"/>
                      <w:color w:val="auto"/>
                      <w:lang w:val="en-US" w:eastAsia="zh-CN"/>
                    </w:rPr>
                    <w:t>产品用途</w:t>
                  </w:r>
                </w:p>
              </w:tc>
              <w:tc>
                <w:tcPr>
                  <w:tcW w:w="2007" w:type="pct"/>
                  <w:noWrap/>
                  <w:vAlign w:val="center"/>
                </w:tcPr>
                <w:p>
                  <w:pPr>
                    <w:pStyle w:val="31"/>
                    <w:bidi w:val="0"/>
                    <w:rPr>
                      <w:rFonts w:hint="eastAsia"/>
                      <w:color w:val="auto"/>
                      <w:lang w:val="en-US" w:eastAsia="zh-CN"/>
                    </w:rPr>
                  </w:pPr>
                  <w:r>
                    <w:rPr>
                      <w:rFonts w:hint="eastAsia"/>
                      <w:color w:val="auto"/>
                      <w:lang w:val="en-US" w:eastAsia="zh-CN"/>
                    </w:rPr>
                    <w:t>产品图例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34" w:type="pct"/>
                  <w:noWrap/>
                  <w:vAlign w:val="center"/>
                </w:tcPr>
                <w:p>
                  <w:pPr>
                    <w:pStyle w:val="31"/>
                    <w:bidi w:val="0"/>
                    <w:rPr>
                      <w:rFonts w:hint="default"/>
                      <w:color w:val="auto"/>
                      <w:lang w:val="en-US" w:eastAsia="zh-CN"/>
                    </w:rPr>
                  </w:pPr>
                  <w:r>
                    <w:rPr>
                      <w:rFonts w:hint="eastAsia"/>
                      <w:color w:val="auto"/>
                      <w:lang w:val="en-US" w:eastAsia="zh-CN"/>
                    </w:rPr>
                    <w:t>1</w:t>
                  </w:r>
                </w:p>
              </w:tc>
              <w:tc>
                <w:tcPr>
                  <w:tcW w:w="782" w:type="pct"/>
                  <w:noWrap/>
                  <w:vAlign w:val="center"/>
                </w:tcPr>
                <w:p>
                  <w:pPr>
                    <w:pStyle w:val="31"/>
                    <w:bidi w:val="0"/>
                    <w:rPr>
                      <w:rFonts w:hint="eastAsia"/>
                      <w:color w:val="auto"/>
                      <w:lang w:val="en-US" w:eastAsia="zh-CN"/>
                    </w:rPr>
                  </w:pPr>
                  <w:r>
                    <w:rPr>
                      <w:rFonts w:hint="eastAsia"/>
                      <w:color w:val="auto"/>
                      <w:lang w:val="en-US" w:eastAsia="zh-CN"/>
                    </w:rPr>
                    <w:t>预拌商品混凝土</w:t>
                  </w:r>
                </w:p>
              </w:tc>
              <w:tc>
                <w:tcPr>
                  <w:tcW w:w="714" w:type="pct"/>
                  <w:noWrap/>
                  <w:vAlign w:val="center"/>
                </w:tcPr>
                <w:p>
                  <w:pPr>
                    <w:pStyle w:val="31"/>
                    <w:bidi w:val="0"/>
                    <w:rPr>
                      <w:rFonts w:hint="eastAsia" w:eastAsia="宋体"/>
                      <w:color w:val="auto"/>
                      <w:lang w:val="en-US" w:eastAsia="zh-CN"/>
                    </w:rPr>
                  </w:pPr>
                  <w:r>
                    <w:rPr>
                      <w:rFonts w:hint="eastAsia"/>
                      <w:color w:val="auto"/>
                      <w:lang w:val="en-US" w:eastAsia="zh-CN"/>
                    </w:rPr>
                    <w:t>80万立方米/年</w:t>
                  </w:r>
                  <w:r>
                    <w:rPr>
                      <w:rFonts w:hint="eastAsia"/>
                      <w:color w:val="auto"/>
                      <w:lang w:eastAsia="zh-CN"/>
                    </w:rPr>
                    <w:t>（</w:t>
                  </w:r>
                  <w:r>
                    <w:rPr>
                      <w:rFonts w:hint="eastAsia"/>
                      <w:color w:val="auto"/>
                      <w:lang w:val="en-US" w:eastAsia="zh-CN"/>
                    </w:rPr>
                    <w:t>外售量</w:t>
                  </w:r>
                  <w:r>
                    <w:rPr>
                      <w:rFonts w:hint="eastAsia"/>
                      <w:color w:val="auto"/>
                      <w:lang w:eastAsia="zh-CN"/>
                    </w:rPr>
                    <w:t>）</w:t>
                  </w:r>
                </w:p>
              </w:tc>
              <w:tc>
                <w:tcPr>
                  <w:tcW w:w="1061" w:type="pct"/>
                  <w:noWrap/>
                  <w:vAlign w:val="center"/>
                </w:tcPr>
                <w:p>
                  <w:pPr>
                    <w:pStyle w:val="31"/>
                    <w:bidi w:val="0"/>
                    <w:rPr>
                      <w:rFonts w:hint="default"/>
                      <w:color w:val="auto"/>
                      <w:lang w:val="en-US" w:eastAsia="zh-CN"/>
                    </w:rPr>
                  </w:pPr>
                  <w:r>
                    <w:rPr>
                      <w:rFonts w:hint="eastAsia"/>
                      <w:color w:val="auto"/>
                      <w:lang w:val="en-US" w:eastAsia="zh-CN"/>
                    </w:rPr>
                    <w:t>用于民用建筑、工业建筑、道路、桥梁等现代工程，为最基本的建筑材料</w:t>
                  </w:r>
                </w:p>
              </w:tc>
              <w:tc>
                <w:tcPr>
                  <w:tcW w:w="2007" w:type="pct"/>
                  <w:noWrap/>
                  <w:vAlign w:val="center"/>
                </w:tcPr>
                <w:p>
                  <w:pPr>
                    <w:pStyle w:val="31"/>
                    <w:bidi w:val="0"/>
                    <w:rPr>
                      <w:rFonts w:hint="eastAsia" w:eastAsia="宋体"/>
                      <w:color w:val="auto"/>
                      <w:lang w:eastAsia="zh-CN"/>
                    </w:rPr>
                  </w:pPr>
                  <w:r>
                    <w:rPr>
                      <w:rFonts w:hint="eastAsia" w:eastAsia="宋体"/>
                      <w:color w:val="auto"/>
                      <w:lang w:eastAsia="zh-CN"/>
                    </w:rPr>
                    <w:drawing>
                      <wp:inline distT="0" distB="0" distL="114300" distR="114300">
                        <wp:extent cx="1818640" cy="1204595"/>
                        <wp:effectExtent l="0" t="0" r="10160" b="14605"/>
                        <wp:docPr id="3" name="图片 3" descr="4ae91df8-202c-409a-bd9a-c02096c9d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e91df8-202c-409a-bd9a-c02096c9d1c3"/>
                                <pic:cNvPicPr>
                                  <a:picLocks noChangeAspect="1"/>
                                </pic:cNvPicPr>
                              </pic:nvPicPr>
                              <pic:blipFill>
                                <a:blip r:embed="rId11"/>
                                <a:stretch>
                                  <a:fillRect/>
                                </a:stretch>
                              </pic:blipFill>
                              <pic:spPr>
                                <a:xfrm>
                                  <a:off x="0" y="0"/>
                                  <a:ext cx="1818640" cy="120459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34" w:type="pct"/>
                  <w:noWrap/>
                  <w:vAlign w:val="center"/>
                </w:tcPr>
                <w:p>
                  <w:pPr>
                    <w:pStyle w:val="31"/>
                    <w:bidi w:val="0"/>
                    <w:rPr>
                      <w:rFonts w:hint="eastAsia"/>
                      <w:color w:val="auto"/>
                      <w:lang w:val="en-US" w:eastAsia="zh-CN"/>
                    </w:rPr>
                  </w:pPr>
                  <w:r>
                    <w:rPr>
                      <w:rFonts w:hint="eastAsia"/>
                      <w:color w:val="auto"/>
                      <w:lang w:val="en-US" w:eastAsia="zh-CN"/>
                    </w:rPr>
                    <w:t>2</w:t>
                  </w:r>
                </w:p>
              </w:tc>
              <w:tc>
                <w:tcPr>
                  <w:tcW w:w="782" w:type="pct"/>
                  <w:noWrap/>
                  <w:vAlign w:val="center"/>
                </w:tcPr>
                <w:p>
                  <w:pPr>
                    <w:pStyle w:val="31"/>
                    <w:bidi w:val="0"/>
                    <w:rPr>
                      <w:rFonts w:hint="default"/>
                      <w:color w:val="auto"/>
                      <w:lang w:val="en-US" w:eastAsia="zh-CN"/>
                    </w:rPr>
                  </w:pPr>
                  <w:r>
                    <w:rPr>
                      <w:rFonts w:hint="default"/>
                      <w:color w:val="auto"/>
                      <w:lang w:val="en-US" w:eastAsia="zh-CN"/>
                    </w:rPr>
                    <w:t>砼结构件</w:t>
                  </w:r>
                </w:p>
              </w:tc>
              <w:tc>
                <w:tcPr>
                  <w:tcW w:w="714" w:type="pct"/>
                  <w:noWrap/>
                  <w:vAlign w:val="center"/>
                </w:tcPr>
                <w:p>
                  <w:pPr>
                    <w:pStyle w:val="31"/>
                    <w:bidi w:val="0"/>
                    <w:rPr>
                      <w:rFonts w:hint="default"/>
                      <w:color w:val="auto"/>
                      <w:lang w:val="en-US" w:eastAsia="zh-CN"/>
                    </w:rPr>
                  </w:pPr>
                  <w:r>
                    <w:rPr>
                      <w:rFonts w:hint="eastAsia"/>
                      <w:color w:val="auto"/>
                      <w:lang w:val="en-US" w:eastAsia="zh-CN"/>
                    </w:rPr>
                    <w:t>20万立方米/年</w:t>
                  </w:r>
                </w:p>
              </w:tc>
              <w:tc>
                <w:tcPr>
                  <w:tcW w:w="1061" w:type="pct"/>
                  <w:noWrap/>
                  <w:vAlign w:val="center"/>
                </w:tcPr>
                <w:p>
                  <w:pPr>
                    <w:pStyle w:val="31"/>
                    <w:bidi w:val="0"/>
                    <w:rPr>
                      <w:rFonts w:hint="default"/>
                      <w:color w:val="auto"/>
                      <w:lang w:val="en-US" w:eastAsia="zh-CN"/>
                    </w:rPr>
                  </w:pPr>
                  <w:r>
                    <w:rPr>
                      <w:rFonts w:hint="eastAsia"/>
                      <w:color w:val="auto"/>
                      <w:lang w:val="en-US" w:eastAsia="zh-CN"/>
                    </w:rPr>
                    <w:t>广泛应用于路基工程、边坡防护、城市建设、基坑围护、海港护堤及河道护坡等领域</w:t>
                  </w:r>
                </w:p>
              </w:tc>
              <w:tc>
                <w:tcPr>
                  <w:tcW w:w="2007" w:type="pct"/>
                  <w:noWrap/>
                  <w:vAlign w:val="center"/>
                </w:tcPr>
                <w:p>
                  <w:pPr>
                    <w:pStyle w:val="31"/>
                    <w:bidi w:val="0"/>
                    <w:rPr>
                      <w:rFonts w:hint="eastAsia"/>
                      <w:color w:val="auto"/>
                      <w:lang w:val="en-US" w:eastAsia="zh-CN"/>
                    </w:rPr>
                  </w:pPr>
                  <w:r>
                    <w:rPr>
                      <w:rFonts w:ascii="宋体" w:hAnsi="宋体" w:eastAsia="宋体" w:cs="宋体"/>
                      <w:color w:val="auto"/>
                      <w:sz w:val="24"/>
                      <w:szCs w:val="24"/>
                    </w:rPr>
                    <w:drawing>
                      <wp:inline distT="0" distB="0" distL="114300" distR="114300">
                        <wp:extent cx="1858645" cy="1393825"/>
                        <wp:effectExtent l="0" t="0" r="8255" b="15875"/>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12"/>
                                <a:stretch>
                                  <a:fillRect/>
                                </a:stretch>
                              </pic:blipFill>
                              <pic:spPr>
                                <a:xfrm>
                                  <a:off x="0" y="0"/>
                                  <a:ext cx="1858645" cy="1393825"/>
                                </a:xfrm>
                                <a:prstGeom prst="rect">
                                  <a:avLst/>
                                </a:prstGeom>
                                <a:noFill/>
                                <a:ln w="9525">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5000" w:type="pct"/>
                  <w:gridSpan w:val="5"/>
                  <w:noWrap/>
                  <w:vAlign w:val="center"/>
                </w:tcPr>
                <w:p>
                  <w:pPr>
                    <w:pStyle w:val="31"/>
                    <w:bidi w:val="0"/>
                    <w:jc w:val="left"/>
                    <w:rPr>
                      <w:rFonts w:hint="eastAsia"/>
                      <w:color w:val="auto"/>
                      <w:lang w:val="en-US" w:eastAsia="zh-CN"/>
                    </w:rPr>
                  </w:pPr>
                  <w:r>
                    <w:rPr>
                      <w:rFonts w:hint="eastAsia"/>
                      <w:color w:val="auto"/>
                      <w:lang w:val="en-US" w:eastAsia="zh-CN"/>
                    </w:rPr>
                    <w:t>注：①根据建设方提供信息，项目预拌混凝土年生产量约100万m</w:t>
                  </w:r>
                  <w:r>
                    <w:rPr>
                      <w:rFonts w:hint="eastAsia"/>
                      <w:color w:val="auto"/>
                      <w:vertAlign w:val="superscript"/>
                      <w:lang w:val="en-US" w:eastAsia="zh-CN"/>
                    </w:rPr>
                    <w:t>3</w:t>
                  </w:r>
                  <w:r>
                    <w:rPr>
                      <w:rFonts w:hint="eastAsia"/>
                      <w:color w:val="auto"/>
                      <w:lang w:val="en-US" w:eastAsia="zh-CN"/>
                    </w:rPr>
                    <w:t>/年，其中，80万m</w:t>
                  </w:r>
                  <w:r>
                    <w:rPr>
                      <w:rFonts w:hint="eastAsia"/>
                      <w:color w:val="auto"/>
                      <w:vertAlign w:val="superscript"/>
                      <w:lang w:val="en-US" w:eastAsia="zh-CN"/>
                    </w:rPr>
                    <w:t>3</w:t>
                  </w:r>
                  <w:r>
                    <w:rPr>
                      <w:rFonts w:hint="eastAsia"/>
                      <w:color w:val="auto"/>
                      <w:lang w:val="en-US" w:eastAsia="zh-CN"/>
                    </w:rPr>
                    <w:t>外售，20万m</w:t>
                  </w:r>
                  <w:r>
                    <w:rPr>
                      <w:rFonts w:hint="eastAsia"/>
                      <w:color w:val="auto"/>
                      <w:vertAlign w:val="superscript"/>
                      <w:lang w:val="en-US" w:eastAsia="zh-CN"/>
                    </w:rPr>
                    <w:t>3</w:t>
                  </w:r>
                  <w:r>
                    <w:rPr>
                      <w:rFonts w:hint="eastAsia"/>
                      <w:color w:val="auto"/>
                      <w:lang w:val="en-US" w:eastAsia="zh-CN"/>
                    </w:rPr>
                    <w:t>混凝土用于砼结构件的生产。</w:t>
                  </w:r>
                </w:p>
                <w:p>
                  <w:pPr>
                    <w:pStyle w:val="31"/>
                    <w:bidi w:val="0"/>
                    <w:ind w:firstLine="420" w:firstLineChars="200"/>
                    <w:jc w:val="left"/>
                    <w:rPr>
                      <w:rFonts w:hint="default"/>
                      <w:color w:val="auto"/>
                      <w:vertAlign w:val="baseline"/>
                      <w:lang w:val="en-US" w:eastAsia="zh-CN"/>
                    </w:rPr>
                  </w:pPr>
                  <w:r>
                    <w:rPr>
                      <w:rFonts w:hint="eastAsia"/>
                      <w:color w:val="auto"/>
                      <w:lang w:val="en-US" w:eastAsia="zh-CN"/>
                    </w:rPr>
                    <w:t>②根据建设方提供信息，参考项目的实际运营经验，预拌混凝土产品密度约2.3t/m</w:t>
                  </w:r>
                  <w:r>
                    <w:rPr>
                      <w:rFonts w:hint="eastAsia"/>
                      <w:color w:val="auto"/>
                      <w:vertAlign w:val="superscript"/>
                      <w:lang w:val="en-US" w:eastAsia="zh-CN"/>
                    </w:rPr>
                    <w:t>3</w:t>
                  </w:r>
                  <w:r>
                    <w:rPr>
                      <w:rFonts w:hint="eastAsia"/>
                      <w:color w:val="auto"/>
                      <w:vertAlign w:val="baseline"/>
                      <w:lang w:val="en-US" w:eastAsia="zh-CN"/>
                    </w:rPr>
                    <w:t>，预制砼结构件产品密度约2.6</w:t>
                  </w:r>
                  <w:r>
                    <w:rPr>
                      <w:rFonts w:hint="eastAsia"/>
                      <w:color w:val="auto"/>
                      <w:lang w:val="en-US" w:eastAsia="zh-CN"/>
                    </w:rPr>
                    <w:t>t/m</w:t>
                  </w:r>
                  <w:r>
                    <w:rPr>
                      <w:rFonts w:hint="eastAsia"/>
                      <w:color w:val="auto"/>
                      <w:vertAlign w:val="superscript"/>
                      <w:lang w:val="en-US" w:eastAsia="zh-CN"/>
                    </w:rPr>
                    <w:t>3</w:t>
                  </w:r>
                  <w:r>
                    <w:rPr>
                      <w:rFonts w:hint="eastAsia"/>
                      <w:color w:val="auto"/>
                      <w:vertAlign w:val="baseline"/>
                      <w:lang w:val="en-US" w:eastAsia="zh-CN"/>
                    </w:rPr>
                    <w:t>。</w:t>
                  </w:r>
                </w:p>
              </w:tc>
            </w:tr>
          </w:tbl>
          <w:p>
            <w:pPr>
              <w:pStyle w:val="4"/>
              <w:bidi w:val="0"/>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3</w:t>
            </w:r>
            <w:r>
              <w:rPr>
                <w:rFonts w:hint="default"/>
                <w:color w:val="auto"/>
              </w:rPr>
              <w:t xml:space="preserve"> 项目组成及建设内容</w:t>
            </w:r>
          </w:p>
          <w:p>
            <w:pPr>
              <w:bidi w:val="0"/>
              <w:rPr>
                <w:rFonts w:hint="eastAsia"/>
                <w:color w:val="auto"/>
                <w:lang w:val="en-US" w:eastAsia="zh-CN"/>
              </w:rPr>
            </w:pPr>
            <w:r>
              <w:rPr>
                <w:rFonts w:hint="default"/>
                <w:color w:val="auto"/>
              </w:rPr>
              <w:t>项目</w:t>
            </w:r>
            <w:r>
              <w:rPr>
                <w:rFonts w:hint="default"/>
                <w:color w:val="auto"/>
                <w:lang w:eastAsia="zh-CN"/>
              </w:rPr>
              <w:t>工程</w:t>
            </w:r>
            <w:r>
              <w:rPr>
                <w:rFonts w:hint="default"/>
                <w:color w:val="auto"/>
              </w:rPr>
              <w:t>组成及建设内容</w:t>
            </w:r>
            <w:r>
              <w:rPr>
                <w:rFonts w:hint="default"/>
                <w:color w:val="auto"/>
                <w:lang w:eastAsia="zh-CN"/>
              </w:rPr>
              <w:t>见</w:t>
            </w:r>
            <w:r>
              <w:rPr>
                <w:rFonts w:hint="default"/>
                <w:color w:val="auto"/>
              </w:rPr>
              <w:t>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2。</w:t>
            </w: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2</w:t>
            </w:r>
            <w:r>
              <w:rPr>
                <w:rFonts w:hint="default"/>
                <w:color w:val="auto"/>
                <w:sz w:val="24"/>
                <w:szCs w:val="24"/>
              </w:rPr>
              <w:t xml:space="preserve"> 项目组成一览表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108"/>
              <w:gridCol w:w="6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noWrap w:val="0"/>
                  <w:vAlign w:val="center"/>
                </w:tcPr>
                <w:p>
                  <w:pPr>
                    <w:pStyle w:val="31"/>
                    <w:bidi w:val="0"/>
                    <w:rPr>
                      <w:rFonts w:hint="default"/>
                      <w:color w:val="auto"/>
                      <w:sz w:val="21"/>
                      <w:szCs w:val="21"/>
                      <w:lang w:eastAsia="zh-CN"/>
                    </w:rPr>
                  </w:pPr>
                  <w:r>
                    <w:rPr>
                      <w:rFonts w:hint="default"/>
                      <w:color w:val="auto"/>
                      <w:sz w:val="21"/>
                      <w:szCs w:val="21"/>
                      <w:lang w:eastAsia="zh-CN"/>
                    </w:rPr>
                    <w:t>工程类别</w:t>
                  </w:r>
                </w:p>
              </w:tc>
              <w:tc>
                <w:tcPr>
                  <w:tcW w:w="700" w:type="pct"/>
                  <w:noWrap w:val="0"/>
                  <w:vAlign w:val="center"/>
                </w:tcPr>
                <w:p>
                  <w:pPr>
                    <w:pStyle w:val="31"/>
                    <w:bidi w:val="0"/>
                    <w:rPr>
                      <w:rFonts w:hint="default"/>
                      <w:color w:val="auto"/>
                      <w:sz w:val="21"/>
                      <w:szCs w:val="21"/>
                    </w:rPr>
                  </w:pPr>
                  <w:r>
                    <w:rPr>
                      <w:rFonts w:hint="default"/>
                      <w:color w:val="auto"/>
                      <w:sz w:val="21"/>
                      <w:szCs w:val="21"/>
                    </w:rPr>
                    <w:t>项目组成</w:t>
                  </w:r>
                </w:p>
              </w:tc>
              <w:tc>
                <w:tcPr>
                  <w:tcW w:w="3804" w:type="pct"/>
                  <w:noWrap w:val="0"/>
                  <w:vAlign w:val="center"/>
                </w:tcPr>
                <w:p>
                  <w:pPr>
                    <w:pStyle w:val="31"/>
                    <w:bidi w:val="0"/>
                    <w:rPr>
                      <w:rFonts w:hint="default"/>
                      <w:color w:val="auto"/>
                      <w:sz w:val="21"/>
                      <w:szCs w:val="21"/>
                    </w:rPr>
                  </w:pPr>
                  <w:r>
                    <w:rPr>
                      <w:rFonts w:hint="default"/>
                      <w:color w:val="auto"/>
                      <w:sz w:val="21"/>
                      <w:szCs w:val="21"/>
                    </w:rPr>
                    <w:t>具体建设内容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94" w:type="pct"/>
                  <w:vMerge w:val="restart"/>
                  <w:noWrap w:val="0"/>
                  <w:vAlign w:val="center"/>
                </w:tcPr>
                <w:p>
                  <w:pPr>
                    <w:pStyle w:val="31"/>
                    <w:bidi w:val="0"/>
                    <w:rPr>
                      <w:rFonts w:hint="default"/>
                      <w:color w:val="auto"/>
                      <w:sz w:val="21"/>
                      <w:szCs w:val="21"/>
                    </w:rPr>
                  </w:pPr>
                  <w:r>
                    <w:rPr>
                      <w:rFonts w:hint="default"/>
                      <w:color w:val="auto"/>
                      <w:sz w:val="21"/>
                      <w:szCs w:val="21"/>
                    </w:rPr>
                    <w:t>主体</w:t>
                  </w:r>
                </w:p>
                <w:p>
                  <w:pPr>
                    <w:pStyle w:val="31"/>
                    <w:bidi w:val="0"/>
                    <w:rPr>
                      <w:rFonts w:hint="default"/>
                      <w:color w:val="auto"/>
                      <w:sz w:val="21"/>
                      <w:szCs w:val="21"/>
                    </w:rPr>
                  </w:pPr>
                  <w:r>
                    <w:rPr>
                      <w:rFonts w:hint="default"/>
                      <w:color w:val="auto"/>
                      <w:sz w:val="21"/>
                      <w:szCs w:val="21"/>
                    </w:rPr>
                    <w:t>工程</w:t>
                  </w:r>
                </w:p>
              </w:tc>
              <w:tc>
                <w:tcPr>
                  <w:tcW w:w="700" w:type="pct"/>
                  <w:noWrap w:val="0"/>
                  <w:vAlign w:val="center"/>
                </w:tcPr>
                <w:p>
                  <w:pPr>
                    <w:pStyle w:val="31"/>
                    <w:bidi w:val="0"/>
                    <w:rPr>
                      <w:rFonts w:hint="default"/>
                      <w:color w:val="auto"/>
                      <w:sz w:val="21"/>
                      <w:szCs w:val="21"/>
                      <w:lang w:val="en-US" w:eastAsia="zh-CN"/>
                    </w:rPr>
                  </w:pPr>
                  <w:r>
                    <w:rPr>
                      <w:rFonts w:hint="eastAsia"/>
                      <w:color w:val="auto"/>
                      <w:sz w:val="21"/>
                      <w:szCs w:val="21"/>
                      <w:lang w:val="en-US" w:eastAsia="zh-CN"/>
                    </w:rPr>
                    <w:t>2#搅拌楼及其附属设备</w:t>
                  </w: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位于厂区西侧，占地面积约320.33m</w:t>
                  </w:r>
                  <w:r>
                    <w:rPr>
                      <w:rFonts w:hint="eastAsia"/>
                      <w:color w:val="auto"/>
                      <w:sz w:val="21"/>
                      <w:szCs w:val="21"/>
                      <w:vertAlign w:val="superscript"/>
                      <w:lang w:val="en-US" w:eastAsia="zh-CN"/>
                    </w:rPr>
                    <w:t>2</w:t>
                  </w:r>
                  <w:r>
                    <w:rPr>
                      <w:rFonts w:hint="eastAsia"/>
                      <w:color w:val="auto"/>
                      <w:sz w:val="21"/>
                      <w:szCs w:val="21"/>
                      <w:lang w:val="en-US" w:eastAsia="zh-CN"/>
                    </w:rPr>
                    <w:t>，总高度约49.1m，5F，</w:t>
                  </w:r>
                  <w:r>
                    <w:rPr>
                      <w:rFonts w:hint="eastAsia" w:cs="Times New Roman"/>
                      <w:color w:val="auto"/>
                      <w:spacing w:val="0"/>
                      <w:kern w:val="0"/>
                      <w:sz w:val="21"/>
                      <w:szCs w:val="21"/>
                      <w:highlight w:val="none"/>
                      <w:lang w:val="en-US" w:eastAsia="zh-CN"/>
                    </w:rPr>
                    <w:t>钢结构式全封闭车间。</w:t>
                  </w:r>
                  <w:r>
                    <w:rPr>
                      <w:rFonts w:hint="eastAsia"/>
                      <w:color w:val="auto"/>
                      <w:sz w:val="21"/>
                      <w:szCs w:val="21"/>
                      <w:lang w:val="en-US" w:eastAsia="zh-CN"/>
                    </w:rPr>
                    <w:t>主要布置2座混凝土搅拌机和12个300t粉料筒仓，用于生产预拌商品混凝土；其南侧设两条输送带（封闭式），用于3#物料库的砂石料输送。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default"/>
                      <w:color w:val="auto"/>
                      <w:sz w:val="21"/>
                      <w:szCs w:val="21"/>
                      <w:lang w:val="en-US" w:eastAsia="zh-CN"/>
                    </w:rPr>
                  </w:pPr>
                  <w:r>
                    <w:rPr>
                      <w:rFonts w:hint="eastAsia"/>
                      <w:color w:val="auto"/>
                      <w:sz w:val="21"/>
                      <w:szCs w:val="21"/>
                      <w:lang w:val="en-US" w:eastAsia="zh-CN"/>
                    </w:rPr>
                    <w:t>5#生产车间</w:t>
                  </w:r>
                </w:p>
              </w:tc>
              <w:tc>
                <w:tcPr>
                  <w:tcW w:w="3804" w:type="pct"/>
                  <w:noWrap w:val="0"/>
                  <w:vAlign w:val="center"/>
                </w:tcPr>
                <w:p>
                  <w:pPr>
                    <w:pStyle w:val="31"/>
                    <w:bidi w:val="0"/>
                    <w:jc w:val="left"/>
                    <w:rPr>
                      <w:rFonts w:hint="eastAsia"/>
                      <w:color w:val="auto"/>
                      <w:sz w:val="21"/>
                      <w:szCs w:val="21"/>
                      <w:vertAlign w:val="baseline"/>
                      <w:lang w:val="en-US" w:eastAsia="zh-CN"/>
                    </w:rPr>
                  </w:pPr>
                  <w:r>
                    <w:rPr>
                      <w:rFonts w:hint="eastAsia"/>
                      <w:color w:val="auto"/>
                      <w:sz w:val="21"/>
                      <w:szCs w:val="21"/>
                      <w:lang w:val="en-US" w:eastAsia="zh-CN"/>
                    </w:rPr>
                    <w:t>位于厂区东北侧，占地面积2835.00m</w:t>
                  </w:r>
                  <w:r>
                    <w:rPr>
                      <w:rFonts w:hint="eastAsia"/>
                      <w:color w:val="auto"/>
                      <w:sz w:val="21"/>
                      <w:szCs w:val="21"/>
                      <w:vertAlign w:val="superscript"/>
                      <w:lang w:val="en-US" w:eastAsia="zh-CN"/>
                    </w:rPr>
                    <w:t>2</w:t>
                  </w:r>
                  <w:r>
                    <w:rPr>
                      <w:rFonts w:hint="eastAsia"/>
                      <w:color w:val="auto"/>
                      <w:sz w:val="21"/>
                      <w:szCs w:val="21"/>
                      <w:lang w:val="en-US" w:eastAsia="zh-CN"/>
                    </w:rPr>
                    <w:t>，总建筑</w:t>
                  </w:r>
                  <w:r>
                    <w:rPr>
                      <w:rFonts w:hint="eastAsia"/>
                      <w:color w:val="auto"/>
                      <w:sz w:val="21"/>
                      <w:szCs w:val="21"/>
                      <w:u w:val="none"/>
                      <w:lang w:val="en-US" w:eastAsia="zh-CN"/>
                    </w:rPr>
                    <w:t>高度约26.6m，4F，</w:t>
                  </w:r>
                  <w:r>
                    <w:rPr>
                      <w:rFonts w:hint="eastAsia"/>
                      <w:color w:val="auto"/>
                      <w:sz w:val="21"/>
                      <w:szCs w:val="21"/>
                      <w:lang w:val="en-US" w:eastAsia="zh-CN"/>
                    </w:rPr>
                    <w:t>总建筑面积11505.60m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s="Times New Roman"/>
                      <w:color w:val="auto"/>
                      <w:spacing w:val="0"/>
                      <w:kern w:val="0"/>
                      <w:sz w:val="21"/>
                      <w:szCs w:val="21"/>
                      <w:highlight w:val="none"/>
                      <w:lang w:val="en-US" w:eastAsia="zh-CN"/>
                    </w:rPr>
                    <w:t>钢结构式全封闭车间。</w:t>
                  </w:r>
                </w:p>
                <w:p>
                  <w:pPr>
                    <w:pStyle w:val="31"/>
                    <w:bidi w:val="0"/>
                    <w:jc w:val="left"/>
                    <w:rPr>
                      <w:rFonts w:hint="eastAsia"/>
                      <w:color w:val="auto"/>
                      <w:sz w:val="21"/>
                      <w:szCs w:val="21"/>
                      <w:highlight w:val="none"/>
                      <w:lang w:val="en-US" w:eastAsia="zh-CN"/>
                    </w:rPr>
                  </w:pPr>
                  <w:r>
                    <w:rPr>
                      <w:rFonts w:hint="eastAsia"/>
                      <w:color w:val="auto"/>
                      <w:sz w:val="21"/>
                      <w:szCs w:val="21"/>
                      <w:vertAlign w:val="baseline"/>
                      <w:lang w:val="en-US" w:eastAsia="zh-CN"/>
                    </w:rPr>
                    <w:t>1F层高9.5m，</w:t>
                  </w:r>
                  <w:r>
                    <w:rPr>
                      <w:rFonts w:hint="eastAsia"/>
                      <w:color w:val="auto"/>
                      <w:sz w:val="21"/>
                      <w:szCs w:val="21"/>
                      <w:highlight w:val="none"/>
                      <w:lang w:val="en-US" w:eastAsia="zh-CN"/>
                    </w:rPr>
                    <w:t>内置自动编笼机、焊机等，进行钢筋笼制作。</w:t>
                  </w:r>
                </w:p>
                <w:p>
                  <w:pPr>
                    <w:pStyle w:val="31"/>
                    <w:bidi w:val="0"/>
                    <w:jc w:val="left"/>
                    <w:rPr>
                      <w:rFonts w:hint="default"/>
                      <w:color w:val="auto"/>
                      <w:sz w:val="21"/>
                      <w:szCs w:val="21"/>
                      <w:lang w:val="en-US" w:eastAsia="zh-CN"/>
                    </w:rPr>
                  </w:pPr>
                  <w:r>
                    <w:rPr>
                      <w:rFonts w:hint="eastAsia"/>
                      <w:color w:val="auto"/>
                      <w:sz w:val="21"/>
                      <w:szCs w:val="21"/>
                      <w:vertAlign w:val="baseline"/>
                      <w:lang w:val="en-US" w:eastAsia="zh-CN"/>
                    </w:rPr>
                    <w:t>2-4F层高4.5m，近期空置。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eastAsia"/>
                      <w:color w:val="auto"/>
                      <w:sz w:val="21"/>
                      <w:szCs w:val="21"/>
                      <w:lang w:val="en-US" w:eastAsia="zh-CN"/>
                    </w:rPr>
                  </w:pPr>
                  <w:r>
                    <w:rPr>
                      <w:rFonts w:hint="eastAsia"/>
                      <w:color w:val="auto"/>
                      <w:sz w:val="21"/>
                      <w:szCs w:val="21"/>
                      <w:lang w:val="en-US" w:eastAsia="zh-CN"/>
                    </w:rPr>
                    <w:t>6#生产车间</w:t>
                  </w:r>
                </w:p>
              </w:tc>
              <w:tc>
                <w:tcPr>
                  <w:tcW w:w="3804" w:type="pct"/>
                  <w:noWrap w:val="0"/>
                  <w:vAlign w:val="center"/>
                </w:tcPr>
                <w:p>
                  <w:pPr>
                    <w:pStyle w:val="31"/>
                    <w:bidi w:val="0"/>
                    <w:jc w:val="left"/>
                    <w:rPr>
                      <w:rFonts w:hint="eastAsia" w:cs="Times New Roman"/>
                      <w:color w:val="auto"/>
                      <w:spacing w:val="0"/>
                      <w:kern w:val="0"/>
                      <w:sz w:val="21"/>
                      <w:szCs w:val="21"/>
                      <w:highlight w:val="none"/>
                      <w:lang w:val="en-US" w:eastAsia="zh-CN"/>
                    </w:rPr>
                  </w:pPr>
                  <w:r>
                    <w:rPr>
                      <w:rFonts w:hint="eastAsia"/>
                      <w:color w:val="auto"/>
                      <w:sz w:val="21"/>
                      <w:szCs w:val="21"/>
                      <w:lang w:val="en-US" w:eastAsia="zh-CN"/>
                    </w:rPr>
                    <w:t>位于厂区东侧，占地面积3645.00m</w:t>
                  </w:r>
                  <w:r>
                    <w:rPr>
                      <w:rFonts w:hint="eastAsia"/>
                      <w:color w:val="auto"/>
                      <w:sz w:val="21"/>
                      <w:szCs w:val="21"/>
                      <w:vertAlign w:val="superscript"/>
                      <w:lang w:val="en-US" w:eastAsia="zh-CN"/>
                    </w:rPr>
                    <w:t>2</w:t>
                  </w:r>
                  <w:r>
                    <w:rPr>
                      <w:rFonts w:hint="eastAsia"/>
                      <w:color w:val="auto"/>
                      <w:sz w:val="21"/>
                      <w:szCs w:val="21"/>
                      <w:lang w:val="en-US" w:eastAsia="zh-CN"/>
                    </w:rPr>
                    <w:t>，高度约26.6m，4F，总建筑面积14775.10m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s="Times New Roman"/>
                      <w:color w:val="auto"/>
                      <w:spacing w:val="0"/>
                      <w:kern w:val="0"/>
                      <w:sz w:val="21"/>
                      <w:szCs w:val="21"/>
                      <w:highlight w:val="none"/>
                      <w:lang w:val="en-US" w:eastAsia="zh-CN"/>
                    </w:rPr>
                    <w:t>钢结构式全封闭车间。</w:t>
                  </w:r>
                </w:p>
                <w:p>
                  <w:pPr>
                    <w:pStyle w:val="31"/>
                    <w:bidi w:val="0"/>
                    <w:jc w:val="left"/>
                    <w:rPr>
                      <w:rFonts w:hint="eastAsia"/>
                      <w:color w:val="auto"/>
                      <w:sz w:val="21"/>
                      <w:szCs w:val="21"/>
                      <w:vertAlign w:val="baseline"/>
                      <w:lang w:val="en-US" w:eastAsia="zh-CN"/>
                    </w:rPr>
                  </w:pPr>
                  <w:r>
                    <w:rPr>
                      <w:rFonts w:hint="eastAsia"/>
                      <w:color w:val="auto"/>
                      <w:sz w:val="21"/>
                      <w:szCs w:val="21"/>
                      <w:vertAlign w:val="baseline"/>
                      <w:lang w:val="en-US" w:eastAsia="zh-CN"/>
                    </w:rPr>
                    <w:t>1F层高9.5m，内置混凝土预制件模台等，进行砼结构件的浇筑及成型养护等工作。</w:t>
                  </w:r>
                </w:p>
                <w:p>
                  <w:pPr>
                    <w:pStyle w:val="31"/>
                    <w:bidi w:val="0"/>
                    <w:jc w:val="left"/>
                    <w:rPr>
                      <w:rFonts w:hint="default"/>
                      <w:color w:val="auto"/>
                      <w:sz w:val="21"/>
                      <w:szCs w:val="21"/>
                      <w:lang w:val="en-US" w:eastAsia="zh-CN"/>
                    </w:rPr>
                  </w:pPr>
                  <w:r>
                    <w:rPr>
                      <w:rFonts w:hint="eastAsia"/>
                      <w:color w:val="auto"/>
                      <w:sz w:val="21"/>
                      <w:szCs w:val="21"/>
                      <w:vertAlign w:val="baseline"/>
                      <w:lang w:val="en-US" w:eastAsia="zh-CN"/>
                    </w:rPr>
                    <w:t>2-4F层高4.5m，近期空置。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4" w:type="pct"/>
                  <w:noWrap w:val="0"/>
                  <w:vAlign w:val="center"/>
                </w:tcPr>
                <w:p>
                  <w:pPr>
                    <w:pStyle w:val="31"/>
                    <w:bidi w:val="0"/>
                    <w:rPr>
                      <w:rFonts w:hint="eastAsia"/>
                      <w:color w:val="auto"/>
                      <w:sz w:val="21"/>
                      <w:szCs w:val="21"/>
                      <w:lang w:eastAsia="zh-CN"/>
                    </w:rPr>
                  </w:pPr>
                  <w:r>
                    <w:rPr>
                      <w:rFonts w:hint="eastAsia"/>
                      <w:color w:val="auto"/>
                      <w:sz w:val="21"/>
                      <w:szCs w:val="21"/>
                      <w:lang w:val="en-US" w:eastAsia="zh-CN"/>
                    </w:rPr>
                    <w:t>仓储</w:t>
                  </w:r>
                  <w:r>
                    <w:rPr>
                      <w:rFonts w:hint="eastAsia"/>
                      <w:color w:val="auto"/>
                      <w:sz w:val="21"/>
                      <w:szCs w:val="21"/>
                      <w:lang w:eastAsia="zh-CN"/>
                    </w:rPr>
                    <w:t>工程</w:t>
                  </w:r>
                </w:p>
              </w:tc>
              <w:tc>
                <w:tcPr>
                  <w:tcW w:w="700" w:type="pct"/>
                  <w:noWrap w:val="0"/>
                  <w:vAlign w:val="center"/>
                </w:tcPr>
                <w:p>
                  <w:pPr>
                    <w:pStyle w:val="31"/>
                    <w:bidi w:val="0"/>
                    <w:rPr>
                      <w:rFonts w:hint="default"/>
                      <w:color w:val="auto"/>
                      <w:sz w:val="21"/>
                      <w:szCs w:val="21"/>
                      <w:lang w:val="en-US" w:eastAsia="zh-CN"/>
                    </w:rPr>
                  </w:pPr>
                  <w:r>
                    <w:rPr>
                      <w:rFonts w:hint="eastAsia"/>
                      <w:color w:val="auto"/>
                      <w:sz w:val="21"/>
                      <w:szCs w:val="21"/>
                      <w:lang w:val="en-US" w:eastAsia="zh-CN"/>
                    </w:rPr>
                    <w:t>3#物料库</w:t>
                  </w: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位于厂区西南侧，</w:t>
                  </w:r>
                  <w:r>
                    <w:rPr>
                      <w:rFonts w:hint="eastAsia" w:cs="Times New Roman"/>
                      <w:color w:val="auto"/>
                      <w:sz w:val="21"/>
                      <w:szCs w:val="21"/>
                      <w:highlight w:val="none"/>
                      <w:lang w:val="en-US" w:eastAsia="zh-CN"/>
                    </w:rPr>
                    <w:t>采取钢结构式封闭（三面及顶部围蔽，仅保留进出料面敞开）。</w:t>
                  </w:r>
                  <w:r>
                    <w:rPr>
                      <w:rFonts w:hint="eastAsia"/>
                      <w:color w:val="auto"/>
                      <w:sz w:val="21"/>
                      <w:szCs w:val="21"/>
                      <w:lang w:val="en-US" w:eastAsia="zh-CN"/>
                    </w:rPr>
                    <w:t>用于堆放砂石料、石子等物料，并预留</w:t>
                  </w:r>
                  <w:r>
                    <w:rPr>
                      <w:rFonts w:hint="default"/>
                      <w:color w:val="auto"/>
                      <w:sz w:val="21"/>
                      <w:szCs w:val="21"/>
                    </w:rPr>
                    <w:t>建筑垃圾</w:t>
                  </w:r>
                  <w:r>
                    <w:rPr>
                      <w:rFonts w:hint="eastAsia"/>
                      <w:color w:val="auto"/>
                      <w:sz w:val="21"/>
                      <w:szCs w:val="21"/>
                      <w:lang w:val="en-US" w:eastAsia="zh-CN"/>
                    </w:rPr>
                    <w:t>回收破碎生产线。占地面积12221.96m</w:t>
                  </w:r>
                  <w:r>
                    <w:rPr>
                      <w:rFonts w:hint="eastAsia"/>
                      <w:color w:val="auto"/>
                      <w:sz w:val="21"/>
                      <w:szCs w:val="21"/>
                      <w:vertAlign w:val="superscript"/>
                      <w:lang w:val="en-US" w:eastAsia="zh-CN"/>
                    </w:rPr>
                    <w:t>2</w:t>
                  </w:r>
                  <w:r>
                    <w:rPr>
                      <w:rFonts w:hint="eastAsia"/>
                      <w:color w:val="auto"/>
                      <w:sz w:val="21"/>
                      <w:szCs w:val="21"/>
                      <w:vertAlign w:val="baseline"/>
                      <w:lang w:val="en-US" w:eastAsia="zh-CN"/>
                    </w:rPr>
                    <w:t>，1F，总高度14m。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noWrap w:val="0"/>
                  <w:vAlign w:val="center"/>
                </w:tcPr>
                <w:p>
                  <w:pPr>
                    <w:pStyle w:val="31"/>
                    <w:bidi w:val="0"/>
                    <w:rPr>
                      <w:rFonts w:hint="default"/>
                      <w:color w:val="auto"/>
                      <w:sz w:val="21"/>
                      <w:szCs w:val="21"/>
                    </w:rPr>
                  </w:pPr>
                  <w:r>
                    <w:rPr>
                      <w:rFonts w:hint="default"/>
                      <w:color w:val="auto"/>
                      <w:sz w:val="21"/>
                      <w:szCs w:val="21"/>
                    </w:rPr>
                    <w:t>公用工程</w:t>
                  </w:r>
                </w:p>
              </w:tc>
              <w:tc>
                <w:tcPr>
                  <w:tcW w:w="700" w:type="pct"/>
                  <w:noWrap w:val="0"/>
                  <w:vAlign w:val="center"/>
                </w:tcPr>
                <w:p>
                  <w:pPr>
                    <w:pStyle w:val="31"/>
                    <w:bidi w:val="0"/>
                    <w:rPr>
                      <w:rFonts w:hint="default"/>
                      <w:color w:val="auto"/>
                      <w:sz w:val="21"/>
                      <w:szCs w:val="21"/>
                    </w:rPr>
                  </w:pPr>
                  <w:r>
                    <w:rPr>
                      <w:rFonts w:hint="default"/>
                      <w:color w:val="auto"/>
                      <w:sz w:val="21"/>
                      <w:szCs w:val="21"/>
                    </w:rPr>
                    <w:t>供水</w:t>
                  </w:r>
                </w:p>
              </w:tc>
              <w:tc>
                <w:tcPr>
                  <w:tcW w:w="3804" w:type="pct"/>
                  <w:noWrap w:val="0"/>
                  <w:vAlign w:val="center"/>
                </w:tcPr>
                <w:p>
                  <w:pPr>
                    <w:pStyle w:val="31"/>
                    <w:bidi w:val="0"/>
                    <w:rPr>
                      <w:rFonts w:hint="default"/>
                      <w:color w:val="auto"/>
                      <w:sz w:val="21"/>
                      <w:szCs w:val="21"/>
                      <w:lang w:val="en-US" w:eastAsia="zh-CN"/>
                    </w:rPr>
                  </w:pPr>
                  <w:r>
                    <w:rPr>
                      <w:rFonts w:hint="eastAsia"/>
                      <w:color w:val="auto"/>
                      <w:sz w:val="21"/>
                      <w:szCs w:val="21"/>
                      <w:lang w:val="en-US" w:eastAsia="zh-CN"/>
                    </w:rPr>
                    <w:t>接市政供水管网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default"/>
                      <w:color w:val="auto"/>
                      <w:sz w:val="21"/>
                      <w:szCs w:val="21"/>
                      <w:lang w:eastAsia="zh-CN"/>
                    </w:rPr>
                  </w:pPr>
                  <w:r>
                    <w:rPr>
                      <w:rFonts w:hint="default"/>
                      <w:color w:val="auto"/>
                      <w:sz w:val="21"/>
                      <w:szCs w:val="21"/>
                      <w:lang w:eastAsia="zh-CN"/>
                    </w:rPr>
                    <w:t>排水</w:t>
                  </w:r>
                </w:p>
              </w:tc>
              <w:tc>
                <w:tcPr>
                  <w:tcW w:w="3804" w:type="pct"/>
                  <w:noWrap w:val="0"/>
                  <w:vAlign w:val="center"/>
                </w:tcPr>
                <w:p>
                  <w:pPr>
                    <w:pStyle w:val="31"/>
                    <w:bidi w:val="0"/>
                    <w:jc w:val="left"/>
                    <w:rPr>
                      <w:rFonts w:hint="default"/>
                      <w:color w:val="auto"/>
                      <w:sz w:val="21"/>
                      <w:szCs w:val="21"/>
                      <w:lang w:val="en-US" w:eastAsia="zh-CN"/>
                    </w:rPr>
                  </w:pPr>
                  <w:r>
                    <w:rPr>
                      <w:rFonts w:hint="default"/>
                      <w:color w:val="auto"/>
                      <w:sz w:val="21"/>
                      <w:szCs w:val="21"/>
                      <w:lang w:eastAsia="zh-CN"/>
                    </w:rPr>
                    <w:t>实行雨污分流</w:t>
                  </w:r>
                  <w:r>
                    <w:rPr>
                      <w:rFonts w:hint="eastAsia"/>
                      <w:color w:val="auto"/>
                      <w:sz w:val="21"/>
                      <w:szCs w:val="21"/>
                      <w:lang w:eastAsia="zh-CN"/>
                    </w:rPr>
                    <w:t>，</w:t>
                  </w:r>
                  <w:r>
                    <w:rPr>
                      <w:rFonts w:hint="eastAsia" w:cs="Times New Roman"/>
                      <w:color w:val="auto"/>
                      <w:sz w:val="21"/>
                      <w:szCs w:val="21"/>
                      <w:highlight w:val="none"/>
                      <w:lang w:val="en-US" w:eastAsia="zh-CN"/>
                    </w:rPr>
                    <w:t>车间</w:t>
                  </w:r>
                  <w:r>
                    <w:rPr>
                      <w:rFonts w:hint="eastAsia" w:ascii="Times New Roman" w:hAnsi="Times New Roman" w:eastAsia="宋体" w:cs="Times New Roman"/>
                      <w:color w:val="auto"/>
                      <w:sz w:val="21"/>
                      <w:szCs w:val="21"/>
                      <w:highlight w:val="none"/>
                      <w:lang w:eastAsia="zh-CN"/>
                    </w:rPr>
                    <w:t>屋</w:t>
                  </w:r>
                  <w:r>
                    <w:rPr>
                      <w:rFonts w:hint="eastAsia" w:cs="Times New Roman"/>
                      <w:color w:val="auto"/>
                      <w:sz w:val="21"/>
                      <w:szCs w:val="21"/>
                      <w:highlight w:val="none"/>
                      <w:lang w:val="en-US" w:eastAsia="zh-CN"/>
                    </w:rPr>
                    <w:t>顶</w:t>
                  </w:r>
                  <w:r>
                    <w:rPr>
                      <w:rFonts w:hint="eastAsia" w:ascii="Times New Roman" w:hAnsi="Times New Roman" w:eastAsia="宋体" w:cs="Times New Roman"/>
                      <w:color w:val="auto"/>
                      <w:sz w:val="21"/>
                      <w:szCs w:val="21"/>
                      <w:highlight w:val="none"/>
                      <w:lang w:eastAsia="zh-CN"/>
                    </w:rPr>
                    <w:t>面配套设有独立雨水系统，屋</w:t>
                  </w:r>
                  <w:r>
                    <w:rPr>
                      <w:rFonts w:hint="eastAsia" w:cs="Times New Roman"/>
                      <w:color w:val="auto"/>
                      <w:sz w:val="21"/>
                      <w:szCs w:val="21"/>
                      <w:highlight w:val="none"/>
                      <w:lang w:val="en-US" w:eastAsia="zh-CN"/>
                    </w:rPr>
                    <w:t>顶</w:t>
                  </w:r>
                  <w:r>
                    <w:rPr>
                      <w:rFonts w:hint="eastAsia" w:ascii="Times New Roman" w:hAnsi="Times New Roman" w:eastAsia="宋体" w:cs="Times New Roman"/>
                      <w:color w:val="auto"/>
                      <w:sz w:val="21"/>
                      <w:szCs w:val="21"/>
                      <w:highlight w:val="none"/>
                      <w:lang w:eastAsia="zh-CN"/>
                    </w:rPr>
                    <w:t>面雨水通过雨水</w:t>
                  </w:r>
                  <w:r>
                    <w:rPr>
                      <w:rFonts w:hint="eastAsia" w:cs="Times New Roman"/>
                      <w:color w:val="auto"/>
                      <w:sz w:val="21"/>
                      <w:szCs w:val="21"/>
                      <w:highlight w:val="none"/>
                      <w:lang w:val="en-US" w:eastAsia="zh-CN"/>
                    </w:rPr>
                    <w:t>管收集直接导入所在厂区</w:t>
                  </w:r>
                  <w:r>
                    <w:rPr>
                      <w:rFonts w:hint="eastAsia" w:ascii="Times New Roman" w:hAnsi="Times New Roman" w:eastAsia="宋体" w:cs="Times New Roman"/>
                      <w:color w:val="auto"/>
                      <w:sz w:val="21"/>
                      <w:szCs w:val="21"/>
                      <w:highlight w:val="none"/>
                      <w:lang w:eastAsia="zh-CN"/>
                    </w:rPr>
                    <w:t>雨水管网，与</w:t>
                  </w:r>
                  <w:r>
                    <w:rPr>
                      <w:rFonts w:hint="eastAsia" w:cs="Times New Roman"/>
                      <w:color w:val="auto"/>
                      <w:sz w:val="21"/>
                      <w:szCs w:val="21"/>
                      <w:highlight w:val="none"/>
                      <w:lang w:val="en-US" w:eastAsia="zh-CN"/>
                    </w:rPr>
                    <w:t>生产区</w:t>
                  </w:r>
                  <w:r>
                    <w:rPr>
                      <w:rFonts w:hint="eastAsia" w:ascii="Times New Roman" w:hAnsi="Times New Roman" w:eastAsia="宋体" w:cs="Times New Roman"/>
                      <w:color w:val="auto"/>
                      <w:sz w:val="21"/>
                      <w:szCs w:val="21"/>
                      <w:highlight w:val="none"/>
                      <w:lang w:eastAsia="zh-CN"/>
                    </w:rPr>
                    <w:t>地面雨水分流；生产废水及收集</w:t>
                  </w:r>
                  <w:r>
                    <w:rPr>
                      <w:rFonts w:hint="eastAsia" w:cs="Times New Roman"/>
                      <w:color w:val="auto"/>
                      <w:sz w:val="21"/>
                      <w:szCs w:val="21"/>
                      <w:highlight w:val="none"/>
                      <w:lang w:val="en-US" w:eastAsia="zh-CN"/>
                    </w:rPr>
                    <w:t>的地面</w:t>
                  </w:r>
                  <w:r>
                    <w:rPr>
                      <w:rFonts w:hint="eastAsia" w:ascii="Times New Roman" w:hAnsi="Times New Roman" w:eastAsia="宋体" w:cs="Times New Roman"/>
                      <w:color w:val="auto"/>
                      <w:sz w:val="21"/>
                      <w:szCs w:val="21"/>
                      <w:highlight w:val="none"/>
                      <w:lang w:eastAsia="zh-CN"/>
                    </w:rPr>
                    <w:t>初期雨水经处理后全部回用，不外排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经阀门切换后期清洁雨水</w:t>
                  </w:r>
                  <w:r>
                    <w:rPr>
                      <w:rFonts w:hint="eastAsia" w:ascii="Times New Roman" w:hAnsi="Times New Roman" w:eastAsia="宋体" w:cs="Times New Roman"/>
                      <w:color w:val="auto"/>
                      <w:sz w:val="21"/>
                      <w:szCs w:val="21"/>
                      <w:lang w:val="en-US" w:eastAsia="zh-CN"/>
                    </w:rPr>
                    <w:t>导入所在厂区雨水管网，进入区域市政雨水管网直接排放</w:t>
                  </w:r>
                  <w:r>
                    <w:rPr>
                      <w:rFonts w:hint="eastAsia"/>
                      <w:color w:val="auto"/>
                      <w:sz w:val="21"/>
                      <w:szCs w:val="21"/>
                      <w:lang w:eastAsia="zh-CN"/>
                    </w:rPr>
                    <w:t>；生活污水经</w:t>
                  </w:r>
                  <w:r>
                    <w:rPr>
                      <w:rFonts w:hint="eastAsia"/>
                      <w:color w:val="auto"/>
                      <w:sz w:val="21"/>
                      <w:szCs w:val="21"/>
                      <w:lang w:val="en-US" w:eastAsia="zh-CN"/>
                    </w:rPr>
                    <w:t>化粪池+一体化污水处理设施</w:t>
                  </w:r>
                  <w:r>
                    <w:rPr>
                      <w:rFonts w:hint="eastAsia"/>
                      <w:color w:val="auto"/>
                      <w:sz w:val="21"/>
                      <w:szCs w:val="21"/>
                      <w:lang w:eastAsia="zh-CN"/>
                    </w:rPr>
                    <w:t>处理达标后</w:t>
                  </w:r>
                  <w:r>
                    <w:rPr>
                      <w:rFonts w:hint="eastAsia"/>
                      <w:color w:val="auto"/>
                      <w:sz w:val="21"/>
                      <w:szCs w:val="21"/>
                      <w:lang w:val="en-US" w:eastAsia="zh-CN"/>
                    </w:rPr>
                    <w:t>回用于厂区绿化及生产</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default"/>
                      <w:color w:val="auto"/>
                      <w:sz w:val="21"/>
                      <w:szCs w:val="21"/>
                    </w:rPr>
                  </w:pPr>
                  <w:r>
                    <w:rPr>
                      <w:rFonts w:hint="default"/>
                      <w:color w:val="auto"/>
                      <w:sz w:val="21"/>
                      <w:szCs w:val="21"/>
                    </w:rPr>
                    <w:t>供电</w:t>
                  </w:r>
                </w:p>
              </w:tc>
              <w:tc>
                <w:tcPr>
                  <w:tcW w:w="3804" w:type="pct"/>
                  <w:noWrap w:val="0"/>
                  <w:vAlign w:val="center"/>
                </w:tcPr>
                <w:p>
                  <w:pPr>
                    <w:pStyle w:val="31"/>
                    <w:bidi w:val="0"/>
                    <w:rPr>
                      <w:rFonts w:hint="eastAsia" w:eastAsia="宋体"/>
                      <w:color w:val="auto"/>
                      <w:sz w:val="21"/>
                      <w:szCs w:val="21"/>
                      <w:lang w:eastAsia="zh-CN"/>
                    </w:rPr>
                  </w:pPr>
                  <w:r>
                    <w:rPr>
                      <w:rFonts w:hint="default"/>
                      <w:color w:val="auto"/>
                      <w:sz w:val="21"/>
                      <w:szCs w:val="21"/>
                    </w:rPr>
                    <w:t>接市政供电系统</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94" w:type="pct"/>
                  <w:vMerge w:val="restart"/>
                  <w:noWrap w:val="0"/>
                  <w:vAlign w:val="center"/>
                </w:tcPr>
                <w:p>
                  <w:pPr>
                    <w:pStyle w:val="31"/>
                    <w:bidi w:val="0"/>
                    <w:rPr>
                      <w:rFonts w:hint="eastAsia"/>
                      <w:color w:val="auto"/>
                      <w:sz w:val="21"/>
                      <w:szCs w:val="21"/>
                      <w:lang w:eastAsia="zh-CN"/>
                    </w:rPr>
                  </w:pPr>
                  <w:r>
                    <w:rPr>
                      <w:rFonts w:hint="eastAsia"/>
                      <w:color w:val="auto"/>
                      <w:sz w:val="21"/>
                      <w:szCs w:val="21"/>
                      <w:lang w:eastAsia="zh-CN"/>
                    </w:rPr>
                    <w:t>辅助工程</w:t>
                  </w:r>
                </w:p>
              </w:tc>
              <w:tc>
                <w:tcPr>
                  <w:tcW w:w="700" w:type="pct"/>
                  <w:noWrap w:val="0"/>
                  <w:vAlign w:val="center"/>
                </w:tcPr>
                <w:p>
                  <w:pPr>
                    <w:pStyle w:val="31"/>
                    <w:bidi w:val="0"/>
                    <w:rPr>
                      <w:rFonts w:hint="default"/>
                      <w:color w:val="auto"/>
                      <w:sz w:val="21"/>
                      <w:szCs w:val="21"/>
                      <w:lang w:val="en-US" w:eastAsia="zh-CN"/>
                    </w:rPr>
                  </w:pPr>
                  <w:r>
                    <w:rPr>
                      <w:rFonts w:hint="eastAsia"/>
                      <w:color w:val="auto"/>
                      <w:sz w:val="21"/>
                      <w:szCs w:val="21"/>
                      <w:lang w:val="en-US" w:eastAsia="zh-CN"/>
                    </w:rPr>
                    <w:t>1#宿舍楼</w:t>
                  </w: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eastAsia="zh-CN"/>
                    </w:rPr>
                    <w:t>位于厂区</w:t>
                  </w:r>
                  <w:r>
                    <w:rPr>
                      <w:rFonts w:hint="eastAsia"/>
                      <w:color w:val="auto"/>
                      <w:sz w:val="21"/>
                      <w:szCs w:val="21"/>
                      <w:lang w:val="en-US" w:eastAsia="zh-CN"/>
                    </w:rPr>
                    <w:t>西北角</w:t>
                  </w:r>
                  <w:r>
                    <w:rPr>
                      <w:rFonts w:hint="eastAsia"/>
                      <w:color w:val="auto"/>
                      <w:sz w:val="21"/>
                      <w:szCs w:val="21"/>
                      <w:lang w:eastAsia="zh-CN"/>
                    </w:rPr>
                    <w:t>，占地面积约</w:t>
                  </w:r>
                  <w:r>
                    <w:rPr>
                      <w:rFonts w:hint="eastAsia"/>
                      <w:color w:val="auto"/>
                      <w:sz w:val="21"/>
                      <w:szCs w:val="21"/>
                      <w:lang w:val="en-US" w:eastAsia="zh-CN"/>
                    </w:rPr>
                    <w:t>7866.42m</w:t>
                  </w:r>
                  <w:r>
                    <w:rPr>
                      <w:rFonts w:hint="eastAsia"/>
                      <w:color w:val="auto"/>
                      <w:sz w:val="21"/>
                      <w:szCs w:val="21"/>
                      <w:vertAlign w:val="superscript"/>
                      <w:lang w:val="en-US" w:eastAsia="zh-CN"/>
                    </w:rPr>
                    <w:t>2</w:t>
                  </w:r>
                  <w:r>
                    <w:rPr>
                      <w:rFonts w:hint="eastAsia"/>
                      <w:color w:val="auto"/>
                      <w:sz w:val="21"/>
                      <w:szCs w:val="21"/>
                      <w:lang w:val="en-US" w:eastAsia="zh-CN"/>
                    </w:rPr>
                    <w:t>，7F，总建筑高度26.2m，用于员工日常办公、生活、住宿。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eastAsia"/>
                      <w:color w:val="auto"/>
                      <w:sz w:val="21"/>
                      <w:szCs w:val="21"/>
                      <w:lang w:eastAsia="zh-CN"/>
                    </w:rPr>
                  </w:pPr>
                  <w:r>
                    <w:rPr>
                      <w:rFonts w:hint="eastAsia"/>
                      <w:color w:val="auto"/>
                      <w:sz w:val="21"/>
                      <w:szCs w:val="21"/>
                      <w:lang w:eastAsia="zh-CN"/>
                    </w:rPr>
                    <w:t>门卫</w:t>
                  </w:r>
                </w:p>
              </w:tc>
              <w:tc>
                <w:tcPr>
                  <w:tcW w:w="3804" w:type="pct"/>
                  <w:noWrap w:val="0"/>
                  <w:vAlign w:val="center"/>
                </w:tcPr>
                <w:p>
                  <w:pPr>
                    <w:pStyle w:val="31"/>
                    <w:bidi w:val="0"/>
                    <w:rPr>
                      <w:rFonts w:hint="eastAsia"/>
                      <w:color w:val="auto"/>
                      <w:sz w:val="21"/>
                      <w:szCs w:val="21"/>
                      <w:lang w:val="en-US" w:eastAsia="zh-CN"/>
                    </w:rPr>
                  </w:pPr>
                  <w:r>
                    <w:rPr>
                      <w:rFonts w:hint="eastAsia"/>
                      <w:color w:val="auto"/>
                      <w:sz w:val="21"/>
                      <w:szCs w:val="21"/>
                      <w:lang w:eastAsia="zh-CN"/>
                    </w:rPr>
                    <w:t>位于厂区</w:t>
                  </w:r>
                  <w:r>
                    <w:rPr>
                      <w:rFonts w:hint="eastAsia"/>
                      <w:color w:val="auto"/>
                      <w:sz w:val="21"/>
                      <w:szCs w:val="21"/>
                      <w:lang w:val="en-US" w:eastAsia="zh-CN"/>
                    </w:rPr>
                    <w:t>北</w:t>
                  </w:r>
                  <w:r>
                    <w:rPr>
                      <w:rFonts w:hint="eastAsia"/>
                      <w:color w:val="auto"/>
                      <w:sz w:val="21"/>
                      <w:szCs w:val="21"/>
                      <w:lang w:eastAsia="zh-CN"/>
                    </w:rPr>
                    <w:t>侧，占地面积约</w:t>
                  </w:r>
                  <w:r>
                    <w:rPr>
                      <w:rFonts w:hint="eastAsia"/>
                      <w:color w:val="auto"/>
                      <w:sz w:val="21"/>
                      <w:szCs w:val="21"/>
                      <w:lang w:val="en-US" w:eastAsia="zh-CN"/>
                    </w:rPr>
                    <w:t>45m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restart"/>
                  <w:noWrap w:val="0"/>
                  <w:vAlign w:val="center"/>
                </w:tcPr>
                <w:p>
                  <w:pPr>
                    <w:pStyle w:val="31"/>
                    <w:bidi w:val="0"/>
                    <w:rPr>
                      <w:rFonts w:hint="default"/>
                      <w:color w:val="auto"/>
                      <w:sz w:val="21"/>
                      <w:szCs w:val="21"/>
                    </w:rPr>
                  </w:pPr>
                  <w:r>
                    <w:rPr>
                      <w:rFonts w:hint="default"/>
                      <w:color w:val="auto"/>
                      <w:sz w:val="21"/>
                      <w:szCs w:val="21"/>
                    </w:rPr>
                    <w:t>环保工程</w:t>
                  </w:r>
                </w:p>
              </w:tc>
              <w:tc>
                <w:tcPr>
                  <w:tcW w:w="700" w:type="pct"/>
                  <w:vMerge w:val="restart"/>
                  <w:noWrap w:val="0"/>
                  <w:vAlign w:val="center"/>
                </w:tcPr>
                <w:p>
                  <w:pPr>
                    <w:pStyle w:val="31"/>
                    <w:bidi w:val="0"/>
                    <w:rPr>
                      <w:rFonts w:hint="default"/>
                      <w:color w:val="auto"/>
                      <w:sz w:val="21"/>
                      <w:szCs w:val="21"/>
                      <w:lang w:eastAsia="zh-CN"/>
                    </w:rPr>
                  </w:pPr>
                  <w:r>
                    <w:rPr>
                      <w:rFonts w:hint="default"/>
                      <w:color w:val="auto"/>
                      <w:sz w:val="21"/>
                      <w:szCs w:val="21"/>
                    </w:rPr>
                    <w:t>废水</w:t>
                  </w:r>
                  <w:r>
                    <w:rPr>
                      <w:rFonts w:hint="default"/>
                      <w:color w:val="auto"/>
                      <w:sz w:val="21"/>
                      <w:szCs w:val="21"/>
                      <w:lang w:eastAsia="zh-CN"/>
                    </w:rPr>
                    <w:t>治理</w:t>
                  </w: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highlight w:val="none"/>
                      <w:lang w:val="en-US" w:eastAsia="zh-CN"/>
                    </w:rPr>
                    <w:t>拟设置1个洗车台，洗车废水经洗车台配套沉淀池（约15m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）处理后回用于车辆冲洗，不外排，沉淀池表层浮油采用吸油毡定期清理，废吸油毡作为危险废物，暂存于危险废物贮存库内，委托有资质单位定期清运处置。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设备清洗废水、生产区地面冲洗废水、试验清洗废水等一并经由生产废水处理系统（斜坡沉淀池，</w:t>
                  </w:r>
                  <w:r>
                    <w:rPr>
                      <w:rFonts w:hint="eastAsia"/>
                      <w:color w:val="auto"/>
                      <w:sz w:val="21"/>
                      <w:szCs w:val="21"/>
                      <w:highlight w:val="none"/>
                      <w:lang w:val="en-US" w:eastAsia="zh-CN"/>
                    </w:rPr>
                    <w:t>容积合计216m</w:t>
                  </w:r>
                  <w:r>
                    <w:rPr>
                      <w:rFonts w:hint="eastAsia"/>
                      <w:color w:val="auto"/>
                      <w:sz w:val="21"/>
                      <w:szCs w:val="21"/>
                      <w:highlight w:val="none"/>
                      <w:vertAlign w:val="superscript"/>
                      <w:lang w:val="en-US" w:eastAsia="zh-CN"/>
                    </w:rPr>
                    <w:t>3</w:t>
                  </w:r>
                  <w:r>
                    <w:rPr>
                      <w:rFonts w:hint="eastAsia"/>
                      <w:color w:val="auto"/>
                      <w:sz w:val="21"/>
                      <w:szCs w:val="21"/>
                      <w:lang w:val="en-US" w:eastAsia="zh-CN"/>
                    </w:rPr>
                    <w:t>）处理后，上清液</w:t>
                  </w:r>
                  <w:r>
                    <w:rPr>
                      <w:rFonts w:hint="eastAsia" w:ascii="Times New Roman" w:hAnsi="Times New Roman" w:eastAsia="宋体" w:cs="Times New Roman"/>
                      <w:color w:val="auto"/>
                      <w:sz w:val="21"/>
                      <w:szCs w:val="21"/>
                      <w:highlight w:val="none"/>
                      <w:lang w:val="en-US" w:eastAsia="zh-CN"/>
                    </w:rPr>
                    <w:t>回用于搅拌用水</w:t>
                  </w:r>
                  <w:r>
                    <w:rPr>
                      <w:rFonts w:hint="eastAsia"/>
                      <w:color w:val="auto"/>
                      <w:sz w:val="21"/>
                      <w:szCs w:val="21"/>
                      <w:lang w:val="en-US" w:eastAsia="zh-CN"/>
                    </w:rPr>
                    <w:t>，不外排，沉渣经砂石分离机、压滤机分别处理后，回用于生产。初期雨水经由场内的雨水收集系统收集后排入厂区东南侧的300m</w:t>
                  </w:r>
                  <w:r>
                    <w:rPr>
                      <w:rFonts w:hint="eastAsia"/>
                      <w:color w:val="auto"/>
                      <w:sz w:val="21"/>
                      <w:szCs w:val="21"/>
                      <w:vertAlign w:val="superscript"/>
                      <w:lang w:val="en-US" w:eastAsia="zh-CN"/>
                    </w:rPr>
                    <w:t>3</w:t>
                  </w:r>
                  <w:r>
                    <w:rPr>
                      <w:rFonts w:hint="eastAsia"/>
                      <w:color w:val="auto"/>
                      <w:sz w:val="21"/>
                      <w:szCs w:val="21"/>
                      <w:lang w:val="en-US" w:eastAsia="zh-CN"/>
                    </w:rPr>
                    <w:t>初期雨水收集池，设阀门手动控制。收集到的雨水排入生产废水处理系统处理后回用，不外排。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eastAsia"/>
                      <w:color w:val="auto"/>
                      <w:sz w:val="21"/>
                      <w:szCs w:val="21"/>
                      <w:lang w:val="en-US" w:eastAsia="zh-CN"/>
                    </w:rPr>
                  </w:pPr>
                  <w:r>
                    <w:rPr>
                      <w:rFonts w:hint="eastAsia"/>
                      <w:color w:val="auto"/>
                      <w:sz w:val="21"/>
                      <w:szCs w:val="21"/>
                      <w:lang w:val="en-US" w:eastAsia="zh-CN"/>
                    </w:rPr>
                    <w:t>职工日常生活污水进入厂区1#宿舍楼南侧的100m</w:t>
                  </w:r>
                  <w:r>
                    <w:rPr>
                      <w:rFonts w:hint="eastAsia"/>
                      <w:color w:val="auto"/>
                      <w:sz w:val="21"/>
                      <w:szCs w:val="21"/>
                      <w:vertAlign w:val="superscript"/>
                      <w:lang w:val="en-US" w:eastAsia="zh-CN"/>
                    </w:rPr>
                    <w:t>3</w:t>
                  </w:r>
                  <w:r>
                    <w:rPr>
                      <w:rFonts w:hint="eastAsia"/>
                      <w:color w:val="auto"/>
                      <w:sz w:val="21"/>
                      <w:szCs w:val="21"/>
                      <w:lang w:val="en-US" w:eastAsia="zh-CN"/>
                    </w:rPr>
                    <w:t>玻璃钢化粪池+一体化污水处理设施（30t/d）处理，尾水回用于厂区绿化灌溉及生产。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restart"/>
                  <w:noWrap w:val="0"/>
                  <w:vAlign w:val="center"/>
                </w:tcPr>
                <w:p>
                  <w:pPr>
                    <w:pStyle w:val="31"/>
                    <w:bidi w:val="0"/>
                    <w:rPr>
                      <w:rFonts w:hint="default"/>
                      <w:color w:val="auto"/>
                      <w:sz w:val="21"/>
                      <w:szCs w:val="21"/>
                    </w:rPr>
                  </w:pPr>
                  <w:r>
                    <w:rPr>
                      <w:rFonts w:hint="default"/>
                      <w:color w:val="auto"/>
                      <w:sz w:val="21"/>
                      <w:szCs w:val="21"/>
                    </w:rPr>
                    <w:t>废气</w:t>
                  </w:r>
                </w:p>
                <w:p>
                  <w:pPr>
                    <w:pStyle w:val="31"/>
                    <w:bidi w:val="0"/>
                    <w:rPr>
                      <w:rFonts w:hint="default"/>
                      <w:color w:val="auto"/>
                      <w:sz w:val="21"/>
                      <w:szCs w:val="21"/>
                      <w:lang w:eastAsia="zh-CN"/>
                    </w:rPr>
                  </w:pPr>
                  <w:r>
                    <w:rPr>
                      <w:rFonts w:hint="default"/>
                      <w:color w:val="auto"/>
                      <w:sz w:val="21"/>
                      <w:szCs w:val="21"/>
                      <w:lang w:eastAsia="zh-CN"/>
                    </w:rPr>
                    <w:t>治理</w:t>
                  </w: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砂石装卸及堆场风蚀扬尘：骨料仓封闭设置（三面及顶部围蔽，仅保留进出料面敞开），配套喷淋装置抑尘。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eastAsia"/>
                      <w:color w:val="auto"/>
                      <w:sz w:val="21"/>
                      <w:szCs w:val="21"/>
                      <w:lang w:val="en-US" w:eastAsia="zh-CN"/>
                    </w:rPr>
                  </w:pPr>
                  <w:r>
                    <w:rPr>
                      <w:rFonts w:hint="eastAsia"/>
                      <w:color w:val="auto"/>
                      <w:sz w:val="21"/>
                      <w:szCs w:val="21"/>
                      <w:lang w:val="en-US" w:eastAsia="zh-CN"/>
                    </w:rPr>
                    <w:t>运输车辆扬尘：厂区道路硬化、定时人工洒水抑尘和清扫、出入口设置洗车台对进出车辆进行冲洗。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eastAsia"/>
                      <w:color w:val="auto"/>
                      <w:sz w:val="21"/>
                      <w:szCs w:val="21"/>
                      <w:lang w:val="en-US" w:eastAsia="zh-CN"/>
                    </w:rPr>
                  </w:pPr>
                  <w:r>
                    <w:rPr>
                      <w:rFonts w:hint="eastAsia"/>
                      <w:color w:val="auto"/>
                      <w:sz w:val="21"/>
                      <w:szCs w:val="21"/>
                      <w:lang w:val="en-US" w:eastAsia="zh-CN"/>
                    </w:rPr>
                    <w:t>搅拌粉尘：搅拌楼整体封闭设置并配套喷淋装置抑尘，</w:t>
                  </w:r>
                  <w:r>
                    <w:rPr>
                      <w:rFonts w:hint="eastAsia" w:ascii="Times New Roman" w:hAnsi="Times New Roman" w:eastAsia="宋体" w:cs="Times New Roman"/>
                      <w:color w:val="auto"/>
                      <w:kern w:val="0"/>
                      <w:sz w:val="21"/>
                      <w:szCs w:val="21"/>
                      <w:highlight w:val="none"/>
                      <w:lang w:val="en-US" w:eastAsia="zh-CN" w:bidi="ar-SA"/>
                    </w:rPr>
                    <w:t>搅拌机进料口配套喷淋装置抑尘，</w:t>
                  </w:r>
                  <w:r>
                    <w:rPr>
                      <w:rFonts w:hint="eastAsia"/>
                      <w:color w:val="auto"/>
                      <w:sz w:val="21"/>
                      <w:szCs w:val="21"/>
                      <w:lang w:val="en-US" w:eastAsia="zh-CN"/>
                    </w:rPr>
                    <w:t>搅拌机密闭运行，加水湿式搅拌。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粉料仓呼吸尘：密闭料仓，呼吸尘经各仓配套袋式除尘器除尘后，于车间内无组织排放，搅拌楼内部设喷淋装置降尘。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eastAsia"/>
                      <w:color w:val="auto"/>
                      <w:sz w:val="21"/>
                      <w:szCs w:val="21"/>
                      <w:lang w:val="en-US" w:eastAsia="zh-CN"/>
                    </w:rPr>
                  </w:pPr>
                  <w:r>
                    <w:rPr>
                      <w:rFonts w:hint="eastAsia"/>
                      <w:color w:val="auto"/>
                      <w:sz w:val="21"/>
                      <w:szCs w:val="21"/>
                      <w:lang w:val="en-US" w:eastAsia="zh-CN"/>
                    </w:rPr>
                    <w:t>砂石计量配料粉尘：输送带仅保留进卸料口，廊道采用彩钢全封闭，砂石进料区、输送带进出料口配套喷淋装置抑尘。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eastAsia"/>
                      <w:color w:val="auto"/>
                      <w:sz w:val="21"/>
                      <w:szCs w:val="21"/>
                      <w:lang w:val="en-US" w:eastAsia="zh-CN"/>
                    </w:rPr>
                  </w:pPr>
                  <w:r>
                    <w:rPr>
                      <w:rFonts w:hint="eastAsia"/>
                      <w:color w:val="auto"/>
                      <w:sz w:val="21"/>
                      <w:szCs w:val="21"/>
                      <w:lang w:val="en-US" w:eastAsia="zh-CN"/>
                    </w:rPr>
                    <w:t>焊接烟尘：车间内无组织排放。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default"/>
                      <w:color w:val="auto"/>
                      <w:sz w:val="21"/>
                      <w:szCs w:val="21"/>
                      <w:lang w:val="en-US" w:eastAsia="zh-CN"/>
                    </w:rPr>
                  </w:pPr>
                  <w:r>
                    <w:rPr>
                      <w:rFonts w:hint="eastAsia"/>
                      <w:color w:val="auto"/>
                      <w:sz w:val="21"/>
                      <w:szCs w:val="21"/>
                      <w:lang w:val="en-US" w:eastAsia="zh-CN"/>
                    </w:rPr>
                    <w:t>厂内配置</w:t>
                  </w:r>
                  <w:r>
                    <w:rPr>
                      <w:rFonts w:hint="eastAsia" w:cs="Times New Roman"/>
                      <w:color w:val="auto"/>
                      <w:kern w:val="0"/>
                      <w:sz w:val="21"/>
                      <w:szCs w:val="21"/>
                      <w:highlight w:val="none"/>
                      <w:lang w:val="en-US" w:eastAsia="zh-CN" w:bidi="ar-SA"/>
                    </w:rPr>
                    <w:t>1台</w:t>
                  </w:r>
                  <w:r>
                    <w:rPr>
                      <w:rFonts w:hint="eastAsia"/>
                      <w:color w:val="auto"/>
                      <w:sz w:val="21"/>
                      <w:szCs w:val="21"/>
                      <w:lang w:val="en-US" w:eastAsia="zh-CN"/>
                    </w:rPr>
                    <w:t>雾炮机，在装卸作业时喷雾降尘。厂区靠近生产区的北侧、东北侧围墙设置喷淋装置，进一步降尘。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restart"/>
                  <w:noWrap w:val="0"/>
                  <w:vAlign w:val="center"/>
                </w:tcPr>
                <w:p>
                  <w:pPr>
                    <w:pStyle w:val="31"/>
                    <w:bidi w:val="0"/>
                    <w:rPr>
                      <w:rFonts w:hint="default"/>
                      <w:color w:val="auto"/>
                      <w:sz w:val="21"/>
                      <w:szCs w:val="21"/>
                      <w:lang w:eastAsia="zh-CN"/>
                    </w:rPr>
                  </w:pPr>
                  <w:r>
                    <w:rPr>
                      <w:rFonts w:hint="default"/>
                      <w:color w:val="auto"/>
                      <w:sz w:val="21"/>
                      <w:szCs w:val="21"/>
                    </w:rPr>
                    <w:t>固废</w:t>
                  </w:r>
                  <w:r>
                    <w:rPr>
                      <w:rFonts w:hint="default"/>
                      <w:color w:val="auto"/>
                      <w:sz w:val="21"/>
                      <w:szCs w:val="21"/>
                      <w:lang w:eastAsia="zh-CN"/>
                    </w:rPr>
                    <w:t>处</w:t>
                  </w:r>
                </w:p>
                <w:p>
                  <w:pPr>
                    <w:pStyle w:val="31"/>
                    <w:bidi w:val="0"/>
                    <w:rPr>
                      <w:rFonts w:hint="default"/>
                      <w:color w:val="auto"/>
                      <w:sz w:val="21"/>
                      <w:szCs w:val="21"/>
                    </w:rPr>
                  </w:pPr>
                  <w:r>
                    <w:rPr>
                      <w:rFonts w:hint="default"/>
                      <w:color w:val="auto"/>
                      <w:sz w:val="21"/>
                      <w:szCs w:val="21"/>
                      <w:lang w:eastAsia="zh-CN"/>
                    </w:rPr>
                    <w:t>理处置</w:t>
                  </w:r>
                </w:p>
              </w:tc>
              <w:tc>
                <w:tcPr>
                  <w:tcW w:w="3804" w:type="pct"/>
                  <w:noWrap w:val="0"/>
                  <w:vAlign w:val="center"/>
                </w:tcPr>
                <w:p>
                  <w:pPr>
                    <w:pStyle w:val="31"/>
                    <w:bidi w:val="0"/>
                    <w:jc w:val="left"/>
                    <w:rPr>
                      <w:rFonts w:hint="default"/>
                      <w:color w:val="auto"/>
                      <w:sz w:val="21"/>
                      <w:szCs w:val="21"/>
                      <w:lang w:eastAsia="zh-CN"/>
                    </w:rPr>
                  </w:pPr>
                  <w:r>
                    <w:rPr>
                      <w:rFonts w:hint="default"/>
                      <w:color w:val="auto"/>
                      <w:sz w:val="21"/>
                      <w:szCs w:val="21"/>
                      <w:lang w:eastAsia="zh-CN"/>
                    </w:rPr>
                    <w:t>拟设置规范化的</w:t>
                  </w:r>
                  <w:r>
                    <w:rPr>
                      <w:rFonts w:hint="default"/>
                      <w:color w:val="auto"/>
                      <w:sz w:val="21"/>
                      <w:szCs w:val="21"/>
                    </w:rPr>
                    <w:t>一般</w:t>
                  </w:r>
                  <w:r>
                    <w:rPr>
                      <w:rFonts w:hint="default"/>
                      <w:color w:val="auto"/>
                      <w:sz w:val="21"/>
                      <w:szCs w:val="21"/>
                      <w:lang w:eastAsia="zh-CN"/>
                    </w:rPr>
                    <w:t>工业</w:t>
                  </w:r>
                  <w:r>
                    <w:rPr>
                      <w:rFonts w:hint="default"/>
                      <w:color w:val="auto"/>
                      <w:sz w:val="21"/>
                      <w:szCs w:val="21"/>
                    </w:rPr>
                    <w:t>固体废物暂存</w:t>
                  </w:r>
                  <w:r>
                    <w:rPr>
                      <w:rFonts w:hint="eastAsia"/>
                      <w:color w:val="auto"/>
                      <w:sz w:val="21"/>
                      <w:szCs w:val="21"/>
                      <w:lang w:eastAsia="zh-CN"/>
                    </w:rPr>
                    <w:t>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封闭</w:t>
                  </w:r>
                  <w:r>
                    <w:rPr>
                      <w:rFonts w:hint="eastAsia" w:cs="Times New Roman"/>
                      <w:color w:val="auto"/>
                      <w:sz w:val="21"/>
                      <w:szCs w:val="21"/>
                      <w:highlight w:val="none"/>
                      <w:lang w:eastAsia="zh-CN"/>
                    </w:rPr>
                    <w:t>）</w:t>
                  </w:r>
                  <w:r>
                    <w:rPr>
                      <w:rFonts w:hint="eastAsia"/>
                      <w:color w:val="auto"/>
                      <w:sz w:val="21"/>
                      <w:szCs w:val="21"/>
                      <w:lang w:val="en-US" w:eastAsia="zh-CN"/>
                    </w:rPr>
                    <w:t>两处</w:t>
                  </w:r>
                  <w:r>
                    <w:rPr>
                      <w:rFonts w:hint="default"/>
                      <w:color w:val="auto"/>
                      <w:sz w:val="21"/>
                      <w:szCs w:val="21"/>
                      <w:lang w:eastAsia="zh-CN"/>
                    </w:rPr>
                    <w:t>，</w:t>
                  </w:r>
                  <w:r>
                    <w:rPr>
                      <w:rFonts w:hint="eastAsia"/>
                      <w:color w:val="auto"/>
                      <w:sz w:val="21"/>
                      <w:szCs w:val="21"/>
                      <w:lang w:eastAsia="zh-CN"/>
                    </w:rPr>
                    <w:t>位于厂区</w:t>
                  </w:r>
                  <w:r>
                    <w:rPr>
                      <w:rFonts w:hint="eastAsia"/>
                      <w:color w:val="auto"/>
                      <w:sz w:val="21"/>
                      <w:szCs w:val="21"/>
                      <w:lang w:val="en-US" w:eastAsia="zh-CN"/>
                    </w:rPr>
                    <w:t>南</w:t>
                  </w:r>
                  <w:r>
                    <w:rPr>
                      <w:rFonts w:hint="eastAsia"/>
                      <w:color w:val="auto"/>
                      <w:sz w:val="21"/>
                      <w:szCs w:val="21"/>
                      <w:lang w:eastAsia="zh-CN"/>
                    </w:rPr>
                    <w:t>侧，面积</w:t>
                  </w:r>
                  <w:r>
                    <w:rPr>
                      <w:rFonts w:hint="eastAsia"/>
                      <w:color w:val="auto"/>
                      <w:sz w:val="21"/>
                      <w:szCs w:val="21"/>
                      <w:lang w:val="en-US" w:eastAsia="zh-CN"/>
                    </w:rPr>
                    <w:t>合</w:t>
                  </w:r>
                  <w:r>
                    <w:rPr>
                      <w:rFonts w:hint="eastAsia"/>
                      <w:color w:val="auto"/>
                      <w:sz w:val="21"/>
                      <w:szCs w:val="21"/>
                      <w:lang w:eastAsia="zh-CN"/>
                    </w:rPr>
                    <w:t>约</w:t>
                  </w:r>
                  <w:r>
                    <w:rPr>
                      <w:rFonts w:hint="eastAsia"/>
                      <w:color w:val="auto"/>
                      <w:sz w:val="21"/>
                      <w:szCs w:val="21"/>
                      <w:lang w:val="en-US" w:eastAsia="zh-CN"/>
                    </w:rPr>
                    <w:t>110m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default"/>
                      <w:color w:val="auto"/>
                      <w:sz w:val="21"/>
                      <w:szCs w:val="21"/>
                      <w:lang w:eastAsia="zh-CN"/>
                    </w:rPr>
                    <w:t>一般工业固废</w:t>
                  </w:r>
                  <w:r>
                    <w:rPr>
                      <w:rFonts w:hint="default"/>
                      <w:color w:val="auto"/>
                      <w:sz w:val="21"/>
                      <w:szCs w:val="21"/>
                    </w:rPr>
                    <w:t>分类</w:t>
                  </w:r>
                  <w:r>
                    <w:rPr>
                      <w:rFonts w:hint="default"/>
                      <w:color w:val="auto"/>
                      <w:sz w:val="21"/>
                      <w:szCs w:val="21"/>
                      <w:lang w:eastAsia="zh-CN"/>
                    </w:rPr>
                    <w:t>收</w:t>
                  </w:r>
                  <w:r>
                    <w:rPr>
                      <w:rFonts w:hint="default"/>
                      <w:color w:val="auto"/>
                      <w:sz w:val="21"/>
                      <w:szCs w:val="21"/>
                    </w:rPr>
                    <w:t>集</w:t>
                  </w:r>
                  <w:r>
                    <w:rPr>
                      <w:rFonts w:hint="default"/>
                      <w:color w:val="auto"/>
                      <w:sz w:val="21"/>
                      <w:szCs w:val="21"/>
                      <w:lang w:eastAsia="zh-CN"/>
                    </w:rPr>
                    <w:t>、暂存</w:t>
                  </w:r>
                  <w:r>
                    <w:rPr>
                      <w:rFonts w:hint="default"/>
                      <w:color w:val="auto"/>
                      <w:sz w:val="21"/>
                      <w:szCs w:val="21"/>
                    </w:rPr>
                    <w:t>后外售</w:t>
                  </w:r>
                  <w:r>
                    <w:rPr>
                      <w:rFonts w:hint="default"/>
                      <w:color w:val="auto"/>
                      <w:sz w:val="21"/>
                      <w:szCs w:val="21"/>
                      <w:lang w:eastAsia="zh-CN"/>
                    </w:rPr>
                    <w:t>综合利用</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rPr>
                  </w:pPr>
                </w:p>
              </w:tc>
              <w:tc>
                <w:tcPr>
                  <w:tcW w:w="3804" w:type="pct"/>
                  <w:noWrap w:val="0"/>
                  <w:vAlign w:val="center"/>
                </w:tcPr>
                <w:p>
                  <w:pPr>
                    <w:pStyle w:val="31"/>
                    <w:bidi w:val="0"/>
                    <w:jc w:val="left"/>
                    <w:rPr>
                      <w:rFonts w:hint="eastAsia"/>
                      <w:color w:val="auto"/>
                      <w:sz w:val="21"/>
                      <w:szCs w:val="21"/>
                      <w:lang w:val="en-US" w:eastAsia="zh-CN"/>
                    </w:rPr>
                  </w:pPr>
                  <w:r>
                    <w:rPr>
                      <w:rFonts w:hint="default"/>
                      <w:color w:val="auto"/>
                      <w:sz w:val="21"/>
                      <w:szCs w:val="21"/>
                      <w:lang w:eastAsia="zh-CN"/>
                    </w:rPr>
                    <w:t>拟设置规范化的</w:t>
                  </w:r>
                  <w:r>
                    <w:rPr>
                      <w:rFonts w:hint="default"/>
                      <w:color w:val="auto"/>
                      <w:sz w:val="21"/>
                      <w:szCs w:val="21"/>
                    </w:rPr>
                    <w:t>危险废物</w:t>
                  </w:r>
                  <w:r>
                    <w:rPr>
                      <w:rFonts w:hint="eastAsia"/>
                      <w:color w:val="auto"/>
                      <w:sz w:val="21"/>
                      <w:szCs w:val="21"/>
                      <w:lang w:eastAsia="zh-CN"/>
                    </w:rPr>
                    <w:t>贮存库</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封闭</w:t>
                  </w:r>
                  <w:r>
                    <w:rPr>
                      <w:rFonts w:hint="eastAsia" w:cs="Times New Roman"/>
                      <w:color w:val="auto"/>
                      <w:sz w:val="21"/>
                      <w:szCs w:val="21"/>
                      <w:highlight w:val="none"/>
                      <w:lang w:eastAsia="zh-CN"/>
                    </w:rPr>
                    <w:t>）</w:t>
                  </w:r>
                  <w:r>
                    <w:rPr>
                      <w:rFonts w:hint="default"/>
                      <w:color w:val="auto"/>
                      <w:sz w:val="21"/>
                      <w:szCs w:val="21"/>
                    </w:rPr>
                    <w:t>，</w:t>
                  </w:r>
                  <w:r>
                    <w:rPr>
                      <w:rFonts w:hint="eastAsia"/>
                      <w:color w:val="auto"/>
                      <w:sz w:val="21"/>
                      <w:szCs w:val="21"/>
                      <w:lang w:eastAsia="zh-CN"/>
                    </w:rPr>
                    <w:t>位于</w:t>
                  </w:r>
                  <w:r>
                    <w:rPr>
                      <w:rFonts w:hint="eastAsia"/>
                      <w:color w:val="auto"/>
                      <w:sz w:val="21"/>
                      <w:szCs w:val="21"/>
                      <w:lang w:val="en-US" w:eastAsia="zh-CN"/>
                    </w:rPr>
                    <w:t>一般固废间旁</w:t>
                  </w:r>
                  <w:r>
                    <w:rPr>
                      <w:rFonts w:hint="eastAsia"/>
                      <w:color w:val="auto"/>
                      <w:sz w:val="21"/>
                      <w:szCs w:val="21"/>
                      <w:lang w:eastAsia="zh-CN"/>
                    </w:rPr>
                    <w:t>，面积约</w:t>
                  </w:r>
                  <w:r>
                    <w:rPr>
                      <w:rFonts w:hint="eastAsia"/>
                      <w:color w:val="auto"/>
                      <w:sz w:val="21"/>
                      <w:szCs w:val="21"/>
                      <w:lang w:val="en-US" w:eastAsia="zh-CN"/>
                    </w:rPr>
                    <w:t>20m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default"/>
                      <w:color w:val="auto"/>
                      <w:sz w:val="21"/>
                      <w:szCs w:val="21"/>
                      <w:lang w:eastAsia="zh-CN"/>
                    </w:rPr>
                    <w:t>危险废物分类收集、暂存后定期</w:t>
                  </w:r>
                  <w:r>
                    <w:rPr>
                      <w:rFonts w:hint="eastAsia"/>
                      <w:color w:val="auto"/>
                      <w:sz w:val="21"/>
                      <w:szCs w:val="21"/>
                      <w:lang w:val="en-US" w:eastAsia="zh-CN"/>
                    </w:rPr>
                    <w:t>由</w:t>
                  </w:r>
                  <w:r>
                    <w:rPr>
                      <w:rFonts w:hint="default"/>
                      <w:color w:val="auto"/>
                      <w:sz w:val="21"/>
                      <w:szCs w:val="21"/>
                    </w:rPr>
                    <w:t>有资质的单位统一</w:t>
                  </w:r>
                  <w:r>
                    <w:rPr>
                      <w:rFonts w:hint="eastAsia"/>
                      <w:color w:val="auto"/>
                      <w:sz w:val="21"/>
                      <w:szCs w:val="21"/>
                      <w:lang w:val="en-US" w:eastAsia="zh-CN"/>
                    </w:rPr>
                    <w:t>转运</w:t>
                  </w:r>
                  <w:r>
                    <w:rPr>
                      <w:rFonts w:hint="default"/>
                      <w:color w:val="auto"/>
                      <w:sz w:val="21"/>
                      <w:szCs w:val="21"/>
                    </w:rPr>
                    <w:t>处置</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vMerge w:val="continue"/>
                  <w:noWrap w:val="0"/>
                  <w:vAlign w:val="center"/>
                </w:tcPr>
                <w:p>
                  <w:pPr>
                    <w:pStyle w:val="31"/>
                    <w:bidi w:val="0"/>
                    <w:rPr>
                      <w:rFonts w:hint="default"/>
                      <w:color w:val="auto"/>
                      <w:sz w:val="21"/>
                      <w:szCs w:val="21"/>
                      <w:lang w:eastAsia="zh-CN"/>
                    </w:rPr>
                  </w:pPr>
                </w:p>
              </w:tc>
              <w:tc>
                <w:tcPr>
                  <w:tcW w:w="3804" w:type="pct"/>
                  <w:noWrap w:val="0"/>
                  <w:vAlign w:val="center"/>
                </w:tcPr>
                <w:p>
                  <w:pPr>
                    <w:pStyle w:val="31"/>
                    <w:bidi w:val="0"/>
                    <w:jc w:val="left"/>
                    <w:rPr>
                      <w:rFonts w:hint="default"/>
                      <w:color w:val="auto"/>
                      <w:sz w:val="21"/>
                      <w:szCs w:val="21"/>
                    </w:rPr>
                  </w:pPr>
                  <w:r>
                    <w:rPr>
                      <w:rFonts w:hint="default"/>
                      <w:color w:val="auto"/>
                      <w:sz w:val="21"/>
                      <w:szCs w:val="21"/>
                      <w:lang w:val="en-GB"/>
                    </w:rPr>
                    <w:t>厂区内设置生活垃圾桶，</w:t>
                  </w:r>
                  <w:r>
                    <w:rPr>
                      <w:rFonts w:hint="default"/>
                      <w:color w:val="auto"/>
                      <w:sz w:val="21"/>
                      <w:szCs w:val="21"/>
                      <w:lang w:val="en-GB" w:eastAsia="zh-CN"/>
                    </w:rPr>
                    <w:t>分类</w:t>
                  </w:r>
                  <w:r>
                    <w:rPr>
                      <w:rFonts w:hint="default"/>
                      <w:color w:val="auto"/>
                      <w:sz w:val="21"/>
                      <w:szCs w:val="21"/>
                      <w:lang w:val="en-GB"/>
                    </w:rPr>
                    <w:t>收集后委托环卫部门每日清运处置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default"/>
                      <w:color w:val="auto"/>
                      <w:sz w:val="21"/>
                      <w:szCs w:val="21"/>
                    </w:rPr>
                  </w:pPr>
                  <w:r>
                    <w:rPr>
                      <w:rFonts w:hint="default"/>
                      <w:color w:val="auto"/>
                      <w:sz w:val="21"/>
                      <w:szCs w:val="21"/>
                    </w:rPr>
                    <w:t>噪声</w:t>
                  </w:r>
                </w:p>
                <w:p>
                  <w:pPr>
                    <w:pStyle w:val="31"/>
                    <w:bidi w:val="0"/>
                    <w:rPr>
                      <w:rFonts w:hint="default"/>
                      <w:color w:val="auto"/>
                      <w:sz w:val="21"/>
                      <w:szCs w:val="21"/>
                      <w:lang w:eastAsia="zh-CN"/>
                    </w:rPr>
                  </w:pPr>
                  <w:r>
                    <w:rPr>
                      <w:rFonts w:hint="default"/>
                      <w:color w:val="auto"/>
                      <w:sz w:val="21"/>
                      <w:szCs w:val="21"/>
                      <w:lang w:eastAsia="zh-CN"/>
                    </w:rPr>
                    <w:t>控制</w:t>
                  </w:r>
                </w:p>
              </w:tc>
              <w:tc>
                <w:tcPr>
                  <w:tcW w:w="3804" w:type="pct"/>
                  <w:noWrap w:val="0"/>
                  <w:vAlign w:val="center"/>
                </w:tcPr>
                <w:p>
                  <w:pPr>
                    <w:pStyle w:val="31"/>
                    <w:bidi w:val="0"/>
                    <w:jc w:val="left"/>
                    <w:rPr>
                      <w:rFonts w:hint="default"/>
                      <w:color w:val="auto"/>
                      <w:sz w:val="21"/>
                      <w:szCs w:val="21"/>
                    </w:rPr>
                  </w:pPr>
                  <w:r>
                    <w:rPr>
                      <w:rFonts w:hint="default"/>
                      <w:color w:val="auto"/>
                      <w:sz w:val="21"/>
                      <w:szCs w:val="21"/>
                    </w:rPr>
                    <w:t>选用低噪声设备，加强设备的维护管理</w:t>
                  </w:r>
                  <w:r>
                    <w:rPr>
                      <w:rFonts w:hint="default"/>
                      <w:color w:val="auto"/>
                      <w:sz w:val="21"/>
                      <w:szCs w:val="21"/>
                      <w:lang w:eastAsia="zh-CN"/>
                    </w:rPr>
                    <w:t>；</w:t>
                  </w:r>
                  <w:r>
                    <w:rPr>
                      <w:rFonts w:hint="default"/>
                      <w:color w:val="auto"/>
                      <w:sz w:val="21"/>
                      <w:szCs w:val="21"/>
                    </w:rPr>
                    <w:t>对高噪声设备</w:t>
                  </w:r>
                  <w:r>
                    <w:rPr>
                      <w:rFonts w:hint="eastAsia"/>
                      <w:color w:val="auto"/>
                      <w:sz w:val="21"/>
                      <w:szCs w:val="21"/>
                      <w:lang w:val="en-US" w:eastAsia="zh-CN"/>
                    </w:rPr>
                    <w:t>设</w:t>
                  </w:r>
                  <w:r>
                    <w:rPr>
                      <w:rFonts w:hint="default"/>
                      <w:color w:val="auto"/>
                      <w:sz w:val="21"/>
                      <w:szCs w:val="21"/>
                      <w:lang w:eastAsia="zh-CN"/>
                    </w:rPr>
                    <w:t>基础减振</w:t>
                  </w:r>
                  <w:r>
                    <w:rPr>
                      <w:rFonts w:hint="default"/>
                      <w:color w:val="auto"/>
                      <w:sz w:val="21"/>
                      <w:szCs w:val="21"/>
                    </w:rPr>
                    <w:t>、</w:t>
                  </w:r>
                  <w:r>
                    <w:rPr>
                      <w:rFonts w:hint="eastAsia"/>
                      <w:color w:val="auto"/>
                      <w:sz w:val="21"/>
                      <w:szCs w:val="21"/>
                      <w:lang w:eastAsia="zh-CN"/>
                    </w:rPr>
                    <w:t>车间</w:t>
                  </w:r>
                  <w:r>
                    <w:rPr>
                      <w:rFonts w:hint="default"/>
                      <w:color w:val="auto"/>
                      <w:sz w:val="21"/>
                      <w:szCs w:val="21"/>
                    </w:rPr>
                    <w:t>隔声等</w:t>
                  </w:r>
                  <w:r>
                    <w:rPr>
                      <w:rFonts w:hint="default"/>
                      <w:color w:val="auto"/>
                      <w:sz w:val="21"/>
                      <w:szCs w:val="21"/>
                      <w:lang w:eastAsia="zh-CN"/>
                    </w:rPr>
                    <w:t>综合</w:t>
                  </w:r>
                  <w:r>
                    <w:rPr>
                      <w:rFonts w:hint="default"/>
                      <w:color w:val="auto"/>
                      <w:sz w:val="21"/>
                      <w:szCs w:val="21"/>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pPr>
                    <w:pStyle w:val="31"/>
                    <w:bidi w:val="0"/>
                    <w:rPr>
                      <w:rFonts w:hint="default"/>
                      <w:color w:val="auto"/>
                      <w:sz w:val="21"/>
                      <w:szCs w:val="21"/>
                    </w:rPr>
                  </w:pPr>
                </w:p>
              </w:tc>
              <w:tc>
                <w:tcPr>
                  <w:tcW w:w="700" w:type="pct"/>
                  <w:noWrap w:val="0"/>
                  <w:vAlign w:val="center"/>
                </w:tcPr>
                <w:p>
                  <w:pPr>
                    <w:pStyle w:val="31"/>
                    <w:bidi w:val="0"/>
                    <w:rPr>
                      <w:rFonts w:hint="default"/>
                      <w:color w:val="auto"/>
                      <w:sz w:val="21"/>
                      <w:szCs w:val="21"/>
                      <w:lang w:eastAsia="zh-CN"/>
                    </w:rPr>
                  </w:pPr>
                  <w:r>
                    <w:rPr>
                      <w:rFonts w:hint="eastAsia"/>
                      <w:color w:val="auto"/>
                      <w:sz w:val="21"/>
                      <w:szCs w:val="21"/>
                      <w:lang w:eastAsia="zh-CN"/>
                    </w:rPr>
                    <w:t>环境风险</w:t>
                  </w:r>
                </w:p>
              </w:tc>
              <w:tc>
                <w:tcPr>
                  <w:tcW w:w="3804" w:type="pct"/>
                  <w:noWrap w:val="0"/>
                  <w:vAlign w:val="center"/>
                </w:tcPr>
                <w:p>
                  <w:pPr>
                    <w:pStyle w:val="31"/>
                    <w:bidi w:val="0"/>
                    <w:jc w:val="left"/>
                    <w:rPr>
                      <w:rFonts w:hint="eastAsia"/>
                      <w:color w:val="auto"/>
                      <w:sz w:val="21"/>
                      <w:szCs w:val="21"/>
                      <w:lang w:eastAsia="zh-CN"/>
                    </w:rPr>
                  </w:pPr>
                  <w:r>
                    <w:rPr>
                      <w:rFonts w:hint="eastAsia"/>
                      <w:color w:val="auto"/>
                      <w:sz w:val="21"/>
                      <w:szCs w:val="21"/>
                      <w:lang w:eastAsia="zh-CN"/>
                    </w:rPr>
                    <w:t>分区防渗，</w:t>
                  </w:r>
                  <w:r>
                    <w:rPr>
                      <w:rFonts w:hint="eastAsia"/>
                      <w:color w:val="auto"/>
                      <w:sz w:val="21"/>
                      <w:szCs w:val="21"/>
                      <w:lang w:val="en-US" w:eastAsia="zh-CN"/>
                    </w:rPr>
                    <w:t>制定相应的环境管理制度、隐患排查制度以及制定环境应急预案，配备相应的环境应急物资</w:t>
                  </w:r>
                  <w:r>
                    <w:rPr>
                      <w:rFonts w:hint="eastAsia"/>
                      <w:color w:val="auto"/>
                      <w:sz w:val="21"/>
                      <w:szCs w:val="21"/>
                      <w:lang w:eastAsia="zh-CN"/>
                    </w:rPr>
                    <w:t>。</w:t>
                  </w:r>
                </w:p>
              </w:tc>
            </w:tr>
          </w:tbl>
          <w:p>
            <w:pPr>
              <w:pStyle w:val="4"/>
              <w:bidi w:val="0"/>
              <w:rPr>
                <w:rFonts w:hint="default"/>
                <w:color w:val="auto"/>
                <w:lang w:val="en-US" w:eastAsia="zh-CN"/>
              </w:rPr>
            </w:pPr>
            <w:r>
              <w:rPr>
                <w:rFonts w:hint="eastAsia"/>
                <w:color w:val="auto"/>
                <w:lang w:val="en-US" w:eastAsia="zh-CN"/>
              </w:rPr>
              <w:t>2.2.4项目主要原辅材料</w:t>
            </w:r>
          </w:p>
          <w:p>
            <w:pPr>
              <w:bidi w:val="0"/>
              <w:rPr>
                <w:rFonts w:hint="eastAsia"/>
                <w:color w:val="auto"/>
                <w:lang w:val="en-US" w:eastAsia="zh-CN"/>
              </w:rPr>
            </w:pPr>
            <w:r>
              <w:rPr>
                <w:rFonts w:hint="eastAsia"/>
                <w:color w:val="auto"/>
                <w:lang w:val="en-US" w:eastAsia="zh-CN"/>
              </w:rPr>
              <w:t>项目</w:t>
            </w:r>
            <w:r>
              <w:rPr>
                <w:rFonts w:hint="default"/>
                <w:color w:val="auto"/>
                <w:lang w:val="en-US" w:eastAsia="zh-CN"/>
              </w:rPr>
              <w:t>主要原辅材料</w:t>
            </w:r>
            <w:r>
              <w:rPr>
                <w:rFonts w:hint="eastAsia"/>
                <w:color w:val="auto"/>
                <w:lang w:val="en-US" w:eastAsia="zh-CN"/>
              </w:rPr>
              <w:t>及能源</w:t>
            </w:r>
            <w:r>
              <w:rPr>
                <w:rFonts w:hint="default"/>
                <w:color w:val="auto"/>
                <w:lang w:val="en-US" w:eastAsia="zh-CN"/>
              </w:rPr>
              <w:t>消耗情况</w:t>
            </w:r>
            <w:r>
              <w:rPr>
                <w:rFonts w:hint="eastAsia"/>
                <w:color w:val="auto"/>
                <w:lang w:val="en-US" w:eastAsia="zh-CN"/>
              </w:rPr>
              <w:t>详见</w:t>
            </w:r>
            <w:r>
              <w:rPr>
                <w:rFonts w:hint="default"/>
                <w:color w:val="auto"/>
                <w:lang w:val="en-US" w:eastAsia="zh-CN"/>
              </w:rPr>
              <w:t>表</w:t>
            </w:r>
            <w:r>
              <w:rPr>
                <w:rFonts w:hint="eastAsia"/>
                <w:color w:val="auto"/>
                <w:lang w:val="en-US" w:eastAsia="zh-CN"/>
              </w:rPr>
              <w:t>2.2-3，主要原辅材料均为从合规供应商外购。</w:t>
            </w:r>
          </w:p>
          <w:p>
            <w:pPr>
              <w:pStyle w:val="33"/>
              <w:bidi w:val="0"/>
              <w:rPr>
                <w:rFonts w:hint="eastAsia"/>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 xml:space="preserve">.2-3 </w:t>
            </w:r>
            <w:r>
              <w:rPr>
                <w:color w:val="auto"/>
                <w:sz w:val="24"/>
                <w:szCs w:val="24"/>
              </w:rPr>
              <w:t>项目主要原辅料</w:t>
            </w:r>
            <w:r>
              <w:rPr>
                <w:rFonts w:hint="eastAsia"/>
                <w:color w:val="auto"/>
                <w:sz w:val="24"/>
                <w:szCs w:val="24"/>
              </w:rPr>
              <w:t>及能源消耗情况一览表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u w:val="single"/>
              </w:rPr>
            </w:pPr>
            <w:r>
              <w:rPr>
                <w:rFonts w:hint="eastAsia" w:ascii="Times New Roman" w:hAnsi="Times New Roman" w:eastAsia="宋体" w:cs="Times New Roman"/>
                <w:b/>
                <w:bCs/>
                <w:color w:val="auto"/>
                <w:sz w:val="24"/>
                <w:szCs w:val="24"/>
                <w:u w:val="single"/>
                <w:lang w:val="en-US" w:eastAsia="zh-CN"/>
              </w:rPr>
              <w:t>原辅材料理化性质：</w:t>
            </w:r>
          </w:p>
          <w:p>
            <w:pPr>
              <w:bidi w:val="0"/>
              <w:rPr>
                <w:rFonts w:hint="eastAsia"/>
                <w:color w:val="auto"/>
                <w:highlight w:val="none"/>
                <w:lang w:val="en-US" w:eastAsia="zh-CN"/>
              </w:rPr>
            </w:pPr>
            <w:r>
              <w:rPr>
                <w:rFonts w:hint="eastAsia"/>
                <w:color w:val="auto"/>
                <w:highlight w:val="none"/>
                <w:lang w:val="en-US" w:eastAsia="zh-CN"/>
              </w:rPr>
              <w:t>外加剂：主要为聚羧酸盐系高性能减水剂，是水泥混凝土运用中的一种水泥分散剂，该品绿色环保，不易燃，不易爆。主要是改善混凝土拌和物的和易性、保水性和粘聚性，提高混凝土流动性、调节混凝土凝结时间、硬化性能，改善混凝土耐久性能。</w:t>
            </w:r>
          </w:p>
          <w:p>
            <w:pPr>
              <w:bidi w:val="0"/>
              <w:rPr>
                <w:rFonts w:hint="eastAsia" w:ascii="Times New Roman" w:hAnsi="Times New Roman" w:eastAsia="宋体" w:cs="Times New Roman"/>
                <w:color w:val="auto"/>
                <w:highlight w:val="none"/>
                <w:lang w:val="en-US" w:eastAsia="zh-CN"/>
              </w:rPr>
            </w:pPr>
            <w:r>
              <w:rPr>
                <w:rFonts w:hint="eastAsia"/>
                <w:color w:val="auto"/>
                <w:lang w:val="en-US" w:eastAsia="zh-CN"/>
              </w:rPr>
              <w:t>水性脱模剂：</w:t>
            </w:r>
            <w:r>
              <w:rPr>
                <w:rFonts w:hint="eastAsia" w:ascii="Times New Roman" w:hAnsi="Times New Roman" w:eastAsia="宋体" w:cs="Times New Roman"/>
                <w:color w:val="auto"/>
                <w:highlight w:val="none"/>
                <w:lang w:val="en-US" w:eastAsia="zh-CN"/>
              </w:rPr>
              <w:t>水性脱模剂是一种介于模具和成品之间的功能性物质，主要成分包括基础材料、乳化剂和水，本项目使用的混凝土水性脱模剂主要成分为水性丙烯酸乳液、石蜡、硬脂酸、植物油、硅油及乳化剂等。</w:t>
            </w:r>
          </w:p>
          <w:p>
            <w:pPr>
              <w:pStyle w:val="4"/>
              <w:bidi w:val="0"/>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5</w:t>
            </w:r>
            <w:r>
              <w:rPr>
                <w:rFonts w:hint="default"/>
                <w:color w:val="auto"/>
              </w:rPr>
              <w:t xml:space="preserve"> 主要生产设备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项目的主要设备详见表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4</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color w:val="auto"/>
                <w:sz w:val="24"/>
                <w:szCs w:val="24"/>
              </w:rPr>
            </w:pPr>
            <w:r>
              <w:rPr>
                <w:rFonts w:hint="default"/>
                <w:color w:val="auto"/>
                <w:sz w:val="24"/>
                <w:szCs w:val="24"/>
              </w:rPr>
              <w:t>表2.2-</w:t>
            </w:r>
            <w:r>
              <w:rPr>
                <w:rFonts w:hint="eastAsia"/>
                <w:color w:val="auto"/>
                <w:sz w:val="24"/>
                <w:szCs w:val="24"/>
                <w:lang w:val="en-US" w:eastAsia="zh-CN"/>
              </w:rPr>
              <w:t>4</w:t>
            </w:r>
            <w:r>
              <w:rPr>
                <w:rFonts w:hint="default"/>
                <w:color w:val="auto"/>
                <w:sz w:val="24"/>
                <w:szCs w:val="24"/>
              </w:rPr>
              <w:t xml:space="preserve"> 主要设备一览表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6</w:t>
            </w:r>
            <w:r>
              <w:rPr>
                <w:rFonts w:hint="default"/>
                <w:color w:val="auto"/>
                <w:lang w:val="en-US" w:eastAsia="zh-CN"/>
              </w:rPr>
              <w:t xml:space="preserve"> 水平衡</w:t>
            </w:r>
          </w:p>
          <w:p>
            <w:pPr>
              <w:bidi w:val="0"/>
              <w:rPr>
                <w:rFonts w:hint="eastAsia" w:ascii="Times New Roman" w:hAnsi="Times New Roman" w:eastAsia="宋体" w:cs="Times New Roman"/>
                <w:color w:val="auto"/>
                <w:lang w:val="en-US" w:eastAsia="zh-CN"/>
              </w:rPr>
            </w:pPr>
            <w:r>
              <w:rPr>
                <w:rFonts w:hint="eastAsia"/>
                <w:color w:val="auto"/>
                <w:lang w:val="en-US" w:eastAsia="zh-CN"/>
              </w:rPr>
              <w:t>项目用水主要为预拌混凝土用水、设备清洗用水、自然养护用水、生产区地面冲洗用水、抑尘用水、洗车用水、试验清洗用水、食堂用水、日常职工生活用水等，其用排情况如下：</w:t>
            </w:r>
          </w:p>
          <w:p>
            <w:pPr>
              <w:bidi w:val="0"/>
              <w:rPr>
                <w:rFonts w:hint="default"/>
                <w:b/>
                <w:bCs/>
                <w:color w:val="auto"/>
                <w:lang w:val="en-US" w:eastAsia="zh-CN"/>
              </w:rPr>
            </w:pPr>
            <w:r>
              <w:rPr>
                <w:rFonts w:hint="eastAsia"/>
                <w:b/>
                <w:bCs/>
                <w:color w:val="auto"/>
                <w:lang w:val="en-US" w:eastAsia="zh-CN"/>
              </w:rPr>
              <w:t>（1）预拌混凝土用水</w:t>
            </w:r>
          </w:p>
          <w:p>
            <w:pPr>
              <w:bidi w:val="0"/>
              <w:rPr>
                <w:rFonts w:hint="eastAsia"/>
                <w:color w:val="auto"/>
                <w:lang w:val="en-US" w:eastAsia="zh-CN"/>
              </w:rPr>
            </w:pPr>
            <w:r>
              <w:rPr>
                <w:rFonts w:hint="eastAsia"/>
                <w:color w:val="auto"/>
                <w:lang w:val="en-US" w:eastAsia="zh-CN"/>
              </w:rPr>
              <w:t>项目搅拌形成预拌混凝土过程需要加水，企业根据订单需求对预拌混凝土加入不同剂量的新鲜水，主要使用经</w:t>
            </w:r>
            <w:r>
              <w:rPr>
                <w:rFonts w:hint="default"/>
                <w:color w:val="auto"/>
                <w:lang w:val="en-US" w:eastAsia="zh-CN"/>
              </w:rPr>
              <w:t>生产废水处理系统</w:t>
            </w:r>
            <w:r>
              <w:rPr>
                <w:rFonts w:hint="eastAsia"/>
                <w:color w:val="auto"/>
                <w:lang w:val="en-US" w:eastAsia="zh-CN"/>
              </w:rPr>
              <w:t>处理后的回用水。根据建设单位提供资料，项目的搅拌过程中主要原料比例根据订单有所变动，混凝土生产的用水量平均为0.3t/m</w:t>
            </w:r>
            <w:r>
              <w:rPr>
                <w:rFonts w:hint="eastAsia"/>
                <w:color w:val="auto"/>
                <w:vertAlign w:val="superscript"/>
                <w:lang w:val="en-US" w:eastAsia="zh-CN"/>
              </w:rPr>
              <w:t>3</w:t>
            </w:r>
            <w:r>
              <w:rPr>
                <w:rFonts w:hint="eastAsia"/>
                <w:color w:val="auto"/>
                <w:lang w:val="en-US" w:eastAsia="zh-CN"/>
              </w:rPr>
              <w:t>，项目年生产商砼及预制件用混凝土约100万m</w:t>
            </w:r>
            <w:r>
              <w:rPr>
                <w:rFonts w:hint="eastAsia"/>
                <w:color w:val="auto"/>
                <w:vertAlign w:val="superscript"/>
                <w:lang w:val="en-US" w:eastAsia="zh-CN"/>
              </w:rPr>
              <w:t>3</w:t>
            </w:r>
            <w:r>
              <w:rPr>
                <w:rFonts w:hint="eastAsia"/>
                <w:color w:val="auto"/>
                <w:lang w:val="en-US" w:eastAsia="zh-CN"/>
              </w:rPr>
              <w:t>，则计算得搅拌需水量约为30万t/a，考虑在输送等过程中水头损失按10%计，则项目搅拌用水量约33.33万t/a，其中30万t/a进入预拌混凝土中作为结合水存在，剩余3.33万t/a全部损失，无外排。</w:t>
            </w:r>
          </w:p>
          <w:p>
            <w:pPr>
              <w:keepNext/>
              <w:keepLines w:val="0"/>
              <w:pageBreakBefore w:val="0"/>
              <w:widowControl w:val="0"/>
              <w:kinsoku/>
              <w:wordWrap/>
              <w:overflowPunct/>
              <w:topLinePunct w:val="0"/>
              <w:autoSpaceDE/>
              <w:autoSpaceDN/>
              <w:bidi w:val="0"/>
              <w:adjustRightInd/>
              <w:snapToGrid/>
              <w:textAlignment w:val="auto"/>
              <w:rPr>
                <w:rFonts w:hint="default"/>
                <w:b/>
                <w:bCs/>
                <w:color w:val="auto"/>
                <w:lang w:val="en-US" w:eastAsia="zh-CN"/>
              </w:rPr>
            </w:pPr>
            <w:r>
              <w:rPr>
                <w:rFonts w:hint="eastAsia"/>
                <w:b/>
                <w:bCs/>
                <w:color w:val="auto"/>
                <w:lang w:val="en-US" w:eastAsia="zh-CN"/>
              </w:rPr>
              <w:t>（2）养护用水</w:t>
            </w:r>
          </w:p>
          <w:p>
            <w:pPr>
              <w:bidi w:val="0"/>
              <w:rPr>
                <w:rFonts w:hint="eastAsia"/>
                <w:color w:val="auto"/>
                <w:lang w:val="en-US" w:eastAsia="zh-CN"/>
              </w:rPr>
            </w:pPr>
            <w:r>
              <w:rPr>
                <w:rFonts w:hint="eastAsia"/>
                <w:color w:val="auto"/>
                <w:lang w:val="en-US" w:eastAsia="zh-CN"/>
              </w:rPr>
              <w:t>根据建设单位提供资料，项目产品混凝土预制件需在堆场进行自然养护，每天专人对砼结构件喷三次水（早中晚各一次），喷水目的是保持结构件的湿度使混凝土能够自己慢慢凝固，根据建设单位提供资料，每吨预制砼构件表面每次浇水控制在10L，项目日平均生产砼构件量约为1575.76t（52万t/a），则项目自然养护用水量约为47.27t/d（15600t/a），自然养护用水在养护晾干过程中全部损耗，无外排。</w:t>
            </w:r>
          </w:p>
          <w:p>
            <w:pPr>
              <w:bidi w:val="0"/>
              <w:rPr>
                <w:rFonts w:hint="eastAsia"/>
                <w:b/>
                <w:bCs/>
                <w:color w:val="auto"/>
                <w:lang w:val="en-US" w:eastAsia="zh-CN"/>
              </w:rPr>
            </w:pPr>
            <w:r>
              <w:rPr>
                <w:rFonts w:hint="eastAsia"/>
                <w:b/>
                <w:bCs/>
                <w:color w:val="auto"/>
                <w:lang w:val="en-US" w:eastAsia="zh-CN"/>
              </w:rPr>
              <w:t>（3）设备清洗用排水</w:t>
            </w:r>
          </w:p>
          <w:p>
            <w:pPr>
              <w:bidi w:val="0"/>
              <w:rPr>
                <w:rFonts w:hint="eastAsia"/>
                <w:color w:val="auto"/>
                <w:lang w:val="en-US" w:eastAsia="zh-CN"/>
              </w:rPr>
            </w:pPr>
            <w:r>
              <w:rPr>
                <w:rFonts w:hint="eastAsia"/>
                <w:color w:val="auto"/>
                <w:lang w:val="en-US" w:eastAsia="zh-CN"/>
              </w:rPr>
              <w:t>项目需要对2#搅拌楼的搅拌机和5#车间预制砼结构件的布料车进行冲洗，防止因残留的混凝土干燥后板结于设备上，对设备性能造成影响。</w:t>
            </w:r>
          </w:p>
          <w:p>
            <w:pPr>
              <w:bidi w:val="0"/>
              <w:rPr>
                <w:rFonts w:hint="eastAsia"/>
                <w:color w:val="auto"/>
                <w:lang w:val="en-US" w:eastAsia="zh-CN"/>
              </w:rPr>
            </w:pPr>
            <w:r>
              <w:rPr>
                <w:rFonts w:hint="eastAsia"/>
                <w:color w:val="auto"/>
                <w:lang w:val="en-US" w:eastAsia="zh-CN"/>
              </w:rPr>
              <w:t>项目2#搅拌楼内设2套徐工HZS270VD型混凝土搅拌机，根据建设单位提供资料，搅拌机在暂停使用时须冲洗干净，按每台搅拌机平均每天冲洗1次，每次冲洗水量按约占搅拌机容积的30%计算，搅拌机内总容积约为4.5m</w:t>
            </w:r>
            <w:r>
              <w:rPr>
                <w:rFonts w:hint="eastAsia"/>
                <w:color w:val="auto"/>
                <w:vertAlign w:val="superscript"/>
                <w:lang w:val="en-US" w:eastAsia="zh-CN"/>
              </w:rPr>
              <w:t>3</w:t>
            </w:r>
            <w:r>
              <w:rPr>
                <w:rFonts w:hint="eastAsia"/>
                <w:color w:val="auto"/>
                <w:lang w:val="en-US" w:eastAsia="zh-CN"/>
              </w:rPr>
              <w:t>，则厂内2台搅拌机清洗用水量为2.7t/d（891t/a），排污系数按0.9计，则搅拌机清洗废水量为2.43t/d（801.9t/a）。</w:t>
            </w:r>
          </w:p>
          <w:p>
            <w:pPr>
              <w:pStyle w:val="7"/>
              <w:rPr>
                <w:rFonts w:hint="eastAsia"/>
                <w:color w:val="auto"/>
                <w:lang w:val="en-US" w:eastAsia="zh-CN"/>
              </w:rPr>
            </w:pPr>
            <w:r>
              <w:rPr>
                <w:rFonts w:hint="eastAsia" w:ascii="Times New Roman" w:hAnsi="Times New Roman" w:eastAsia="宋体" w:cs="Times New Roman"/>
                <w:b w:val="0"/>
                <w:bCs w:val="0"/>
                <w:color w:val="auto"/>
                <w:sz w:val="24"/>
                <w:lang w:val="en-US" w:eastAsia="zh-CN"/>
              </w:rPr>
              <w:t>项目</w:t>
            </w:r>
            <w:r>
              <w:rPr>
                <w:rFonts w:hint="eastAsia" w:cs="Times New Roman"/>
                <w:b w:val="0"/>
                <w:bCs w:val="0"/>
                <w:color w:val="auto"/>
                <w:sz w:val="24"/>
                <w:lang w:val="en-US" w:eastAsia="zh-CN"/>
              </w:rPr>
              <w:t>设有1台布料车，</w:t>
            </w:r>
            <w:r>
              <w:rPr>
                <w:rFonts w:hint="eastAsia" w:ascii="Times New Roman" w:hAnsi="Times New Roman" w:eastAsia="宋体" w:cs="Times New Roman"/>
                <w:b w:val="0"/>
                <w:bCs w:val="0"/>
                <w:color w:val="auto"/>
                <w:sz w:val="24"/>
                <w:lang w:val="en-US" w:eastAsia="zh-CN"/>
              </w:rPr>
              <w:t>布料车需在暂停使用时进行冲洗，按平均每天冲洗1次，根据建设单位提供资料，布料车日冲洗用水量按</w:t>
            </w:r>
            <w:r>
              <w:rPr>
                <w:rFonts w:hint="eastAsia" w:cs="Times New Roman"/>
                <w:b w:val="0"/>
                <w:bCs w:val="0"/>
                <w:color w:val="auto"/>
                <w:sz w:val="24"/>
                <w:lang w:val="en-US" w:eastAsia="zh-CN"/>
              </w:rPr>
              <w:t>0.5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165</w:t>
            </w:r>
            <w:r>
              <w:rPr>
                <w:rFonts w:hint="eastAsia" w:ascii="Times New Roman" w:hAnsi="Times New Roman" w:eastAsia="宋体" w:cs="Times New Roman"/>
                <w:b w:val="0"/>
                <w:bCs w:val="0"/>
                <w:color w:val="auto"/>
                <w:sz w:val="24"/>
                <w:lang w:val="en-US" w:eastAsia="zh-CN"/>
              </w:rPr>
              <w:t>t/a）计，排污系数按0.9计，则布料车冲洗废水量为0.</w:t>
            </w:r>
            <w:r>
              <w:rPr>
                <w:rFonts w:hint="eastAsia" w:cs="Times New Roman"/>
                <w:b w:val="0"/>
                <w:bCs w:val="0"/>
                <w:color w:val="auto"/>
                <w:sz w:val="24"/>
                <w:lang w:val="en-US" w:eastAsia="zh-CN"/>
              </w:rPr>
              <w:t>45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148.5</w:t>
            </w:r>
            <w:r>
              <w:rPr>
                <w:rFonts w:hint="eastAsia" w:ascii="Times New Roman" w:hAnsi="Times New Roman" w:eastAsia="宋体" w:cs="Times New Roman"/>
                <w:b w:val="0"/>
                <w:bCs w:val="0"/>
                <w:color w:val="auto"/>
                <w:sz w:val="24"/>
                <w:lang w:val="en-US" w:eastAsia="zh-CN"/>
              </w:rPr>
              <w:t>t/a）。</w:t>
            </w:r>
          </w:p>
          <w:p>
            <w:pPr>
              <w:bidi w:val="0"/>
              <w:rPr>
                <w:rFonts w:hint="eastAsia"/>
                <w:color w:val="auto"/>
                <w:lang w:val="en-US" w:eastAsia="zh-CN"/>
              </w:rPr>
            </w:pPr>
            <w:r>
              <w:rPr>
                <w:rFonts w:hint="eastAsia"/>
                <w:color w:val="auto"/>
                <w:lang w:val="en-US" w:eastAsia="zh-CN"/>
              </w:rPr>
              <w:t>因此项目的设备清洗废水总量为2.88t/d（950.4</w:t>
            </w:r>
            <w:r>
              <w:rPr>
                <w:rFonts w:hint="eastAsia" w:ascii="Times New Roman" w:hAnsi="Times New Roman" w:eastAsia="宋体" w:cs="Times New Roman"/>
                <w:b w:val="0"/>
                <w:bCs w:val="0"/>
                <w:color w:val="auto"/>
                <w:sz w:val="24"/>
                <w:lang w:val="en-US" w:eastAsia="zh-CN"/>
              </w:rPr>
              <w:t>t/a</w:t>
            </w:r>
            <w:r>
              <w:rPr>
                <w:rFonts w:hint="eastAsia"/>
                <w:color w:val="auto"/>
                <w:lang w:val="en-US" w:eastAsia="zh-CN"/>
              </w:rPr>
              <w:t>），此部分废水</w:t>
            </w:r>
            <w:r>
              <w:rPr>
                <w:rFonts w:hint="default"/>
                <w:color w:val="auto"/>
                <w:lang w:val="en-US" w:eastAsia="zh-CN"/>
              </w:rPr>
              <w:t>经</w:t>
            </w:r>
            <w:r>
              <w:rPr>
                <w:rFonts w:hint="eastAsia"/>
                <w:color w:val="auto"/>
                <w:lang w:val="en-US" w:eastAsia="zh-CN"/>
              </w:rPr>
              <w:t>搅拌楼南侧的</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（4）地面冲洗用排水</w:t>
            </w:r>
          </w:p>
          <w:p>
            <w:pPr>
              <w:bidi w:val="0"/>
              <w:rPr>
                <w:rFonts w:hint="eastAsia" w:ascii="Times New Roman" w:hAnsi="Times New Roman" w:eastAsia="宋体" w:cs="Times New Roman"/>
                <w:b w:val="0"/>
                <w:bCs w:val="0"/>
                <w:color w:val="auto"/>
                <w:lang w:val="en-US" w:eastAsia="zh-CN"/>
              </w:rPr>
            </w:pPr>
            <w:r>
              <w:rPr>
                <w:rFonts w:hint="eastAsia"/>
                <w:color w:val="auto"/>
                <w:lang w:eastAsia="zh-CN"/>
              </w:rPr>
              <w:t>项目生产区地面需定期冲洗，避免残留物干燥后，造成扬尘。参照《建筑给水排水设计规范》（GB50015-2003）中的数据，取值2L/m</w:t>
            </w:r>
            <w:r>
              <w:rPr>
                <w:rFonts w:hint="eastAsia"/>
                <w:color w:val="auto"/>
                <w:vertAlign w:val="superscript"/>
                <w:lang w:eastAsia="zh-CN"/>
              </w:rPr>
              <w:t>2</w:t>
            </w:r>
            <w:r>
              <w:rPr>
                <w:rFonts w:hint="eastAsia"/>
                <w:color w:val="auto"/>
                <w:lang w:eastAsia="zh-CN"/>
              </w:rPr>
              <w:t>·d，项目需冲洗场地主要为</w:t>
            </w:r>
            <w:r>
              <w:rPr>
                <w:rFonts w:hint="eastAsia"/>
                <w:color w:val="auto"/>
                <w:lang w:val="en-US" w:eastAsia="zh-CN"/>
              </w:rPr>
              <w:t>2#搅拌楼及其附属设施、3#物料库砂石料配料区、5#-6#生产车间</w:t>
            </w:r>
            <w:r>
              <w:rPr>
                <w:rFonts w:hint="eastAsia"/>
                <w:color w:val="auto"/>
                <w:lang w:eastAsia="zh-CN"/>
              </w:rPr>
              <w:t>，根据建设单位提供资料，</w:t>
            </w:r>
            <w:r>
              <w:rPr>
                <w:rFonts w:hint="eastAsia"/>
                <w:color w:val="auto"/>
                <w:lang w:val="en-US" w:eastAsia="zh-CN"/>
              </w:rPr>
              <w:t>几处建筑物</w:t>
            </w:r>
            <w:r>
              <w:rPr>
                <w:rFonts w:hint="eastAsia"/>
                <w:color w:val="auto"/>
                <w:lang w:eastAsia="zh-CN"/>
              </w:rPr>
              <w:t>面积</w:t>
            </w:r>
            <w:r>
              <w:rPr>
                <w:rFonts w:hint="eastAsia"/>
                <w:color w:val="auto"/>
                <w:lang w:val="en-US" w:eastAsia="zh-CN"/>
              </w:rPr>
              <w:t>共计13049.55m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按</w:t>
            </w:r>
            <w:r>
              <w:rPr>
                <w:rFonts w:hint="eastAsia"/>
                <w:color w:val="auto"/>
                <w:lang w:eastAsia="zh-CN"/>
              </w:rPr>
              <w:t>1周冲洗1次</w:t>
            </w:r>
            <w:r>
              <w:rPr>
                <w:rFonts w:hint="eastAsia"/>
                <w:color w:val="auto"/>
                <w:lang w:val="en-US" w:eastAsia="zh-CN"/>
              </w:rPr>
              <w:t>计</w:t>
            </w:r>
            <w:r>
              <w:rPr>
                <w:rFonts w:hint="eastAsia"/>
                <w:color w:val="auto"/>
                <w:lang w:eastAsia="zh-CN"/>
              </w:rPr>
              <w:t>，则项目地面冲洗用水量约为</w:t>
            </w:r>
            <w:r>
              <w:rPr>
                <w:rFonts w:hint="eastAsia"/>
                <w:color w:val="auto"/>
                <w:lang w:val="en-US" w:eastAsia="zh-CN"/>
              </w:rPr>
              <w:t>26.1t</w:t>
            </w:r>
            <w:r>
              <w:rPr>
                <w:rFonts w:hint="eastAsia"/>
                <w:color w:val="auto"/>
                <w:lang w:eastAsia="zh-CN"/>
              </w:rPr>
              <w:t>/次（</w:t>
            </w:r>
            <w:r>
              <w:rPr>
                <w:rFonts w:hint="eastAsia"/>
                <w:color w:val="auto"/>
                <w:lang w:val="en-US" w:eastAsia="zh-CN"/>
              </w:rPr>
              <w:t>1252.8</w:t>
            </w:r>
            <w:r>
              <w:rPr>
                <w:rFonts w:hint="eastAsia"/>
                <w:color w:val="auto"/>
                <w:lang w:eastAsia="zh-CN"/>
              </w:rPr>
              <w:t>t/a），</w:t>
            </w:r>
            <w:r>
              <w:rPr>
                <w:rFonts w:hint="eastAsia"/>
                <w:color w:val="auto"/>
                <w:lang w:val="en-US" w:eastAsia="zh-CN"/>
              </w:rPr>
              <w:t>地面</w:t>
            </w:r>
            <w:r>
              <w:rPr>
                <w:rFonts w:hint="eastAsia"/>
                <w:color w:val="auto"/>
                <w:lang w:eastAsia="zh-CN"/>
              </w:rPr>
              <w:t>冲洗的蒸发损耗量较大，损耗量按用水量的20%考虑，则项目地面冲洗废水量为</w:t>
            </w:r>
            <w:r>
              <w:rPr>
                <w:rFonts w:hint="eastAsia"/>
                <w:color w:val="auto"/>
                <w:lang w:val="en-US" w:eastAsia="zh-CN"/>
              </w:rPr>
              <w:t>20.88</w:t>
            </w:r>
            <w:r>
              <w:rPr>
                <w:rFonts w:hint="eastAsia"/>
                <w:color w:val="auto"/>
                <w:lang w:eastAsia="zh-CN"/>
              </w:rPr>
              <w:t>t/次（</w:t>
            </w:r>
            <w:r>
              <w:rPr>
                <w:rFonts w:hint="eastAsia"/>
                <w:color w:val="auto"/>
                <w:lang w:val="en-US" w:eastAsia="zh-CN"/>
              </w:rPr>
              <w:t>1002.24</w:t>
            </w:r>
            <w:r>
              <w:rPr>
                <w:rFonts w:hint="eastAsia"/>
                <w:color w:val="auto"/>
                <w:lang w:eastAsia="zh-CN"/>
              </w:rPr>
              <w:t>t/a），</w:t>
            </w:r>
            <w:r>
              <w:rPr>
                <w:rFonts w:hint="default"/>
                <w:color w:val="auto"/>
                <w:lang w:val="en-US" w:eastAsia="zh-CN"/>
              </w:rPr>
              <w:t>经生产废水处理系统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default" w:ascii="Times New Roman" w:hAnsi="Times New Roman" w:eastAsia="宋体" w:cs="Times New Roman"/>
                <w:b/>
                <w:bCs/>
                <w:color w:val="auto"/>
                <w:lang w:val="en-US" w:eastAsia="zh-CN"/>
              </w:rPr>
            </w:pPr>
            <w:r>
              <w:rPr>
                <w:rFonts w:hint="eastAsia"/>
                <w:b/>
                <w:bCs/>
                <w:color w:val="auto"/>
                <w:lang w:val="en-US" w:eastAsia="zh-CN"/>
              </w:rPr>
              <w:t>（5）抑尘用水及道路清扫用水</w:t>
            </w:r>
          </w:p>
          <w:p>
            <w:pPr>
              <w:bidi w:val="0"/>
              <w:rPr>
                <w:rFonts w:hint="eastAsia"/>
                <w:color w:val="auto"/>
                <w:lang w:val="en-US" w:eastAsia="zh-CN"/>
              </w:rPr>
            </w:pPr>
            <w:r>
              <w:rPr>
                <w:rFonts w:hint="eastAsia"/>
                <w:color w:val="auto"/>
                <w:lang w:val="en-US" w:eastAsia="zh-CN"/>
              </w:rPr>
              <w:t>项目抑尘用水点主要为厂区喷淋降尘装置、道路人工定时洒水以及装卸时厂区雾炮机降尘。</w:t>
            </w:r>
          </w:p>
          <w:p>
            <w:pPr>
              <w:bidi w:val="0"/>
              <w:rPr>
                <w:rFonts w:hint="eastAsia"/>
                <w:color w:val="auto"/>
                <w:lang w:val="en-US" w:eastAsia="zh-CN"/>
              </w:rPr>
            </w:pPr>
            <w:r>
              <w:rPr>
                <w:rFonts w:hint="eastAsia" w:ascii="Times New Roman" w:hAnsi="Times New Roman" w:eastAsia="宋体" w:cs="Times New Roman"/>
                <w:color w:val="auto"/>
                <w:szCs w:val="24"/>
                <w:lang w:val="en-US" w:eastAsia="zh-CN"/>
              </w:rPr>
              <w:t>项目3#物料库的砂石堆场装卸及配料口装卸料</w:t>
            </w:r>
            <w:r>
              <w:rPr>
                <w:rFonts w:hint="default" w:ascii="Times New Roman" w:hAnsi="Times New Roman" w:eastAsia="宋体" w:cs="Times New Roman"/>
                <w:color w:val="auto"/>
                <w:highlight w:val="none"/>
              </w:rPr>
              <w:t>过程</w:t>
            </w:r>
            <w:r>
              <w:rPr>
                <w:rFonts w:hint="default" w:ascii="Times New Roman" w:hAnsi="Times New Roman" w:eastAsia="宋体" w:cs="Times New Roman"/>
                <w:color w:val="auto"/>
                <w:highlight w:val="none"/>
                <w:lang w:eastAsia="zh-CN"/>
              </w:rPr>
              <w:t>产生少量的</w:t>
            </w:r>
            <w:r>
              <w:rPr>
                <w:rFonts w:hint="default" w:ascii="Times New Roman" w:hAnsi="Times New Roman" w:eastAsia="宋体" w:cs="Times New Roman"/>
                <w:color w:val="auto"/>
                <w:highlight w:val="none"/>
              </w:rPr>
              <w:t>粉尘，</w:t>
            </w:r>
            <w:r>
              <w:rPr>
                <w:rFonts w:hint="default" w:ascii="Times New Roman" w:hAnsi="Times New Roman" w:eastAsia="宋体" w:cs="Times New Roman"/>
                <w:color w:val="auto"/>
                <w:highlight w:val="none"/>
                <w:lang w:eastAsia="zh-CN"/>
              </w:rPr>
              <w:t>为降低</w:t>
            </w:r>
            <w:r>
              <w:rPr>
                <w:rFonts w:hint="eastAsia" w:ascii="Times New Roman" w:hAnsi="Times New Roman" w:eastAsia="宋体" w:cs="Times New Roman"/>
                <w:color w:val="auto"/>
                <w:highlight w:val="none"/>
                <w:lang w:val="en-US" w:eastAsia="zh-CN"/>
              </w:rPr>
              <w:t>堆场</w:t>
            </w:r>
            <w:r>
              <w:rPr>
                <w:rFonts w:hint="eastAsia" w:ascii="Times New Roman" w:hAnsi="Times New Roman" w:eastAsia="宋体" w:cs="Times New Roman"/>
                <w:color w:val="auto"/>
                <w:szCs w:val="24"/>
                <w:lang w:val="en-US" w:eastAsia="zh-CN"/>
              </w:rPr>
              <w:t>装卸</w:t>
            </w:r>
            <w:r>
              <w:rPr>
                <w:rFonts w:hint="default" w:ascii="Times New Roman" w:hAnsi="Times New Roman" w:eastAsia="宋体" w:cs="Times New Roman"/>
                <w:color w:val="auto"/>
                <w:highlight w:val="none"/>
              </w:rPr>
              <w:t>料时</w:t>
            </w:r>
            <w:r>
              <w:rPr>
                <w:rFonts w:hint="default" w:ascii="Times New Roman" w:hAnsi="Times New Roman" w:eastAsia="宋体" w:cs="Times New Roman"/>
                <w:color w:val="auto"/>
                <w:highlight w:val="none"/>
                <w:lang w:eastAsia="zh-CN"/>
              </w:rPr>
              <w:t>产生的粉尘</w:t>
            </w:r>
            <w:r>
              <w:rPr>
                <w:rFonts w:hint="eastAsia" w:ascii="Times New Roman" w:hAnsi="Times New Roman" w:eastAsia="宋体" w:cs="Times New Roman"/>
                <w:color w:val="auto"/>
                <w:highlight w:val="none"/>
                <w:lang w:val="en-US" w:eastAsia="zh-CN"/>
              </w:rPr>
              <w:t>及生产车间生产过程中的粉尘，</w:t>
            </w:r>
            <w:r>
              <w:rPr>
                <w:rFonts w:hint="default" w:ascii="Times New Roman" w:hAnsi="Times New Roman" w:eastAsia="宋体" w:cs="Times New Roman"/>
                <w:color w:val="auto"/>
                <w:highlight w:val="none"/>
                <w:lang w:eastAsia="zh-CN"/>
              </w:rPr>
              <w:t>要求项目在</w:t>
            </w:r>
            <w:r>
              <w:rPr>
                <w:rFonts w:hint="eastAsia"/>
                <w:color w:val="auto"/>
                <w:lang w:val="en-US" w:eastAsia="zh-CN"/>
              </w:rPr>
              <w:t>3#物料库车间内部</w:t>
            </w:r>
            <w:r>
              <w:rPr>
                <w:rFonts w:hint="eastAsia" w:ascii="Times New Roman" w:hAnsi="Times New Roman" w:eastAsia="宋体" w:cs="Times New Roman"/>
                <w:color w:val="auto"/>
                <w:highlight w:val="none"/>
                <w:lang w:val="en-US" w:eastAsia="zh-CN"/>
              </w:rPr>
              <w:t>砂石料堆场、</w:t>
            </w:r>
            <w:r>
              <w:rPr>
                <w:rFonts w:hint="eastAsia" w:cs="Times New Roman"/>
                <w:color w:val="auto"/>
                <w:highlight w:val="none"/>
                <w:lang w:val="en-US" w:eastAsia="zh-CN"/>
              </w:rPr>
              <w:t>配料区</w:t>
            </w:r>
            <w:r>
              <w:rPr>
                <w:rFonts w:hint="eastAsia" w:ascii="Times New Roman" w:hAnsi="Times New Roman" w:eastAsia="宋体" w:cs="Times New Roman"/>
                <w:color w:val="auto"/>
                <w:highlight w:val="none"/>
                <w:lang w:val="en-US" w:eastAsia="zh-CN"/>
              </w:rPr>
              <w:t>进料口</w:t>
            </w:r>
            <w:r>
              <w:rPr>
                <w:rFonts w:hint="default" w:ascii="Times New Roman" w:hAnsi="Times New Roman" w:eastAsia="宋体" w:cs="Times New Roman"/>
                <w:color w:val="auto"/>
                <w:highlight w:val="none"/>
                <w:lang w:val="en-US" w:eastAsia="zh-CN"/>
              </w:rPr>
              <w:t>上方设置</w:t>
            </w:r>
            <w:r>
              <w:rPr>
                <w:rFonts w:hint="default" w:ascii="Times New Roman" w:hAnsi="Times New Roman" w:eastAsia="宋体" w:cs="Times New Roman"/>
                <w:color w:val="auto"/>
                <w:highlight w:val="none"/>
              </w:rPr>
              <w:t>雾化喷淋装置抑尘</w:t>
            </w:r>
            <w:r>
              <w:rPr>
                <w:rFonts w:hint="eastAsia"/>
                <w:color w:val="auto"/>
                <w:lang w:val="en-US" w:eastAsia="zh-CN"/>
              </w:rPr>
              <w:t>。根据建设单位提供资料，项目3#物料库占地面积为6110.98m</w:t>
            </w:r>
            <w:r>
              <w:rPr>
                <w:rFonts w:hint="eastAsia"/>
                <w:color w:val="auto"/>
                <w:vertAlign w:val="superscript"/>
                <w:lang w:val="en-US" w:eastAsia="zh-CN"/>
              </w:rPr>
              <w:t>2</w:t>
            </w:r>
            <w:r>
              <w:rPr>
                <w:rFonts w:hint="eastAsia"/>
                <w:color w:val="auto"/>
                <w:lang w:val="en-US" w:eastAsia="zh-CN"/>
              </w:rPr>
              <w:t>，喷淋水量按0.003t/m</w:t>
            </w:r>
            <w:r>
              <w:rPr>
                <w:rFonts w:hint="eastAsia"/>
                <w:color w:val="auto"/>
                <w:vertAlign w:val="superscript"/>
                <w:lang w:val="en-US" w:eastAsia="zh-CN"/>
              </w:rPr>
              <w:t>2</w:t>
            </w:r>
            <w:r>
              <w:rPr>
                <w:rFonts w:hint="eastAsia"/>
                <w:color w:val="auto"/>
                <w:lang w:val="en-US" w:eastAsia="zh-CN"/>
              </w:rPr>
              <w:t>·d计，则项目3#物料库喷淋抑尘用水量约为18.33t/d（6048.9t/a）。</w:t>
            </w:r>
          </w:p>
          <w:p>
            <w:pPr>
              <w:bidi w:val="0"/>
              <w:rPr>
                <w:rFonts w:hint="eastAsia"/>
                <w:color w:val="auto"/>
                <w:lang w:val="en-US" w:eastAsia="zh-CN"/>
              </w:rPr>
            </w:pPr>
            <w:r>
              <w:rPr>
                <w:rFonts w:hint="eastAsia"/>
                <w:color w:val="auto"/>
                <w:lang w:val="en-US" w:eastAsia="zh-CN"/>
              </w:rPr>
              <w:t>项目拟在搅拌楼及其附属设施内部（主要为称量、搅拌、骨料主传输带、装车层、粉料仓层）内部整体采用喷淋装置降尘，根据建设单位提供资料，按3t/d（990t/a）计。</w:t>
            </w:r>
          </w:p>
          <w:p>
            <w:pPr>
              <w:bidi w:val="0"/>
              <w:rPr>
                <w:rFonts w:hint="default"/>
                <w:color w:val="auto"/>
                <w:lang w:val="en-US" w:eastAsia="zh-CN"/>
              </w:rPr>
            </w:pPr>
            <w:r>
              <w:rPr>
                <w:rFonts w:hint="eastAsia"/>
                <w:color w:val="auto"/>
                <w:lang w:val="en-US" w:eastAsia="zh-CN"/>
              </w:rPr>
              <w:t>同时项目拟对生产区侧的厂区西、西南侧以及南侧围墙上配套喷淋装置，在雨天（按120d/a计）以外的生产时间内（12h/d）开启，长度约246m，按2m隔间一个设置，喷头流量约0.8-1.0L/min，按0.9L/min计，围墙喷淋装置用水量约为79.7t/d（16737t/a）。</w:t>
            </w:r>
          </w:p>
          <w:p>
            <w:pPr>
              <w:bidi w:val="0"/>
              <w:rPr>
                <w:rFonts w:hint="eastAsia"/>
                <w:color w:val="auto"/>
                <w:lang w:val="en-US" w:eastAsia="zh-CN"/>
              </w:rPr>
            </w:pPr>
            <w:r>
              <w:rPr>
                <w:rFonts w:hint="eastAsia"/>
                <w:color w:val="auto"/>
                <w:lang w:val="en-US" w:eastAsia="zh-CN"/>
              </w:rPr>
              <w:t>项目厂内运输道路在雨天（按120d/a计）以外定时人工洒水并清扫，参考福建省地方标准《行业用水定额》（DB35/T 772-2023）中表6环境卫生管理中浇洒道路和场地用水定额值为1.5L/（m</w:t>
            </w:r>
            <w:r>
              <w:rPr>
                <w:rFonts w:hint="eastAsia"/>
                <w:color w:val="auto"/>
                <w:vertAlign w:val="superscript"/>
                <w:lang w:val="en-US" w:eastAsia="zh-CN"/>
              </w:rPr>
              <w:t>2</w:t>
            </w:r>
            <w:r>
              <w:rPr>
                <w:rFonts w:hint="eastAsia"/>
                <w:color w:val="auto"/>
                <w:lang w:val="en-US" w:eastAsia="zh-CN"/>
              </w:rPr>
              <w:t>·d），项目厂区运输道路面积约3700m</w:t>
            </w:r>
            <w:r>
              <w:rPr>
                <w:rFonts w:hint="eastAsia"/>
                <w:color w:val="auto"/>
                <w:vertAlign w:val="superscript"/>
                <w:lang w:val="en-US" w:eastAsia="zh-CN"/>
              </w:rPr>
              <w:t>2</w:t>
            </w:r>
            <w:r>
              <w:rPr>
                <w:rFonts w:hint="eastAsia"/>
                <w:color w:val="auto"/>
                <w:lang w:val="en-US" w:eastAsia="zh-CN"/>
              </w:rPr>
              <w:t>，则项目道路抑尘用水量约为5.55t/d（1165.5t/a）。</w:t>
            </w:r>
          </w:p>
          <w:p>
            <w:pPr>
              <w:bidi w:val="0"/>
              <w:rPr>
                <w:rFonts w:hint="eastAsia"/>
                <w:color w:val="auto"/>
                <w:lang w:val="en-US" w:eastAsia="zh-CN"/>
              </w:rPr>
            </w:pPr>
            <w:r>
              <w:rPr>
                <w:rFonts w:hint="eastAsia"/>
                <w:color w:val="auto"/>
                <w:lang w:val="en-US" w:eastAsia="zh-CN"/>
              </w:rPr>
              <w:t>综上，项目抑尘及道路清扫的日用水最大约为106.58t/d，年用水量约24941.4t/a，全部蒸发损耗，无废水排放。</w:t>
            </w:r>
          </w:p>
          <w:p>
            <w:pPr>
              <w:bidi w:val="0"/>
              <w:rPr>
                <w:rFonts w:hint="default"/>
                <w:color w:val="auto"/>
                <w:lang w:val="en-US" w:eastAsia="zh-CN"/>
              </w:rPr>
            </w:pPr>
          </w:p>
          <w:p>
            <w:pPr>
              <w:bidi w:val="0"/>
              <w:rPr>
                <w:rFonts w:hint="eastAsia"/>
                <w:b/>
                <w:bCs/>
                <w:color w:val="auto"/>
                <w:lang w:val="en-US" w:eastAsia="zh-CN"/>
              </w:rPr>
            </w:pPr>
            <w:r>
              <w:rPr>
                <w:rFonts w:hint="eastAsia"/>
                <w:b/>
                <w:bCs/>
                <w:color w:val="auto"/>
                <w:lang w:val="en-US" w:eastAsia="zh-CN"/>
              </w:rPr>
              <w:t>（6）洗车用水</w:t>
            </w:r>
          </w:p>
          <w:p>
            <w:pPr>
              <w:bidi w:val="0"/>
              <w:rPr>
                <w:rFonts w:hint="eastAsia"/>
                <w:color w:val="auto"/>
                <w:lang w:val="en-US" w:eastAsia="zh-CN"/>
              </w:rPr>
            </w:pPr>
            <w:r>
              <w:rPr>
                <w:rFonts w:hint="eastAsia"/>
                <w:color w:val="auto"/>
                <w:lang w:val="en-US" w:eastAsia="zh-CN"/>
              </w:rPr>
              <w:t>项目厂区出入口拟设置洗车台，对进、出运输车辆进行冲洗，参照《建筑给排水设计标准》（GB50015-2019），载重汽车高压水枪冲洗用水量为80～120L/（辆·次），本次评价取其平均值100L/（辆·次）进行计算。项目主要原料（水泥、粉煤灰、细沙、石料、矿粉、钢筋、钢棒、螺旋筋等）约207万t/a及产品</w:t>
            </w:r>
            <w:r>
              <w:rPr>
                <w:rFonts w:hint="eastAsia"/>
                <w:color w:val="auto"/>
                <w:lang w:eastAsia="zh-CN"/>
              </w:rPr>
              <w:t>约</w:t>
            </w:r>
            <w:r>
              <w:rPr>
                <w:rFonts w:hint="eastAsia"/>
                <w:color w:val="auto"/>
                <w:lang w:val="en-US" w:eastAsia="zh-CN"/>
              </w:rPr>
              <w:t>236万</w:t>
            </w:r>
            <w:r>
              <w:rPr>
                <w:rFonts w:hint="eastAsia"/>
                <w:color w:val="auto"/>
                <w:lang w:eastAsia="zh-CN"/>
              </w:rPr>
              <w:t>t/a（</w:t>
            </w:r>
            <w:r>
              <w:rPr>
                <w:rFonts w:hint="eastAsia"/>
                <w:color w:val="auto"/>
                <w:lang w:val="en-US" w:eastAsia="zh-CN"/>
              </w:rPr>
              <w:t>项目年产预拌商品混凝土80万立方，预制砼构件20万立方。</w:t>
            </w:r>
            <w:r>
              <w:rPr>
                <w:rFonts w:hint="eastAsia"/>
                <w:color w:val="auto"/>
                <w:highlight w:val="none"/>
                <w:lang w:val="en-US" w:eastAsia="zh-CN"/>
              </w:rPr>
              <w:t>根据建设方提供资料，预拌混凝土综合密度均按照2.3t/m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val="en-US" w:eastAsia="zh-CN"/>
              </w:rPr>
              <w:t>，</w:t>
            </w:r>
            <w:r>
              <w:rPr>
                <w:rFonts w:hint="eastAsia"/>
                <w:color w:val="auto"/>
                <w:highlight w:val="none"/>
                <w:vertAlign w:val="baseline"/>
                <w:lang w:val="en-US" w:eastAsia="zh-CN"/>
              </w:rPr>
              <w:t>预制砼结构件综合密度按照</w:t>
            </w:r>
            <w:r>
              <w:rPr>
                <w:rFonts w:hint="eastAsia"/>
                <w:color w:val="auto"/>
                <w:highlight w:val="none"/>
                <w:lang w:val="en-US" w:eastAsia="zh-CN"/>
              </w:rPr>
              <w:t>2.6t/m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eastAsia="zh-CN"/>
              </w:rPr>
              <w:t>）</w:t>
            </w:r>
            <w:r>
              <w:rPr>
                <w:rFonts w:hint="eastAsia"/>
                <w:color w:val="auto"/>
                <w:lang w:eastAsia="zh-CN"/>
              </w:rPr>
              <w:t>，共计约</w:t>
            </w:r>
            <w:r>
              <w:rPr>
                <w:rFonts w:hint="eastAsia"/>
                <w:color w:val="auto"/>
                <w:lang w:val="en-US" w:eastAsia="zh-CN"/>
              </w:rPr>
              <w:t>443万</w:t>
            </w:r>
            <w:r>
              <w:rPr>
                <w:rFonts w:hint="eastAsia"/>
                <w:color w:val="auto"/>
                <w:lang w:eastAsia="zh-CN"/>
              </w:rPr>
              <w:t>t/a。车辆载重规格按30t计，年发车</w:t>
            </w:r>
            <w:r>
              <w:rPr>
                <w:rFonts w:hint="eastAsia"/>
                <w:color w:val="auto"/>
                <w:lang w:val="en-US" w:eastAsia="zh-CN"/>
              </w:rPr>
              <w:t>147667</w:t>
            </w:r>
            <w:r>
              <w:rPr>
                <w:rFonts w:hint="eastAsia"/>
                <w:color w:val="auto"/>
                <w:lang w:eastAsia="zh-CN"/>
              </w:rPr>
              <w:t>辆次</w:t>
            </w:r>
            <w:r>
              <w:rPr>
                <w:rFonts w:hint="eastAsia"/>
                <w:color w:val="auto"/>
                <w:lang w:val="en-US" w:eastAsia="zh-CN"/>
              </w:rPr>
              <w:t>，则项目车辆进出两次洗车用水量约89.5t/d（29533.4t/a）。因属于露天清洗，蒸发损耗量较大，产污按80%计，则洗车废水产生量71.6t/d（23626.72t/a），经洗车台配套沉淀池处理后，回用于车辆冲洗，不外排。沉淀池表层少量浮油采用吸油毡定期清理，废吸油毡作为危险废物委托资质单位定期清运处置。</w:t>
            </w:r>
          </w:p>
          <w:p>
            <w:pPr>
              <w:bidi w:val="0"/>
              <w:rPr>
                <w:rFonts w:hint="eastAsia"/>
                <w:b/>
                <w:bCs/>
                <w:color w:val="auto"/>
                <w:lang w:val="en-US" w:eastAsia="zh-CN"/>
              </w:rPr>
            </w:pPr>
            <w:r>
              <w:rPr>
                <w:rFonts w:hint="eastAsia"/>
                <w:b/>
                <w:bCs/>
                <w:color w:val="auto"/>
                <w:lang w:val="en-US" w:eastAsia="zh-CN"/>
              </w:rPr>
              <w:t>（7）试验清洗用水</w:t>
            </w:r>
          </w:p>
          <w:p>
            <w:pPr>
              <w:bidi w:val="0"/>
              <w:rPr>
                <w:rFonts w:hint="eastAsia"/>
                <w:color w:val="auto"/>
                <w:lang w:val="en-US" w:eastAsia="zh-CN"/>
              </w:rPr>
            </w:pPr>
            <w:r>
              <w:rPr>
                <w:rFonts w:hint="eastAsia"/>
                <w:color w:val="auto"/>
                <w:lang w:val="en-US" w:eastAsia="zh-CN"/>
              </w:rPr>
              <w:t>项目对预拌混凝土物理性质（含气量、抗渗、抗折抗压等）进行试验，均为物理试验，不使用化学试剂。为保证试验准确性，需对试验设备和仪器进行清洗，产生一定量的试验清洗废水，废水的主要污染物为SS，不含有毒、有害物质及重金属。根据建设单位提供资料，试验清洗用水量约为0.3t/d（99t/a），产污系数取0.9，试验清洗废水产生量为0.27t/d（即89.1t/a）。试验清洗废水</w:t>
            </w:r>
            <w:r>
              <w:rPr>
                <w:rFonts w:hint="default"/>
                <w:color w:val="auto"/>
                <w:lang w:val="en-US" w:eastAsia="zh-CN"/>
              </w:rPr>
              <w:t>经</w:t>
            </w:r>
            <w:r>
              <w:rPr>
                <w:rFonts w:hint="eastAsia"/>
                <w:color w:val="auto"/>
                <w:lang w:val="en-US" w:eastAsia="zh-CN"/>
              </w:rPr>
              <w:t>收集后排放进</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（8）职工日常生活用排水</w:t>
            </w:r>
          </w:p>
          <w:p>
            <w:pPr>
              <w:bidi w:val="0"/>
              <w:rPr>
                <w:rFonts w:hint="eastAsia"/>
                <w:color w:val="auto"/>
                <w:lang w:val="en-US" w:eastAsia="zh-CN"/>
              </w:rPr>
            </w:pPr>
            <w:r>
              <w:rPr>
                <w:rFonts w:hint="eastAsia"/>
                <w:color w:val="auto"/>
                <w:lang w:val="en-US" w:eastAsia="zh-CN"/>
              </w:rPr>
              <w:t>根据建设单位提供的资料，本项目职工人数约145人，均住厂，参考《建筑给水排水设计标准》（GB50015-2019），车间工人的生活用水定额应根据车间性质确定，本评价</w:t>
            </w:r>
            <w:r>
              <w:rPr>
                <w:rFonts w:hint="default"/>
                <w:color w:val="auto"/>
                <w:lang w:val="en-US" w:eastAsia="zh-CN"/>
              </w:rPr>
              <w:t>按</w:t>
            </w:r>
            <w:r>
              <w:rPr>
                <w:rFonts w:hint="eastAsia"/>
                <w:color w:val="auto"/>
                <w:lang w:val="en-US" w:eastAsia="zh-CN"/>
              </w:rPr>
              <w:t>住厂员工生活用水量150L/</w:t>
            </w:r>
            <w:r>
              <w:rPr>
                <w:rFonts w:hint="default"/>
                <w:color w:val="auto"/>
                <w:lang w:val="en-US" w:eastAsia="zh-CN"/>
              </w:rPr>
              <w:t>人·班</w:t>
            </w:r>
            <w:r>
              <w:rPr>
                <w:rFonts w:hint="eastAsia"/>
                <w:color w:val="auto"/>
                <w:lang w:val="en-US" w:eastAsia="zh-CN"/>
              </w:rPr>
              <w:t>，年工作330天，则本项目职工生活用水量约为21.75t/d(7177.5t/a)。</w:t>
            </w:r>
            <w:r>
              <w:rPr>
                <w:rFonts w:hint="default"/>
                <w:color w:val="auto"/>
                <w:lang w:val="en-US" w:eastAsia="zh-CN"/>
              </w:rPr>
              <w:t>根据《室外排水设计规范》(GB 50014-20</w:t>
            </w:r>
            <w:r>
              <w:rPr>
                <w:rFonts w:hint="eastAsia"/>
                <w:color w:val="auto"/>
                <w:lang w:val="en-US" w:eastAsia="zh-CN"/>
              </w:rPr>
              <w:t>21</w:t>
            </w:r>
            <w:r>
              <w:rPr>
                <w:rFonts w:hint="default"/>
                <w:color w:val="auto"/>
                <w:lang w:val="en-US" w:eastAsia="zh-CN"/>
              </w:rPr>
              <w:t>)，居民生活污水定额可按用水定额的</w:t>
            </w:r>
            <w:r>
              <w:rPr>
                <w:rFonts w:hint="eastAsia"/>
                <w:color w:val="auto"/>
                <w:lang w:val="en-US" w:eastAsia="zh-CN"/>
              </w:rPr>
              <w:t>9</w:t>
            </w:r>
            <w:r>
              <w:rPr>
                <w:rFonts w:hint="default"/>
                <w:color w:val="auto"/>
                <w:lang w:val="en-US" w:eastAsia="zh-CN"/>
              </w:rPr>
              <w:t>0%计算(其余</w:t>
            </w:r>
            <w:r>
              <w:rPr>
                <w:rFonts w:hint="eastAsia"/>
                <w:color w:val="auto"/>
                <w:lang w:val="en-US" w:eastAsia="zh-CN"/>
              </w:rPr>
              <w:t>1</w:t>
            </w:r>
            <w:r>
              <w:rPr>
                <w:rFonts w:hint="default"/>
                <w:color w:val="auto"/>
                <w:lang w:val="en-US" w:eastAsia="zh-CN"/>
              </w:rPr>
              <w:t>0%蒸发损耗等)</w:t>
            </w:r>
            <w:r>
              <w:rPr>
                <w:rFonts w:hint="eastAsia"/>
                <w:color w:val="auto"/>
                <w:lang w:val="en-US" w:eastAsia="zh-CN"/>
              </w:rPr>
              <w:t>，则项目生活污水产生量约为19.58t/d(6459.75t/a)，项目职工日常生活污水经厂区化粪池处理后，排入拟建设的一体化污水处理设备处理，处理后的尾水用于厂区绿化浇灌和混凝土搅拌，不外排。</w:t>
            </w:r>
          </w:p>
          <w:p>
            <w:pPr>
              <w:bidi w:val="0"/>
              <w:rPr>
                <w:rFonts w:hint="eastAsia"/>
                <w:b/>
                <w:bCs/>
                <w:color w:val="auto"/>
                <w:lang w:val="en-US" w:eastAsia="zh-CN"/>
              </w:rPr>
            </w:pPr>
            <w:r>
              <w:rPr>
                <w:rFonts w:hint="eastAsia"/>
                <w:b/>
                <w:bCs/>
                <w:color w:val="auto"/>
                <w:lang w:val="en-US" w:eastAsia="zh-CN"/>
              </w:rPr>
              <w:t>（9）绿化用水</w:t>
            </w:r>
          </w:p>
          <w:p>
            <w:pPr>
              <w:bidi w:val="0"/>
              <w:rPr>
                <w:rFonts w:hint="default"/>
                <w:color w:val="auto"/>
                <w:lang w:val="en-US" w:eastAsia="zh-CN"/>
              </w:rPr>
            </w:pPr>
            <w:r>
              <w:rPr>
                <w:rFonts w:hint="eastAsia"/>
                <w:color w:val="auto"/>
                <w:lang w:val="en-US" w:eastAsia="zh-CN"/>
              </w:rPr>
              <w:t>根据建设单位提供资料，项目厂区绿化面积约为3666m</w:t>
            </w:r>
            <w:r>
              <w:rPr>
                <w:rFonts w:hint="eastAsia"/>
                <w:color w:val="auto"/>
                <w:vertAlign w:val="superscript"/>
                <w:lang w:val="en-US" w:eastAsia="zh-CN"/>
              </w:rPr>
              <w:t>2</w:t>
            </w:r>
            <w:r>
              <w:rPr>
                <w:rFonts w:hint="eastAsia"/>
                <w:color w:val="auto"/>
                <w:lang w:val="en-US" w:eastAsia="zh-CN"/>
              </w:rPr>
              <w:t>，绿化用水根据《室外给水设计标准》（GB50013-2018）的相关规定，浇洒绿地用水可根据浇洒面积按1.0L（m</w:t>
            </w:r>
            <w:r>
              <w:rPr>
                <w:rFonts w:hint="eastAsia"/>
                <w:color w:val="auto"/>
                <w:vertAlign w:val="superscript"/>
                <w:lang w:val="en-US" w:eastAsia="zh-CN"/>
              </w:rPr>
              <w:t>2</w:t>
            </w:r>
            <w:r>
              <w:rPr>
                <w:rFonts w:hint="eastAsia"/>
                <w:color w:val="auto"/>
                <w:lang w:val="en-US" w:eastAsia="zh-CN"/>
              </w:rPr>
              <w:t>/d）-3.0L（m</w:t>
            </w:r>
            <w:r>
              <w:rPr>
                <w:rFonts w:hint="eastAsia"/>
                <w:color w:val="auto"/>
                <w:vertAlign w:val="superscript"/>
                <w:lang w:val="en-US" w:eastAsia="zh-CN"/>
              </w:rPr>
              <w:t>2</w:t>
            </w:r>
            <w:r>
              <w:rPr>
                <w:rFonts w:hint="eastAsia"/>
                <w:color w:val="auto"/>
                <w:lang w:val="en-US" w:eastAsia="zh-CN"/>
              </w:rPr>
              <w:t>/d）计算，本项目取值2.0L（m</w:t>
            </w:r>
            <w:r>
              <w:rPr>
                <w:rFonts w:hint="eastAsia"/>
                <w:color w:val="auto"/>
                <w:vertAlign w:val="superscript"/>
                <w:lang w:val="en-US" w:eastAsia="zh-CN"/>
              </w:rPr>
              <w:t>2</w:t>
            </w:r>
            <w:r>
              <w:rPr>
                <w:rFonts w:hint="eastAsia"/>
                <w:color w:val="auto"/>
                <w:lang w:val="en-US" w:eastAsia="zh-CN"/>
              </w:rPr>
              <w:t>/d），在雨天（按120d/a计）以外定时对绿化用地部分进行浇洒，因此绿化用水量为7.33t/d（1539.72t/a）。项目绿化用水均进入土壤或经植物叶面蒸腾作用蒸发，不产生废水。</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10</w:t>
            </w:r>
            <w:r>
              <w:rPr>
                <w:rFonts w:hint="eastAsia"/>
                <w:b/>
                <w:bCs/>
                <w:color w:val="auto"/>
                <w:lang w:eastAsia="zh-CN"/>
              </w:rPr>
              <w:t>）生产区初期雨水</w:t>
            </w:r>
          </w:p>
          <w:p>
            <w:pPr>
              <w:bidi w:val="0"/>
              <w:rPr>
                <w:rFonts w:hint="eastAsia"/>
                <w:color w:val="auto"/>
                <w:lang w:val="en-US" w:eastAsia="zh-CN"/>
              </w:rPr>
            </w:pPr>
            <w:r>
              <w:rPr>
                <w:rFonts w:hint="eastAsia"/>
                <w:color w:val="auto"/>
                <w:lang w:val="en-US" w:eastAsia="zh-CN"/>
              </w:rPr>
              <w:t>由于项目所用砂石原料较多，进出运输车辆车身、轮胎等部位附着有泥沙，同时作业产生的粉尘，也会通过自然沉降在地面上，因此降雨时生产区初期雨水含SS浓度较大。因此项目对生产区初期雨水进行收集处理后回用。</w:t>
            </w:r>
          </w:p>
          <w:p>
            <w:pPr>
              <w:bidi w:val="0"/>
              <w:rPr>
                <w:rFonts w:hint="eastAsia" w:ascii="Times New Roman" w:hAnsi="Times New Roman" w:eastAsia="宋体" w:cs="Times New Roman"/>
                <w:color w:val="auto"/>
                <w:lang w:val="en-US" w:eastAsia="zh-CN"/>
              </w:rPr>
            </w:pPr>
            <w:r>
              <w:rPr>
                <w:rFonts w:hint="eastAsia"/>
                <w:color w:val="auto"/>
                <w:lang w:val="en-US" w:eastAsia="zh-CN"/>
              </w:rPr>
              <w:t>根据《室外排水设计标准》（</w:t>
            </w:r>
            <w:r>
              <w:rPr>
                <w:rFonts w:hint="default"/>
                <w:color w:val="auto"/>
                <w:lang w:val="en-US" w:eastAsia="zh-CN"/>
              </w:rPr>
              <w:t>GB50014-2021</w:t>
            </w:r>
            <w:r>
              <w:rPr>
                <w:rFonts w:hint="eastAsia"/>
                <w:color w:val="auto"/>
                <w:lang w:val="en-US" w:eastAsia="zh-CN"/>
              </w:rPr>
              <w:t>）：</w:t>
            </w:r>
          </w:p>
          <w:p>
            <w:pPr>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初期雨水</w:t>
            </w:r>
            <w:r>
              <w:rPr>
                <w:rFonts w:hint="default" w:ascii="Times New Roman" w:hAnsi="Times New Roman" w:eastAsia="宋体" w:cs="Times New Roman"/>
                <w:color w:val="auto"/>
                <w:lang w:val="en-US" w:eastAsia="zh-CN"/>
              </w:rPr>
              <w:t>=q×ψ×F×t/1000</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w:t>
            </w:r>
            <w:r>
              <w:rPr>
                <w:rFonts w:hint="default" w:ascii="Times New Roman" w:hAnsi="Times New Roman" w:eastAsia="宋体" w:cs="Times New Roman"/>
                <w:color w:val="auto"/>
                <w:lang w:val="en-US" w:eastAsia="zh-CN"/>
              </w:rPr>
              <w:t>q——</w:t>
            </w:r>
            <w:r>
              <w:rPr>
                <w:rFonts w:hint="eastAsia" w:ascii="Times New Roman" w:hAnsi="Times New Roman" w:eastAsia="宋体" w:cs="Times New Roman"/>
                <w:color w:val="auto"/>
                <w:lang w:val="en-US" w:eastAsia="zh-CN"/>
              </w:rPr>
              <w:t>设计暴雨强度</w:t>
            </w:r>
            <w:r>
              <w:rPr>
                <w:rFonts w:hint="default" w:ascii="Times New Roman" w:hAnsi="Times New Roman" w:eastAsia="宋体" w:cs="Times New Roman"/>
                <w:color w:val="auto"/>
                <w:lang w:val="en-US" w:eastAsia="zh-CN"/>
              </w:rPr>
              <w:t>EL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(s·hm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)L</w:t>
            </w:r>
            <w:r>
              <w:rPr>
                <w:rFonts w:hint="eastAsia" w:ascii="Times New Roman" w:hAnsi="Times New Roman" w:eastAsia="宋体" w:cs="Times New Roman"/>
                <w:color w:val="auto"/>
                <w:lang w:val="en-US" w:eastAsia="zh-CN"/>
              </w:rPr>
              <w:t>，根据《福建省城市及部分县城暴雨强度公式》（</w:t>
            </w:r>
            <w:r>
              <w:rPr>
                <w:rFonts w:hint="default" w:ascii="Times New Roman" w:hAnsi="Times New Roman" w:eastAsia="宋体" w:cs="Times New Roman"/>
                <w:color w:val="auto"/>
                <w:lang w:val="en-US" w:eastAsia="zh-CN"/>
              </w:rPr>
              <w:t>2003</w:t>
            </w:r>
            <w:r>
              <w:rPr>
                <w:rFonts w:hint="eastAsia" w:ascii="Times New Roman" w:hAnsi="Times New Roman" w:eastAsia="宋体" w:cs="Times New Roman"/>
                <w:color w:val="auto"/>
                <w:lang w:val="en-US" w:eastAsia="zh-CN"/>
              </w:rPr>
              <w:t>），取值</w:t>
            </w:r>
            <w:r>
              <w:rPr>
                <w:rFonts w:hint="eastAsia" w:cs="Times New Roman"/>
                <w:color w:val="auto"/>
                <w:lang w:val="en-US" w:eastAsia="zh-CN"/>
              </w:rPr>
              <w:t>福清</w:t>
            </w:r>
            <w:r>
              <w:rPr>
                <w:rFonts w:hint="eastAsia" w:ascii="Times New Roman" w:hAnsi="Times New Roman" w:eastAsia="宋体" w:cs="Times New Roman"/>
                <w:color w:val="auto"/>
                <w:lang w:val="en-US" w:eastAsia="zh-CN"/>
              </w:rPr>
              <w:t>q</w:t>
            </w:r>
            <w:r>
              <w:rPr>
                <w:rFonts w:hint="eastAsia" w:ascii="Times New Roman" w:hAnsi="Times New Roman" w:eastAsia="宋体" w:cs="Times New Roman"/>
                <w:color w:val="auto"/>
                <w:vertAlign w:val="subscript"/>
                <w:lang w:val="en-US" w:eastAsia="zh-CN"/>
              </w:rPr>
              <w:t xml:space="preserve">20 </w:t>
            </w:r>
            <w:r>
              <w:rPr>
                <w:rFonts w:hint="eastAsia" w:ascii="Times New Roman" w:hAnsi="Times New Roman" w:eastAsia="宋体" w:cs="Times New Roman"/>
                <w:color w:val="auto"/>
                <w:lang w:val="en-US" w:eastAsia="zh-CN"/>
              </w:rPr>
              <w:t>18</w:t>
            </w:r>
            <w:r>
              <w:rPr>
                <w:rFonts w:hint="eastAsia" w:cs="Times New Roman"/>
                <w:color w:val="auto"/>
                <w:lang w:val="en-US" w:eastAsia="zh-CN"/>
              </w:rPr>
              <w:t>5.036；</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Ψ——</w:t>
            </w:r>
            <w:r>
              <w:rPr>
                <w:rFonts w:hint="eastAsia" w:ascii="Times New Roman" w:hAnsi="Times New Roman" w:eastAsia="宋体" w:cs="Times New Roman"/>
                <w:color w:val="auto"/>
                <w:lang w:val="en-US" w:eastAsia="zh-CN"/>
              </w:rPr>
              <w:t>径流系数，根据《室外排水设计标准》（</w:t>
            </w:r>
            <w:r>
              <w:rPr>
                <w:rFonts w:hint="default" w:ascii="Times New Roman" w:hAnsi="Times New Roman" w:eastAsia="宋体" w:cs="Times New Roman"/>
                <w:color w:val="auto"/>
                <w:lang w:val="en-US" w:eastAsia="zh-CN"/>
              </w:rPr>
              <w:t>GB50014-2021</w:t>
            </w:r>
            <w:r>
              <w:rPr>
                <w:rFonts w:hint="eastAsia" w:ascii="Times New Roman" w:hAnsi="Times New Roman" w:eastAsia="宋体" w:cs="Times New Roman"/>
                <w:color w:val="auto"/>
                <w:lang w:val="en-US" w:eastAsia="zh-CN"/>
              </w:rPr>
              <w:t>）表4.1.8-1径流系数表，各类屋面、混凝土或沥青路面径流系数为0.85~0.95，本评价取0.95；</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w:t>
            </w:r>
            <w:r>
              <w:rPr>
                <w:rFonts w:hint="eastAsia" w:ascii="Times New Roman" w:hAnsi="Times New Roman" w:eastAsia="宋体" w:cs="Times New Roman"/>
                <w:color w:val="auto"/>
                <w:lang w:val="en-US" w:eastAsia="zh-CN"/>
              </w:rPr>
              <w:t>汇水面积</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，根据建设单位提供设计资料计算，项目生产区初期雨水收集</w:t>
            </w:r>
            <w:r>
              <w:rPr>
                <w:rFonts w:hint="eastAsia" w:cs="Times New Roman"/>
                <w:color w:val="auto"/>
                <w:lang w:val="en-US" w:eastAsia="zh-CN"/>
              </w:rPr>
              <w:t>面积约为18305m</w:t>
            </w:r>
            <w:r>
              <w:rPr>
                <w:rFonts w:hint="eastAsia" w:cs="Times New Roman"/>
                <w:color w:val="auto"/>
                <w:vertAlign w:val="superscript"/>
                <w:lang w:val="en-US" w:eastAsia="zh-CN"/>
              </w:rPr>
              <w:t>2</w:t>
            </w:r>
            <w:r>
              <w:rPr>
                <w:rFonts w:hint="eastAsia" w:cs="Times New Roman"/>
                <w:color w:val="auto"/>
                <w:lang w:val="en-US" w:eastAsia="zh-CN"/>
              </w:rPr>
              <w:t>（合1.83</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时间</w:t>
            </w:r>
            <w:r>
              <w:rPr>
                <w:rFonts w:hint="default" w:ascii="Times New Roman" w:hAnsi="Times New Roman" w:eastAsia="宋体" w:cs="Times New Roman"/>
                <w:color w:val="auto"/>
                <w:lang w:val="en-US" w:eastAsia="zh-CN"/>
              </w:rPr>
              <w:t>s</w:t>
            </w:r>
            <w:r>
              <w:rPr>
                <w:rFonts w:hint="eastAsia" w:ascii="Times New Roman" w:hAnsi="Times New Roman" w:eastAsia="宋体" w:cs="Times New Roman"/>
                <w:color w:val="auto"/>
                <w:lang w:val="en-US" w:eastAsia="zh-CN"/>
              </w:rPr>
              <w:t>，按15分钟计算，9</w:t>
            </w:r>
            <w:r>
              <w:rPr>
                <w:rFonts w:hint="default" w:ascii="Times New Roman" w:hAnsi="Times New Roman" w:eastAsia="宋体" w:cs="Times New Roman"/>
                <w:color w:val="auto"/>
                <w:lang w:val="en-US" w:eastAsia="zh-CN"/>
              </w:rPr>
              <w:t>00s</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经计算</w:t>
            </w:r>
            <w:r>
              <w:rPr>
                <w:rFonts w:hint="eastAsia" w:cs="Times New Roman"/>
                <w:color w:val="auto"/>
                <w:lang w:val="en-US" w:eastAsia="zh-CN"/>
              </w:rPr>
              <w:t>初期</w:t>
            </w:r>
            <w:r>
              <w:rPr>
                <w:rFonts w:hint="eastAsia" w:ascii="Times New Roman" w:hAnsi="Times New Roman" w:eastAsia="宋体" w:cs="Times New Roman"/>
                <w:color w:val="auto"/>
                <w:lang w:val="en-US" w:eastAsia="zh-CN"/>
              </w:rPr>
              <w:t>雨</w:t>
            </w:r>
            <w:r>
              <w:rPr>
                <w:rFonts w:hint="eastAsia" w:cs="Times New Roman"/>
                <w:color w:val="auto"/>
                <w:lang w:val="en-US" w:eastAsia="zh-CN"/>
              </w:rPr>
              <w:t>水</w:t>
            </w:r>
            <w:r>
              <w:rPr>
                <w:rFonts w:hint="eastAsia" w:ascii="Times New Roman" w:hAnsi="Times New Roman" w:eastAsia="宋体" w:cs="Times New Roman"/>
                <w:color w:val="auto"/>
                <w:lang w:val="en-US" w:eastAsia="zh-CN"/>
              </w:rPr>
              <w:t>值为</w:t>
            </w:r>
            <w:r>
              <w:rPr>
                <w:rFonts w:hint="eastAsia" w:cs="Times New Roman"/>
                <w:color w:val="auto"/>
                <w:lang w:val="en-US" w:eastAsia="zh-CN"/>
              </w:rPr>
              <w:t>289.52</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p>
            <w:pPr>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建设单位拟依据地形在生产区四周设置导流</w:t>
            </w:r>
            <w:r>
              <w:rPr>
                <w:rFonts w:hint="eastAsia" w:cs="Times New Roman"/>
                <w:color w:val="auto"/>
                <w:highlight w:val="none"/>
                <w:lang w:val="en-US" w:eastAsia="zh-CN"/>
              </w:rPr>
              <w:t>沟槽</w:t>
            </w:r>
            <w:r>
              <w:rPr>
                <w:rFonts w:hint="eastAsia" w:ascii="Times New Roman" w:hAnsi="Times New Roman" w:eastAsia="宋体" w:cs="Times New Roman"/>
                <w:color w:val="auto"/>
                <w:highlight w:val="none"/>
                <w:lang w:val="en-US" w:eastAsia="zh-CN"/>
              </w:rPr>
              <w:t>对厂区生产区初期雨水进行收集，通过手动阀门控制将初期雨水收集</w:t>
            </w:r>
            <w:r>
              <w:rPr>
                <w:rFonts w:hint="eastAsia" w:cs="Times New Roman"/>
                <w:color w:val="auto"/>
                <w:highlight w:val="none"/>
                <w:lang w:val="en-US" w:eastAsia="zh-CN"/>
              </w:rPr>
              <w:t>至300m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初期雨水收集池</w:t>
            </w:r>
            <w:r>
              <w:rPr>
                <w:rFonts w:hint="eastAsia" w:cs="Times New Roman"/>
                <w:color w:val="auto"/>
                <w:highlight w:val="none"/>
                <w:lang w:val="en-US" w:eastAsia="zh-CN"/>
              </w:rPr>
              <w:t>后，分批排入斜坡沉淀池内用于</w:t>
            </w:r>
            <w:r>
              <w:rPr>
                <w:rFonts w:hint="eastAsia"/>
                <w:color w:val="auto"/>
                <w:lang w:val="en-US" w:eastAsia="zh-CN"/>
              </w:rPr>
              <w:t>混凝土搅拌</w:t>
            </w:r>
            <w:r>
              <w:rPr>
                <w:rFonts w:hint="eastAsia" w:cs="Times New Roman"/>
                <w:color w:val="auto"/>
                <w:highlight w:val="none"/>
                <w:lang w:val="en-US" w:eastAsia="zh-CN"/>
              </w:rPr>
              <w:t>，不外排。</w:t>
            </w:r>
          </w:p>
          <w:p>
            <w:pPr>
              <w:bidi w:val="0"/>
              <w:rPr>
                <w:rFonts w:hint="default"/>
                <w:color w:val="auto"/>
              </w:rPr>
            </w:pPr>
            <w:r>
              <w:rPr>
                <w:rFonts w:hint="default"/>
                <w:color w:val="auto"/>
              </w:rPr>
              <w:t>项目水平衡图详见图</w:t>
            </w:r>
            <w:r>
              <w:rPr>
                <w:rFonts w:hint="default"/>
                <w:color w:val="auto"/>
                <w:lang w:val="en-US" w:eastAsia="zh-CN"/>
              </w:rPr>
              <w:t>2.2-</w:t>
            </w:r>
            <w:r>
              <w:rPr>
                <w:rFonts w:hint="eastAsia"/>
                <w:color w:val="auto"/>
                <w:lang w:val="en-US" w:eastAsia="zh-CN"/>
              </w:rPr>
              <w:t>1</w:t>
            </w:r>
            <w:r>
              <w:rPr>
                <w:rFonts w:hint="default"/>
                <w:color w:val="auto"/>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33"/>
              <w:bidi w:val="0"/>
              <w:rPr>
                <w:rFonts w:hint="eastAsia" w:ascii="Times New Roman" w:hAnsi="Times New Roman" w:eastAsia="宋体" w:cs="Times New Roman"/>
                <w:b/>
                <w:bCs w:val="0"/>
                <w:color w:val="auto"/>
                <w:highlight w:val="none"/>
                <w:lang w:val="en-US" w:eastAsia="zh-CN"/>
              </w:rPr>
            </w:pPr>
            <w:r>
              <w:rPr>
                <w:rFonts w:hint="eastAsia"/>
                <w:color w:val="auto"/>
                <w:lang w:val="en-US" w:eastAsia="zh-CN"/>
              </w:rPr>
              <w:t xml:space="preserve">图2.2-1 </w:t>
            </w:r>
            <w:r>
              <w:rPr>
                <w:rFonts w:hint="default"/>
                <w:color w:val="auto"/>
              </w:rPr>
              <w:t>工程水平衡图</w:t>
            </w:r>
            <w:r>
              <w:rPr>
                <w:rFonts w:hint="eastAsia"/>
                <w:color w:val="auto"/>
                <w:lang w:eastAsia="zh-CN"/>
              </w:rPr>
              <w:t>（单位：</w:t>
            </w:r>
            <w:r>
              <w:rPr>
                <w:rFonts w:hint="eastAsia"/>
                <w:color w:val="auto"/>
                <w:lang w:val="en-US" w:eastAsia="zh-CN"/>
              </w:rPr>
              <w:t>t/a</w:t>
            </w:r>
            <w:r>
              <w:rPr>
                <w:rFonts w:hint="eastAsia"/>
                <w:color w:val="auto"/>
                <w:lang w:eastAsia="zh-CN"/>
              </w:rPr>
              <w:t>）</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物料</w:t>
            </w:r>
            <w:r>
              <w:rPr>
                <w:rFonts w:hint="default"/>
                <w:color w:val="auto"/>
                <w:lang w:val="en-US" w:eastAsia="zh-CN"/>
              </w:rPr>
              <w:t>平衡</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项目全厂物料平衡详见下表。</w:t>
            </w:r>
          </w:p>
          <w:p>
            <w:pPr>
              <w:pStyle w:val="33"/>
              <w:bidi w:val="0"/>
              <w:rPr>
                <w:rFonts w:hint="default"/>
                <w:color w:val="auto"/>
                <w:sz w:val="24"/>
                <w:szCs w:val="24"/>
                <w:lang w:val="en-US" w:eastAsia="zh-CN"/>
              </w:rPr>
            </w:pPr>
            <w:r>
              <w:rPr>
                <w:rFonts w:hint="default"/>
                <w:color w:val="auto"/>
                <w:sz w:val="24"/>
                <w:szCs w:val="24"/>
              </w:rPr>
              <w:t>表2.2-</w:t>
            </w:r>
            <w:r>
              <w:rPr>
                <w:rFonts w:hint="eastAsia"/>
                <w:color w:val="auto"/>
                <w:sz w:val="24"/>
                <w:szCs w:val="24"/>
                <w:lang w:val="en-US" w:eastAsia="zh-CN"/>
              </w:rPr>
              <w:t>6</w:t>
            </w:r>
            <w:r>
              <w:rPr>
                <w:rFonts w:hint="default"/>
                <w:color w:val="auto"/>
                <w:sz w:val="24"/>
                <w:szCs w:val="24"/>
              </w:rPr>
              <w:t xml:space="preserve">  </w:t>
            </w:r>
            <w:r>
              <w:rPr>
                <w:rFonts w:hint="eastAsia"/>
                <w:color w:val="auto"/>
                <w:sz w:val="24"/>
                <w:szCs w:val="24"/>
                <w:lang w:val="en-US" w:eastAsia="zh-CN"/>
              </w:rPr>
              <w:t>项目全厂物料平衡</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8</w:t>
            </w:r>
            <w:r>
              <w:rPr>
                <w:rFonts w:hint="default"/>
                <w:color w:val="auto"/>
                <w:lang w:val="en-US" w:eastAsia="zh-CN"/>
              </w:rPr>
              <w:t xml:space="preserve"> 项目平面布置合理性分析</w:t>
            </w:r>
          </w:p>
          <w:p>
            <w:pPr>
              <w:bidi w:val="0"/>
              <w:rPr>
                <w:rFonts w:hint="default"/>
                <w:color w:val="auto"/>
                <w:lang w:val="en-US" w:eastAsia="zh-CN"/>
              </w:rPr>
            </w:pPr>
            <w:r>
              <w:rPr>
                <w:rFonts w:hint="eastAsia"/>
                <w:color w:val="auto"/>
                <w:lang w:val="en-US" w:eastAsia="zh-CN"/>
              </w:rPr>
              <w:t>项目厂区近似长方形，厂区南侧主要规划为企业的3#物料库，主要用于堆放预拌混凝土工序所使用的细砂、碎石等物料，3#物料库北侧与2#搅拌楼附属设施相连接，方便物料通过进料口和传送带进行传输；厂区西侧为混凝土搅拌区域，可以与堆场进行较好的衔接；厂区东侧布设有两处生产车间（5#、6#生产车间），根据生产工艺流程布设切割车间、笼筋车间、模具线车间、浇筑生产线、养护车间等，</w:t>
            </w:r>
            <w:r>
              <w:rPr>
                <w:rFonts w:hint="default"/>
                <w:color w:val="auto"/>
                <w:lang w:val="en-US" w:eastAsia="zh-CN"/>
              </w:rPr>
              <w:t>各功能分区明确，相对独立，</w:t>
            </w:r>
            <w:r>
              <w:rPr>
                <w:rFonts w:hint="eastAsia"/>
                <w:color w:val="auto"/>
                <w:lang w:val="en-US" w:eastAsia="zh-CN"/>
              </w:rPr>
              <w:t>互不干扰</w:t>
            </w:r>
            <w:r>
              <w:rPr>
                <w:rFonts w:hint="default"/>
                <w:color w:val="auto"/>
                <w:lang w:val="en-US" w:eastAsia="zh-CN"/>
              </w:rPr>
              <w:t>，工艺流程顺畅</w:t>
            </w:r>
            <w:r>
              <w:rPr>
                <w:rFonts w:hint="eastAsia"/>
                <w:color w:val="auto"/>
                <w:lang w:val="en-US" w:eastAsia="zh-CN"/>
              </w:rPr>
              <w:t>。办公生活区设置在厂区西北侧，</w:t>
            </w:r>
            <w:r>
              <w:rPr>
                <w:rFonts w:hint="default"/>
                <w:color w:val="auto"/>
                <w:lang w:val="en-US" w:eastAsia="zh-CN"/>
              </w:rPr>
              <w:t>生产区与办公</w:t>
            </w:r>
            <w:r>
              <w:rPr>
                <w:rFonts w:hint="eastAsia"/>
                <w:color w:val="auto"/>
                <w:lang w:val="en-US" w:eastAsia="zh-CN"/>
              </w:rPr>
              <w:t>生活</w:t>
            </w:r>
            <w:r>
              <w:rPr>
                <w:rFonts w:hint="default"/>
                <w:color w:val="auto"/>
                <w:lang w:val="en-US" w:eastAsia="zh-CN"/>
              </w:rPr>
              <w:t>区相对独立，</w:t>
            </w:r>
            <w:r>
              <w:rPr>
                <w:rFonts w:hint="eastAsia"/>
                <w:color w:val="auto"/>
                <w:lang w:val="en-US" w:eastAsia="zh-CN"/>
              </w:rPr>
              <w:t>减少互相干扰，</w:t>
            </w:r>
            <w:r>
              <w:rPr>
                <w:rFonts w:hint="default"/>
                <w:color w:val="auto"/>
                <w:lang w:val="en-US" w:eastAsia="zh-CN"/>
              </w:rPr>
              <w:t>项目</w:t>
            </w:r>
            <w:r>
              <w:rPr>
                <w:rFonts w:hint="eastAsia"/>
                <w:color w:val="auto"/>
                <w:lang w:val="en-US" w:eastAsia="zh-CN"/>
              </w:rPr>
              <w:t>厂区总平面布置图见附图四。</w:t>
            </w:r>
          </w:p>
          <w:p>
            <w:pPr>
              <w:bidi w:val="0"/>
              <w:rPr>
                <w:rFonts w:hint="default"/>
                <w:color w:val="auto"/>
                <w:lang w:eastAsia="zh-CN"/>
              </w:rPr>
            </w:pPr>
            <w:r>
              <w:rPr>
                <w:rFonts w:hint="eastAsia"/>
                <w:color w:val="auto"/>
                <w:lang w:val="en-US" w:eastAsia="zh-CN"/>
              </w:rPr>
              <w:t>项目在搅拌楼南侧自建三个斜坡沉降池用于处理搅拌楼生产废水和经收集的初期雨水。厂区内</w:t>
            </w:r>
            <w:r>
              <w:rPr>
                <w:rFonts w:hint="default"/>
                <w:color w:val="auto"/>
                <w:lang w:eastAsia="zh-CN"/>
              </w:rPr>
              <w:t>危险废物贮存</w:t>
            </w:r>
            <w:r>
              <w:rPr>
                <w:rFonts w:hint="eastAsia"/>
                <w:color w:val="auto"/>
                <w:lang w:eastAsia="zh-CN"/>
              </w:rPr>
              <w:t>库</w:t>
            </w:r>
            <w:r>
              <w:rPr>
                <w:rFonts w:hint="default"/>
                <w:color w:val="auto"/>
                <w:lang w:eastAsia="zh-CN"/>
              </w:rPr>
              <w:t>设置于</w:t>
            </w:r>
            <w:r>
              <w:rPr>
                <w:rFonts w:hint="eastAsia"/>
                <w:color w:val="auto"/>
                <w:lang w:val="en-US" w:eastAsia="zh-CN"/>
              </w:rPr>
              <w:t>西南侧，靠近生产区，</w:t>
            </w:r>
            <w:r>
              <w:rPr>
                <w:rFonts w:hint="default"/>
                <w:color w:val="auto"/>
                <w:lang w:eastAsia="zh-CN"/>
              </w:rPr>
              <w:t>方便危险废物的分类收集，</w:t>
            </w:r>
            <w:r>
              <w:rPr>
                <w:rFonts w:hint="eastAsia"/>
                <w:color w:val="auto"/>
                <w:lang w:val="en-US" w:eastAsia="zh-CN"/>
              </w:rPr>
              <w:t>减少厂内运输路线，</w:t>
            </w:r>
            <w:r>
              <w:rPr>
                <w:rFonts w:hint="default"/>
                <w:color w:val="auto"/>
                <w:lang w:eastAsia="zh-CN"/>
              </w:rPr>
              <w:t>可避免造成二次污染；项目</w:t>
            </w:r>
            <w:r>
              <w:rPr>
                <w:rFonts w:hint="eastAsia"/>
                <w:color w:val="auto"/>
                <w:lang w:val="en-US" w:eastAsia="zh-CN"/>
              </w:rPr>
              <w:t>生产设备位于生产车间、搅拌楼内等，</w:t>
            </w:r>
            <w:r>
              <w:rPr>
                <w:rFonts w:hint="eastAsia"/>
                <w:color w:val="auto"/>
                <w:lang w:eastAsia="zh-CN"/>
              </w:rPr>
              <w:t>噪声经</w:t>
            </w:r>
            <w:r>
              <w:rPr>
                <w:rFonts w:hint="default"/>
                <w:color w:val="auto"/>
                <w:lang w:eastAsia="zh-CN"/>
              </w:rPr>
              <w:t>基础减振、</w:t>
            </w:r>
            <w:r>
              <w:rPr>
                <w:rFonts w:hint="eastAsia"/>
                <w:color w:val="auto"/>
                <w:lang w:val="en-US" w:eastAsia="zh-CN"/>
              </w:rPr>
              <w:t>车间</w:t>
            </w:r>
            <w:r>
              <w:rPr>
                <w:rFonts w:hint="default"/>
                <w:color w:val="auto"/>
                <w:lang w:eastAsia="zh-CN"/>
              </w:rPr>
              <w:t>隔声等综合降噪措施后，可实现噪声达标排放。</w:t>
            </w:r>
            <w:r>
              <w:rPr>
                <w:rFonts w:hint="eastAsia"/>
                <w:color w:val="auto"/>
                <w:lang w:val="en-US" w:eastAsia="zh-CN"/>
              </w:rPr>
              <w:t>将</w:t>
            </w:r>
            <w:r>
              <w:rPr>
                <w:rFonts w:hint="eastAsia" w:ascii="Times New Roman" w:hAnsi="Times New Roman" w:eastAsia="宋体" w:cs="Times New Roman"/>
                <w:color w:val="auto"/>
                <w:spacing w:val="0"/>
                <w:sz w:val="24"/>
                <w:szCs w:val="24"/>
                <w:highlight w:val="none"/>
                <w:lang w:val="en-US" w:eastAsia="zh-CN"/>
              </w:rPr>
              <w:t>靠近</w:t>
            </w:r>
            <w:r>
              <w:rPr>
                <w:rFonts w:hint="eastAsia" w:cs="Times New Roman"/>
                <w:color w:val="auto"/>
                <w:spacing w:val="0"/>
                <w:sz w:val="24"/>
                <w:szCs w:val="24"/>
                <w:highlight w:val="none"/>
                <w:lang w:val="en-US" w:eastAsia="zh-CN"/>
              </w:rPr>
              <w:t>海兴食品公司一侧布置为停车区，以减少项目生产粉尘排放对海兴食品公司的影响。</w:t>
            </w:r>
            <w:r>
              <w:rPr>
                <w:rFonts w:hint="default"/>
                <w:color w:val="auto"/>
              </w:rPr>
              <w:t>从环境影响的角度看，</w:t>
            </w:r>
            <w:r>
              <w:rPr>
                <w:rFonts w:hint="default"/>
                <w:color w:val="auto"/>
                <w:lang w:eastAsia="zh-CN"/>
              </w:rPr>
              <w:t>项目环保设施平面布置基本合理。</w:t>
            </w:r>
          </w:p>
          <w:p>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0" w:firstLineChars="200"/>
              <w:jc w:val="both"/>
              <w:textAlignment w:val="auto"/>
              <w:outlineLvl w:val="9"/>
              <w:rPr>
                <w:rFonts w:hint="default" w:ascii="Times New Roman" w:hAnsi="Times New Roman" w:eastAsia="宋体"/>
                <w:color w:val="auto"/>
                <w:lang w:val="en-US" w:eastAsia="zh-CN"/>
              </w:rPr>
            </w:pPr>
            <w:r>
              <w:rPr>
                <w:rFonts w:hint="default" w:ascii="Times New Roman" w:hAnsi="Times New Roman" w:eastAsia="宋体" w:cs="Times New Roman"/>
                <w:color w:val="auto"/>
                <w:sz w:val="24"/>
                <w:szCs w:val="24"/>
                <w:highlight w:val="none"/>
              </w:rPr>
              <w:t>综上所述，本项目的总平布置基本合理。</w:t>
            </w:r>
          </w:p>
        </w:tc>
      </w:tr>
    </w:tbl>
    <w:p>
      <w:pPr>
        <w:pStyle w:val="2"/>
        <w:outlineLvl w:val="9"/>
        <w:rPr>
          <w:rFonts w:hint="default" w:ascii="Times New Roman" w:hAnsi="Times New Roman" w:eastAsia="宋体"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4" w:hRule="atLeast"/>
          <w:jc w:val="center"/>
        </w:trPr>
        <w:tc>
          <w:tcPr>
            <w:tcW w:w="707" w:type="dxa"/>
            <w:noWrap w:val="0"/>
            <w:vAlign w:val="center"/>
          </w:tcPr>
          <w:p>
            <w:pPr>
              <w:bidi w:val="0"/>
              <w:ind w:left="0" w:leftChars="0" w:firstLine="0" w:firstLineChars="0"/>
              <w:jc w:val="center"/>
              <w:rPr>
                <w:rFonts w:hint="default" w:ascii="Times New Roman" w:hAnsi="Times New Roman" w:eastAsia="宋体"/>
                <w:color w:val="auto"/>
                <w:vertAlign w:val="baseline"/>
              </w:rPr>
            </w:pPr>
            <w:r>
              <w:rPr>
                <w:rFonts w:hint="default"/>
                <w:color w:val="auto"/>
              </w:rPr>
              <w:t>工艺流程和产排污环节</w:t>
            </w:r>
          </w:p>
        </w:tc>
        <w:tc>
          <w:tcPr>
            <w:tcW w:w="821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生产工艺流程及产污环节</w:t>
            </w:r>
          </w:p>
          <w:p>
            <w:pPr>
              <w:pStyle w:val="4"/>
              <w:bidi w:val="0"/>
              <w:rPr>
                <w:rFonts w:hint="default"/>
                <w:color w:val="auto"/>
                <w:lang w:val="en-US" w:eastAsia="zh-CN"/>
              </w:rPr>
            </w:pPr>
            <w:r>
              <w:rPr>
                <w:rFonts w:hint="eastAsia"/>
                <w:color w:val="auto"/>
                <w:lang w:val="en-US" w:eastAsia="zh-CN"/>
              </w:rPr>
              <w:t>2.3.1预拌商品混凝土生产工艺介绍</w:t>
            </w:r>
          </w:p>
          <w:p>
            <w:pPr>
              <w:numPr>
                <w:ilvl w:val="0"/>
                <w:numId w:val="0"/>
              </w:numPr>
              <w:autoSpaceDE w:val="0"/>
              <w:autoSpaceDN w:val="0"/>
              <w:spacing w:line="360" w:lineRule="auto"/>
              <w:ind w:firstLine="480" w:firstLineChars="200"/>
              <w:textAlignment w:val="bottom"/>
              <w:rPr>
                <w:rFonts w:hint="eastAsia"/>
                <w:color w:val="auto"/>
                <w:lang w:val="en-US" w:eastAsia="zh-CN"/>
              </w:rPr>
            </w:pPr>
            <w:r>
              <w:rPr>
                <w:rFonts w:hint="eastAsia" w:cs="Times New Roman"/>
                <w:color w:val="auto"/>
                <w:kern w:val="2"/>
                <w:sz w:val="24"/>
                <w:szCs w:val="24"/>
                <w:lang w:val="en-US" w:eastAsia="zh-CN" w:bidi="ar-SA"/>
              </w:rPr>
              <w:t>项目</w:t>
            </w:r>
            <w:r>
              <w:rPr>
                <w:rFonts w:hint="eastAsia"/>
                <w:color w:val="auto"/>
                <w:lang w:val="en-US" w:eastAsia="zh-CN"/>
              </w:rPr>
              <w:t>预拌商品混凝土加工生产工艺流程见下图。</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29"/>
              <w:bidi w:val="0"/>
              <w:spacing w:line="360" w:lineRule="auto"/>
              <w:rPr>
                <w:rFonts w:hint="default"/>
                <w:color w:val="auto"/>
                <w:sz w:val="24"/>
                <w:szCs w:val="24"/>
                <w:lang w:val="en-US" w:eastAsia="zh-CN"/>
              </w:rPr>
            </w:pPr>
            <w:r>
              <w:rPr>
                <w:rFonts w:hint="eastAsia"/>
                <w:color w:val="auto"/>
                <w:sz w:val="24"/>
                <w:szCs w:val="24"/>
                <w:lang w:val="en-US" w:eastAsia="zh-CN"/>
              </w:rPr>
              <w:t>图2.3-1预拌商品混凝土工艺流程图</w:t>
            </w:r>
          </w:p>
          <w:p>
            <w:pPr>
              <w:pStyle w:val="4"/>
              <w:bidi w:val="0"/>
              <w:rPr>
                <w:rFonts w:hint="default"/>
                <w:color w:val="auto"/>
                <w:lang w:val="en-US" w:eastAsia="zh-CN"/>
              </w:rPr>
            </w:pPr>
            <w:r>
              <w:rPr>
                <w:rFonts w:hint="eastAsia"/>
                <w:color w:val="auto"/>
                <w:lang w:val="en-US" w:eastAsia="zh-CN"/>
              </w:rPr>
              <w:t>2.3.2砼结构件生产工艺介绍</w:t>
            </w:r>
          </w:p>
          <w:p>
            <w:pPr>
              <w:numPr>
                <w:ilvl w:val="0"/>
                <w:numId w:val="0"/>
              </w:numPr>
              <w:autoSpaceDE w:val="0"/>
              <w:autoSpaceDN w:val="0"/>
              <w:spacing w:line="360" w:lineRule="auto"/>
              <w:ind w:firstLine="480" w:firstLineChars="200"/>
              <w:textAlignment w:val="bottom"/>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砼结构件</w:t>
            </w:r>
            <w:r>
              <w:rPr>
                <w:rFonts w:hint="eastAsia" w:ascii="Times New Roman" w:hAnsi="Times New Roman" w:eastAsia="宋体" w:cs="Times New Roman"/>
                <w:color w:val="auto"/>
                <w:kern w:val="2"/>
                <w:sz w:val="24"/>
                <w:szCs w:val="24"/>
                <w:lang w:val="en-US" w:eastAsia="zh-CN" w:bidi="ar-SA"/>
              </w:rPr>
              <w:t>生产工艺流程见下图。</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33"/>
              <w:bidi w:val="0"/>
              <w:rPr>
                <w:rFonts w:hint="default"/>
                <w:color w:val="auto"/>
                <w:sz w:val="24"/>
                <w:lang w:val="en-US" w:eastAsia="zh-CN"/>
              </w:rPr>
            </w:pPr>
            <w:r>
              <w:rPr>
                <w:rFonts w:hint="eastAsia"/>
                <w:color w:val="auto"/>
                <w:sz w:val="24"/>
                <w:lang w:eastAsia="zh-CN"/>
              </w:rPr>
              <w:t>图</w:t>
            </w:r>
            <w:r>
              <w:rPr>
                <w:rFonts w:hint="eastAsia"/>
                <w:color w:val="auto"/>
                <w:sz w:val="24"/>
                <w:lang w:val="en-US" w:eastAsia="zh-CN"/>
              </w:rPr>
              <w:t>2.3</w:t>
            </w:r>
            <w:r>
              <w:rPr>
                <w:rFonts w:hint="eastAsia"/>
                <w:color w:val="auto"/>
                <w:sz w:val="24"/>
                <w:szCs w:val="24"/>
                <w:lang w:val="en-US" w:eastAsia="zh-CN"/>
              </w:rPr>
              <w:t>-2</w:t>
            </w:r>
            <w:r>
              <w:rPr>
                <w:rFonts w:hint="eastAsia"/>
                <w:color w:val="auto"/>
                <w:sz w:val="24"/>
                <w:lang w:val="en-US" w:eastAsia="zh-CN"/>
              </w:rPr>
              <w:t>砼结构件生产工艺流程</w:t>
            </w:r>
          </w:p>
          <w:p>
            <w:pPr>
              <w:pStyle w:val="4"/>
              <w:bidi w:val="0"/>
              <w:rPr>
                <w:rFonts w:hint="default"/>
                <w:color w:val="auto"/>
                <w:lang w:eastAsia="zh-CN"/>
              </w:rPr>
            </w:pPr>
            <w:r>
              <w:rPr>
                <w:rFonts w:hint="default"/>
                <w:color w:val="auto"/>
                <w:lang w:val="en-US" w:eastAsia="zh-CN"/>
              </w:rPr>
              <w:t>2.3.</w:t>
            </w:r>
            <w:r>
              <w:rPr>
                <w:rFonts w:hint="eastAsia"/>
                <w:color w:val="auto"/>
                <w:lang w:val="en-US" w:eastAsia="zh-CN"/>
              </w:rPr>
              <w:t>4产污环节</w:t>
            </w:r>
            <w:r>
              <w:rPr>
                <w:rFonts w:hint="default"/>
                <w:color w:val="auto"/>
                <w:lang w:val="en-US" w:eastAsia="zh-CN"/>
              </w:rPr>
              <w:t>分析</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2.3-1。</w:t>
            </w:r>
          </w:p>
          <w:p>
            <w:pPr>
              <w:pStyle w:val="17"/>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ind w:firstLine="0" w:firstLineChars="0"/>
              <w:jc w:val="center"/>
              <w:textAlignment w:val="baseline"/>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default" w:ascii="Times New Roman" w:hAnsi="Times New Roman" w:eastAsia="宋体" w:cs="Times New Roman"/>
                <w:b/>
                <w:bCs/>
                <w:color w:val="auto"/>
                <w:spacing w:val="6"/>
                <w:highlight w:val="none"/>
                <w:lang w:val="en-US" w:eastAsia="zh-CN"/>
              </w:rPr>
              <w:t>2.3-1</w:t>
            </w:r>
            <w:r>
              <w:rPr>
                <w:rFonts w:hint="default" w:ascii="Times New Roman" w:hAnsi="Times New Roman" w:eastAsia="宋体" w:cs="Times New Roman"/>
                <w:b/>
                <w:bCs/>
                <w:color w:val="auto"/>
                <w:spacing w:val="6"/>
                <w:highlight w:val="none"/>
              </w:rPr>
              <w:t xml:space="preserve"> </w:t>
            </w:r>
            <w:r>
              <w:rPr>
                <w:rFonts w:hint="default" w:ascii="Times New Roman" w:hAnsi="Times New Roman" w:eastAsia="宋体" w:cs="Times New Roman"/>
                <w:b/>
                <w:bCs/>
                <w:color w:val="auto"/>
                <w:spacing w:val="6"/>
                <w:highlight w:val="none"/>
                <w:lang w:eastAsia="zh-CN"/>
              </w:rPr>
              <w:t>项目</w:t>
            </w:r>
            <w:r>
              <w:rPr>
                <w:rFonts w:hint="default" w:ascii="Times New Roman" w:hAnsi="Times New Roman" w:eastAsia="宋体" w:cs="Times New Roman"/>
                <w:b/>
                <w:bCs/>
                <w:color w:val="auto"/>
                <w:spacing w:val="6"/>
                <w:highlight w:val="none"/>
              </w:rPr>
              <w:t>产污</w:t>
            </w:r>
            <w:r>
              <w:rPr>
                <w:rFonts w:hint="eastAsia" w:ascii="Times New Roman" w:hAnsi="Times New Roman" w:eastAsia="宋体" w:cs="Times New Roman"/>
                <w:b/>
                <w:bCs/>
                <w:color w:val="auto"/>
                <w:spacing w:val="6"/>
                <w:highlight w:val="none"/>
                <w:lang w:eastAsia="zh-CN"/>
              </w:rPr>
              <w:t>环节说明</w:t>
            </w:r>
            <w:r>
              <w:rPr>
                <w:rFonts w:hint="default" w:ascii="Times New Roman" w:hAnsi="Times New Roman" w:eastAsia="宋体" w:cs="Times New Roman"/>
                <w:b/>
                <w:bCs/>
                <w:color w:val="auto"/>
                <w:spacing w:val="6"/>
                <w:highlight w:val="none"/>
              </w:rPr>
              <w:t>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62"/>
              <w:gridCol w:w="1240"/>
              <w:gridCol w:w="1546"/>
              <w:gridCol w:w="1308"/>
              <w:gridCol w:w="3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noWrap w:val="0"/>
                  <w:vAlign w:val="center"/>
                </w:tcPr>
                <w:p>
                  <w:pPr>
                    <w:pStyle w:val="31"/>
                    <w:bidi w:val="0"/>
                    <w:rPr>
                      <w:rFonts w:hint="default"/>
                      <w:color w:val="auto"/>
                      <w:lang w:eastAsia="zh-CN"/>
                    </w:rPr>
                  </w:pPr>
                  <w:r>
                    <w:rPr>
                      <w:rFonts w:hint="default"/>
                      <w:color w:val="auto"/>
                      <w:lang w:eastAsia="zh-CN"/>
                    </w:rPr>
                    <w:t>序号</w:t>
                  </w:r>
                </w:p>
              </w:tc>
              <w:tc>
                <w:tcPr>
                  <w:tcW w:w="288" w:type="pct"/>
                  <w:noWrap w:val="0"/>
                  <w:vAlign w:val="center"/>
                </w:tcPr>
                <w:p>
                  <w:pPr>
                    <w:pStyle w:val="31"/>
                    <w:bidi w:val="0"/>
                    <w:rPr>
                      <w:rFonts w:hint="default"/>
                      <w:color w:val="auto"/>
                      <w:lang w:eastAsia="zh-CN"/>
                    </w:rPr>
                  </w:pPr>
                  <w:r>
                    <w:rPr>
                      <w:rFonts w:hint="default"/>
                      <w:color w:val="auto"/>
                      <w:lang w:eastAsia="zh-CN"/>
                    </w:rPr>
                    <w:t>类别</w:t>
                  </w:r>
                </w:p>
              </w:tc>
              <w:tc>
                <w:tcPr>
                  <w:tcW w:w="1741" w:type="pct"/>
                  <w:gridSpan w:val="2"/>
                  <w:tcBorders>
                    <w:left w:val="single" w:color="000000" w:sz="4" w:space="0"/>
                    <w:right w:val="single" w:color="000000" w:sz="4" w:space="0"/>
                  </w:tcBorders>
                  <w:noWrap w:val="0"/>
                  <w:vAlign w:val="center"/>
                </w:tcPr>
                <w:p>
                  <w:pPr>
                    <w:pStyle w:val="31"/>
                    <w:bidi w:val="0"/>
                    <w:rPr>
                      <w:rFonts w:hint="default"/>
                      <w:color w:val="auto"/>
                      <w:lang w:eastAsia="zh-CN"/>
                    </w:rPr>
                  </w:pPr>
                  <w:r>
                    <w:rPr>
                      <w:rFonts w:hint="default"/>
                      <w:color w:val="auto"/>
                      <w:lang w:eastAsia="zh-CN"/>
                    </w:rPr>
                    <w:t>污染源或污染工序</w:t>
                  </w:r>
                </w:p>
              </w:tc>
              <w:tc>
                <w:tcPr>
                  <w:tcW w:w="817" w:type="pct"/>
                  <w:tcBorders>
                    <w:left w:val="single" w:color="000000" w:sz="4" w:space="0"/>
                    <w:right w:val="single" w:color="000000" w:sz="4" w:space="0"/>
                  </w:tcBorders>
                  <w:noWrap w:val="0"/>
                  <w:vAlign w:val="center"/>
                </w:tcPr>
                <w:p>
                  <w:pPr>
                    <w:pStyle w:val="31"/>
                    <w:bidi w:val="0"/>
                    <w:rPr>
                      <w:rFonts w:hint="default"/>
                      <w:color w:val="auto"/>
                      <w:lang w:eastAsia="zh-CN"/>
                    </w:rPr>
                  </w:pPr>
                  <w:r>
                    <w:rPr>
                      <w:rFonts w:hint="default"/>
                      <w:color w:val="auto"/>
                      <w:lang w:eastAsia="zh-CN"/>
                    </w:rPr>
                    <w:t>主要污染物</w:t>
                  </w:r>
                </w:p>
              </w:tc>
              <w:tc>
                <w:tcPr>
                  <w:tcW w:w="1879" w:type="pct"/>
                  <w:tcBorders>
                    <w:left w:val="single" w:color="000000" w:sz="4" w:space="0"/>
                  </w:tcBorders>
                  <w:noWrap w:val="0"/>
                  <w:vAlign w:val="center"/>
                </w:tcPr>
                <w:p>
                  <w:pPr>
                    <w:pStyle w:val="31"/>
                    <w:bidi w:val="0"/>
                    <w:rPr>
                      <w:rFonts w:hint="default"/>
                      <w:color w:val="auto"/>
                      <w:lang w:eastAsia="zh-CN"/>
                    </w:rPr>
                  </w:pPr>
                  <w:r>
                    <w:rPr>
                      <w:rFonts w:hint="default"/>
                      <w:color w:val="auto"/>
                      <w:lang w:eastAsia="zh-CN"/>
                    </w:rPr>
                    <w:t>环保措施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noWrap w:val="0"/>
                  <w:vAlign w:val="center"/>
                </w:tcPr>
                <w:p>
                  <w:pPr>
                    <w:pStyle w:val="31"/>
                    <w:bidi w:val="0"/>
                    <w:rPr>
                      <w:rFonts w:hint="default"/>
                      <w:color w:val="auto"/>
                      <w:lang w:eastAsia="zh-CN"/>
                    </w:rPr>
                  </w:pPr>
                  <w:r>
                    <w:rPr>
                      <w:rFonts w:hint="default"/>
                      <w:color w:val="auto"/>
                      <w:lang w:val="en-US" w:eastAsia="zh-CN"/>
                    </w:rPr>
                    <w:t>1</w:t>
                  </w:r>
                </w:p>
              </w:tc>
              <w:tc>
                <w:tcPr>
                  <w:tcW w:w="288" w:type="pct"/>
                  <w:vMerge w:val="restart"/>
                  <w:noWrap w:val="0"/>
                  <w:vAlign w:val="center"/>
                </w:tcPr>
                <w:p>
                  <w:pPr>
                    <w:pStyle w:val="31"/>
                    <w:bidi w:val="0"/>
                    <w:rPr>
                      <w:rFonts w:hint="default"/>
                      <w:color w:val="auto"/>
                      <w:lang w:eastAsia="zh-CN"/>
                    </w:rPr>
                  </w:pPr>
                  <w:r>
                    <w:rPr>
                      <w:rFonts w:hint="default"/>
                      <w:color w:val="auto"/>
                      <w:lang w:eastAsia="zh-CN"/>
                    </w:rPr>
                    <w:t>废水</w:t>
                  </w: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设备清洗</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设备清洗废水</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COD、SS</w:t>
                  </w:r>
                </w:p>
              </w:tc>
              <w:tc>
                <w:tcPr>
                  <w:tcW w:w="1879" w:type="pct"/>
                  <w:vMerge w:val="restar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经生产废水处理系统（斜坡沉淀池）处理后，上清液回用于</w:t>
                  </w:r>
                  <w:r>
                    <w:rPr>
                      <w:rFonts w:hint="eastAsia" w:ascii="Times New Roman" w:hAnsi="Times New Roman" w:eastAsia="宋体" w:cs="Times New Roman"/>
                      <w:color w:val="auto"/>
                      <w:sz w:val="21"/>
                      <w:szCs w:val="21"/>
                      <w:highlight w:val="none"/>
                      <w:lang w:val="en-US" w:eastAsia="zh-CN"/>
                    </w:rPr>
                    <w:t>搅拌用水</w:t>
                  </w:r>
                  <w:r>
                    <w:rPr>
                      <w:rFonts w:hint="eastAsia"/>
                      <w:color w:val="auto"/>
                      <w:lang w:val="en-US" w:eastAsia="zh-CN"/>
                    </w:rPr>
                    <w:t>，不外排。定期补充新鲜水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default"/>
                      <w:color w:val="auto"/>
                      <w:lang w:eastAsia="zh-CN"/>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地面冲洗</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地面冲洗废水</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COD、SS</w:t>
                  </w:r>
                </w:p>
              </w:tc>
              <w:tc>
                <w:tcPr>
                  <w:tcW w:w="1879" w:type="pct"/>
                  <w:vMerge w:val="continue"/>
                  <w:tcBorders>
                    <w:left w:val="single" w:color="000000" w:sz="4" w:space="0"/>
                  </w:tcBorders>
                  <w:noWrap w:val="0"/>
                  <w:vAlign w:val="center"/>
                </w:tcPr>
                <w:p>
                  <w:pPr>
                    <w:pStyle w:val="31"/>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default"/>
                      <w:color w:val="auto"/>
                      <w:lang w:eastAsia="zh-CN"/>
                    </w:rPr>
                  </w:pPr>
                </w:p>
              </w:tc>
              <w:tc>
                <w:tcPr>
                  <w:tcW w:w="775"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试验设备清洗</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试验清洗废水</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COD、SS</w:t>
                  </w:r>
                </w:p>
              </w:tc>
              <w:tc>
                <w:tcPr>
                  <w:tcW w:w="1879" w:type="pct"/>
                  <w:vMerge w:val="continue"/>
                  <w:tcBorders>
                    <w:left w:val="single" w:color="000000" w:sz="4" w:space="0"/>
                  </w:tcBorders>
                  <w:noWrap w:val="0"/>
                  <w:vAlign w:val="center"/>
                </w:tcPr>
                <w:p>
                  <w:pPr>
                    <w:pStyle w:val="31"/>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default"/>
                      <w:color w:val="auto"/>
                      <w:lang w:eastAsia="zh-CN"/>
                    </w:rPr>
                  </w:pPr>
                </w:p>
              </w:tc>
              <w:tc>
                <w:tcPr>
                  <w:tcW w:w="775"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生产区初期雨水收集</w:t>
                  </w:r>
                </w:p>
              </w:tc>
              <w:tc>
                <w:tcPr>
                  <w:tcW w:w="966"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初期雨水</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COD、SS</w:t>
                  </w:r>
                </w:p>
              </w:tc>
              <w:tc>
                <w:tcPr>
                  <w:tcW w:w="1879" w:type="pct"/>
                  <w:vMerge w:val="continue"/>
                  <w:tcBorders>
                    <w:left w:val="single" w:color="000000" w:sz="4" w:space="0"/>
                  </w:tcBorders>
                  <w:noWrap w:val="0"/>
                  <w:vAlign w:val="center"/>
                </w:tcPr>
                <w:p>
                  <w:pPr>
                    <w:pStyle w:val="31"/>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default"/>
                      <w:color w:val="auto"/>
                      <w:lang w:eastAsia="zh-CN"/>
                    </w:rPr>
                  </w:pPr>
                </w:p>
              </w:tc>
              <w:tc>
                <w:tcPr>
                  <w:tcW w:w="775"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洗车</w:t>
                  </w:r>
                </w:p>
              </w:tc>
              <w:tc>
                <w:tcPr>
                  <w:tcW w:w="966"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洗车废水</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COD、SS、石油类</w:t>
                  </w:r>
                </w:p>
              </w:tc>
              <w:tc>
                <w:tcPr>
                  <w:tcW w:w="1879" w:type="pct"/>
                  <w:tcBorders>
                    <w:lef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经洗车台配套沉淀池处理后，回用于车辆冲洗，不外排。沉淀池表层浮油采用吸油毡定期吸附，废吸油毡作为危险废物委托资质单位定期清运处置。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eastAsia="zh-CN"/>
                    </w:rPr>
                  </w:pPr>
                </w:p>
              </w:tc>
              <w:tc>
                <w:tcPr>
                  <w:tcW w:w="288" w:type="pct"/>
                  <w:vMerge w:val="continue"/>
                  <w:noWrap w:val="0"/>
                  <w:vAlign w:val="center"/>
                </w:tcPr>
                <w:p>
                  <w:pPr>
                    <w:pStyle w:val="31"/>
                    <w:bidi w:val="0"/>
                    <w:rPr>
                      <w:rFonts w:hint="default"/>
                      <w:color w:val="auto"/>
                      <w:lang w:eastAsia="zh-CN"/>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default"/>
                      <w:color w:val="auto"/>
                      <w:lang w:eastAsia="zh-CN"/>
                    </w:rPr>
                    <w:t>职工</w:t>
                  </w:r>
                  <w:r>
                    <w:rPr>
                      <w:rFonts w:hint="eastAsia"/>
                      <w:color w:val="auto"/>
                      <w:lang w:eastAsia="zh-CN"/>
                    </w:rPr>
                    <w:t>生活</w:t>
                  </w:r>
                </w:p>
              </w:tc>
              <w:tc>
                <w:tcPr>
                  <w:tcW w:w="966" w:type="pct"/>
                  <w:tcBorders>
                    <w:left w:val="single" w:color="000000" w:sz="4" w:space="0"/>
                    <w:right w:val="single" w:color="000000" w:sz="4" w:space="0"/>
                  </w:tcBorders>
                  <w:noWrap w:val="0"/>
                  <w:vAlign w:val="center"/>
                </w:tcPr>
                <w:p>
                  <w:pPr>
                    <w:pStyle w:val="31"/>
                    <w:bidi w:val="0"/>
                    <w:rPr>
                      <w:rFonts w:hint="default"/>
                      <w:color w:val="auto"/>
                      <w:lang w:eastAsia="zh-CN"/>
                    </w:rPr>
                  </w:pPr>
                  <w:r>
                    <w:rPr>
                      <w:rFonts w:hint="eastAsia"/>
                      <w:color w:val="auto"/>
                      <w:lang w:val="en-US" w:eastAsia="zh-CN"/>
                    </w:rPr>
                    <w:t>职工日常</w:t>
                  </w:r>
                  <w:r>
                    <w:rPr>
                      <w:rFonts w:hint="eastAsia"/>
                      <w:color w:val="auto"/>
                      <w:lang w:eastAsia="zh-CN"/>
                    </w:rPr>
                    <w:t>生活污水</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default"/>
                      <w:color w:val="auto"/>
                      <w:lang w:val="en-US" w:eastAsia="zh-CN"/>
                    </w:rPr>
                    <w:t>COD、SS</w:t>
                  </w:r>
                  <w:r>
                    <w:rPr>
                      <w:rFonts w:hint="eastAsia"/>
                      <w:color w:val="auto"/>
                      <w:lang w:val="en-US" w:eastAsia="zh-CN"/>
                    </w:rPr>
                    <w:t>、</w:t>
                  </w:r>
                  <w:r>
                    <w:rPr>
                      <w:rFonts w:hint="default"/>
                      <w:color w:val="auto"/>
                      <w:lang w:val="en-US" w:eastAsia="zh-CN"/>
                    </w:rPr>
                    <w:t>BOD</w:t>
                  </w:r>
                  <w:r>
                    <w:rPr>
                      <w:rFonts w:hint="default"/>
                      <w:color w:val="auto"/>
                      <w:highlight w:val="none"/>
                      <w:vertAlign w:val="subscript"/>
                      <w:lang w:val="en-US" w:eastAsia="zh-CN"/>
                    </w:rPr>
                    <w:t>5</w:t>
                  </w:r>
                  <w:r>
                    <w:rPr>
                      <w:rFonts w:hint="default"/>
                      <w:color w:val="auto"/>
                      <w:lang w:val="en-US" w:eastAsia="zh-CN"/>
                    </w:rPr>
                    <w:t>、</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1879" w:type="pc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职工日常生活污水排入化粪池处理，出水经拟建设的一体化污水处理设施进一步处理，处理后的尾水用于厂区绿化浇灌和回用于混凝土搅拌生产，不外排。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noWrap w:val="0"/>
                  <w:vAlign w:val="center"/>
                </w:tcPr>
                <w:p>
                  <w:pPr>
                    <w:pStyle w:val="31"/>
                    <w:bidi w:val="0"/>
                    <w:rPr>
                      <w:rFonts w:hint="default"/>
                      <w:color w:val="auto"/>
                      <w:lang w:val="en-US" w:eastAsia="zh-CN"/>
                    </w:rPr>
                  </w:pPr>
                  <w:r>
                    <w:rPr>
                      <w:rFonts w:hint="eastAsia"/>
                      <w:color w:val="auto"/>
                      <w:lang w:val="en-US" w:eastAsia="zh-CN"/>
                    </w:rPr>
                    <w:t>2</w:t>
                  </w:r>
                </w:p>
              </w:tc>
              <w:tc>
                <w:tcPr>
                  <w:tcW w:w="288" w:type="pct"/>
                  <w:vMerge w:val="restart"/>
                  <w:noWrap w:val="0"/>
                  <w:vAlign w:val="center"/>
                </w:tcPr>
                <w:p>
                  <w:pPr>
                    <w:pStyle w:val="31"/>
                    <w:bidi w:val="0"/>
                    <w:rPr>
                      <w:rFonts w:hint="default"/>
                      <w:color w:val="auto"/>
                      <w:lang w:val="en-US" w:eastAsia="zh-CN"/>
                    </w:rPr>
                  </w:pPr>
                  <w:r>
                    <w:rPr>
                      <w:rFonts w:hint="eastAsia"/>
                      <w:color w:val="auto"/>
                      <w:lang w:val="en-US" w:eastAsia="zh-CN"/>
                    </w:rPr>
                    <w:t>废气</w:t>
                  </w: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砂石料装卸、储存</w:t>
                  </w:r>
                </w:p>
              </w:tc>
              <w:tc>
                <w:tcPr>
                  <w:tcW w:w="966"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砂石装卸及堆场风蚀扬尘</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骨料仓封闭设置（三面及顶部围蔽，仅保留进出料面敞开），配套喷淋装置抑尘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eastAsia"/>
                      <w:color w:val="auto"/>
                      <w:lang w:val="en-US" w:eastAsia="zh-CN"/>
                    </w:rPr>
                  </w:pPr>
                </w:p>
              </w:tc>
              <w:tc>
                <w:tcPr>
                  <w:tcW w:w="288" w:type="pct"/>
                  <w:vMerge w:val="continue"/>
                  <w:noWrap w:val="0"/>
                  <w:vAlign w:val="center"/>
                </w:tcPr>
                <w:p>
                  <w:pPr>
                    <w:pStyle w:val="31"/>
                    <w:bidi w:val="0"/>
                    <w:rPr>
                      <w:rFonts w:hint="eastAsia"/>
                      <w:color w:val="auto"/>
                      <w:lang w:val="en-US" w:eastAsia="zh-CN"/>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原料、产品车辆运输</w:t>
                  </w:r>
                </w:p>
              </w:tc>
              <w:tc>
                <w:tcPr>
                  <w:tcW w:w="966" w:type="pct"/>
                  <w:tcBorders>
                    <w:left w:val="single" w:color="000000" w:sz="4" w:space="0"/>
                    <w:right w:val="single" w:color="000000" w:sz="4" w:space="0"/>
                  </w:tcBorders>
                  <w:noWrap w:val="0"/>
                  <w:vAlign w:val="center"/>
                </w:tcPr>
                <w:p>
                  <w:pPr>
                    <w:pStyle w:val="31"/>
                    <w:bidi w:val="0"/>
                    <w:rPr>
                      <w:rFonts w:hint="eastAsia"/>
                      <w:color w:val="auto"/>
                      <w:lang w:val="en-US" w:eastAsia="zh-CN"/>
                    </w:rPr>
                  </w:pP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厂区道路硬化、定时洒水抑尘和清扫、出入车辆冲洗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eastAsia"/>
                      <w:color w:val="auto"/>
                      <w:lang w:val="en-US" w:eastAsia="zh-CN"/>
                    </w:rPr>
                  </w:pPr>
                </w:p>
              </w:tc>
              <w:tc>
                <w:tcPr>
                  <w:tcW w:w="288" w:type="pct"/>
                  <w:vMerge w:val="continue"/>
                  <w:noWrap w:val="0"/>
                  <w:vAlign w:val="center"/>
                </w:tcPr>
                <w:p>
                  <w:pPr>
                    <w:pStyle w:val="31"/>
                    <w:bidi w:val="0"/>
                    <w:rPr>
                      <w:rFonts w:hint="eastAsia"/>
                      <w:color w:val="auto"/>
                      <w:lang w:val="en-US" w:eastAsia="zh-CN"/>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粉料仓进出料</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粉料仓呼吸尘</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密闭粉料仓，呼吸尘经各仓配套袋式除尘器除尘后，在车间内无组织排放，车间内部配置喷淋装置抑尘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eastAsia"/>
                      <w:color w:val="auto"/>
                      <w:lang w:val="en-US" w:eastAsia="zh-CN"/>
                    </w:rPr>
                  </w:pPr>
                </w:p>
              </w:tc>
              <w:tc>
                <w:tcPr>
                  <w:tcW w:w="288" w:type="pct"/>
                  <w:vMerge w:val="continue"/>
                  <w:noWrap w:val="0"/>
                  <w:vAlign w:val="center"/>
                </w:tcPr>
                <w:p>
                  <w:pPr>
                    <w:pStyle w:val="31"/>
                    <w:bidi w:val="0"/>
                    <w:rPr>
                      <w:rFonts w:hint="eastAsia"/>
                      <w:color w:val="auto"/>
                      <w:lang w:val="en-US" w:eastAsia="zh-CN"/>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砂石计量配料</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砂石计量配料粉尘</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输送带仅保留进卸料口，走廊采用彩钢全封闭，砂石进料区、输送带进出料口配套喷淋装置抑尘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color w:val="auto"/>
                    </w:rPr>
                  </w:pPr>
                </w:p>
              </w:tc>
              <w:tc>
                <w:tcPr>
                  <w:tcW w:w="288" w:type="pct"/>
                  <w:vMerge w:val="continue"/>
                  <w:noWrap w:val="0"/>
                  <w:vAlign w:val="center"/>
                </w:tcPr>
                <w:p>
                  <w:pPr>
                    <w:pStyle w:val="31"/>
                    <w:bidi w:val="0"/>
                    <w:rPr>
                      <w:color w:val="auto"/>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搅拌</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搅拌粉尘</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搅拌站整体封闭设置并配套喷淋装置抑尘，搅拌机密闭运行，加水湿式搅拌。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color w:val="auto"/>
                    </w:rPr>
                  </w:pPr>
                </w:p>
              </w:tc>
              <w:tc>
                <w:tcPr>
                  <w:tcW w:w="288" w:type="pct"/>
                  <w:vMerge w:val="continue"/>
                  <w:noWrap w:val="0"/>
                  <w:vAlign w:val="center"/>
                </w:tcPr>
                <w:p>
                  <w:pPr>
                    <w:pStyle w:val="31"/>
                    <w:bidi w:val="0"/>
                    <w:rPr>
                      <w:color w:val="auto"/>
                    </w:rPr>
                  </w:pPr>
                </w:p>
              </w:tc>
              <w:tc>
                <w:tcPr>
                  <w:tcW w:w="775"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钢筋笼制作</w:t>
                  </w:r>
                </w:p>
              </w:tc>
              <w:tc>
                <w:tcPr>
                  <w:tcW w:w="966"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焊接烟尘</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颗粒物</w:t>
                  </w:r>
                </w:p>
              </w:tc>
              <w:tc>
                <w:tcPr>
                  <w:tcW w:w="1879" w:type="pct"/>
                  <w:tcBorders>
                    <w:lef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noWrap w:val="0"/>
                  <w:vAlign w:val="center"/>
                </w:tcPr>
                <w:p>
                  <w:pPr>
                    <w:pStyle w:val="31"/>
                    <w:bidi w:val="0"/>
                    <w:rPr>
                      <w:rFonts w:hint="default"/>
                      <w:color w:val="auto"/>
                      <w:lang w:eastAsia="zh-CN"/>
                    </w:rPr>
                  </w:pPr>
                  <w:r>
                    <w:rPr>
                      <w:rFonts w:hint="default"/>
                      <w:color w:val="auto"/>
                      <w:lang w:val="en-US" w:eastAsia="zh-CN"/>
                    </w:rPr>
                    <w:t>3</w:t>
                  </w:r>
                </w:p>
              </w:tc>
              <w:tc>
                <w:tcPr>
                  <w:tcW w:w="288" w:type="pct"/>
                  <w:vMerge w:val="restart"/>
                  <w:tcBorders>
                    <w:right w:val="single" w:color="000000" w:sz="4" w:space="0"/>
                  </w:tcBorders>
                  <w:noWrap w:val="0"/>
                  <w:vAlign w:val="center"/>
                </w:tcPr>
                <w:p>
                  <w:pPr>
                    <w:pStyle w:val="31"/>
                    <w:bidi w:val="0"/>
                    <w:rPr>
                      <w:rFonts w:hint="eastAsia"/>
                      <w:color w:val="auto"/>
                      <w:lang w:eastAsia="zh-CN"/>
                    </w:rPr>
                  </w:pPr>
                  <w:r>
                    <w:rPr>
                      <w:rFonts w:hint="eastAsia"/>
                      <w:color w:val="auto"/>
                      <w:lang w:eastAsia="zh-CN"/>
                    </w:rPr>
                    <w:t>一般工业固废</w:t>
                  </w: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模具清理、搅拌</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废混凝土</w:t>
                  </w:r>
                </w:p>
              </w:tc>
              <w:tc>
                <w:tcPr>
                  <w:tcW w:w="1879" w:type="pc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钢筋笼制作、开模放张</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废钢材</w:t>
                  </w:r>
                </w:p>
              </w:tc>
              <w:tc>
                <w:tcPr>
                  <w:tcW w:w="1879" w:type="pct"/>
                  <w:vMerge w:val="restart"/>
                  <w:tcBorders>
                    <w:left w:val="single" w:color="000000" w:sz="4" w:space="0"/>
                  </w:tcBorders>
                  <w:noWrap w:val="0"/>
                  <w:vAlign w:val="center"/>
                </w:tcPr>
                <w:p>
                  <w:pPr>
                    <w:pStyle w:val="31"/>
                    <w:bidi w:val="0"/>
                    <w:rPr>
                      <w:rFonts w:hint="eastAsia"/>
                      <w:color w:val="auto"/>
                      <w:lang w:eastAsia="zh-CN"/>
                    </w:rPr>
                  </w:pPr>
                  <w:r>
                    <w:rPr>
                      <w:rFonts w:hint="eastAsia"/>
                      <w:color w:val="auto"/>
                      <w:lang w:eastAsia="zh-CN"/>
                    </w:rPr>
                    <w:t>属于一般工业固废，收集暂存于一般工业固废暂存间，委托合规单位回收综合利用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钢筋笼制作焊接过程</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焊渣</w:t>
                  </w:r>
                </w:p>
              </w:tc>
              <w:tc>
                <w:tcPr>
                  <w:tcW w:w="1879" w:type="pct"/>
                  <w:vMerge w:val="continue"/>
                  <w:tcBorders>
                    <w:left w:val="single" w:color="000000" w:sz="4" w:space="0"/>
                  </w:tcBorders>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定期抽检、实验废品</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不合格品</w:t>
                  </w:r>
                </w:p>
              </w:tc>
              <w:tc>
                <w:tcPr>
                  <w:tcW w:w="1879" w:type="pct"/>
                  <w:vMerge w:val="continue"/>
                  <w:tcBorders>
                    <w:left w:val="single" w:color="000000" w:sz="4" w:space="0"/>
                  </w:tcBorders>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一般原辅材料使用</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废包装材料</w:t>
                  </w:r>
                </w:p>
              </w:tc>
              <w:tc>
                <w:tcPr>
                  <w:tcW w:w="1879" w:type="pct"/>
                  <w:vMerge w:val="continue"/>
                  <w:tcBorders>
                    <w:left w:val="single" w:color="000000" w:sz="4" w:space="0"/>
                  </w:tcBorders>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化粪池及一体化污水处理设施</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污泥</w:t>
                  </w:r>
                </w:p>
              </w:tc>
              <w:tc>
                <w:tcPr>
                  <w:tcW w:w="1879" w:type="pct"/>
                  <w:vMerge w:val="continue"/>
                  <w:tcBorders>
                    <w:left w:val="single" w:color="000000" w:sz="4" w:space="0"/>
                  </w:tcBorders>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除尘器除尘</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工艺收集尘</w:t>
                  </w:r>
                </w:p>
              </w:tc>
              <w:tc>
                <w:tcPr>
                  <w:tcW w:w="1879" w:type="pct"/>
                  <w:vMerge w:val="restart"/>
                  <w:tcBorders>
                    <w:lef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生产废水沉淀处理</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废水处理沉渣</w:t>
                  </w:r>
                </w:p>
              </w:tc>
              <w:tc>
                <w:tcPr>
                  <w:tcW w:w="1879" w:type="pct"/>
                  <w:vMerge w:val="continue"/>
                  <w:tcBorders>
                    <w:left w:val="single" w:color="000000" w:sz="4" w:space="0"/>
                  </w:tcBorders>
                  <w:noWrap w:val="0"/>
                  <w:vAlign w:val="center"/>
                </w:tcPr>
                <w:p>
                  <w:pPr>
                    <w:pStyle w:val="31"/>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tcBorders>
                    <w:right w:val="single" w:color="000000" w:sz="4" w:space="0"/>
                  </w:tcBorders>
                  <w:noWrap w:val="0"/>
                  <w:vAlign w:val="center"/>
                </w:tcPr>
                <w:p>
                  <w:pPr>
                    <w:pStyle w:val="31"/>
                    <w:bidi w:val="0"/>
                    <w:rPr>
                      <w:rFonts w:hint="eastAsia"/>
                      <w:color w:val="auto"/>
                      <w:lang w:eastAsia="zh-CN"/>
                    </w:rPr>
                  </w:pPr>
                </w:p>
              </w:tc>
              <w:tc>
                <w:tcPr>
                  <w:tcW w:w="1741" w:type="pct"/>
                  <w:gridSpan w:val="2"/>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洗车废水浮油吸附</w:t>
                  </w:r>
                </w:p>
              </w:tc>
              <w:tc>
                <w:tcPr>
                  <w:tcW w:w="817" w:type="pct"/>
                  <w:tcBorders>
                    <w:left w:val="single" w:color="000000" w:sz="4" w:space="0"/>
                    <w:right w:val="single" w:color="000000" w:sz="4" w:space="0"/>
                  </w:tcBorders>
                  <w:noWrap w:val="0"/>
                  <w:vAlign w:val="center"/>
                </w:tcPr>
                <w:p>
                  <w:pPr>
                    <w:pStyle w:val="31"/>
                    <w:bidi w:val="0"/>
                    <w:rPr>
                      <w:rFonts w:hint="eastAsia"/>
                      <w:color w:val="auto"/>
                      <w:lang w:val="en-US" w:eastAsia="zh-CN"/>
                    </w:rPr>
                  </w:pPr>
                  <w:r>
                    <w:rPr>
                      <w:rFonts w:hint="eastAsia"/>
                      <w:color w:val="auto"/>
                      <w:lang w:val="en-US" w:eastAsia="zh-CN"/>
                    </w:rPr>
                    <w:t>废吸油毡</w:t>
                  </w:r>
                </w:p>
              </w:tc>
              <w:tc>
                <w:tcPr>
                  <w:tcW w:w="1879" w:type="pct"/>
                  <w:vMerge w:val="restart"/>
                  <w:tcBorders>
                    <w:left w:val="single" w:color="000000" w:sz="4" w:space="0"/>
                  </w:tcBorders>
                  <w:noWrap w:val="0"/>
                  <w:vAlign w:val="center"/>
                </w:tcPr>
                <w:p>
                  <w:pPr>
                    <w:pStyle w:val="31"/>
                    <w:bidi w:val="0"/>
                    <w:rPr>
                      <w:rFonts w:hint="default"/>
                      <w:color w:val="auto"/>
                      <w:lang w:val="en-US" w:eastAsia="zh-CN"/>
                    </w:rPr>
                  </w:pPr>
                  <w:r>
                    <w:rPr>
                      <w:rFonts w:hint="default"/>
                      <w:color w:val="auto"/>
                      <w:lang w:eastAsia="zh-CN"/>
                    </w:rPr>
                    <w:t>属于危险废物，</w:t>
                  </w:r>
                  <w:r>
                    <w:rPr>
                      <w:rFonts w:hint="eastAsia"/>
                      <w:color w:val="auto"/>
                      <w:lang w:val="en-US" w:eastAsia="zh-CN"/>
                    </w:rPr>
                    <w:t>分类收集</w:t>
                  </w:r>
                  <w:r>
                    <w:rPr>
                      <w:rFonts w:hint="eastAsia"/>
                      <w:color w:val="auto"/>
                      <w:lang w:eastAsia="zh-CN"/>
                    </w:rPr>
                    <w:t>在</w:t>
                  </w:r>
                  <w:r>
                    <w:rPr>
                      <w:rFonts w:hint="eastAsia"/>
                      <w:color w:val="auto"/>
                      <w:lang w:val="en-US" w:eastAsia="zh-CN"/>
                    </w:rPr>
                    <w:t>危险废物贮存库</w:t>
                  </w:r>
                  <w:r>
                    <w:rPr>
                      <w:rFonts w:hint="eastAsia"/>
                      <w:color w:val="auto"/>
                      <w:lang w:eastAsia="zh-CN"/>
                    </w:rPr>
                    <w:t>分区</w:t>
                  </w:r>
                  <w:r>
                    <w:rPr>
                      <w:rFonts w:hint="default"/>
                      <w:color w:val="auto"/>
                      <w:lang w:eastAsia="zh-CN"/>
                    </w:rPr>
                    <w:t>暂存</w:t>
                  </w:r>
                  <w:r>
                    <w:rPr>
                      <w:rFonts w:hint="eastAsia"/>
                      <w:color w:val="auto"/>
                      <w:lang w:eastAsia="zh-CN"/>
                    </w:rPr>
                    <w:t>，定期委托</w:t>
                  </w:r>
                  <w:r>
                    <w:rPr>
                      <w:rFonts w:hint="default"/>
                      <w:color w:val="auto"/>
                      <w:lang w:eastAsia="zh-CN"/>
                    </w:rPr>
                    <w:t>有资质单位</w:t>
                  </w:r>
                  <w:r>
                    <w:rPr>
                      <w:rFonts w:hint="eastAsia"/>
                      <w:color w:val="auto"/>
                      <w:lang w:val="en-US" w:eastAsia="zh-CN"/>
                    </w:rPr>
                    <w:t>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restart"/>
                  <w:noWrap w:val="0"/>
                  <w:vAlign w:val="center"/>
                </w:tcPr>
                <w:p>
                  <w:pPr>
                    <w:pStyle w:val="31"/>
                    <w:bidi w:val="0"/>
                    <w:rPr>
                      <w:rFonts w:hint="default"/>
                      <w:color w:val="auto"/>
                      <w:lang w:eastAsia="zh-CN"/>
                    </w:rPr>
                  </w:pPr>
                  <w:r>
                    <w:rPr>
                      <w:rFonts w:hint="eastAsia"/>
                      <w:color w:val="auto"/>
                      <w:lang w:eastAsia="zh-CN"/>
                    </w:rPr>
                    <w:t>危险废物</w:t>
                  </w:r>
                </w:p>
              </w:tc>
              <w:tc>
                <w:tcPr>
                  <w:tcW w:w="1741" w:type="pct"/>
                  <w:gridSpan w:val="2"/>
                  <w:vMerge w:val="restar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设备维护保养</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废机油</w:t>
                  </w:r>
                </w:p>
              </w:tc>
              <w:tc>
                <w:tcPr>
                  <w:tcW w:w="1879" w:type="pct"/>
                  <w:vMerge w:val="continue"/>
                  <w:tcBorders>
                    <w:left w:val="single" w:color="000000" w:sz="4" w:space="0"/>
                  </w:tcBorders>
                  <w:noWrap w:val="0"/>
                  <w:vAlign w:val="center"/>
                </w:tcPr>
                <w:p>
                  <w:pPr>
                    <w:pStyle w:val="31"/>
                    <w:bidi w:val="0"/>
                    <w:rPr>
                      <w:rFonts w:hint="default"/>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eastAsia"/>
                      <w:color w:val="auto"/>
                      <w:lang w:eastAsia="zh-CN"/>
                    </w:rPr>
                  </w:pPr>
                </w:p>
              </w:tc>
              <w:tc>
                <w:tcPr>
                  <w:tcW w:w="1741" w:type="pct"/>
                  <w:gridSpan w:val="2"/>
                  <w:vMerge w:val="continue"/>
                  <w:tcBorders>
                    <w:left w:val="single" w:color="000000" w:sz="4" w:space="0"/>
                    <w:right w:val="single" w:color="000000" w:sz="4" w:space="0"/>
                  </w:tcBorders>
                  <w:noWrap w:val="0"/>
                  <w:vAlign w:val="center"/>
                </w:tcPr>
                <w:p>
                  <w:pPr>
                    <w:pStyle w:val="31"/>
                    <w:bidi w:val="0"/>
                    <w:rPr>
                      <w:rFonts w:hint="eastAsia"/>
                      <w:color w:val="auto"/>
                      <w:lang w:val="en-US" w:eastAsia="zh-CN"/>
                    </w:rPr>
                  </w:pP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废油桶</w:t>
                  </w:r>
                </w:p>
              </w:tc>
              <w:tc>
                <w:tcPr>
                  <w:tcW w:w="1879" w:type="pct"/>
                  <w:vMerge w:val="continue"/>
                  <w:tcBorders>
                    <w:left w:val="single" w:color="000000" w:sz="4" w:space="0"/>
                  </w:tcBorders>
                  <w:noWrap w:val="0"/>
                  <w:vAlign w:val="center"/>
                </w:tcPr>
                <w:p>
                  <w:pPr>
                    <w:pStyle w:val="31"/>
                    <w:bidi w:val="0"/>
                    <w:rPr>
                      <w:rFonts w:hint="default"/>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p>
              </w:tc>
              <w:tc>
                <w:tcPr>
                  <w:tcW w:w="288" w:type="pct"/>
                  <w:vMerge w:val="continue"/>
                  <w:noWrap w:val="0"/>
                  <w:vAlign w:val="center"/>
                </w:tcPr>
                <w:p>
                  <w:pPr>
                    <w:pStyle w:val="31"/>
                    <w:bidi w:val="0"/>
                    <w:rPr>
                      <w:rFonts w:hint="eastAsia"/>
                      <w:color w:val="auto"/>
                      <w:lang w:eastAsia="zh-CN"/>
                    </w:rPr>
                  </w:pPr>
                </w:p>
              </w:tc>
              <w:tc>
                <w:tcPr>
                  <w:tcW w:w="1741" w:type="pct"/>
                  <w:gridSpan w:val="2"/>
                  <w:vMerge w:val="continue"/>
                  <w:tcBorders>
                    <w:left w:val="single" w:color="000000" w:sz="4" w:space="0"/>
                    <w:right w:val="single" w:color="000000" w:sz="4" w:space="0"/>
                  </w:tcBorders>
                  <w:noWrap w:val="0"/>
                  <w:vAlign w:val="center"/>
                </w:tcPr>
                <w:p>
                  <w:pPr>
                    <w:pStyle w:val="31"/>
                    <w:bidi w:val="0"/>
                    <w:rPr>
                      <w:rFonts w:hint="eastAsia"/>
                      <w:color w:val="auto"/>
                      <w:lang w:val="en-US" w:eastAsia="zh-CN"/>
                    </w:rPr>
                  </w:pP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eastAsia"/>
                      <w:color w:val="auto"/>
                      <w:lang w:val="en-US" w:eastAsia="zh-CN"/>
                    </w:rPr>
                    <w:t>含油废抹布</w:t>
                  </w:r>
                </w:p>
              </w:tc>
              <w:tc>
                <w:tcPr>
                  <w:tcW w:w="1879" w:type="pct"/>
                  <w:tcBorders>
                    <w:left w:val="single" w:color="000000" w:sz="4" w:space="0"/>
                  </w:tcBorders>
                  <w:noWrap w:val="0"/>
                  <w:vAlign w:val="center"/>
                </w:tcPr>
                <w:p>
                  <w:pPr>
                    <w:pStyle w:val="31"/>
                    <w:bidi w:val="0"/>
                    <w:rPr>
                      <w:rFonts w:hint="default"/>
                      <w:color w:val="auto"/>
                      <w:lang w:eastAsia="zh-CN"/>
                    </w:rPr>
                  </w:pPr>
                  <w:r>
                    <w:rPr>
                      <w:rFonts w:hint="eastAsia"/>
                      <w:color w:val="auto"/>
                      <w:lang w:eastAsia="zh-CN"/>
                    </w:rPr>
                    <w:t>混入生活垃圾，由当地环卫部门统一清运处置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noWrap w:val="0"/>
                  <w:vAlign w:val="center"/>
                </w:tcPr>
                <w:p>
                  <w:pPr>
                    <w:pStyle w:val="31"/>
                    <w:bidi w:val="0"/>
                    <w:rPr>
                      <w:rFonts w:hint="default"/>
                      <w:color w:val="auto"/>
                      <w:lang w:val="en-US" w:eastAsia="zh-CN"/>
                    </w:rPr>
                  </w:pPr>
                  <w:r>
                    <w:rPr>
                      <w:rFonts w:hint="eastAsia"/>
                      <w:color w:val="auto"/>
                      <w:lang w:val="en-US" w:eastAsia="zh-CN"/>
                    </w:rPr>
                    <w:t>‘’</w:t>
                  </w:r>
                </w:p>
              </w:tc>
              <w:tc>
                <w:tcPr>
                  <w:tcW w:w="2030" w:type="pct"/>
                  <w:gridSpan w:val="3"/>
                  <w:tcBorders>
                    <w:right w:val="single" w:color="000000" w:sz="4" w:space="0"/>
                  </w:tcBorders>
                  <w:noWrap w:val="0"/>
                  <w:vAlign w:val="center"/>
                </w:tcPr>
                <w:p>
                  <w:pPr>
                    <w:pStyle w:val="31"/>
                    <w:bidi w:val="0"/>
                    <w:rPr>
                      <w:rFonts w:hint="default"/>
                      <w:color w:val="auto"/>
                      <w:lang w:eastAsia="zh-CN"/>
                    </w:rPr>
                  </w:pPr>
                  <w:r>
                    <w:rPr>
                      <w:rFonts w:hint="default"/>
                      <w:color w:val="auto"/>
                      <w:lang w:eastAsia="zh-CN"/>
                    </w:rPr>
                    <w:t>生活垃圾</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default"/>
                      <w:color w:val="auto"/>
                      <w:lang w:val="en-US" w:eastAsia="zh-CN"/>
                    </w:rPr>
                    <w:t>纸屑、塑料等</w:t>
                  </w:r>
                </w:p>
              </w:tc>
              <w:tc>
                <w:tcPr>
                  <w:tcW w:w="1879" w:type="pct"/>
                  <w:tcBorders>
                    <w:left w:val="single" w:color="000000" w:sz="4" w:space="0"/>
                  </w:tcBorders>
                  <w:noWrap w:val="0"/>
                  <w:vAlign w:val="center"/>
                </w:tcPr>
                <w:p>
                  <w:pPr>
                    <w:pStyle w:val="31"/>
                    <w:bidi w:val="0"/>
                    <w:rPr>
                      <w:rFonts w:hint="default"/>
                      <w:color w:val="auto"/>
                      <w:lang w:eastAsia="zh-CN"/>
                    </w:rPr>
                  </w:pPr>
                  <w:r>
                    <w:rPr>
                      <w:rFonts w:hint="default"/>
                      <w:color w:val="auto"/>
                      <w:lang w:eastAsia="zh-CN"/>
                    </w:rPr>
                    <w:t>分类收集后由环卫部门每日清运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noWrap w:val="0"/>
                  <w:vAlign w:val="center"/>
                </w:tcPr>
                <w:p>
                  <w:pPr>
                    <w:pStyle w:val="31"/>
                    <w:bidi w:val="0"/>
                    <w:rPr>
                      <w:rFonts w:hint="default"/>
                      <w:color w:val="auto"/>
                      <w:lang w:val="en-US" w:eastAsia="zh-CN"/>
                    </w:rPr>
                  </w:pPr>
                  <w:r>
                    <w:rPr>
                      <w:rFonts w:hint="eastAsia"/>
                      <w:color w:val="auto"/>
                      <w:lang w:val="en-US" w:eastAsia="zh-CN"/>
                    </w:rPr>
                    <w:t>5</w:t>
                  </w:r>
                </w:p>
              </w:tc>
              <w:tc>
                <w:tcPr>
                  <w:tcW w:w="288" w:type="pct"/>
                  <w:noWrap w:val="0"/>
                  <w:vAlign w:val="center"/>
                </w:tcPr>
                <w:p>
                  <w:pPr>
                    <w:pStyle w:val="31"/>
                    <w:bidi w:val="0"/>
                    <w:rPr>
                      <w:rFonts w:hint="default"/>
                      <w:color w:val="auto"/>
                      <w:lang w:eastAsia="zh-CN"/>
                    </w:rPr>
                  </w:pPr>
                  <w:r>
                    <w:rPr>
                      <w:rFonts w:hint="default"/>
                      <w:color w:val="auto"/>
                      <w:lang w:eastAsia="zh-CN"/>
                    </w:rPr>
                    <w:t>噪声</w:t>
                  </w:r>
                </w:p>
              </w:tc>
              <w:tc>
                <w:tcPr>
                  <w:tcW w:w="1741" w:type="pct"/>
                  <w:gridSpan w:val="2"/>
                  <w:tcBorders>
                    <w:left w:val="single" w:color="000000" w:sz="4" w:space="0"/>
                    <w:right w:val="single" w:color="000000" w:sz="4" w:space="0"/>
                  </w:tcBorders>
                  <w:noWrap w:val="0"/>
                  <w:vAlign w:val="center"/>
                </w:tcPr>
                <w:p>
                  <w:pPr>
                    <w:pStyle w:val="31"/>
                    <w:bidi w:val="0"/>
                    <w:rPr>
                      <w:rFonts w:hint="default"/>
                      <w:color w:val="auto"/>
                    </w:rPr>
                  </w:pPr>
                  <w:r>
                    <w:rPr>
                      <w:rFonts w:hint="default"/>
                      <w:color w:val="auto"/>
                      <w:lang w:eastAsia="zh-CN"/>
                    </w:rPr>
                    <w:t>生产设备</w:t>
                  </w:r>
                </w:p>
              </w:tc>
              <w:tc>
                <w:tcPr>
                  <w:tcW w:w="817" w:type="pct"/>
                  <w:tcBorders>
                    <w:left w:val="single" w:color="000000" w:sz="4" w:space="0"/>
                    <w:right w:val="single" w:color="000000" w:sz="4" w:space="0"/>
                  </w:tcBorders>
                  <w:noWrap w:val="0"/>
                  <w:vAlign w:val="center"/>
                </w:tcPr>
                <w:p>
                  <w:pPr>
                    <w:pStyle w:val="31"/>
                    <w:bidi w:val="0"/>
                    <w:rPr>
                      <w:rFonts w:hint="default"/>
                      <w:color w:val="auto"/>
                      <w:lang w:val="en-US" w:eastAsia="zh-CN"/>
                    </w:rPr>
                  </w:pPr>
                  <w:r>
                    <w:rPr>
                      <w:rFonts w:hint="default"/>
                      <w:color w:val="auto"/>
                      <w:lang w:val="en-US" w:eastAsia="zh-CN"/>
                    </w:rPr>
                    <w:t>Leq</w:t>
                  </w:r>
                </w:p>
              </w:tc>
              <w:tc>
                <w:tcPr>
                  <w:tcW w:w="1879" w:type="pct"/>
                  <w:tcBorders>
                    <w:left w:val="single" w:color="000000" w:sz="4" w:space="0"/>
                  </w:tcBorders>
                  <w:noWrap w:val="0"/>
                  <w:vAlign w:val="center"/>
                </w:tcPr>
                <w:p>
                  <w:pPr>
                    <w:pStyle w:val="31"/>
                    <w:bidi w:val="0"/>
                    <w:rPr>
                      <w:rFonts w:hint="default"/>
                      <w:color w:val="auto"/>
                      <w:lang w:eastAsia="zh-CN"/>
                    </w:rPr>
                  </w:pPr>
                  <w:r>
                    <w:rPr>
                      <w:rFonts w:hint="default"/>
                      <w:color w:val="auto"/>
                      <w:lang w:eastAsia="zh-CN"/>
                    </w:rPr>
                    <w:t>厂房隔声、设备基础减振等综合降噪措施</w:t>
                  </w:r>
                </w:p>
              </w:tc>
            </w:tr>
          </w:tbl>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jc w:val="center"/>
        </w:trPr>
        <w:tc>
          <w:tcPr>
            <w:tcW w:w="707" w:type="dxa"/>
            <w:noWrap w:val="0"/>
            <w:vAlign w:val="center"/>
          </w:tcPr>
          <w:p>
            <w:pPr>
              <w:pStyle w:val="31"/>
              <w:bidi w:val="0"/>
              <w:rPr>
                <w:rFonts w:hint="default" w:ascii="Times New Roman" w:hAnsi="Times New Roman" w:eastAsia="宋体" w:cs="Times New Roman"/>
                <w:color w:val="auto"/>
                <w:szCs w:val="21"/>
              </w:rPr>
            </w:pPr>
            <w:r>
              <w:rPr>
                <w:rFonts w:hint="default"/>
                <w:color w:val="auto"/>
                <w:sz w:val="24"/>
                <w:szCs w:val="32"/>
                <w:lang w:val="en-US" w:eastAsia="zh-CN"/>
              </w:rPr>
              <w:t>与项目有关的原有环境污染问题</w:t>
            </w:r>
          </w:p>
        </w:tc>
        <w:tc>
          <w:tcPr>
            <w:tcW w:w="8218" w:type="dxa"/>
            <w:noWrap w:val="0"/>
            <w:vAlign w:val="center"/>
          </w:tcPr>
          <w:p>
            <w:pPr>
              <w:pStyle w:val="3"/>
              <w:bidi w:val="0"/>
              <w:rPr>
                <w:rFonts w:hint="eastAsia"/>
                <w:color w:val="auto"/>
                <w:lang w:val="en-US" w:eastAsia="zh-CN"/>
              </w:rPr>
            </w:pPr>
            <w:r>
              <w:rPr>
                <w:rFonts w:hint="eastAsia"/>
                <w:color w:val="auto"/>
                <w:lang w:val="en-US" w:eastAsia="zh-CN"/>
              </w:rPr>
              <w:t>2.4迁建前工程建设情况及污染源分析</w:t>
            </w:r>
          </w:p>
          <w:p>
            <w:pPr>
              <w:pStyle w:val="4"/>
              <w:bidi w:val="0"/>
              <w:rPr>
                <w:color w:val="auto"/>
              </w:rPr>
            </w:pPr>
            <w:r>
              <w:rPr>
                <w:color w:val="auto"/>
              </w:rPr>
              <w:t>2.</w:t>
            </w:r>
            <w:r>
              <w:rPr>
                <w:rFonts w:hint="eastAsia"/>
                <w:color w:val="auto"/>
                <w:lang w:val="en-US" w:eastAsia="zh-CN"/>
              </w:rPr>
              <w:t>4.1迁建前</w:t>
            </w:r>
            <w:r>
              <w:rPr>
                <w:rFonts w:hint="eastAsia"/>
                <w:color w:val="auto"/>
              </w:rPr>
              <w:t>工程概况</w:t>
            </w:r>
          </w:p>
          <w:p>
            <w:pPr>
              <w:rPr>
                <w:color w:val="auto"/>
                <w:sz w:val="24"/>
              </w:rPr>
            </w:pPr>
            <w:r>
              <w:rPr>
                <w:rFonts w:hint="eastAsia"/>
                <w:color w:val="auto"/>
                <w:sz w:val="24"/>
                <w:lang w:val="en-US" w:eastAsia="zh-CN"/>
              </w:rPr>
              <w:t>迁建前</w:t>
            </w:r>
            <w:r>
              <w:rPr>
                <w:color w:val="auto"/>
                <w:sz w:val="24"/>
              </w:rPr>
              <w:t>工程环评批复及验收情况详见下表：</w:t>
            </w:r>
          </w:p>
          <w:p>
            <w:pPr>
              <w:pStyle w:val="33"/>
              <w:bidi w:val="0"/>
              <w:rPr>
                <w:b/>
                <w:color w:val="auto"/>
                <w:sz w:val="24"/>
                <w:szCs w:val="24"/>
              </w:rPr>
            </w:pPr>
            <w:r>
              <w:rPr>
                <w:color w:val="auto"/>
                <w:sz w:val="24"/>
                <w:szCs w:val="24"/>
              </w:rPr>
              <w:t>表</w:t>
            </w:r>
            <w:r>
              <w:rPr>
                <w:rFonts w:hint="eastAsia"/>
                <w:color w:val="auto"/>
                <w:sz w:val="24"/>
                <w:szCs w:val="24"/>
                <w:lang w:val="en-US" w:eastAsia="zh-CN"/>
              </w:rPr>
              <w:t>2.4-1</w:t>
            </w:r>
            <w:r>
              <w:rPr>
                <w:rFonts w:hint="eastAsia"/>
                <w:color w:val="auto"/>
                <w:sz w:val="24"/>
                <w:szCs w:val="24"/>
              </w:rPr>
              <w:t xml:space="preserve"> 现有</w:t>
            </w:r>
            <w:r>
              <w:rPr>
                <w:color w:val="auto"/>
                <w:sz w:val="24"/>
                <w:szCs w:val="24"/>
              </w:rPr>
              <w:t>工程环评批复及验收情况一览表</w:t>
            </w:r>
          </w:p>
          <w:tbl>
            <w:tblPr>
              <w:tblStyle w:val="20"/>
              <w:tblW w:w="82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03"/>
              <w:gridCol w:w="1130"/>
              <w:gridCol w:w="1770"/>
              <w:gridCol w:w="1292"/>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95" w:type="dxa"/>
                  <w:noWrap w:val="0"/>
                  <w:vAlign w:val="center"/>
                </w:tcPr>
                <w:p>
                  <w:pPr>
                    <w:pStyle w:val="31"/>
                    <w:bidi w:val="0"/>
                    <w:rPr>
                      <w:color w:val="auto"/>
                    </w:rPr>
                  </w:pPr>
                  <w:r>
                    <w:rPr>
                      <w:color w:val="auto"/>
                    </w:rPr>
                    <w:t>序号</w:t>
                  </w:r>
                </w:p>
              </w:tc>
              <w:tc>
                <w:tcPr>
                  <w:tcW w:w="1303" w:type="dxa"/>
                  <w:noWrap w:val="0"/>
                  <w:vAlign w:val="center"/>
                </w:tcPr>
                <w:p>
                  <w:pPr>
                    <w:pStyle w:val="31"/>
                    <w:bidi w:val="0"/>
                    <w:rPr>
                      <w:color w:val="auto"/>
                    </w:rPr>
                  </w:pPr>
                  <w:r>
                    <w:rPr>
                      <w:color w:val="auto"/>
                    </w:rPr>
                    <w:t>项目名称</w:t>
                  </w:r>
                </w:p>
              </w:tc>
              <w:tc>
                <w:tcPr>
                  <w:tcW w:w="1130" w:type="dxa"/>
                  <w:noWrap w:val="0"/>
                  <w:vAlign w:val="center"/>
                </w:tcPr>
                <w:p>
                  <w:pPr>
                    <w:pStyle w:val="31"/>
                    <w:bidi w:val="0"/>
                    <w:rPr>
                      <w:color w:val="auto"/>
                    </w:rPr>
                  </w:pPr>
                  <w:r>
                    <w:rPr>
                      <w:color w:val="auto"/>
                    </w:rPr>
                    <w:t>建设单位</w:t>
                  </w:r>
                </w:p>
              </w:tc>
              <w:tc>
                <w:tcPr>
                  <w:tcW w:w="1770" w:type="dxa"/>
                  <w:noWrap w:val="0"/>
                  <w:vAlign w:val="center"/>
                </w:tcPr>
                <w:p>
                  <w:pPr>
                    <w:pStyle w:val="31"/>
                    <w:bidi w:val="0"/>
                    <w:rPr>
                      <w:color w:val="auto"/>
                    </w:rPr>
                  </w:pPr>
                  <w:r>
                    <w:rPr>
                      <w:color w:val="auto"/>
                    </w:rPr>
                    <w:t>环评批复情况</w:t>
                  </w:r>
                </w:p>
              </w:tc>
              <w:tc>
                <w:tcPr>
                  <w:tcW w:w="1292" w:type="dxa"/>
                  <w:noWrap w:val="0"/>
                  <w:vAlign w:val="center"/>
                </w:tcPr>
                <w:p>
                  <w:pPr>
                    <w:pStyle w:val="31"/>
                    <w:bidi w:val="0"/>
                    <w:rPr>
                      <w:color w:val="auto"/>
                    </w:rPr>
                  </w:pPr>
                  <w:r>
                    <w:rPr>
                      <w:color w:val="auto"/>
                    </w:rPr>
                    <w:t>环保验收情况</w:t>
                  </w:r>
                </w:p>
              </w:tc>
              <w:tc>
                <w:tcPr>
                  <w:tcW w:w="2240" w:type="dxa"/>
                  <w:noWrap w:val="0"/>
                  <w:vAlign w:val="center"/>
                </w:tcPr>
                <w:p>
                  <w:pPr>
                    <w:pStyle w:val="31"/>
                    <w:bidi w:val="0"/>
                    <w:rPr>
                      <w:color w:val="auto"/>
                    </w:rPr>
                  </w:pPr>
                  <w:r>
                    <w:rPr>
                      <w:rFonts w:hint="eastAsia"/>
                      <w:color w:val="auto"/>
                    </w:rPr>
                    <w:t>排污许可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95" w:type="dxa"/>
                  <w:noWrap w:val="0"/>
                  <w:vAlign w:val="center"/>
                </w:tcPr>
                <w:p>
                  <w:pPr>
                    <w:pStyle w:val="31"/>
                    <w:bidi w:val="0"/>
                    <w:rPr>
                      <w:color w:val="auto"/>
                    </w:rPr>
                  </w:pPr>
                  <w:r>
                    <w:rPr>
                      <w:color w:val="auto"/>
                    </w:rPr>
                    <w:t>1</w:t>
                  </w:r>
                </w:p>
              </w:tc>
              <w:tc>
                <w:tcPr>
                  <w:tcW w:w="1303" w:type="dxa"/>
                  <w:noWrap w:val="0"/>
                  <w:vAlign w:val="center"/>
                </w:tcPr>
                <w:p>
                  <w:pPr>
                    <w:pStyle w:val="31"/>
                    <w:bidi w:val="0"/>
                    <w:rPr>
                      <w:rFonts w:hint="default" w:eastAsia="宋体"/>
                      <w:color w:val="auto"/>
                      <w:lang w:val="en-US" w:eastAsia="zh-CN"/>
                    </w:rPr>
                  </w:pPr>
                  <w:r>
                    <w:rPr>
                      <w:rFonts w:hint="eastAsia"/>
                      <w:color w:val="auto"/>
                      <w:lang w:val="en-US" w:eastAsia="zh-CN"/>
                    </w:rPr>
                    <w:t>福建融瀚建材有限公司年产80万吨预拌商品混凝土</w:t>
                  </w:r>
                </w:p>
              </w:tc>
              <w:tc>
                <w:tcPr>
                  <w:tcW w:w="1130" w:type="dxa"/>
                  <w:noWrap w:val="0"/>
                  <w:vAlign w:val="center"/>
                </w:tcPr>
                <w:p>
                  <w:pPr>
                    <w:pStyle w:val="31"/>
                    <w:bidi w:val="0"/>
                    <w:rPr>
                      <w:color w:val="auto"/>
                    </w:rPr>
                  </w:pPr>
                  <w:r>
                    <w:rPr>
                      <w:rFonts w:hint="eastAsia"/>
                      <w:color w:val="auto"/>
                      <w:lang w:val="en-US" w:eastAsia="zh-CN"/>
                    </w:rPr>
                    <w:t>福建融瀚建材有限公司</w:t>
                  </w:r>
                </w:p>
              </w:tc>
              <w:tc>
                <w:tcPr>
                  <w:tcW w:w="1770" w:type="dxa"/>
                  <w:noWrap w:val="0"/>
                  <w:vAlign w:val="center"/>
                </w:tcPr>
                <w:p>
                  <w:pPr>
                    <w:pStyle w:val="31"/>
                    <w:bidi w:val="0"/>
                    <w:rPr>
                      <w:color w:val="auto"/>
                    </w:rPr>
                  </w:pPr>
                  <w:r>
                    <w:rPr>
                      <w:rFonts w:hint="eastAsia"/>
                      <w:color w:val="auto"/>
                      <w:lang w:eastAsia="zh-CN"/>
                    </w:rPr>
                    <w:t>2018年</w:t>
                  </w:r>
                  <w:r>
                    <w:rPr>
                      <w:rFonts w:hint="eastAsia"/>
                      <w:color w:val="auto"/>
                      <w:lang w:val="en-US" w:eastAsia="zh-CN"/>
                    </w:rPr>
                    <w:t>10</w:t>
                  </w:r>
                  <w:r>
                    <w:rPr>
                      <w:rFonts w:hint="eastAsia"/>
                      <w:color w:val="auto"/>
                      <w:lang w:eastAsia="zh-CN"/>
                    </w:rPr>
                    <w:t>月</w:t>
                  </w:r>
                  <w:r>
                    <w:rPr>
                      <w:rFonts w:hint="eastAsia"/>
                      <w:color w:val="auto"/>
                      <w:lang w:val="en-US" w:eastAsia="zh-CN"/>
                    </w:rPr>
                    <w:t>16</w:t>
                  </w:r>
                  <w:r>
                    <w:rPr>
                      <w:rFonts w:hint="eastAsia"/>
                      <w:color w:val="auto"/>
                      <w:lang w:eastAsia="zh-CN"/>
                    </w:rPr>
                    <w:t>日</w:t>
                  </w:r>
                  <w:r>
                    <w:rPr>
                      <w:rFonts w:hint="eastAsia"/>
                      <w:color w:val="auto"/>
                    </w:rPr>
                    <w:t>取得原</w:t>
                  </w:r>
                  <w:r>
                    <w:rPr>
                      <w:rFonts w:hint="eastAsia"/>
                      <w:color w:val="auto"/>
                      <w:lang w:val="en-US" w:eastAsia="zh-CN"/>
                    </w:rPr>
                    <w:t>福清市</w:t>
                  </w:r>
                  <w:r>
                    <w:rPr>
                      <w:rFonts w:hint="eastAsia"/>
                      <w:color w:val="auto"/>
                      <w:lang w:eastAsia="zh-CN"/>
                    </w:rPr>
                    <w:t>环保局</w:t>
                  </w:r>
                  <w:r>
                    <w:rPr>
                      <w:rFonts w:hint="eastAsia"/>
                      <w:color w:val="auto"/>
                    </w:rPr>
                    <w:t>批复，审批文号：</w:t>
                  </w:r>
                  <w:r>
                    <w:rPr>
                      <w:rFonts w:hint="eastAsia"/>
                      <w:color w:val="auto"/>
                      <w:lang w:val="en-US" w:eastAsia="zh-CN"/>
                    </w:rPr>
                    <w:t>融环评表[2018]94</w:t>
                  </w:r>
                  <w:r>
                    <w:rPr>
                      <w:rFonts w:hint="eastAsia"/>
                      <w:color w:val="auto"/>
                    </w:rPr>
                    <w:t>号</w:t>
                  </w:r>
                </w:p>
              </w:tc>
              <w:tc>
                <w:tcPr>
                  <w:tcW w:w="1292" w:type="dxa"/>
                  <w:noWrap w:val="0"/>
                  <w:vAlign w:val="center"/>
                </w:tcPr>
                <w:p>
                  <w:pPr>
                    <w:pStyle w:val="31"/>
                    <w:bidi w:val="0"/>
                    <w:rPr>
                      <w:color w:val="auto"/>
                    </w:rPr>
                  </w:pPr>
                  <w:r>
                    <w:rPr>
                      <w:rFonts w:hint="eastAsia"/>
                      <w:color w:val="auto"/>
                      <w:highlight w:val="none"/>
                    </w:rPr>
                    <w:t>2</w:t>
                  </w:r>
                  <w:r>
                    <w:rPr>
                      <w:rFonts w:hint="eastAsia"/>
                      <w:color w:val="auto"/>
                      <w:highlight w:val="none"/>
                      <w:lang w:val="en-US" w:eastAsia="zh-CN"/>
                    </w:rPr>
                    <w:t>018</w:t>
                  </w:r>
                  <w:r>
                    <w:rPr>
                      <w:rFonts w:hint="eastAsia"/>
                      <w:color w:val="auto"/>
                      <w:highlight w:val="none"/>
                    </w:rPr>
                    <w:t>年1</w:t>
                  </w:r>
                  <w:r>
                    <w:rPr>
                      <w:rFonts w:hint="eastAsia"/>
                      <w:color w:val="auto"/>
                      <w:highlight w:val="none"/>
                      <w:lang w:val="en-US" w:eastAsia="zh-CN"/>
                    </w:rPr>
                    <w:t>1</w:t>
                  </w:r>
                  <w:r>
                    <w:rPr>
                      <w:rFonts w:hint="eastAsia"/>
                      <w:color w:val="auto"/>
                      <w:highlight w:val="none"/>
                    </w:rPr>
                    <w:t>月完成</w:t>
                  </w:r>
                  <w:r>
                    <w:rPr>
                      <w:rFonts w:hint="eastAsia"/>
                      <w:color w:val="auto"/>
                      <w:highlight w:val="none"/>
                      <w:lang w:val="en-US" w:eastAsia="zh-CN"/>
                    </w:rPr>
                    <w:t>竣工环保</w:t>
                  </w:r>
                  <w:r>
                    <w:rPr>
                      <w:rFonts w:hint="eastAsia"/>
                      <w:color w:val="auto"/>
                      <w:highlight w:val="none"/>
                    </w:rPr>
                    <w:t>验收</w:t>
                  </w:r>
                </w:p>
              </w:tc>
              <w:tc>
                <w:tcPr>
                  <w:tcW w:w="2240" w:type="dxa"/>
                  <w:noWrap w:val="0"/>
                  <w:vAlign w:val="center"/>
                </w:tcPr>
                <w:p>
                  <w:pPr>
                    <w:pStyle w:val="31"/>
                    <w:bidi w:val="0"/>
                    <w:rPr>
                      <w:color w:val="auto"/>
                    </w:rPr>
                  </w:pPr>
                  <w:r>
                    <w:rPr>
                      <w:rFonts w:hint="eastAsia"/>
                      <w:color w:val="auto"/>
                      <w:highlight w:val="none"/>
                    </w:rPr>
                    <w:t>于20</w:t>
                  </w:r>
                  <w:r>
                    <w:rPr>
                      <w:rFonts w:hint="eastAsia"/>
                      <w:color w:val="auto"/>
                      <w:highlight w:val="none"/>
                      <w:lang w:val="en-US" w:eastAsia="zh-CN"/>
                    </w:rPr>
                    <w:t>20</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15</w:t>
                  </w:r>
                  <w:r>
                    <w:rPr>
                      <w:rFonts w:hint="eastAsia"/>
                      <w:color w:val="auto"/>
                      <w:highlight w:val="none"/>
                    </w:rPr>
                    <w:t>日进行了排污登记，登记编号：91350181MA2XNDDN25001Y</w:t>
                  </w:r>
                </w:p>
              </w:tc>
            </w:tr>
          </w:tbl>
          <w:p>
            <w:pPr>
              <w:pStyle w:val="4"/>
              <w:bidi w:val="0"/>
              <w:rPr>
                <w:rFonts w:hint="default"/>
                <w:color w:val="auto"/>
                <w:lang w:val="en-US" w:eastAsia="zh-CN"/>
              </w:rPr>
            </w:pPr>
            <w:r>
              <w:rPr>
                <w:rFonts w:hint="eastAsia"/>
                <w:color w:val="auto"/>
                <w:lang w:val="en-US" w:eastAsia="zh-CN"/>
              </w:rPr>
              <w:t>2.4.2迁建前</w:t>
            </w:r>
            <w:r>
              <w:rPr>
                <w:rFonts w:hint="eastAsia"/>
                <w:color w:val="auto"/>
              </w:rPr>
              <w:t>工程建设情况</w:t>
            </w:r>
          </w:p>
          <w:p>
            <w:pPr>
              <w:bidi w:val="0"/>
              <w:rPr>
                <w:rFonts w:hint="default"/>
                <w:color w:val="auto"/>
                <w:lang w:val="en-US" w:eastAsia="zh-CN"/>
              </w:rPr>
            </w:pPr>
            <w:r>
              <w:rPr>
                <w:rFonts w:hint="eastAsia"/>
                <w:color w:val="auto"/>
                <w:lang w:val="en-US" w:eastAsia="zh-CN"/>
              </w:rPr>
              <w:t>迁建前的工程为原</w:t>
            </w:r>
            <w:r>
              <w:rPr>
                <w:rFonts w:hint="default"/>
                <w:color w:val="auto"/>
                <w:lang w:val="en-US" w:eastAsia="zh-CN"/>
              </w:rPr>
              <w:t>福建融瀚建材有限公司</w:t>
            </w:r>
            <w:r>
              <w:rPr>
                <w:rFonts w:hint="eastAsia"/>
                <w:color w:val="auto"/>
                <w:lang w:val="en-US" w:eastAsia="zh-CN"/>
              </w:rPr>
              <w:t>，工程</w:t>
            </w:r>
            <w:r>
              <w:rPr>
                <w:rFonts w:hint="default"/>
                <w:color w:val="auto"/>
                <w:lang w:val="en-US" w:eastAsia="zh-CN"/>
              </w:rPr>
              <w:t>位于福建省福州市福清市海口镇东阁村真大线21公里处，总投资6800万元，占地面积5565</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，建筑面积4000</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。租赁福清市日盛饲料有限公司土地，从事商品混凝土生产项目，年产80万吨预拌商品混凝土。</w:t>
            </w:r>
            <w:r>
              <w:rPr>
                <w:rFonts w:hint="eastAsia"/>
                <w:color w:val="auto"/>
                <w:lang w:val="en-US" w:eastAsia="zh-CN"/>
              </w:rPr>
              <w:t>原工程企业员工58人，均不住厂，厂内不设食堂、公厕等辅助设施，年工作天数350天，单班制，每班8小时。</w:t>
            </w:r>
          </w:p>
          <w:p>
            <w:pPr>
              <w:pStyle w:val="4"/>
              <w:bidi w:val="0"/>
              <w:rPr>
                <w:rFonts w:hint="eastAsia"/>
                <w:color w:val="auto"/>
                <w:lang w:val="en-US" w:eastAsia="zh-CN"/>
              </w:rPr>
            </w:pPr>
            <w:r>
              <w:rPr>
                <w:rFonts w:hint="eastAsia"/>
                <w:color w:val="auto"/>
                <w:lang w:val="en-US" w:eastAsia="zh-CN"/>
              </w:rPr>
              <w:t>2.4.3迁建前工程组成</w:t>
            </w:r>
          </w:p>
          <w:p>
            <w:pPr>
              <w:keepNext w:val="0"/>
              <w:keepLines w:val="0"/>
              <w:widowControl/>
              <w:suppressLineNumbers w:val="0"/>
              <w:jc w:val="left"/>
              <w:rPr>
                <w:rFonts w:hint="eastAsia"/>
                <w:color w:val="auto"/>
                <w:lang w:val="en-US" w:eastAsia="zh-CN"/>
              </w:rPr>
            </w:pPr>
            <w:r>
              <w:rPr>
                <w:rFonts w:hint="eastAsia"/>
                <w:color w:val="auto"/>
                <w:lang w:val="en-US" w:eastAsia="zh-CN"/>
              </w:rPr>
              <w:t>根据项目人员对原工程现状进行实地踏勘后，对照原工程所做《</w:t>
            </w:r>
            <w:r>
              <w:rPr>
                <w:rFonts w:hint="eastAsia" w:ascii="宋体" w:hAnsi="宋体" w:eastAsia="宋体" w:cs="宋体"/>
                <w:color w:val="auto"/>
                <w:kern w:val="0"/>
                <w:sz w:val="24"/>
                <w:szCs w:val="24"/>
                <w:lang w:val="en-US" w:eastAsia="zh-CN" w:bidi="ar"/>
              </w:rPr>
              <w:t>福建融瀚建材有限公司年产</w:t>
            </w:r>
            <w:r>
              <w:rPr>
                <w:rFonts w:hint="default" w:ascii="Times New Roman" w:hAnsi="Times New Roman" w:eastAsia="宋体" w:cs="Times New Roman"/>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万吨预拌商品混凝土环境影响报告表</w:t>
            </w:r>
            <w:r>
              <w:rPr>
                <w:rFonts w:hint="eastAsia"/>
                <w:color w:val="auto"/>
                <w:lang w:val="en-US" w:eastAsia="zh-CN"/>
              </w:rPr>
              <w:t>》相关内容，企业迁建前的工程项目组成如下表2.4-2。</w:t>
            </w:r>
          </w:p>
          <w:p>
            <w:pPr>
              <w:pStyle w:val="33"/>
              <w:bidi w:val="0"/>
              <w:rPr>
                <w:color w:val="auto"/>
                <w:sz w:val="24"/>
                <w:szCs w:val="24"/>
              </w:rPr>
            </w:pPr>
            <w:r>
              <w:rPr>
                <w:color w:val="auto"/>
                <w:sz w:val="24"/>
                <w:szCs w:val="24"/>
              </w:rPr>
              <w:t>表2</w:t>
            </w:r>
            <w:r>
              <w:rPr>
                <w:rFonts w:hint="eastAsia"/>
                <w:color w:val="auto"/>
                <w:sz w:val="24"/>
                <w:szCs w:val="24"/>
                <w:lang w:val="en-US" w:eastAsia="zh-CN"/>
              </w:rPr>
              <w:t>.4-2</w:t>
            </w:r>
            <w:r>
              <w:rPr>
                <w:color w:val="auto"/>
                <w:sz w:val="24"/>
                <w:szCs w:val="24"/>
              </w:rPr>
              <w:t xml:space="preserve"> </w:t>
            </w:r>
            <w:r>
              <w:rPr>
                <w:rFonts w:hint="eastAsia"/>
                <w:color w:val="auto"/>
                <w:sz w:val="24"/>
                <w:szCs w:val="24"/>
                <w:lang w:val="en-US" w:eastAsia="zh-CN"/>
              </w:rPr>
              <w:t>迁建前工程</w:t>
            </w:r>
            <w:r>
              <w:rPr>
                <w:color w:val="auto"/>
                <w:sz w:val="24"/>
                <w:szCs w:val="24"/>
              </w:rPr>
              <w:t>组成一览表</w:t>
            </w:r>
          </w:p>
          <w:tbl>
            <w:tblPr>
              <w:tblStyle w:val="21"/>
              <w:tblW w:w="8002" w:type="dxa"/>
              <w:tblInd w:w="5"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50"/>
              <w:gridCol w:w="1170"/>
              <w:gridCol w:w="5431"/>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1" w:type="dxa"/>
                  <w:gridSpan w:val="3"/>
                  <w:vAlign w:val="top"/>
                </w:tcPr>
                <w:p>
                  <w:pPr>
                    <w:pStyle w:val="31"/>
                    <w:bidi w:val="0"/>
                    <w:rPr>
                      <w:rFonts w:hint="default"/>
                      <w:color w:val="auto"/>
                      <w:lang w:val="en-US" w:eastAsia="zh-CN"/>
                    </w:rPr>
                  </w:pPr>
                  <w:r>
                    <w:rPr>
                      <w:rFonts w:hint="eastAsia"/>
                      <w:color w:val="auto"/>
                      <w:lang w:val="en-US" w:eastAsia="zh-CN"/>
                    </w:rPr>
                    <w:t>项目组成</w:t>
                  </w:r>
                </w:p>
              </w:tc>
              <w:tc>
                <w:tcPr>
                  <w:tcW w:w="5431" w:type="dxa"/>
                  <w:vAlign w:val="top"/>
                </w:tcPr>
                <w:p>
                  <w:pPr>
                    <w:pStyle w:val="31"/>
                    <w:bidi w:val="0"/>
                    <w:rPr>
                      <w:rFonts w:hint="default"/>
                      <w:color w:val="auto"/>
                      <w:lang w:val="en-US" w:eastAsia="zh-CN"/>
                    </w:rPr>
                  </w:pPr>
                  <w:r>
                    <w:rPr>
                      <w:rFonts w:hint="eastAsia"/>
                      <w:color w:val="auto"/>
                      <w:lang w:val="en-US" w:eastAsia="zh-CN"/>
                    </w:rPr>
                    <w:t>主要建设内容</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pStyle w:val="31"/>
                    <w:bidi w:val="0"/>
                    <w:rPr>
                      <w:rFonts w:hint="default"/>
                      <w:color w:val="auto"/>
                      <w:lang w:val="en-US" w:eastAsia="zh-CN"/>
                    </w:rPr>
                  </w:pPr>
                  <w:r>
                    <w:rPr>
                      <w:rFonts w:hint="eastAsia"/>
                      <w:color w:val="auto"/>
                      <w:lang w:val="en-US" w:eastAsia="zh-CN"/>
                    </w:rPr>
                    <w:t>主体工程</w:t>
                  </w:r>
                </w:p>
              </w:tc>
              <w:tc>
                <w:tcPr>
                  <w:tcW w:w="1920" w:type="dxa"/>
                  <w:gridSpan w:val="2"/>
                  <w:vAlign w:val="center"/>
                </w:tcPr>
                <w:p>
                  <w:pPr>
                    <w:pStyle w:val="31"/>
                    <w:bidi w:val="0"/>
                    <w:rPr>
                      <w:rFonts w:hint="default"/>
                      <w:color w:val="auto"/>
                      <w:lang w:val="en-US" w:eastAsia="zh-CN"/>
                    </w:rPr>
                  </w:pPr>
                  <w:r>
                    <w:rPr>
                      <w:rFonts w:hint="eastAsia"/>
                      <w:color w:val="auto"/>
                      <w:lang w:val="en-US" w:eastAsia="zh-CN"/>
                    </w:rPr>
                    <w:t>生产区</w:t>
                  </w:r>
                </w:p>
              </w:tc>
              <w:tc>
                <w:tcPr>
                  <w:tcW w:w="5431" w:type="dxa"/>
                  <w:vAlign w:val="center"/>
                </w:tcPr>
                <w:p>
                  <w:pPr>
                    <w:pStyle w:val="31"/>
                    <w:bidi w:val="0"/>
                    <w:rPr>
                      <w:rFonts w:hint="default"/>
                      <w:color w:val="auto"/>
                      <w:lang w:val="en-US" w:eastAsia="zh-CN"/>
                    </w:rPr>
                  </w:pPr>
                  <w:r>
                    <w:rPr>
                      <w:rFonts w:hint="eastAsia"/>
                      <w:color w:val="auto"/>
                      <w:lang w:val="en-US" w:eastAsia="zh-CN"/>
                    </w:rPr>
                    <w:t>搅拌站、原料堆场区、仓库</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pStyle w:val="31"/>
                    <w:bidi w:val="0"/>
                    <w:rPr>
                      <w:rFonts w:hint="default"/>
                      <w:color w:val="auto"/>
                      <w:lang w:val="en-US" w:eastAsia="zh-CN"/>
                    </w:rPr>
                  </w:pPr>
                  <w:r>
                    <w:rPr>
                      <w:rFonts w:hint="eastAsia"/>
                      <w:color w:val="auto"/>
                      <w:lang w:val="en-US" w:eastAsia="zh-CN"/>
                    </w:rPr>
                    <w:t>辅助工程</w:t>
                  </w:r>
                </w:p>
              </w:tc>
              <w:tc>
                <w:tcPr>
                  <w:tcW w:w="1920" w:type="dxa"/>
                  <w:gridSpan w:val="2"/>
                  <w:vAlign w:val="center"/>
                </w:tcPr>
                <w:p>
                  <w:pPr>
                    <w:pStyle w:val="31"/>
                    <w:bidi w:val="0"/>
                    <w:rPr>
                      <w:rFonts w:hint="default"/>
                      <w:color w:val="auto"/>
                      <w:lang w:val="en-US" w:eastAsia="zh-CN"/>
                    </w:rPr>
                  </w:pPr>
                  <w:r>
                    <w:rPr>
                      <w:rFonts w:hint="eastAsia"/>
                      <w:color w:val="auto"/>
                      <w:lang w:val="en-US" w:eastAsia="zh-CN"/>
                    </w:rPr>
                    <w:t>行政区</w:t>
                  </w:r>
                </w:p>
              </w:tc>
              <w:tc>
                <w:tcPr>
                  <w:tcW w:w="5431" w:type="dxa"/>
                  <w:vAlign w:val="center"/>
                </w:tcPr>
                <w:p>
                  <w:pPr>
                    <w:pStyle w:val="31"/>
                    <w:bidi w:val="0"/>
                    <w:rPr>
                      <w:rFonts w:hint="default"/>
                      <w:color w:val="auto"/>
                      <w:lang w:val="en-US" w:eastAsia="zh-CN"/>
                    </w:rPr>
                  </w:pPr>
                  <w:r>
                    <w:rPr>
                      <w:rFonts w:hint="eastAsia"/>
                      <w:color w:val="auto"/>
                      <w:lang w:val="en-US" w:eastAsia="zh-CN"/>
                    </w:rPr>
                    <w:t>办公室、安保室、车队室、调度室</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pPr>
                    <w:pStyle w:val="31"/>
                    <w:bidi w:val="0"/>
                    <w:rPr>
                      <w:rFonts w:hint="default"/>
                      <w:color w:val="auto"/>
                      <w:lang w:val="en-US" w:eastAsia="zh-CN"/>
                    </w:rPr>
                  </w:pPr>
                  <w:r>
                    <w:rPr>
                      <w:rFonts w:hint="eastAsia"/>
                      <w:color w:val="auto"/>
                      <w:lang w:val="en-US" w:eastAsia="zh-CN"/>
                    </w:rPr>
                    <w:t>公用工程</w:t>
                  </w:r>
                </w:p>
              </w:tc>
              <w:tc>
                <w:tcPr>
                  <w:tcW w:w="1920" w:type="dxa"/>
                  <w:gridSpan w:val="2"/>
                  <w:vAlign w:val="center"/>
                </w:tcPr>
                <w:p>
                  <w:pPr>
                    <w:pStyle w:val="31"/>
                    <w:bidi w:val="0"/>
                    <w:rPr>
                      <w:rFonts w:hint="default"/>
                      <w:color w:val="auto"/>
                      <w:lang w:val="en-US" w:eastAsia="zh-CN"/>
                    </w:rPr>
                  </w:pPr>
                  <w:r>
                    <w:rPr>
                      <w:rFonts w:hint="eastAsia"/>
                      <w:color w:val="auto"/>
                      <w:lang w:val="en-US" w:eastAsia="zh-CN"/>
                    </w:rPr>
                    <w:t>给水系统</w:t>
                  </w:r>
                </w:p>
              </w:tc>
              <w:tc>
                <w:tcPr>
                  <w:tcW w:w="5431" w:type="dxa"/>
                  <w:vAlign w:val="center"/>
                </w:tcPr>
                <w:p>
                  <w:pPr>
                    <w:pStyle w:val="31"/>
                    <w:bidi w:val="0"/>
                    <w:rPr>
                      <w:rFonts w:hint="default"/>
                      <w:color w:val="auto"/>
                      <w:lang w:val="en-US" w:eastAsia="zh-CN"/>
                    </w:rPr>
                  </w:pPr>
                  <w:r>
                    <w:rPr>
                      <w:rFonts w:hint="eastAsia"/>
                      <w:color w:val="auto"/>
                      <w:lang w:val="en-US" w:eastAsia="zh-CN"/>
                    </w:rPr>
                    <w:t>生产用水和生活用水均由市政污水管网供给</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pPr>
                    <w:pStyle w:val="31"/>
                    <w:bidi w:val="0"/>
                    <w:rPr>
                      <w:rFonts w:hint="default"/>
                      <w:color w:val="auto"/>
                      <w:lang w:val="en-US" w:eastAsia="zh-CN"/>
                    </w:rPr>
                  </w:pPr>
                </w:p>
              </w:tc>
              <w:tc>
                <w:tcPr>
                  <w:tcW w:w="750" w:type="dxa"/>
                  <w:vMerge w:val="restart"/>
                  <w:vAlign w:val="center"/>
                </w:tcPr>
                <w:p>
                  <w:pPr>
                    <w:pStyle w:val="31"/>
                    <w:bidi w:val="0"/>
                    <w:rPr>
                      <w:rFonts w:hint="default"/>
                      <w:color w:val="auto"/>
                      <w:lang w:val="en-US" w:eastAsia="zh-CN"/>
                    </w:rPr>
                  </w:pPr>
                  <w:r>
                    <w:rPr>
                      <w:rFonts w:hint="eastAsia"/>
                      <w:color w:val="auto"/>
                      <w:lang w:val="en-US" w:eastAsia="zh-CN"/>
                    </w:rPr>
                    <w:t>排水系统</w:t>
                  </w:r>
                </w:p>
              </w:tc>
              <w:tc>
                <w:tcPr>
                  <w:tcW w:w="1170" w:type="dxa"/>
                  <w:vAlign w:val="center"/>
                </w:tcPr>
                <w:p>
                  <w:pPr>
                    <w:pStyle w:val="31"/>
                    <w:bidi w:val="0"/>
                    <w:rPr>
                      <w:rFonts w:hint="default"/>
                      <w:color w:val="auto"/>
                      <w:lang w:val="en-US" w:eastAsia="zh-CN"/>
                    </w:rPr>
                  </w:pPr>
                  <w:r>
                    <w:rPr>
                      <w:rFonts w:hint="eastAsia"/>
                      <w:color w:val="auto"/>
                      <w:lang w:val="en-US" w:eastAsia="zh-CN"/>
                    </w:rPr>
                    <w:t>生活污水</w:t>
                  </w:r>
                </w:p>
              </w:tc>
              <w:tc>
                <w:tcPr>
                  <w:tcW w:w="5431" w:type="dxa"/>
                  <w:vAlign w:val="center"/>
                </w:tcPr>
                <w:p>
                  <w:pPr>
                    <w:pStyle w:val="31"/>
                    <w:bidi w:val="0"/>
                    <w:rPr>
                      <w:rFonts w:hint="default"/>
                      <w:color w:val="auto"/>
                      <w:lang w:val="en-US" w:eastAsia="zh-CN"/>
                    </w:rPr>
                  </w:pPr>
                  <w:r>
                    <w:rPr>
                      <w:rFonts w:hint="eastAsia"/>
                      <w:color w:val="auto"/>
                      <w:lang w:val="en-US" w:eastAsia="zh-CN"/>
                    </w:rPr>
                    <w:t>厂内不设公厕和食堂，仅为工人清洁用水排入沉淀池后用于车辆清洗</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pPr>
                    <w:pStyle w:val="31"/>
                    <w:bidi w:val="0"/>
                    <w:rPr>
                      <w:rFonts w:hint="default"/>
                      <w:color w:val="auto"/>
                      <w:lang w:val="en-US" w:eastAsia="zh-CN"/>
                    </w:rPr>
                  </w:pPr>
                </w:p>
              </w:tc>
              <w:tc>
                <w:tcPr>
                  <w:tcW w:w="750" w:type="dxa"/>
                  <w:vMerge w:val="continue"/>
                  <w:vAlign w:val="top"/>
                </w:tcPr>
                <w:p>
                  <w:pPr>
                    <w:pStyle w:val="31"/>
                    <w:bidi w:val="0"/>
                    <w:rPr>
                      <w:rFonts w:hint="default"/>
                      <w:color w:val="auto"/>
                      <w:lang w:val="en-US" w:eastAsia="zh-CN"/>
                    </w:rPr>
                  </w:pPr>
                </w:p>
              </w:tc>
              <w:tc>
                <w:tcPr>
                  <w:tcW w:w="1170" w:type="dxa"/>
                  <w:vAlign w:val="top"/>
                </w:tcPr>
                <w:p>
                  <w:pPr>
                    <w:pStyle w:val="31"/>
                    <w:bidi w:val="0"/>
                    <w:rPr>
                      <w:rFonts w:hint="default"/>
                      <w:color w:val="auto"/>
                      <w:lang w:val="en-US" w:eastAsia="zh-CN"/>
                    </w:rPr>
                  </w:pPr>
                  <w:r>
                    <w:rPr>
                      <w:rFonts w:hint="eastAsia"/>
                      <w:color w:val="auto"/>
                      <w:lang w:val="en-US" w:eastAsia="zh-CN"/>
                    </w:rPr>
                    <w:t>雨水</w:t>
                  </w:r>
                </w:p>
              </w:tc>
              <w:tc>
                <w:tcPr>
                  <w:tcW w:w="5431" w:type="dxa"/>
                  <w:vAlign w:val="top"/>
                </w:tcPr>
                <w:p>
                  <w:pPr>
                    <w:pStyle w:val="31"/>
                    <w:bidi w:val="0"/>
                    <w:rPr>
                      <w:rFonts w:hint="default"/>
                      <w:color w:val="auto"/>
                      <w:lang w:val="en-US" w:eastAsia="zh-CN"/>
                    </w:rPr>
                  </w:pPr>
                  <w:r>
                    <w:rPr>
                      <w:rFonts w:hint="eastAsia"/>
                      <w:color w:val="auto"/>
                      <w:lang w:val="en-US" w:eastAsia="zh-CN"/>
                    </w:rPr>
                    <w:t>排入市政雨水管网</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pPr>
                    <w:pStyle w:val="31"/>
                    <w:bidi w:val="0"/>
                    <w:rPr>
                      <w:rFonts w:hint="default"/>
                      <w:color w:val="auto"/>
                      <w:lang w:val="en-US" w:eastAsia="zh-CN"/>
                    </w:rPr>
                  </w:pPr>
                </w:p>
              </w:tc>
              <w:tc>
                <w:tcPr>
                  <w:tcW w:w="1920" w:type="dxa"/>
                  <w:gridSpan w:val="2"/>
                  <w:vAlign w:val="top"/>
                </w:tcPr>
                <w:p>
                  <w:pPr>
                    <w:pStyle w:val="31"/>
                    <w:bidi w:val="0"/>
                    <w:rPr>
                      <w:rFonts w:hint="default"/>
                      <w:color w:val="auto"/>
                      <w:lang w:val="en-US" w:eastAsia="zh-CN"/>
                    </w:rPr>
                  </w:pPr>
                  <w:r>
                    <w:rPr>
                      <w:rFonts w:hint="eastAsia"/>
                      <w:color w:val="auto"/>
                      <w:lang w:val="en-US" w:eastAsia="zh-CN"/>
                    </w:rPr>
                    <w:t>供电</w:t>
                  </w:r>
                </w:p>
              </w:tc>
              <w:tc>
                <w:tcPr>
                  <w:tcW w:w="5431" w:type="dxa"/>
                  <w:vAlign w:val="top"/>
                </w:tcPr>
                <w:p>
                  <w:pPr>
                    <w:pStyle w:val="31"/>
                    <w:bidi w:val="0"/>
                    <w:rPr>
                      <w:rFonts w:hint="default"/>
                      <w:color w:val="auto"/>
                      <w:lang w:val="en-US" w:eastAsia="zh-CN"/>
                    </w:rPr>
                  </w:pPr>
                  <w:r>
                    <w:rPr>
                      <w:rFonts w:hint="eastAsia"/>
                      <w:color w:val="auto"/>
                      <w:lang w:val="en-US" w:eastAsia="zh-CN"/>
                    </w:rPr>
                    <w:t>由市政供电管网供给</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pPr>
                    <w:pStyle w:val="31"/>
                    <w:bidi w:val="0"/>
                    <w:rPr>
                      <w:rFonts w:hint="default"/>
                      <w:color w:val="auto"/>
                      <w:lang w:val="en-US" w:eastAsia="zh-CN"/>
                    </w:rPr>
                  </w:pPr>
                  <w:r>
                    <w:rPr>
                      <w:rFonts w:hint="eastAsia"/>
                      <w:color w:val="auto"/>
                      <w:lang w:val="en-US" w:eastAsia="zh-CN"/>
                    </w:rPr>
                    <w:t>环保工程</w:t>
                  </w:r>
                </w:p>
              </w:tc>
              <w:tc>
                <w:tcPr>
                  <w:tcW w:w="1920" w:type="dxa"/>
                  <w:gridSpan w:val="2"/>
                  <w:vAlign w:val="center"/>
                </w:tcPr>
                <w:p>
                  <w:pPr>
                    <w:pStyle w:val="31"/>
                    <w:bidi w:val="0"/>
                    <w:rPr>
                      <w:rFonts w:hint="default"/>
                      <w:color w:val="auto"/>
                      <w:lang w:val="en-US" w:eastAsia="zh-CN"/>
                    </w:rPr>
                  </w:pPr>
                  <w:r>
                    <w:rPr>
                      <w:rFonts w:hint="eastAsia"/>
                      <w:color w:val="auto"/>
                      <w:lang w:val="en-US" w:eastAsia="zh-CN"/>
                    </w:rPr>
                    <w:t>废水处理</w:t>
                  </w:r>
                </w:p>
              </w:tc>
              <w:tc>
                <w:tcPr>
                  <w:tcW w:w="5431" w:type="dxa"/>
                  <w:vAlign w:val="top"/>
                </w:tcPr>
                <w:p>
                  <w:pPr>
                    <w:pStyle w:val="31"/>
                    <w:bidi w:val="0"/>
                    <w:rPr>
                      <w:rFonts w:hint="default"/>
                      <w:color w:val="auto"/>
                      <w:lang w:val="en-US" w:eastAsia="zh-CN"/>
                    </w:rPr>
                  </w:pPr>
                  <w:r>
                    <w:rPr>
                      <w:rFonts w:hint="eastAsia"/>
                      <w:color w:val="auto"/>
                      <w:lang w:val="en-US" w:eastAsia="zh-CN"/>
                    </w:rPr>
                    <w:t>三级沉淀池总有效容积为340m</w:t>
                  </w:r>
                  <w:r>
                    <w:rPr>
                      <w:rFonts w:hint="eastAsia"/>
                      <w:color w:val="auto"/>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top"/>
                </w:tcPr>
                <w:p>
                  <w:pPr>
                    <w:pStyle w:val="31"/>
                    <w:bidi w:val="0"/>
                    <w:rPr>
                      <w:rFonts w:hint="default"/>
                      <w:color w:val="auto"/>
                      <w:lang w:val="en-US" w:eastAsia="zh-CN"/>
                    </w:rPr>
                  </w:pPr>
                </w:p>
              </w:tc>
              <w:tc>
                <w:tcPr>
                  <w:tcW w:w="1920" w:type="dxa"/>
                  <w:gridSpan w:val="2"/>
                  <w:vAlign w:val="center"/>
                </w:tcPr>
                <w:p>
                  <w:pPr>
                    <w:pStyle w:val="31"/>
                    <w:bidi w:val="0"/>
                    <w:rPr>
                      <w:rFonts w:hint="default"/>
                      <w:color w:val="auto"/>
                      <w:lang w:val="en-US" w:eastAsia="zh-CN"/>
                    </w:rPr>
                  </w:pPr>
                  <w:r>
                    <w:rPr>
                      <w:rFonts w:hint="eastAsia"/>
                      <w:color w:val="auto"/>
                      <w:lang w:val="en-US" w:eastAsia="zh-CN"/>
                    </w:rPr>
                    <w:t>废气处理</w:t>
                  </w:r>
                </w:p>
              </w:tc>
              <w:tc>
                <w:tcPr>
                  <w:tcW w:w="5431" w:type="dxa"/>
                  <w:vAlign w:val="top"/>
                </w:tcPr>
                <w:p>
                  <w:pPr>
                    <w:pStyle w:val="31"/>
                    <w:bidi w:val="0"/>
                    <w:rPr>
                      <w:rFonts w:hint="default"/>
                      <w:color w:val="auto"/>
                      <w:lang w:val="en-US" w:eastAsia="zh-CN"/>
                    </w:rPr>
                  </w:pPr>
                  <w:r>
                    <w:rPr>
                      <w:rFonts w:hint="eastAsia"/>
                      <w:color w:val="auto"/>
                      <w:lang w:val="en-US" w:eastAsia="zh-CN"/>
                    </w:rPr>
                    <w:t>10台雾炮机，靠马路边墙及搅拌楼一圈安装喷水设备，8个水泥罐上方分别安装8套脉冲袋式除尘器，排放高度20m，搅拌机主机除尘器2个，排放高度15m。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top"/>
                </w:tcPr>
                <w:p>
                  <w:pPr>
                    <w:pStyle w:val="31"/>
                    <w:bidi w:val="0"/>
                    <w:rPr>
                      <w:rFonts w:hint="default"/>
                      <w:color w:val="auto"/>
                      <w:lang w:val="en-US" w:eastAsia="zh-CN"/>
                    </w:rPr>
                  </w:pPr>
                </w:p>
              </w:tc>
              <w:tc>
                <w:tcPr>
                  <w:tcW w:w="1920" w:type="dxa"/>
                  <w:gridSpan w:val="2"/>
                  <w:vAlign w:val="center"/>
                </w:tcPr>
                <w:p>
                  <w:pPr>
                    <w:pStyle w:val="31"/>
                    <w:bidi w:val="0"/>
                    <w:rPr>
                      <w:rFonts w:hint="default"/>
                      <w:color w:val="auto"/>
                      <w:lang w:val="en-US" w:eastAsia="zh-CN"/>
                    </w:rPr>
                  </w:pPr>
                  <w:r>
                    <w:rPr>
                      <w:rFonts w:hint="eastAsia"/>
                      <w:color w:val="auto"/>
                      <w:lang w:val="en-US" w:eastAsia="zh-CN"/>
                    </w:rPr>
                    <w:t>噪声控制</w:t>
                  </w:r>
                </w:p>
              </w:tc>
              <w:tc>
                <w:tcPr>
                  <w:tcW w:w="5431" w:type="dxa"/>
                  <w:vAlign w:val="top"/>
                </w:tcPr>
                <w:p>
                  <w:pPr>
                    <w:pStyle w:val="31"/>
                    <w:bidi w:val="0"/>
                    <w:rPr>
                      <w:rFonts w:hint="default"/>
                      <w:color w:val="auto"/>
                      <w:lang w:val="en-US" w:eastAsia="zh-CN"/>
                    </w:rPr>
                  </w:pPr>
                  <w:r>
                    <w:rPr>
                      <w:rFonts w:hint="eastAsia"/>
                      <w:color w:val="auto"/>
                      <w:lang w:val="en-US" w:eastAsia="zh-CN"/>
                    </w:rPr>
                    <w:t>选用低噪声设备，并设置减振基础、安装消声装置等隔音降噪措施。</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top"/>
                </w:tcPr>
                <w:p>
                  <w:pPr>
                    <w:pStyle w:val="31"/>
                    <w:bidi w:val="0"/>
                    <w:rPr>
                      <w:rFonts w:hint="default"/>
                      <w:color w:val="auto"/>
                      <w:lang w:val="en-US" w:eastAsia="zh-CN"/>
                    </w:rPr>
                  </w:pPr>
                </w:p>
              </w:tc>
              <w:tc>
                <w:tcPr>
                  <w:tcW w:w="1920" w:type="dxa"/>
                  <w:gridSpan w:val="2"/>
                  <w:vAlign w:val="center"/>
                </w:tcPr>
                <w:p>
                  <w:pPr>
                    <w:pStyle w:val="31"/>
                    <w:bidi w:val="0"/>
                    <w:rPr>
                      <w:rFonts w:hint="default"/>
                      <w:color w:val="auto"/>
                      <w:lang w:val="en-US" w:eastAsia="zh-CN"/>
                    </w:rPr>
                  </w:pPr>
                  <w:r>
                    <w:rPr>
                      <w:rFonts w:hint="eastAsia"/>
                      <w:color w:val="auto"/>
                      <w:lang w:val="en-US" w:eastAsia="zh-CN"/>
                    </w:rPr>
                    <w:t>固体废物处置</w:t>
                  </w:r>
                </w:p>
              </w:tc>
              <w:tc>
                <w:tcPr>
                  <w:tcW w:w="5431" w:type="dxa"/>
                  <w:vAlign w:val="top"/>
                </w:tcPr>
                <w:p>
                  <w:pPr>
                    <w:pStyle w:val="31"/>
                    <w:bidi w:val="0"/>
                    <w:rPr>
                      <w:rFonts w:hint="default"/>
                      <w:color w:val="auto"/>
                      <w:lang w:val="en-US" w:eastAsia="zh-CN"/>
                    </w:rPr>
                  </w:pPr>
                  <w:r>
                    <w:rPr>
                      <w:rFonts w:hint="eastAsia"/>
                      <w:color w:val="auto"/>
                      <w:lang w:val="en-US" w:eastAsia="zh-CN"/>
                    </w:rPr>
                    <w:t>一般固废储存点</w:t>
                  </w:r>
                </w:p>
              </w:tc>
            </w:tr>
          </w:tbl>
          <w:p>
            <w:pPr>
              <w:pStyle w:val="4"/>
              <w:bidi w:val="0"/>
              <w:rPr>
                <w:rFonts w:hint="eastAsia"/>
                <w:color w:val="auto"/>
                <w:lang w:val="en-US" w:eastAsia="zh-CN"/>
              </w:rPr>
            </w:pPr>
            <w:r>
              <w:rPr>
                <w:rFonts w:hint="eastAsia"/>
                <w:color w:val="auto"/>
                <w:lang w:val="en-US" w:eastAsia="zh-CN"/>
              </w:rPr>
              <w:t>2.4.4迁建前工程污染物排放情况分析</w:t>
            </w:r>
          </w:p>
          <w:p>
            <w:pPr>
              <w:bidi w:val="0"/>
              <w:rPr>
                <w:b/>
                <w:bCs/>
                <w:color w:val="auto"/>
              </w:rPr>
            </w:pPr>
            <w:r>
              <w:rPr>
                <w:b/>
                <w:bCs/>
                <w:color w:val="auto"/>
              </w:rPr>
              <w:t>（1）废水</w:t>
            </w:r>
          </w:p>
          <w:p>
            <w:pPr>
              <w:bidi w:val="0"/>
              <w:rPr>
                <w:rFonts w:hint="default"/>
                <w:color w:val="auto"/>
                <w:lang w:val="en-US" w:eastAsia="zh-CN"/>
              </w:rPr>
            </w:pPr>
            <w:r>
              <w:rPr>
                <w:rFonts w:hint="eastAsia"/>
                <w:color w:val="auto"/>
                <w:lang w:val="en-US" w:eastAsia="zh-CN"/>
              </w:rPr>
              <w:t>迁建前工程的废水主要来源于生产废水和生活废水，生产废水主要来源于生产过程中设备和运输车辆的清洗，生活废水来源于职工生活用水，迁建前项目职工不住厂，不设宿舍、不设食堂，无厕所。生产废水和日常用水经三级沉淀池处理后全部循环回用于设备和车辆清洗用水，不外排。</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根据《福建融瀚建材有限公司年产80万吨预拌商品混凝土项目竣工环境保护验收监测报告》，迁建前工程厂区水平衡如下：</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pStyle w:val="29"/>
              <w:bidi w:val="0"/>
              <w:rPr>
                <w:rFonts w:hint="eastAsia"/>
                <w:color w:val="auto"/>
                <w:lang w:val="en-US" w:eastAsia="zh-CN"/>
              </w:rPr>
            </w:pPr>
            <w:r>
              <w:rPr>
                <w:rFonts w:hint="eastAsia"/>
                <w:color w:val="auto"/>
                <w:lang w:val="en-US" w:eastAsia="zh-CN"/>
              </w:rPr>
              <w:t>图2.4-1 迁建前项目厂区水平衡图</w:t>
            </w:r>
          </w:p>
          <w:p>
            <w:pPr>
              <w:numPr>
                <w:ilvl w:val="0"/>
                <w:numId w:val="5"/>
              </w:numPr>
              <w:bidi w:val="0"/>
              <w:rPr>
                <w:rFonts w:hint="eastAsia"/>
                <w:b/>
                <w:bCs/>
                <w:color w:val="auto"/>
                <w:lang w:val="en-US" w:eastAsia="zh-CN"/>
              </w:rPr>
            </w:pPr>
            <w:r>
              <w:rPr>
                <w:rFonts w:hint="eastAsia"/>
                <w:b/>
                <w:bCs/>
                <w:color w:val="auto"/>
                <w:lang w:val="en-US" w:eastAsia="zh-CN"/>
              </w:rPr>
              <w:t>废气</w:t>
            </w:r>
          </w:p>
          <w:p>
            <w:pPr>
              <w:bidi w:val="0"/>
              <w:rPr>
                <w:rFonts w:hint="eastAsia"/>
                <w:color w:val="auto"/>
                <w:lang w:val="en-US" w:eastAsia="zh-CN"/>
              </w:rPr>
            </w:pPr>
            <w:r>
              <w:rPr>
                <w:rFonts w:hint="eastAsia"/>
                <w:color w:val="auto"/>
                <w:lang w:val="en-US" w:eastAsia="zh-CN"/>
              </w:rPr>
              <w:t>有组织废气：迁建前项目生产过程中的水泥、粉煤灰输送至筒仓，进行搅拌的过程中产生的粉尘经由筒仓顶部配备的脉冲除尘装置处理后于20米高处直接排放；搅拌主楼的粉尘经除尘器处理后于15米高处直接排放。</w:t>
            </w:r>
          </w:p>
          <w:p>
            <w:pPr>
              <w:bidi w:val="0"/>
              <w:rPr>
                <w:rFonts w:hint="eastAsia"/>
                <w:color w:val="auto"/>
                <w:lang w:val="en-US" w:eastAsia="zh-CN"/>
              </w:rPr>
            </w:pPr>
            <w:r>
              <w:rPr>
                <w:rFonts w:hint="eastAsia"/>
                <w:color w:val="auto"/>
                <w:lang w:val="en-US" w:eastAsia="zh-CN"/>
              </w:rPr>
              <w:t>无组织废气：搅拌过程中石子、砂卸车粉尘剂铲车喂料产生的粉尘；石子、砂原料堆场产生的扬尘搅拌站车间的不严密性逸散的粉尘；厂内各车辆运输行驶产生的二次扬尘；这些粉尘均为无组织排放，无组织排放废气通过安装10台雾炮机以及靠马路边墙及搅拌楼布设大量水喷淋设施降低环境空气中的粉尘污染。</w:t>
            </w:r>
          </w:p>
          <w:p>
            <w:pPr>
              <w:bidi w:val="0"/>
              <w:rPr>
                <w:rFonts w:hint="eastAsia"/>
                <w:bCs/>
                <w:snapToGrid w:val="0"/>
                <w:color w:val="auto"/>
                <w:sz w:val="24"/>
              </w:rPr>
            </w:pPr>
            <w:r>
              <w:rPr>
                <w:rFonts w:hint="eastAsia"/>
                <w:bCs/>
                <w:snapToGrid w:val="0"/>
                <w:color w:val="auto"/>
                <w:sz w:val="24"/>
              </w:rPr>
              <w:t>根据《</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rPr>
              <w:t>》，</w:t>
            </w:r>
            <w:r>
              <w:rPr>
                <w:rFonts w:hint="eastAsia"/>
                <w:bCs/>
                <w:snapToGrid w:val="0"/>
                <w:color w:val="auto"/>
                <w:sz w:val="24"/>
                <w:szCs w:val="24"/>
                <w:lang w:val="en-US" w:eastAsia="zh-CN"/>
              </w:rPr>
              <w:t>迁建前工程厂界</w:t>
            </w:r>
            <w:r>
              <w:rPr>
                <w:rFonts w:hint="eastAsia"/>
                <w:bCs/>
                <w:snapToGrid w:val="0"/>
                <w:color w:val="auto"/>
                <w:sz w:val="24"/>
              </w:rPr>
              <w:t>无</w:t>
            </w:r>
            <w:r>
              <w:rPr>
                <w:rFonts w:hint="eastAsia"/>
                <w:bCs/>
                <w:snapToGrid w:val="0"/>
                <w:color w:val="auto"/>
                <w:sz w:val="24"/>
                <w:szCs w:val="24"/>
                <w:lang w:val="en-US" w:eastAsia="zh-CN"/>
              </w:rPr>
              <w:t>组织废气监测结果见表2.4-3</w:t>
            </w:r>
            <w:r>
              <w:rPr>
                <w:rFonts w:hint="eastAsia"/>
                <w:bCs/>
                <w:snapToGrid w:val="0"/>
                <w:color w:val="auto"/>
                <w:sz w:val="24"/>
              </w:rPr>
              <w:t>。</w:t>
            </w:r>
          </w:p>
          <w:p>
            <w:pPr>
              <w:pStyle w:val="33"/>
              <w:bidi w:val="0"/>
              <w:rPr>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.4-3</w:t>
            </w:r>
            <w:r>
              <w:rPr>
                <w:rFonts w:hint="eastAsia"/>
                <w:color w:val="auto"/>
                <w:sz w:val="24"/>
                <w:szCs w:val="24"/>
              </w:rPr>
              <w:t xml:space="preserve"> </w:t>
            </w:r>
            <w:r>
              <w:rPr>
                <w:rFonts w:hint="eastAsia"/>
                <w:color w:val="auto"/>
                <w:sz w:val="24"/>
                <w:szCs w:val="24"/>
                <w:lang w:val="en-US" w:eastAsia="zh-CN"/>
              </w:rPr>
              <w:t>迁建前</w:t>
            </w:r>
            <w:r>
              <w:rPr>
                <w:rFonts w:hint="eastAsia"/>
                <w:color w:val="auto"/>
                <w:sz w:val="24"/>
                <w:szCs w:val="24"/>
              </w:rPr>
              <w:t>工程</w:t>
            </w:r>
            <w:r>
              <w:rPr>
                <w:rFonts w:hint="eastAsia"/>
                <w:color w:val="auto"/>
                <w:sz w:val="24"/>
                <w:szCs w:val="24"/>
                <w:lang w:val="en-US" w:eastAsia="zh-CN"/>
              </w:rPr>
              <w:t>无组织</w:t>
            </w:r>
            <w:r>
              <w:rPr>
                <w:rFonts w:hint="eastAsia"/>
                <w:color w:val="auto"/>
                <w:sz w:val="24"/>
                <w:szCs w:val="24"/>
              </w:rPr>
              <w:t>废气排放检测结果</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宋体"/>
                <w:color w:val="auto"/>
                <w:vertAlign w:val="baseline"/>
                <w:lang w:val="en-US" w:eastAsia="zh-CN"/>
              </w:rPr>
            </w:pPr>
            <w:r>
              <w:rPr>
                <w:rFonts w:hint="eastAsia"/>
                <w:color w:val="auto"/>
                <w:sz w:val="24"/>
                <w:szCs w:val="24"/>
              </w:rPr>
              <w:t>根据验收监测结果，</w:t>
            </w:r>
            <w:r>
              <w:rPr>
                <w:rFonts w:hint="eastAsia"/>
                <w:color w:val="auto"/>
                <w:sz w:val="24"/>
                <w:szCs w:val="24"/>
                <w:lang w:val="en-US" w:eastAsia="zh-CN"/>
              </w:rPr>
              <w:t>迁建前</w:t>
            </w:r>
            <w:r>
              <w:rPr>
                <w:rFonts w:hint="eastAsia"/>
                <w:color w:val="auto"/>
                <w:sz w:val="24"/>
                <w:szCs w:val="24"/>
              </w:rPr>
              <w:t>工程</w:t>
            </w:r>
            <w:r>
              <w:rPr>
                <w:rFonts w:hint="eastAsia"/>
                <w:color w:val="auto"/>
                <w:sz w:val="24"/>
                <w:szCs w:val="24"/>
                <w:lang w:val="en-US" w:eastAsia="zh-CN"/>
              </w:rPr>
              <w:t>厂界下风向颗粒物无组织排放的监控浓度为0.395</w:t>
            </w:r>
            <w:r>
              <w:rPr>
                <w:rFonts w:hint="eastAsia"/>
                <w:color w:val="auto"/>
                <w:lang w:val="en-US" w:eastAsia="zh-CN"/>
              </w:rPr>
              <w:t>mg/m</w:t>
            </w:r>
            <w:r>
              <w:rPr>
                <w:rFonts w:hint="eastAsia"/>
                <w:color w:val="auto"/>
                <w:vertAlign w:val="superscript"/>
                <w:lang w:val="en-US" w:eastAsia="zh-CN"/>
              </w:rPr>
              <w:t>3</w:t>
            </w:r>
            <w:r>
              <w:rPr>
                <w:rFonts w:hint="eastAsia"/>
                <w:color w:val="auto"/>
                <w:vertAlign w:val="baseline"/>
                <w:lang w:val="en-US" w:eastAsia="zh-CN"/>
              </w:rPr>
              <w:t>和0.383</w:t>
            </w:r>
            <w:r>
              <w:rPr>
                <w:rFonts w:hint="eastAsia"/>
                <w:color w:val="auto"/>
                <w:lang w:val="en-US" w:eastAsia="zh-CN"/>
              </w:rPr>
              <w:t>mg/m</w:t>
            </w:r>
            <w:r>
              <w:rPr>
                <w:rFonts w:hint="eastAsia"/>
                <w:color w:val="auto"/>
                <w:vertAlign w:val="superscript"/>
                <w:lang w:val="en-US" w:eastAsia="zh-CN"/>
              </w:rPr>
              <w:t>3</w:t>
            </w:r>
            <w:r>
              <w:rPr>
                <w:rFonts w:hint="eastAsia"/>
                <w:color w:val="auto"/>
                <w:vertAlign w:val="baseline"/>
                <w:lang w:val="en-US" w:eastAsia="zh-CN"/>
              </w:rPr>
              <w:t>，可以达到《水泥工业大气污染物排放标准》（</w:t>
            </w:r>
            <w:r>
              <w:rPr>
                <w:rFonts w:hint="eastAsia"/>
                <w:color w:val="auto"/>
                <w:lang w:val="en-US" w:eastAsia="zh-CN"/>
              </w:rPr>
              <w:t>DB35 1311-2013</w:t>
            </w:r>
            <w:r>
              <w:rPr>
                <w:rFonts w:hint="eastAsia"/>
                <w:color w:val="auto"/>
                <w:vertAlign w:val="baseline"/>
                <w:lang w:val="en-US" w:eastAsia="zh-CN"/>
              </w:rPr>
              <w:t>）表3中的无组织排放限值（</w:t>
            </w:r>
            <w:r>
              <w:rPr>
                <w:rFonts w:hint="eastAsia"/>
                <w:color w:val="auto"/>
                <w:lang w:val="en-US" w:eastAsia="zh-CN"/>
              </w:rPr>
              <w:t>0.5mg/m</w:t>
            </w:r>
            <w:r>
              <w:rPr>
                <w:rFonts w:hint="eastAsia"/>
                <w:color w:val="auto"/>
                <w:vertAlign w:val="superscript"/>
                <w:lang w:val="en-US" w:eastAsia="zh-CN"/>
              </w:rPr>
              <w:t>3</w:t>
            </w:r>
            <w:r>
              <w:rPr>
                <w:rFonts w:hint="eastAsia"/>
                <w:color w:val="auto"/>
                <w:vertAlign w:val="baseline"/>
                <w:lang w:val="en-US" w:eastAsia="zh-CN"/>
              </w:rPr>
              <w:t>）。</w:t>
            </w:r>
          </w:p>
          <w:p>
            <w:pPr>
              <w:numPr>
                <w:ilvl w:val="0"/>
                <w:numId w:val="5"/>
              </w:numPr>
              <w:bidi w:val="0"/>
              <w:ind w:left="0" w:leftChars="0" w:firstLine="482" w:firstLineChars="200"/>
              <w:rPr>
                <w:rFonts w:hint="eastAsia"/>
                <w:b/>
                <w:bCs/>
                <w:color w:val="auto"/>
                <w:lang w:val="en-US" w:eastAsia="zh-CN"/>
              </w:rPr>
            </w:pPr>
            <w:r>
              <w:rPr>
                <w:rFonts w:hint="eastAsia"/>
                <w:b/>
                <w:bCs/>
                <w:color w:val="auto"/>
                <w:lang w:val="en-US" w:eastAsia="zh-CN"/>
              </w:rPr>
              <w:t>噪声</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2018年10月18-19日各生产设备正常运作，在验收监测的工况条件下，迁建前工程厂界噪声（N1-N4）监测点位，N1、N3、N4的噪声范围为56.0-59.1dB，符合《工业厂界环境噪声排放标准》（GB12348-2008）2类区标准限值的要求；N2的噪声范围为63.3-65dB，符合《工业厂界环境噪声排放标准》（GB12348-2008）4a类区标准限值的要求，具体监测结果如下表2.4-4所示。</w:t>
            </w:r>
          </w:p>
          <w:p>
            <w:pPr>
              <w:pStyle w:val="33"/>
              <w:bidi w:val="0"/>
              <w:rPr>
                <w:rFonts w:hint="eastAsia"/>
                <w:color w:val="auto"/>
                <w:sz w:val="24"/>
                <w:szCs w:val="24"/>
                <w:lang w:val="en-US" w:eastAsia="zh-CN"/>
              </w:rPr>
            </w:pPr>
            <w:r>
              <w:rPr>
                <w:rFonts w:hint="eastAsia"/>
                <w:color w:val="auto"/>
                <w:sz w:val="24"/>
                <w:szCs w:val="24"/>
                <w:lang w:val="en-US" w:eastAsia="zh-CN"/>
              </w:rPr>
              <w:t>表2.4-4 迁建前工程验收期间昼间噪声监测结果（单位：L</w:t>
            </w:r>
            <w:r>
              <w:rPr>
                <w:rFonts w:hint="eastAsia"/>
                <w:color w:val="auto"/>
                <w:sz w:val="24"/>
                <w:szCs w:val="24"/>
                <w:vertAlign w:val="subscript"/>
                <w:lang w:val="en-US" w:eastAsia="zh-CN"/>
              </w:rPr>
              <w:t>Aeq</w:t>
            </w:r>
            <w:r>
              <w:rPr>
                <w:rFonts w:hint="eastAsia"/>
                <w:color w:val="auto"/>
                <w:sz w:val="24"/>
                <w:szCs w:val="24"/>
                <w:lang w:val="en-US" w:eastAsia="zh-CN"/>
              </w:rPr>
              <w:t>（dB））</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keepNext w:val="0"/>
              <w:keepLines w:val="0"/>
              <w:pageBreakBefore w:val="0"/>
              <w:widowControl w:val="0"/>
              <w:numPr>
                <w:ilvl w:val="0"/>
                <w:numId w:val="5"/>
              </w:numPr>
              <w:kinsoku/>
              <w:wordWrap/>
              <w:overflowPunct/>
              <w:topLinePunct w:val="0"/>
              <w:autoSpaceDE/>
              <w:autoSpaceDN/>
              <w:bidi w:val="0"/>
              <w:adjustRightInd/>
              <w:snapToGrid/>
              <w:spacing w:before="157" w:beforeLines="50"/>
              <w:ind w:left="0" w:leftChars="0" w:firstLine="480" w:firstLineChars="200"/>
              <w:textAlignment w:val="auto"/>
              <w:rPr>
                <w:rFonts w:hint="eastAsia"/>
                <w:color w:val="auto"/>
                <w:lang w:val="en-US" w:eastAsia="zh-CN"/>
              </w:rPr>
            </w:pPr>
            <w:r>
              <w:rPr>
                <w:rFonts w:hint="eastAsia"/>
                <w:color w:val="auto"/>
                <w:lang w:val="en-US" w:eastAsia="zh-CN"/>
              </w:rPr>
              <w:t>固体废物</w:t>
            </w:r>
          </w:p>
          <w:p>
            <w:pPr>
              <w:bidi w:val="0"/>
              <w:rPr>
                <w:rFonts w:hint="eastAsia"/>
                <w:color w:val="auto"/>
                <w:lang w:val="en-US" w:eastAsia="zh-CN"/>
              </w:rPr>
            </w:pPr>
            <w:r>
              <w:rPr>
                <w:rFonts w:hint="eastAsia"/>
                <w:color w:val="auto"/>
                <w:lang w:val="en-US" w:eastAsia="zh-CN"/>
              </w:rPr>
              <w:t>迁建前项目生产过程中固体废物由生产固废和生活垃圾组成。</w:t>
            </w:r>
          </w:p>
          <w:p>
            <w:pPr>
              <w:bidi w:val="0"/>
              <w:rPr>
                <w:rFonts w:hint="eastAsia"/>
                <w:color w:val="auto"/>
                <w:lang w:val="en-US" w:eastAsia="zh-CN"/>
              </w:rPr>
            </w:pPr>
            <w:r>
              <w:rPr>
                <w:rFonts w:hint="eastAsia"/>
                <w:color w:val="auto"/>
                <w:lang w:val="en-US" w:eastAsia="zh-CN"/>
              </w:rPr>
              <w:t>①生产固废：</w:t>
            </w:r>
          </w:p>
          <w:p>
            <w:pPr>
              <w:bidi w:val="0"/>
              <w:rPr>
                <w:rFonts w:hint="eastAsia"/>
                <w:color w:val="auto"/>
                <w:lang w:val="en-US" w:eastAsia="zh-CN"/>
              </w:rPr>
            </w:pPr>
            <w:r>
              <w:rPr>
                <w:rFonts w:hint="eastAsia"/>
                <w:color w:val="auto"/>
                <w:lang w:val="en-US" w:eastAsia="zh-CN"/>
              </w:rPr>
              <w:t>散落的砂浆、混凝土，根据业主提供资料，其产生量约4010t/a。返回生产系统。</w:t>
            </w:r>
          </w:p>
          <w:p>
            <w:pPr>
              <w:bidi w:val="0"/>
              <w:rPr>
                <w:rFonts w:hint="default"/>
                <w:color w:val="auto"/>
                <w:lang w:val="en-US" w:eastAsia="zh-CN"/>
              </w:rPr>
            </w:pPr>
            <w:r>
              <w:rPr>
                <w:rFonts w:hint="eastAsia"/>
                <w:color w:val="auto"/>
                <w:lang w:val="en-US" w:eastAsia="zh-CN"/>
              </w:rPr>
              <w:t>由搅拌机和混凝土运输车冲洗水夹带的沉淀物，多为残留混凝土，产生量约1000t/a。</w:t>
            </w:r>
          </w:p>
          <w:p>
            <w:pPr>
              <w:bidi w:val="0"/>
              <w:rPr>
                <w:rFonts w:hint="default"/>
                <w:color w:val="auto"/>
                <w:lang w:val="en-US" w:eastAsia="zh-CN"/>
              </w:rPr>
            </w:pPr>
            <w:r>
              <w:rPr>
                <w:rFonts w:hint="eastAsia"/>
                <w:color w:val="auto"/>
                <w:lang w:val="en-US" w:eastAsia="zh-CN"/>
              </w:rPr>
              <w:t>迁建前项目年产生粉尘约862.4t，除尘器收集的效率为99.6%，年收集的粉尘量约为859t。</w:t>
            </w:r>
          </w:p>
          <w:p>
            <w:pPr>
              <w:bidi w:val="0"/>
              <w:rPr>
                <w:rFonts w:hint="default"/>
                <w:color w:val="auto"/>
                <w:lang w:val="en-US" w:eastAsia="zh-CN"/>
              </w:rPr>
            </w:pPr>
            <w:r>
              <w:rPr>
                <w:rFonts w:hint="eastAsia"/>
                <w:color w:val="auto"/>
                <w:lang w:val="en-US" w:eastAsia="zh-CN"/>
              </w:rPr>
              <w:t>此外少量的包装袋约1t/a。</w:t>
            </w:r>
          </w:p>
          <w:p>
            <w:pPr>
              <w:bidi w:val="0"/>
              <w:rPr>
                <w:rFonts w:hint="eastAsia"/>
                <w:color w:val="auto"/>
                <w:lang w:val="en-US" w:eastAsia="zh-CN"/>
              </w:rPr>
            </w:pPr>
            <w:r>
              <w:rPr>
                <w:rFonts w:hint="eastAsia"/>
                <w:color w:val="auto"/>
                <w:lang w:val="en-US" w:eastAsia="zh-CN"/>
              </w:rPr>
              <w:t>②生活垃圾：迁建前项目共有职工58人（不住厂），垃圾排放系数取0.5kg/人·天，则每年排放生活垃圾约10.2t。</w:t>
            </w:r>
          </w:p>
          <w:p>
            <w:pPr>
              <w:bidi w:val="0"/>
              <w:rPr>
                <w:rFonts w:hint="eastAsia"/>
                <w:color w:val="auto"/>
                <w:lang w:val="en-US" w:eastAsia="zh-CN"/>
              </w:rPr>
            </w:pPr>
            <w:r>
              <w:rPr>
                <w:rFonts w:hint="eastAsia"/>
                <w:color w:val="auto"/>
                <w:lang w:val="en-US" w:eastAsia="zh-CN"/>
              </w:rPr>
              <w:t>迁建前项目的固体废物产生及处置情况见下表2.4-5。</w:t>
            </w:r>
          </w:p>
          <w:p>
            <w:pPr>
              <w:pStyle w:val="33"/>
              <w:bidi w:val="0"/>
              <w:rPr>
                <w:rFonts w:hint="eastAsia"/>
                <w:color w:val="auto"/>
                <w:sz w:val="24"/>
                <w:szCs w:val="24"/>
                <w:lang w:val="en-US" w:eastAsia="zh-CN"/>
              </w:rPr>
            </w:pPr>
            <w:r>
              <w:rPr>
                <w:rFonts w:hint="eastAsia"/>
                <w:color w:val="auto"/>
                <w:sz w:val="24"/>
                <w:szCs w:val="24"/>
                <w:lang w:val="en-US" w:eastAsia="zh-CN"/>
              </w:rPr>
              <w:t>表2.4-5 迁建前项目固体废物产生及处置情况表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eastAsia"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cs="Times New Roman"/>
                <w:b/>
                <w:bCs/>
                <w:color w:val="auto"/>
                <w:sz w:val="24"/>
                <w:szCs w:val="24"/>
                <w:u w:val="single"/>
                <w:lang w:val="en-US" w:eastAsia="zh-CN"/>
              </w:rPr>
            </w:pPr>
          </w:p>
          <w:p>
            <w:pPr>
              <w:pStyle w:val="4"/>
              <w:bidi w:val="0"/>
              <w:rPr>
                <w:rFonts w:hint="eastAsia"/>
                <w:color w:val="auto"/>
                <w:lang w:val="en-US" w:eastAsia="zh-CN"/>
              </w:rPr>
            </w:pPr>
            <w:r>
              <w:rPr>
                <w:rFonts w:hint="eastAsia"/>
                <w:color w:val="auto"/>
                <w:lang w:val="en-US" w:eastAsia="zh-CN"/>
              </w:rPr>
              <w:t>2.4.5</w:t>
            </w:r>
            <w:r>
              <w:rPr>
                <w:color w:val="auto"/>
              </w:rPr>
              <w:t>迁建前工程主要环保问题及</w:t>
            </w:r>
            <w:r>
              <w:rPr>
                <w:rFonts w:hint="eastAsia"/>
                <w:color w:val="auto"/>
              </w:rPr>
              <w:t>整改要求</w:t>
            </w:r>
          </w:p>
          <w:p>
            <w:pPr>
              <w:bidi w:val="0"/>
              <w:rPr>
                <w:rFonts w:hint="eastAsia" w:cs="Times New Roman"/>
                <w:color w:val="auto"/>
                <w:sz w:val="24"/>
                <w:szCs w:val="24"/>
                <w:highlight w:val="none"/>
                <w:lang w:val="en-US" w:eastAsia="zh-CN"/>
              </w:rPr>
            </w:pPr>
            <w:r>
              <w:rPr>
                <w:color w:val="auto"/>
                <w:sz w:val="24"/>
                <w:highlight w:val="none"/>
              </w:rPr>
              <w:t>根据</w:t>
            </w:r>
            <w:r>
              <w:rPr>
                <w:rFonts w:hint="eastAsia"/>
                <w:color w:val="auto"/>
                <w:highlight w:val="none"/>
                <w:lang w:val="en-US" w:eastAsia="zh-CN"/>
              </w:rPr>
              <w:t>《</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highlight w:val="none"/>
              </w:rPr>
              <w:t>结论</w:t>
            </w:r>
            <w:r>
              <w:rPr>
                <w:rFonts w:hint="eastAsia"/>
                <w:color w:val="auto"/>
                <w:sz w:val="24"/>
                <w:highlight w:val="none"/>
              </w:rPr>
              <w:t>：</w:t>
            </w:r>
            <w:r>
              <w:rPr>
                <w:rFonts w:hint="eastAsia" w:cs="Times New Roman"/>
                <w:color w:val="auto"/>
                <w:sz w:val="24"/>
                <w:szCs w:val="24"/>
                <w:highlight w:val="none"/>
                <w:lang w:val="en-US" w:eastAsia="zh-CN"/>
              </w:rPr>
              <w:t>迁建前项目当时已按环境影响报告表及福清市环保局批复要求建成环境保护设施，环境保护设施能与主体工程同时投产。该项目的建设性质、规模、地点、采用的生产工艺或者防治污染、防止生态破坏的措施未发生重大变动，具备竣工环保验收条件。</w:t>
            </w:r>
          </w:p>
          <w:p>
            <w:pPr>
              <w:bidi w:val="0"/>
              <w:rPr>
                <w:rFonts w:hint="eastAsia"/>
                <w:color w:val="auto"/>
                <w:highlight w:val="none"/>
              </w:rPr>
            </w:pPr>
            <w:r>
              <w:rPr>
                <w:rFonts w:hint="eastAsia"/>
                <w:color w:val="auto"/>
                <w:sz w:val="24"/>
                <w:highlight w:val="none"/>
              </w:rPr>
              <w:t>另经现场踏</w:t>
            </w:r>
            <w:r>
              <w:rPr>
                <w:rFonts w:hint="eastAsia"/>
                <w:color w:val="auto"/>
                <w:sz w:val="24"/>
                <w:highlight w:val="none"/>
                <w:lang w:val="en-US" w:eastAsia="zh-CN"/>
              </w:rPr>
              <w:t>看</w:t>
            </w:r>
            <w:r>
              <w:rPr>
                <w:rFonts w:hint="eastAsia"/>
                <w:color w:val="auto"/>
                <w:sz w:val="24"/>
                <w:highlight w:val="none"/>
              </w:rPr>
              <w:t>，发现</w:t>
            </w:r>
            <w:r>
              <w:rPr>
                <w:color w:val="auto"/>
                <w:sz w:val="24"/>
                <w:highlight w:val="none"/>
              </w:rPr>
              <w:t>迁建前工程</w:t>
            </w:r>
            <w:r>
              <w:rPr>
                <w:rFonts w:hint="eastAsia"/>
                <w:color w:val="auto"/>
                <w:sz w:val="24"/>
                <w:highlight w:val="none"/>
              </w:rPr>
              <w:t>存在</w:t>
            </w:r>
            <w:r>
              <w:rPr>
                <w:rFonts w:hint="eastAsia"/>
                <w:color w:val="auto"/>
                <w:sz w:val="24"/>
                <w:highlight w:val="none"/>
                <w:lang w:val="en-US" w:eastAsia="zh-CN"/>
              </w:rPr>
              <w:t>部分环保问题，如厂区地面日常未及时清洗，导致现场地面较为泥泞脏乱；停车场区域未硬化导致地面粉尘堆积较多；少部分混凝土实验产生的水泥试块未按规定存放于一般固废暂存间内，而是堆放于厂区角落</w:t>
            </w:r>
            <w:r>
              <w:rPr>
                <w:rFonts w:hint="eastAsia"/>
                <w:color w:val="auto"/>
                <w:highlight w:val="none"/>
              </w:rPr>
              <w:t>。</w:t>
            </w:r>
          </w:p>
          <w:p>
            <w:pPr>
              <w:pStyle w:val="26"/>
              <w:rPr>
                <w:rFonts w:hint="eastAsia"/>
                <w:color w:val="auto"/>
                <w:highlight w:val="none"/>
                <w:lang w:val="en-US" w:eastAsia="zh-CN"/>
              </w:rPr>
            </w:pPr>
            <w:r>
              <w:rPr>
                <w:rFonts w:hint="eastAsia"/>
                <w:color w:val="auto"/>
                <w:highlight w:val="none"/>
                <w:lang w:val="en-US" w:eastAsia="zh-CN"/>
              </w:rPr>
              <w:t>针对上述现场踏勘发现的问题，建议目前仍在生产的原工程做好以下几点：</w:t>
            </w:r>
          </w:p>
          <w:p>
            <w:pPr>
              <w:numPr>
                <w:ilvl w:val="0"/>
                <w:numId w:val="6"/>
              </w:numPr>
              <w:bidi w:val="0"/>
              <w:rPr>
                <w:rFonts w:hint="eastAsia"/>
                <w:color w:val="auto"/>
                <w:lang w:val="en-US" w:eastAsia="zh-CN"/>
              </w:rPr>
            </w:pPr>
            <w:r>
              <w:rPr>
                <w:rFonts w:hint="eastAsia"/>
                <w:color w:val="auto"/>
                <w:lang w:val="en-US" w:eastAsia="zh-CN"/>
              </w:rPr>
              <w:t>对原工程现状地面进行清理，并做好定期清扫和冲洗工作；</w:t>
            </w:r>
          </w:p>
          <w:p>
            <w:pPr>
              <w:numPr>
                <w:ilvl w:val="0"/>
                <w:numId w:val="6"/>
              </w:numPr>
              <w:bidi w:val="0"/>
              <w:rPr>
                <w:rFonts w:hint="default"/>
                <w:color w:val="auto"/>
                <w:lang w:val="en-US" w:eastAsia="zh-CN"/>
              </w:rPr>
            </w:pPr>
            <w:r>
              <w:rPr>
                <w:rFonts w:hint="eastAsia"/>
                <w:color w:val="auto"/>
                <w:lang w:val="en-US" w:eastAsia="zh-CN"/>
              </w:rPr>
              <w:t>厂区内停车场区域做好日常的洒水降尘工作；</w:t>
            </w:r>
          </w:p>
          <w:p>
            <w:pPr>
              <w:bidi w:val="0"/>
              <w:rPr>
                <w:rFonts w:hint="default"/>
                <w:color w:val="auto"/>
                <w:lang w:val="en-US" w:eastAsia="zh-CN"/>
              </w:rPr>
            </w:pPr>
            <w:r>
              <w:rPr>
                <w:rFonts w:hint="eastAsia"/>
                <w:color w:val="auto"/>
                <w:lang w:val="en-US" w:eastAsia="zh-CN"/>
              </w:rPr>
              <w:t>3、规范企业日常的危固废暂存制度，将日常生产产生的危固废及时入库。</w:t>
            </w:r>
          </w:p>
          <w:p>
            <w:pPr>
              <w:pStyle w:val="4"/>
              <w:bidi w:val="0"/>
              <w:rPr>
                <w:rFonts w:hint="eastAsia"/>
                <w:color w:val="auto"/>
                <w:lang w:val="en-US" w:eastAsia="zh-CN"/>
              </w:rPr>
            </w:pPr>
            <w:bookmarkStart w:id="12" w:name="_Toc103525220"/>
            <w:bookmarkStart w:id="13" w:name="_Toc13747"/>
            <w:bookmarkStart w:id="14" w:name="_Toc103869765"/>
            <w:r>
              <w:rPr>
                <w:rFonts w:hint="eastAsia"/>
                <w:color w:val="auto"/>
                <w:lang w:val="en-US" w:eastAsia="zh-CN"/>
              </w:rPr>
              <w:t>2.4.6</w:t>
            </w:r>
            <w:bookmarkEnd w:id="12"/>
            <w:bookmarkEnd w:id="13"/>
            <w:bookmarkEnd w:id="14"/>
            <w:r>
              <w:rPr>
                <w:rFonts w:hint="eastAsia"/>
                <w:color w:val="auto"/>
              </w:rPr>
              <w:t>迁建前工程退役期环保要求</w:t>
            </w:r>
          </w:p>
          <w:p>
            <w:pPr>
              <w:bidi w:val="0"/>
              <w:rPr>
                <w:b/>
                <w:bCs/>
                <w:color w:val="auto"/>
              </w:rPr>
            </w:pPr>
            <w:r>
              <w:rPr>
                <w:rFonts w:hint="eastAsia"/>
                <w:b/>
                <w:bCs/>
                <w:color w:val="auto"/>
                <w:lang w:val="en-US" w:eastAsia="zh-CN"/>
              </w:rPr>
              <w:t>一、原材料处置</w:t>
            </w:r>
          </w:p>
          <w:p>
            <w:pPr>
              <w:bidi w:val="0"/>
              <w:rPr>
                <w:color w:val="auto"/>
              </w:rPr>
            </w:pPr>
            <w:r>
              <w:rPr>
                <w:rFonts w:hint="eastAsia"/>
                <w:color w:val="auto"/>
                <w:lang w:val="en-US" w:eastAsia="zh-CN"/>
              </w:rPr>
              <w:t>项目所使用的原料与本项目所使用部分原材料一致，本项目建成后，迁建前工程剩余原材料转运至本项目用于生产，对环境无影响。</w:t>
            </w:r>
          </w:p>
          <w:p>
            <w:pPr>
              <w:bidi w:val="0"/>
              <w:rPr>
                <w:b/>
                <w:bCs/>
                <w:color w:val="auto"/>
              </w:rPr>
            </w:pPr>
            <w:r>
              <w:rPr>
                <w:rFonts w:hint="eastAsia"/>
                <w:b/>
                <w:bCs/>
                <w:color w:val="auto"/>
                <w:lang w:val="en-US" w:eastAsia="zh-CN"/>
              </w:rPr>
              <w:t>二、设备处置</w:t>
            </w:r>
          </w:p>
          <w:p>
            <w:pPr>
              <w:bidi w:val="0"/>
              <w:rPr>
                <w:color w:val="auto"/>
              </w:rPr>
            </w:pPr>
            <w:r>
              <w:rPr>
                <w:rFonts w:hint="eastAsia"/>
                <w:color w:val="auto"/>
                <w:lang w:val="en-US" w:eastAsia="zh-CN"/>
              </w:rPr>
              <w:t>项目退役后，其设备处置应遵循以下几方面原则：</w:t>
            </w:r>
          </w:p>
          <w:p>
            <w:pPr>
              <w:bidi w:val="0"/>
              <w:rPr>
                <w:color w:val="auto"/>
              </w:rPr>
            </w:pPr>
            <w:r>
              <w:rPr>
                <w:rFonts w:hint="default"/>
                <w:color w:val="auto"/>
                <w:lang w:val="en-US" w:eastAsia="zh-CN"/>
              </w:rPr>
              <w:t>1)</w:t>
            </w:r>
            <w:r>
              <w:rPr>
                <w:rFonts w:hint="eastAsia"/>
                <w:color w:val="auto"/>
                <w:lang w:val="en-US" w:eastAsia="zh-CN"/>
              </w:rPr>
              <w:t>在退役时，尚不属于行业淘汰范围的，且尚符合当时国家产业政策和地方政策要求的设备，可出售给其他相关企业。</w:t>
            </w:r>
          </w:p>
          <w:p>
            <w:pPr>
              <w:bidi w:val="0"/>
              <w:rPr>
                <w:color w:val="auto"/>
              </w:rPr>
            </w:pPr>
            <w:r>
              <w:rPr>
                <w:rFonts w:hint="default"/>
                <w:color w:val="auto"/>
                <w:lang w:val="en-US" w:eastAsia="zh-CN"/>
              </w:rPr>
              <w:t>2)</w:t>
            </w:r>
            <w:r>
              <w:rPr>
                <w:rFonts w:hint="eastAsia"/>
                <w:color w:val="auto"/>
                <w:lang w:val="en-US" w:eastAsia="zh-CN"/>
              </w:rPr>
              <w:t>在退役时，属于行业淘汰范围、不符合当时国家产业政策或地方政策要求的，应予以报废处置，设备经清洗后可按废品出售给物质回收单位。</w:t>
            </w:r>
          </w:p>
          <w:p>
            <w:pPr>
              <w:bidi w:val="0"/>
              <w:rPr>
                <w:rFonts w:hint="eastAsia"/>
                <w:color w:val="auto"/>
                <w:lang w:val="en-US" w:eastAsia="zh-CN"/>
              </w:rPr>
            </w:pPr>
            <w:r>
              <w:rPr>
                <w:rFonts w:hint="default"/>
                <w:color w:val="auto"/>
                <w:lang w:val="en-US" w:eastAsia="zh-CN"/>
              </w:rPr>
              <w:t>3)</w:t>
            </w:r>
            <w:r>
              <w:rPr>
                <w:rFonts w:hint="eastAsia"/>
                <w:color w:val="auto"/>
                <w:lang w:val="en-US" w:eastAsia="zh-CN"/>
              </w:rPr>
              <w:t>本项目所使用的设备在退役后应根据上述两个原则将生产设备售给相关的企业或予以报废、出售给物质回收单位。</w:t>
            </w:r>
          </w:p>
          <w:p>
            <w:pPr>
              <w:bidi w:val="0"/>
              <w:rPr>
                <w:rFonts w:hint="default"/>
                <w:color w:val="auto"/>
                <w:lang w:val="en-US" w:eastAsia="zh-CN"/>
              </w:rPr>
            </w:pPr>
            <w:r>
              <w:rPr>
                <w:rFonts w:hint="eastAsia"/>
                <w:color w:val="auto"/>
                <w:lang w:val="en-US" w:eastAsia="zh-CN"/>
              </w:rPr>
              <w:t>本项目所有设备均为全新购买安装，迁建前工程所有设备均依照上述三类原则进行处置，不用于本项目生产。</w:t>
            </w:r>
          </w:p>
          <w:p>
            <w:pPr>
              <w:bidi w:val="0"/>
              <w:rPr>
                <w:b/>
                <w:bCs/>
                <w:color w:val="auto"/>
              </w:rPr>
            </w:pPr>
            <w:r>
              <w:rPr>
                <w:rFonts w:hint="eastAsia"/>
                <w:b/>
                <w:bCs/>
                <w:color w:val="auto"/>
                <w:lang w:val="en-US" w:eastAsia="zh-CN"/>
              </w:rPr>
              <w:t>三、厂房处置</w:t>
            </w:r>
          </w:p>
          <w:p>
            <w:pPr>
              <w:bidi w:val="0"/>
              <w:rPr>
                <w:rFonts w:hint="default"/>
                <w:color w:val="auto"/>
                <w:lang w:val="en-US" w:eastAsia="zh-CN"/>
              </w:rPr>
            </w:pPr>
            <w:r>
              <w:rPr>
                <w:rFonts w:hint="eastAsia"/>
                <w:color w:val="auto"/>
                <w:lang w:val="en-US" w:eastAsia="zh-CN"/>
              </w:rPr>
              <w:t>项目退役后，厂房可出租或转让其他单位转换为其它工业用地。</w:t>
            </w:r>
          </w:p>
        </w:tc>
      </w:tr>
    </w:tbl>
    <w:p>
      <w:pPr>
        <w:rPr>
          <w:rFonts w:hint="default" w:ascii="Times New Roman" w:hAnsi="Times New Roman" w:eastAsia="宋体"/>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
        <w:bidi w:val="0"/>
        <w:jc w:val="center"/>
        <w:rPr>
          <w:rFonts w:hint="default"/>
          <w:color w:val="auto"/>
        </w:rPr>
      </w:pPr>
      <w:bookmarkStart w:id="15" w:name="_Toc25314"/>
      <w:bookmarkStart w:id="16" w:name="_Toc3559"/>
      <w:r>
        <w:rPr>
          <w:rFonts w:hint="default"/>
          <w:color w:val="auto"/>
        </w:rPr>
        <w:t>三、区域环境质量现状、环境保护目标及评价标准</w:t>
      </w:r>
      <w:bookmarkEnd w:id="15"/>
      <w:bookmarkEnd w:id="1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pPr>
              <w:pStyle w:val="31"/>
              <w:bidi w:val="0"/>
              <w:rPr>
                <w:rFonts w:hint="default"/>
                <w:color w:val="auto"/>
              </w:rPr>
            </w:pPr>
            <w:r>
              <w:rPr>
                <w:rFonts w:hint="default"/>
                <w:color w:val="auto"/>
              </w:rPr>
              <w:t>区域</w:t>
            </w:r>
          </w:p>
          <w:p>
            <w:pPr>
              <w:pStyle w:val="31"/>
              <w:bidi w:val="0"/>
              <w:rPr>
                <w:rFonts w:hint="default"/>
                <w:color w:val="auto"/>
              </w:rPr>
            </w:pPr>
            <w:r>
              <w:rPr>
                <w:rFonts w:hint="default"/>
                <w:color w:val="auto"/>
              </w:rPr>
              <w:t>环境</w:t>
            </w:r>
          </w:p>
          <w:p>
            <w:pPr>
              <w:pStyle w:val="31"/>
              <w:bidi w:val="0"/>
              <w:rPr>
                <w:rFonts w:hint="default"/>
                <w:color w:val="auto"/>
              </w:rPr>
            </w:pPr>
            <w:r>
              <w:rPr>
                <w:rFonts w:hint="default"/>
                <w:color w:val="auto"/>
              </w:rPr>
              <w:t>质量</w:t>
            </w:r>
          </w:p>
          <w:p>
            <w:pPr>
              <w:pStyle w:val="31"/>
              <w:bidi w:val="0"/>
              <w:rPr>
                <w:rFonts w:hint="default" w:ascii="Times New Roman" w:hAnsi="Times New Roman" w:eastAsia="宋体" w:cs="Times New Roman"/>
                <w:color w:val="auto"/>
                <w:kern w:val="0"/>
                <w:szCs w:val="21"/>
              </w:rPr>
            </w:pPr>
            <w:r>
              <w:rPr>
                <w:rFonts w:hint="default"/>
                <w:color w:val="auto"/>
              </w:rPr>
              <w:t>现状</w:t>
            </w:r>
          </w:p>
        </w:tc>
        <w:tc>
          <w:tcPr>
            <w:tcW w:w="8310" w:type="dxa"/>
            <w:noWrap w:val="0"/>
            <w:vAlign w:val="center"/>
          </w:tcPr>
          <w:p>
            <w:pPr>
              <w:pStyle w:val="3"/>
              <w:bidi w:val="0"/>
              <w:rPr>
                <w:rFonts w:hint="default"/>
                <w:color w:val="auto"/>
              </w:rPr>
            </w:pPr>
            <w:r>
              <w:rPr>
                <w:rFonts w:hint="default"/>
                <w:color w:val="auto"/>
              </w:rPr>
              <w:t>3.</w:t>
            </w:r>
            <w:r>
              <w:rPr>
                <w:rFonts w:hint="default"/>
                <w:color w:val="auto"/>
                <w:lang w:val="en-US" w:eastAsia="zh-CN"/>
              </w:rPr>
              <w:t>1</w:t>
            </w:r>
            <w:r>
              <w:rPr>
                <w:rFonts w:hint="default"/>
                <w:color w:val="auto"/>
              </w:rPr>
              <w:t>大气环境质量现状</w:t>
            </w:r>
          </w:p>
          <w:p>
            <w:pPr>
              <w:pStyle w:val="4"/>
              <w:bidi w:val="0"/>
              <w:rPr>
                <w:rFonts w:hint="default"/>
                <w:color w:val="auto"/>
              </w:rPr>
            </w:pPr>
            <w:r>
              <w:rPr>
                <w:rFonts w:hint="default"/>
                <w:color w:val="auto"/>
              </w:rPr>
              <w:t>3.1.1环境空气质量功能区划</w:t>
            </w:r>
          </w:p>
          <w:p>
            <w:pPr>
              <w:bidi w:val="0"/>
              <w:rPr>
                <w:rFonts w:hint="default"/>
                <w:color w:val="auto"/>
              </w:rPr>
            </w:pPr>
            <w:bookmarkStart w:id="17" w:name="_Toc339964236"/>
            <w:bookmarkStart w:id="18" w:name="_Toc338850492"/>
            <w:r>
              <w:rPr>
                <w:rFonts w:hint="default"/>
                <w:color w:val="auto"/>
              </w:rPr>
              <w:t>根据福州市人民政府榕政综</w:t>
            </w:r>
            <w:r>
              <w:rPr>
                <w:rFonts w:hint="eastAsia"/>
                <w:color w:val="auto"/>
                <w:lang w:eastAsia="zh-CN"/>
              </w:rPr>
              <w:t>〔2014〕30号</w:t>
            </w:r>
            <w:r>
              <w:rPr>
                <w:rFonts w:hint="default"/>
                <w:color w:val="auto"/>
              </w:rPr>
              <w:t>文件正式批准实施《福州市环境空气质量功能区划(报批稿)》的规定，</w:t>
            </w:r>
            <w:r>
              <w:rPr>
                <w:rFonts w:hint="default"/>
                <w:color w:val="auto"/>
                <w:lang w:eastAsia="zh-CN"/>
              </w:rPr>
              <w:t>项目所在区域</w:t>
            </w:r>
            <w:r>
              <w:rPr>
                <w:rFonts w:hint="default"/>
                <w:color w:val="auto"/>
              </w:rPr>
              <w:t>环境空气功能规划为二类区</w:t>
            </w:r>
            <w:r>
              <w:rPr>
                <w:rFonts w:hint="default"/>
                <w:color w:val="auto"/>
                <w:lang w:eastAsia="zh-CN"/>
              </w:rPr>
              <w:t>，</w:t>
            </w:r>
            <w:r>
              <w:rPr>
                <w:rFonts w:hint="default"/>
                <w:color w:val="auto"/>
              </w:rPr>
              <w:t>环境空气质量执行</w:t>
            </w:r>
            <w:r>
              <w:rPr>
                <w:rFonts w:hint="default"/>
                <w:color w:val="auto"/>
                <w:lang w:eastAsia="zh-CN"/>
              </w:rPr>
              <w:t>《环境空气质量标准》(GB3095-2012)及其修改单</w:t>
            </w:r>
            <w:r>
              <w:rPr>
                <w:rFonts w:hint="default"/>
                <w:color w:val="auto"/>
              </w:rPr>
              <w:t>中的二级标准</w:t>
            </w:r>
            <w:r>
              <w:rPr>
                <w:rFonts w:hint="eastAsia"/>
                <w:color w:val="auto"/>
                <w:lang w:val="en-US" w:eastAsia="zh-CN"/>
              </w:rPr>
              <w:t>，</w:t>
            </w:r>
            <w:r>
              <w:rPr>
                <w:rFonts w:hint="default"/>
                <w:color w:val="auto"/>
              </w:rPr>
              <w:t>具体详见表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w:t>
            </w:r>
          </w:p>
          <w:bookmarkEnd w:id="17"/>
          <w:bookmarkEnd w:id="18"/>
          <w:p>
            <w:pPr>
              <w:pStyle w:val="33"/>
              <w:bidi w:val="0"/>
              <w:rPr>
                <w:rFonts w:hint="default"/>
                <w:color w:val="auto"/>
              </w:rPr>
            </w:pPr>
            <w:r>
              <w:rPr>
                <w:rFonts w:hint="default"/>
                <w:color w:val="auto"/>
              </w:rPr>
              <w:t>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 xml:space="preserve">  本项目环境空气</w:t>
            </w:r>
            <w:r>
              <w:rPr>
                <w:rFonts w:hint="eastAsia"/>
                <w:color w:val="auto"/>
                <w:lang w:val="en-US" w:eastAsia="zh-CN"/>
              </w:rPr>
              <w:t>质量</w:t>
            </w:r>
            <w:r>
              <w:rPr>
                <w:rFonts w:hint="default"/>
                <w:color w:val="auto"/>
              </w:rPr>
              <w:t>标准一览表</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06"/>
              <w:gridCol w:w="2049"/>
              <w:gridCol w:w="1577"/>
              <w:gridCol w:w="29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noWrap w:val="0"/>
                  <w:vAlign w:val="center"/>
                </w:tcPr>
                <w:p>
                  <w:pPr>
                    <w:pStyle w:val="31"/>
                    <w:bidi w:val="0"/>
                    <w:rPr>
                      <w:rFonts w:hint="default"/>
                      <w:color w:val="auto"/>
                    </w:rPr>
                  </w:pPr>
                  <w:r>
                    <w:rPr>
                      <w:rFonts w:hint="default"/>
                      <w:color w:val="auto"/>
                    </w:rPr>
                    <w:t>污染物名称</w:t>
                  </w:r>
                </w:p>
              </w:tc>
              <w:tc>
                <w:tcPr>
                  <w:tcW w:w="1265" w:type="pct"/>
                  <w:noWrap w:val="0"/>
                  <w:vAlign w:val="center"/>
                </w:tcPr>
                <w:p>
                  <w:pPr>
                    <w:pStyle w:val="31"/>
                    <w:bidi w:val="0"/>
                    <w:rPr>
                      <w:rFonts w:hint="default"/>
                      <w:color w:val="auto"/>
                    </w:rPr>
                  </w:pPr>
                  <w:r>
                    <w:rPr>
                      <w:rFonts w:hint="default"/>
                      <w:color w:val="auto"/>
                    </w:rPr>
                    <w:t>取值时间</w:t>
                  </w:r>
                </w:p>
              </w:tc>
              <w:tc>
                <w:tcPr>
                  <w:tcW w:w="974" w:type="pct"/>
                  <w:noWrap w:val="0"/>
                  <w:vAlign w:val="center"/>
                </w:tcPr>
                <w:p>
                  <w:pPr>
                    <w:pStyle w:val="31"/>
                    <w:bidi w:val="0"/>
                    <w:rPr>
                      <w:rFonts w:hint="default"/>
                      <w:color w:val="auto"/>
                    </w:rPr>
                  </w:pPr>
                  <w:r>
                    <w:rPr>
                      <w:rFonts w:hint="default"/>
                      <w:color w:val="auto"/>
                    </w:rPr>
                    <w:t>浓度限值</w:t>
                  </w:r>
                </w:p>
              </w:tc>
              <w:tc>
                <w:tcPr>
                  <w:tcW w:w="1829" w:type="pct"/>
                  <w:noWrap w:val="0"/>
                  <w:vAlign w:val="center"/>
                </w:tcPr>
                <w:p>
                  <w:pPr>
                    <w:pStyle w:val="31"/>
                    <w:bidi w:val="0"/>
                    <w:rPr>
                      <w:rFonts w:hint="default"/>
                      <w:color w:val="auto"/>
                    </w:rPr>
                  </w:pPr>
                  <w:r>
                    <w:rPr>
                      <w:rFonts w:hint="default"/>
                      <w:color w:val="auto"/>
                    </w:rPr>
                    <w:t>标准来源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rPr>
                  </w:pPr>
                  <w:r>
                    <w:rPr>
                      <w:rFonts w:hint="default"/>
                      <w:color w:val="auto"/>
                    </w:rPr>
                    <w:t>PM10</w:t>
                  </w:r>
                </w:p>
              </w:tc>
              <w:tc>
                <w:tcPr>
                  <w:tcW w:w="1265" w:type="pct"/>
                  <w:noWrap w:val="0"/>
                  <w:vAlign w:val="center"/>
                </w:tcPr>
                <w:p>
                  <w:pPr>
                    <w:pStyle w:val="31"/>
                    <w:bidi w:val="0"/>
                    <w:rPr>
                      <w:rFonts w:hint="default"/>
                      <w:color w:val="auto"/>
                    </w:rPr>
                  </w:pPr>
                  <w:r>
                    <w:rPr>
                      <w:rFonts w:hint="default"/>
                      <w:color w:val="auto"/>
                    </w:rPr>
                    <w:t>年平均</w:t>
                  </w:r>
                </w:p>
              </w:tc>
              <w:tc>
                <w:tcPr>
                  <w:tcW w:w="974" w:type="pct"/>
                  <w:noWrap w:val="0"/>
                  <w:vAlign w:val="center"/>
                </w:tcPr>
                <w:p>
                  <w:pPr>
                    <w:pStyle w:val="31"/>
                    <w:bidi w:val="0"/>
                    <w:rPr>
                      <w:rFonts w:hint="default"/>
                      <w:color w:val="auto"/>
                    </w:rPr>
                  </w:pPr>
                  <w:r>
                    <w:rPr>
                      <w:rFonts w:hint="default"/>
                      <w:color w:val="auto"/>
                    </w:rPr>
                    <w:t>70μg/m</w:t>
                  </w:r>
                  <w:r>
                    <w:rPr>
                      <w:rFonts w:hint="default"/>
                      <w:color w:val="auto"/>
                      <w:vertAlign w:val="superscript"/>
                    </w:rPr>
                    <w:t>3</w:t>
                  </w:r>
                </w:p>
              </w:tc>
              <w:tc>
                <w:tcPr>
                  <w:tcW w:w="1829" w:type="pct"/>
                  <w:vMerge w:val="restart"/>
                  <w:noWrap w:val="0"/>
                  <w:vAlign w:val="center"/>
                </w:tcPr>
                <w:p>
                  <w:pPr>
                    <w:pStyle w:val="31"/>
                    <w:bidi w:val="0"/>
                    <w:rPr>
                      <w:rFonts w:hint="default"/>
                      <w:color w:val="auto"/>
                      <w:lang w:eastAsia="zh-CN"/>
                    </w:rPr>
                  </w:pPr>
                  <w:r>
                    <w:rPr>
                      <w:rFonts w:hint="default"/>
                      <w:color w:val="auto"/>
                      <w:lang w:eastAsia="zh-CN"/>
                    </w:rPr>
                    <w:t>《环境空气质量标准》(GB3095-2012)及其修改</w:t>
                  </w:r>
                </w:p>
                <w:p>
                  <w:pPr>
                    <w:pStyle w:val="31"/>
                    <w:bidi w:val="0"/>
                    <w:rPr>
                      <w:rFonts w:hint="default"/>
                      <w:color w:val="auto"/>
                    </w:rPr>
                  </w:pPr>
                  <w:r>
                    <w:rPr>
                      <w:rFonts w:hint="default"/>
                      <w:color w:val="auto"/>
                      <w:lang w:eastAsia="zh-CN"/>
                    </w:rPr>
                    <w:t>单</w:t>
                  </w:r>
                  <w:r>
                    <w:rPr>
                      <w:rFonts w:hint="default"/>
                      <w:color w:val="auto"/>
                    </w:rPr>
                    <w:t>中的二级标准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24小时平均</w:t>
                  </w:r>
                </w:p>
              </w:tc>
              <w:tc>
                <w:tcPr>
                  <w:tcW w:w="974" w:type="pct"/>
                  <w:noWrap w:val="0"/>
                  <w:vAlign w:val="center"/>
                </w:tcPr>
                <w:p>
                  <w:pPr>
                    <w:pStyle w:val="31"/>
                    <w:bidi w:val="0"/>
                    <w:rPr>
                      <w:rFonts w:hint="default"/>
                      <w:color w:val="auto"/>
                    </w:rPr>
                  </w:pPr>
                  <w:r>
                    <w:rPr>
                      <w:rFonts w:hint="default"/>
                      <w:color w:val="auto"/>
                    </w:rPr>
                    <w:t>150μg/m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lang w:val="en-US" w:eastAsia="zh-CN"/>
                    </w:rPr>
                  </w:pPr>
                  <w:r>
                    <w:rPr>
                      <w:rFonts w:hint="default"/>
                      <w:color w:val="auto"/>
                      <w:lang w:val="en-US" w:eastAsia="zh-CN"/>
                    </w:rPr>
                    <w:t>PM2.5</w:t>
                  </w:r>
                </w:p>
              </w:tc>
              <w:tc>
                <w:tcPr>
                  <w:tcW w:w="1265" w:type="pct"/>
                  <w:noWrap w:val="0"/>
                  <w:vAlign w:val="center"/>
                </w:tcPr>
                <w:p>
                  <w:pPr>
                    <w:pStyle w:val="31"/>
                    <w:bidi w:val="0"/>
                    <w:rPr>
                      <w:rFonts w:hint="default"/>
                      <w:color w:val="auto"/>
                    </w:rPr>
                  </w:pPr>
                  <w:r>
                    <w:rPr>
                      <w:rFonts w:hint="default"/>
                      <w:color w:val="auto"/>
                    </w:rPr>
                    <w:t>年平均</w:t>
                  </w:r>
                </w:p>
              </w:tc>
              <w:tc>
                <w:tcPr>
                  <w:tcW w:w="974" w:type="pct"/>
                  <w:noWrap w:val="0"/>
                  <w:vAlign w:val="center"/>
                </w:tcPr>
                <w:p>
                  <w:pPr>
                    <w:pStyle w:val="31"/>
                    <w:bidi w:val="0"/>
                    <w:rPr>
                      <w:rFonts w:hint="default"/>
                      <w:color w:val="auto"/>
                    </w:rPr>
                  </w:pPr>
                  <w:r>
                    <w:rPr>
                      <w:rFonts w:hint="default"/>
                      <w:color w:val="auto"/>
                      <w:lang w:val="en-US" w:eastAsia="zh-CN"/>
                    </w:rPr>
                    <w:t>35</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24小时平均</w:t>
                  </w:r>
                </w:p>
              </w:tc>
              <w:tc>
                <w:tcPr>
                  <w:tcW w:w="974" w:type="pct"/>
                  <w:noWrap w:val="0"/>
                  <w:vAlign w:val="center"/>
                </w:tcPr>
                <w:p>
                  <w:pPr>
                    <w:pStyle w:val="31"/>
                    <w:bidi w:val="0"/>
                    <w:rPr>
                      <w:rFonts w:hint="default"/>
                      <w:color w:val="auto"/>
                    </w:rPr>
                  </w:pPr>
                  <w:r>
                    <w:rPr>
                      <w:rFonts w:hint="default"/>
                      <w:color w:val="auto"/>
                      <w:lang w:val="en-US" w:eastAsia="zh-CN"/>
                    </w:rPr>
                    <w:t>75</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rPr>
                  </w:pPr>
                  <w:r>
                    <w:rPr>
                      <w:rFonts w:hint="default"/>
                      <w:color w:val="auto"/>
                    </w:rPr>
                    <w:t>SO</w:t>
                  </w:r>
                  <w:r>
                    <w:rPr>
                      <w:rFonts w:hint="default"/>
                      <w:color w:val="auto"/>
                      <w:vertAlign w:val="subscript"/>
                    </w:rPr>
                    <w:t>2</w:t>
                  </w:r>
                </w:p>
              </w:tc>
              <w:tc>
                <w:tcPr>
                  <w:tcW w:w="1265" w:type="pct"/>
                  <w:noWrap w:val="0"/>
                  <w:vAlign w:val="center"/>
                </w:tcPr>
                <w:p>
                  <w:pPr>
                    <w:pStyle w:val="31"/>
                    <w:bidi w:val="0"/>
                    <w:rPr>
                      <w:rFonts w:hint="default"/>
                      <w:color w:val="auto"/>
                    </w:rPr>
                  </w:pPr>
                  <w:r>
                    <w:rPr>
                      <w:rFonts w:hint="default"/>
                      <w:color w:val="auto"/>
                    </w:rPr>
                    <w:t>年平均</w:t>
                  </w:r>
                </w:p>
              </w:tc>
              <w:tc>
                <w:tcPr>
                  <w:tcW w:w="974" w:type="pct"/>
                  <w:noWrap w:val="0"/>
                  <w:vAlign w:val="center"/>
                </w:tcPr>
                <w:p>
                  <w:pPr>
                    <w:pStyle w:val="31"/>
                    <w:bidi w:val="0"/>
                    <w:rPr>
                      <w:rFonts w:hint="default"/>
                      <w:color w:val="auto"/>
                    </w:rPr>
                  </w:pPr>
                  <w:r>
                    <w:rPr>
                      <w:rFonts w:hint="default"/>
                      <w:color w:val="auto"/>
                    </w:rPr>
                    <w:t>60μg/m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24小时平均</w:t>
                  </w:r>
                </w:p>
              </w:tc>
              <w:tc>
                <w:tcPr>
                  <w:tcW w:w="974" w:type="pct"/>
                  <w:noWrap w:val="0"/>
                  <w:vAlign w:val="center"/>
                </w:tcPr>
                <w:p>
                  <w:pPr>
                    <w:pStyle w:val="31"/>
                    <w:bidi w:val="0"/>
                    <w:rPr>
                      <w:rFonts w:hint="default"/>
                      <w:color w:val="auto"/>
                    </w:rPr>
                  </w:pPr>
                  <w:r>
                    <w:rPr>
                      <w:rFonts w:hint="default"/>
                      <w:color w:val="auto"/>
                    </w:rPr>
                    <w:t>150μg/m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1小时平均</w:t>
                  </w:r>
                </w:p>
              </w:tc>
              <w:tc>
                <w:tcPr>
                  <w:tcW w:w="974" w:type="pct"/>
                  <w:noWrap w:val="0"/>
                  <w:vAlign w:val="center"/>
                </w:tcPr>
                <w:p>
                  <w:pPr>
                    <w:pStyle w:val="31"/>
                    <w:bidi w:val="0"/>
                    <w:rPr>
                      <w:rFonts w:hint="default"/>
                      <w:color w:val="auto"/>
                    </w:rPr>
                  </w:pPr>
                  <w:r>
                    <w:rPr>
                      <w:rFonts w:hint="eastAsia"/>
                      <w:color w:val="auto"/>
                      <w:lang w:val="en-US" w:eastAsia="zh-CN"/>
                    </w:rPr>
                    <w:t>500</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rPr>
                  </w:pPr>
                  <w:r>
                    <w:rPr>
                      <w:rFonts w:hint="default"/>
                      <w:color w:val="auto"/>
                    </w:rPr>
                    <w:t>NO</w:t>
                  </w:r>
                  <w:r>
                    <w:rPr>
                      <w:rFonts w:hint="default"/>
                      <w:color w:val="auto"/>
                      <w:vertAlign w:val="subscript"/>
                    </w:rPr>
                    <w:t>2</w:t>
                  </w:r>
                </w:p>
              </w:tc>
              <w:tc>
                <w:tcPr>
                  <w:tcW w:w="1265" w:type="pct"/>
                  <w:noWrap w:val="0"/>
                  <w:vAlign w:val="center"/>
                </w:tcPr>
                <w:p>
                  <w:pPr>
                    <w:pStyle w:val="31"/>
                    <w:bidi w:val="0"/>
                    <w:rPr>
                      <w:rFonts w:hint="default"/>
                      <w:color w:val="auto"/>
                    </w:rPr>
                  </w:pPr>
                  <w:r>
                    <w:rPr>
                      <w:rFonts w:hint="default"/>
                      <w:color w:val="auto"/>
                    </w:rPr>
                    <w:t>年平均</w:t>
                  </w:r>
                </w:p>
              </w:tc>
              <w:tc>
                <w:tcPr>
                  <w:tcW w:w="974" w:type="pct"/>
                  <w:noWrap w:val="0"/>
                  <w:vAlign w:val="center"/>
                </w:tcPr>
                <w:p>
                  <w:pPr>
                    <w:pStyle w:val="31"/>
                    <w:bidi w:val="0"/>
                    <w:rPr>
                      <w:rFonts w:hint="default"/>
                      <w:color w:val="auto"/>
                    </w:rPr>
                  </w:pPr>
                  <w:r>
                    <w:rPr>
                      <w:rFonts w:hint="default"/>
                      <w:color w:val="auto"/>
                    </w:rPr>
                    <w:t>40μg/m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24小时平均</w:t>
                  </w:r>
                </w:p>
              </w:tc>
              <w:tc>
                <w:tcPr>
                  <w:tcW w:w="974" w:type="pct"/>
                  <w:noWrap w:val="0"/>
                  <w:vAlign w:val="center"/>
                </w:tcPr>
                <w:p>
                  <w:pPr>
                    <w:pStyle w:val="31"/>
                    <w:bidi w:val="0"/>
                    <w:rPr>
                      <w:rFonts w:hint="default"/>
                      <w:color w:val="auto"/>
                    </w:rPr>
                  </w:pPr>
                  <w:r>
                    <w:rPr>
                      <w:rFonts w:hint="default"/>
                      <w:color w:val="auto"/>
                    </w:rPr>
                    <w:t>80μg/m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rPr>
                    <w:t>1小时平均</w:t>
                  </w:r>
                </w:p>
              </w:tc>
              <w:tc>
                <w:tcPr>
                  <w:tcW w:w="974" w:type="pct"/>
                  <w:noWrap w:val="0"/>
                  <w:vAlign w:val="center"/>
                </w:tcPr>
                <w:p>
                  <w:pPr>
                    <w:pStyle w:val="31"/>
                    <w:bidi w:val="0"/>
                    <w:rPr>
                      <w:rFonts w:hint="default"/>
                      <w:color w:val="auto"/>
                    </w:rPr>
                  </w:pPr>
                  <w:r>
                    <w:rPr>
                      <w:rFonts w:hint="default"/>
                      <w:color w:val="auto"/>
                    </w:rPr>
                    <w:t>200μg/m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rPr>
                  </w:pPr>
                  <w:r>
                    <w:rPr>
                      <w:rFonts w:hint="default"/>
                      <w:color w:val="auto"/>
                      <w:lang w:val="en-US" w:eastAsia="zh-CN"/>
                    </w:rPr>
                    <w:t>CO</w:t>
                  </w:r>
                </w:p>
              </w:tc>
              <w:tc>
                <w:tcPr>
                  <w:tcW w:w="1265" w:type="pct"/>
                  <w:noWrap w:val="0"/>
                  <w:vAlign w:val="center"/>
                </w:tcPr>
                <w:p>
                  <w:pPr>
                    <w:pStyle w:val="31"/>
                    <w:bidi w:val="0"/>
                    <w:rPr>
                      <w:rFonts w:hint="default"/>
                      <w:color w:val="auto"/>
                    </w:rPr>
                  </w:pPr>
                  <w:r>
                    <w:rPr>
                      <w:rFonts w:hint="default"/>
                      <w:color w:val="auto"/>
                    </w:rPr>
                    <w:t>24小时平均</w:t>
                  </w:r>
                </w:p>
              </w:tc>
              <w:tc>
                <w:tcPr>
                  <w:tcW w:w="974" w:type="pct"/>
                  <w:noWrap w:val="0"/>
                  <w:vAlign w:val="center"/>
                </w:tcPr>
                <w:p>
                  <w:pPr>
                    <w:pStyle w:val="31"/>
                    <w:bidi w:val="0"/>
                    <w:rPr>
                      <w:rFonts w:hint="default"/>
                      <w:color w:val="auto"/>
                    </w:rPr>
                  </w:pPr>
                  <w:r>
                    <w:rPr>
                      <w:rFonts w:hint="default"/>
                      <w:color w:val="auto"/>
                      <w:lang w:val="en-US" w:eastAsia="zh-CN"/>
                    </w:rPr>
                    <w:t>4mg/</w:t>
                  </w:r>
                  <w:r>
                    <w:rPr>
                      <w:rFonts w:hint="default"/>
                      <w:color w:val="auto"/>
                    </w:rPr>
                    <w:t>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lang w:val="en-US" w:eastAsia="zh-CN"/>
                    </w:rPr>
                    <w:t>1小时平均</w:t>
                  </w:r>
                </w:p>
              </w:tc>
              <w:tc>
                <w:tcPr>
                  <w:tcW w:w="974" w:type="pct"/>
                  <w:noWrap w:val="0"/>
                  <w:vAlign w:val="center"/>
                </w:tcPr>
                <w:p>
                  <w:pPr>
                    <w:pStyle w:val="31"/>
                    <w:bidi w:val="0"/>
                    <w:rPr>
                      <w:rFonts w:hint="default"/>
                      <w:color w:val="auto"/>
                    </w:rPr>
                  </w:pPr>
                  <w:r>
                    <w:rPr>
                      <w:rFonts w:hint="default"/>
                      <w:color w:val="auto"/>
                      <w:lang w:val="en-US" w:eastAsia="zh-CN"/>
                    </w:rPr>
                    <w:t>10mg/</w:t>
                  </w:r>
                  <w:r>
                    <w:rPr>
                      <w:rFonts w:hint="default"/>
                      <w:color w:val="auto"/>
                    </w:rPr>
                    <w:t>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rPr>
                  </w:pPr>
                  <w:r>
                    <w:rPr>
                      <w:rFonts w:hint="default"/>
                      <w:color w:val="auto"/>
                      <w:lang w:val="en-US" w:eastAsia="zh-CN"/>
                    </w:rPr>
                    <w:t>O</w:t>
                  </w:r>
                  <w:r>
                    <w:rPr>
                      <w:rFonts w:hint="default"/>
                      <w:color w:val="auto"/>
                      <w:vertAlign w:val="subscript"/>
                      <w:lang w:val="en-US" w:eastAsia="zh-CN"/>
                    </w:rPr>
                    <w:t>3</w:t>
                  </w:r>
                </w:p>
              </w:tc>
              <w:tc>
                <w:tcPr>
                  <w:tcW w:w="1265" w:type="pct"/>
                  <w:noWrap w:val="0"/>
                  <w:vAlign w:val="center"/>
                </w:tcPr>
                <w:p>
                  <w:pPr>
                    <w:pStyle w:val="31"/>
                    <w:bidi w:val="0"/>
                    <w:rPr>
                      <w:rFonts w:hint="default"/>
                      <w:color w:val="auto"/>
                    </w:rPr>
                  </w:pPr>
                  <w:r>
                    <w:rPr>
                      <w:rFonts w:hint="default"/>
                      <w:color w:val="auto"/>
                      <w:lang w:val="en-US" w:eastAsia="zh-CN"/>
                    </w:rPr>
                    <w:t>日最大8小时平均</w:t>
                  </w:r>
                </w:p>
              </w:tc>
              <w:tc>
                <w:tcPr>
                  <w:tcW w:w="974" w:type="pct"/>
                  <w:noWrap w:val="0"/>
                  <w:vAlign w:val="center"/>
                </w:tcPr>
                <w:p>
                  <w:pPr>
                    <w:pStyle w:val="31"/>
                    <w:bidi w:val="0"/>
                    <w:rPr>
                      <w:rFonts w:hint="default"/>
                      <w:color w:val="auto"/>
                    </w:rPr>
                  </w:pPr>
                  <w:r>
                    <w:rPr>
                      <w:rFonts w:hint="default"/>
                      <w:color w:val="auto"/>
                      <w:lang w:val="en-US" w:eastAsia="zh-CN"/>
                    </w:rPr>
                    <w:t>160</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rPr>
                  </w:pPr>
                  <w:r>
                    <w:rPr>
                      <w:rFonts w:hint="default"/>
                      <w:color w:val="auto"/>
                      <w:lang w:val="en-US" w:eastAsia="zh-CN"/>
                    </w:rPr>
                    <w:t>1小时平均</w:t>
                  </w:r>
                </w:p>
              </w:tc>
              <w:tc>
                <w:tcPr>
                  <w:tcW w:w="974" w:type="pct"/>
                  <w:noWrap w:val="0"/>
                  <w:vAlign w:val="center"/>
                </w:tcPr>
                <w:p>
                  <w:pPr>
                    <w:pStyle w:val="31"/>
                    <w:bidi w:val="0"/>
                    <w:rPr>
                      <w:rFonts w:hint="default"/>
                      <w:color w:val="auto"/>
                    </w:rPr>
                  </w:pPr>
                  <w:r>
                    <w:rPr>
                      <w:rFonts w:hint="default"/>
                      <w:color w:val="auto"/>
                      <w:lang w:val="en-US" w:eastAsia="zh-CN"/>
                    </w:rPr>
                    <w:t>200</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31"/>
                    <w:bidi w:val="0"/>
                    <w:rPr>
                      <w:rFonts w:hint="default"/>
                      <w:color w:val="auto"/>
                      <w:lang w:val="en-US" w:eastAsia="zh-CN"/>
                    </w:rPr>
                  </w:pPr>
                  <w:r>
                    <w:rPr>
                      <w:rFonts w:hint="eastAsia"/>
                      <w:color w:val="auto"/>
                      <w:lang w:val="en-US" w:eastAsia="zh-CN"/>
                    </w:rPr>
                    <w:t>TSP</w:t>
                  </w:r>
                </w:p>
              </w:tc>
              <w:tc>
                <w:tcPr>
                  <w:tcW w:w="1265" w:type="pct"/>
                  <w:noWrap w:val="0"/>
                  <w:vAlign w:val="center"/>
                </w:tcPr>
                <w:p>
                  <w:pPr>
                    <w:pStyle w:val="31"/>
                    <w:bidi w:val="0"/>
                    <w:rPr>
                      <w:rFonts w:hint="default"/>
                      <w:color w:val="auto"/>
                      <w:lang w:val="en-US" w:eastAsia="zh-CN"/>
                    </w:rPr>
                  </w:pPr>
                  <w:r>
                    <w:rPr>
                      <w:rFonts w:hint="eastAsia"/>
                      <w:color w:val="auto"/>
                      <w:lang w:val="en-US" w:eastAsia="zh-CN"/>
                    </w:rPr>
                    <w:t>年平均</w:t>
                  </w:r>
                </w:p>
              </w:tc>
              <w:tc>
                <w:tcPr>
                  <w:tcW w:w="974" w:type="pct"/>
                  <w:noWrap w:val="0"/>
                  <w:vAlign w:val="center"/>
                </w:tcPr>
                <w:p>
                  <w:pPr>
                    <w:pStyle w:val="31"/>
                    <w:bidi w:val="0"/>
                    <w:rPr>
                      <w:rFonts w:hint="default"/>
                      <w:color w:val="auto"/>
                      <w:lang w:val="en-US" w:eastAsia="zh-CN"/>
                    </w:rPr>
                  </w:pPr>
                  <w:r>
                    <w:rPr>
                      <w:rFonts w:hint="eastAsia"/>
                      <w:color w:val="auto"/>
                      <w:lang w:val="en-US" w:eastAsia="zh-CN"/>
                    </w:rPr>
                    <w:t>200</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31"/>
                    <w:bidi w:val="0"/>
                    <w:rPr>
                      <w:rFonts w:hint="default"/>
                      <w:color w:val="auto"/>
                    </w:rPr>
                  </w:pPr>
                </w:p>
              </w:tc>
              <w:tc>
                <w:tcPr>
                  <w:tcW w:w="1265" w:type="pct"/>
                  <w:noWrap w:val="0"/>
                  <w:vAlign w:val="center"/>
                </w:tcPr>
                <w:p>
                  <w:pPr>
                    <w:pStyle w:val="31"/>
                    <w:bidi w:val="0"/>
                    <w:rPr>
                      <w:rFonts w:hint="default"/>
                      <w:color w:val="auto"/>
                      <w:lang w:val="en-US" w:eastAsia="zh-CN"/>
                    </w:rPr>
                  </w:pPr>
                  <w:r>
                    <w:rPr>
                      <w:rFonts w:hint="default"/>
                      <w:color w:val="auto"/>
                    </w:rPr>
                    <w:t>24小时平均</w:t>
                  </w:r>
                </w:p>
              </w:tc>
              <w:tc>
                <w:tcPr>
                  <w:tcW w:w="974" w:type="pct"/>
                  <w:noWrap w:val="0"/>
                  <w:vAlign w:val="center"/>
                </w:tcPr>
                <w:p>
                  <w:pPr>
                    <w:pStyle w:val="31"/>
                    <w:bidi w:val="0"/>
                    <w:rPr>
                      <w:rFonts w:hint="default"/>
                      <w:color w:val="auto"/>
                      <w:lang w:val="en-US" w:eastAsia="zh-CN"/>
                    </w:rPr>
                  </w:pPr>
                  <w:r>
                    <w:rPr>
                      <w:rFonts w:hint="eastAsia"/>
                      <w:color w:val="auto"/>
                      <w:lang w:val="en-US" w:eastAsia="zh-CN"/>
                    </w:rPr>
                    <w:t>3</w:t>
                  </w:r>
                  <w:r>
                    <w:rPr>
                      <w:rFonts w:hint="default"/>
                      <w:color w:val="auto"/>
                      <w:lang w:val="en-US" w:eastAsia="zh-CN"/>
                    </w:rPr>
                    <w:t>00</w:t>
                  </w:r>
                  <w:r>
                    <w:rPr>
                      <w:rFonts w:hint="default"/>
                      <w:color w:val="auto"/>
                    </w:rPr>
                    <w:t>μg/m</w:t>
                  </w:r>
                  <w:r>
                    <w:rPr>
                      <w:rFonts w:hint="default"/>
                      <w:color w:val="auto"/>
                      <w:vertAlign w:val="superscript"/>
                    </w:rPr>
                    <w:t>3</w:t>
                  </w:r>
                </w:p>
              </w:tc>
              <w:tc>
                <w:tcPr>
                  <w:tcW w:w="1829" w:type="pct"/>
                  <w:vMerge w:val="continue"/>
                  <w:noWrap w:val="0"/>
                  <w:vAlign w:val="center"/>
                </w:tcPr>
                <w:p>
                  <w:pPr>
                    <w:pStyle w:val="31"/>
                    <w:bidi w:val="0"/>
                    <w:rPr>
                      <w:rFonts w:hint="default"/>
                      <w:color w:val="auto"/>
                    </w:rPr>
                  </w:pPr>
                </w:p>
              </w:tc>
            </w:tr>
          </w:tbl>
          <w:p>
            <w:pPr>
              <w:pStyle w:val="4"/>
              <w:bidi w:val="0"/>
              <w:rPr>
                <w:rFonts w:hint="default"/>
                <w:color w:val="auto"/>
              </w:rPr>
            </w:pPr>
            <w:r>
              <w:rPr>
                <w:rFonts w:hint="default"/>
                <w:color w:val="auto"/>
                <w:lang w:val="en-US" w:eastAsia="zh-CN"/>
              </w:rPr>
              <w:t>3.1.2</w:t>
            </w:r>
            <w:r>
              <w:rPr>
                <w:rFonts w:hint="default"/>
                <w:color w:val="auto"/>
              </w:rPr>
              <w:t>区域大气环境质量现状</w:t>
            </w:r>
          </w:p>
          <w:p>
            <w:pPr>
              <w:bidi w:val="0"/>
              <w:rPr>
                <w:rFonts w:hint="default"/>
                <w:b/>
                <w:bCs/>
                <w:color w:val="auto"/>
                <w:lang w:val="en-US" w:eastAsia="zh-CN"/>
              </w:rPr>
            </w:pPr>
            <w:r>
              <w:rPr>
                <w:rFonts w:hint="eastAsia"/>
                <w:b/>
                <w:bCs/>
                <w:color w:val="auto"/>
                <w:lang w:val="en-US" w:eastAsia="zh-CN"/>
              </w:rPr>
              <w:t>（1）</w:t>
            </w:r>
            <w:r>
              <w:rPr>
                <w:rFonts w:hint="default"/>
                <w:b/>
                <w:bCs/>
                <w:color w:val="auto"/>
                <w:lang w:val="en-US" w:eastAsia="zh-CN"/>
              </w:rPr>
              <w:t>城市达标区域判断</w:t>
            </w:r>
          </w:p>
          <w:p>
            <w:pPr>
              <w:bidi w:val="0"/>
              <w:rPr>
                <w:rFonts w:hint="default"/>
                <w:color w:val="auto"/>
                <w:lang w:val="en-US" w:eastAsia="zh-CN"/>
              </w:rPr>
            </w:pPr>
            <w:r>
              <w:rPr>
                <w:rFonts w:hint="default"/>
                <w:color w:val="auto"/>
              </w:rPr>
              <w:t>城市环境空气质量达标情况评价指标为SO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w:t>
            </w:r>
            <w:r>
              <w:rPr>
                <w:rFonts w:hint="default"/>
                <w:color w:val="auto"/>
                <w:vertAlign w:val="subscript"/>
              </w:rPr>
              <w:t>10</w:t>
            </w:r>
            <w:r>
              <w:rPr>
                <w:rFonts w:hint="default"/>
                <w:color w:val="auto"/>
              </w:rPr>
              <w:t>、PM</w:t>
            </w:r>
            <w:r>
              <w:rPr>
                <w:rFonts w:hint="default"/>
                <w:color w:val="auto"/>
                <w:vertAlign w:val="subscript"/>
              </w:rPr>
              <w:t>2.5</w:t>
            </w:r>
            <w:r>
              <w:rPr>
                <w:rFonts w:hint="default"/>
                <w:color w:val="auto"/>
              </w:rPr>
              <w:t>、CO和O</w:t>
            </w:r>
            <w:r>
              <w:rPr>
                <w:rFonts w:hint="default"/>
                <w:color w:val="auto"/>
                <w:vertAlign w:val="subscript"/>
              </w:rPr>
              <w:t>3</w:t>
            </w:r>
            <w:r>
              <w:rPr>
                <w:rFonts w:hint="default"/>
                <w:color w:val="auto"/>
              </w:rPr>
              <w:t>，</w:t>
            </w:r>
            <w:r>
              <w:rPr>
                <w:rFonts w:hint="default"/>
                <w:color w:val="auto"/>
                <w:lang w:val="en-US" w:eastAsia="zh-CN"/>
              </w:rPr>
              <w:t>六项污染物全部达标即为城市环境空气质量达标。</w:t>
            </w:r>
          </w:p>
          <w:p>
            <w:pPr>
              <w:bidi w:val="0"/>
              <w:rPr>
                <w:rFonts w:hint="eastAsia"/>
                <w:color w:val="auto"/>
                <w:lang w:val="en-US" w:eastAsia="zh-CN"/>
              </w:rPr>
            </w:pPr>
            <w:r>
              <w:rPr>
                <w:rFonts w:hint="eastAsia"/>
                <w:color w:val="auto"/>
                <w:lang w:val="en-US" w:eastAsia="zh-CN"/>
              </w:rPr>
              <w:t>根据福清市人民政府网站公布的2024年1月-12月福清市空气环境质量各月报可知（网址：http://www.fuqing.gov.cn/xjwz/zwgk/ztzl/sdgjz/dhwrfzgjz/hjzl/），福清市2024年连续1年的大气常规因子环境空气质量监测数据如下。</w:t>
            </w:r>
          </w:p>
          <w:p>
            <w:pPr>
              <w:pStyle w:val="33"/>
              <w:bidi w:val="0"/>
              <w:rPr>
                <w:rFonts w:hint="default"/>
                <w:color w:val="auto"/>
                <w:lang w:val="zh-CN" w:eastAsia="zh-CN"/>
              </w:rPr>
            </w:pPr>
          </w:p>
          <w:p>
            <w:pPr>
              <w:pStyle w:val="33"/>
              <w:bidi w:val="0"/>
              <w:rPr>
                <w:rFonts w:hint="default"/>
                <w:color w:val="auto"/>
                <w:sz w:val="24"/>
                <w:szCs w:val="24"/>
                <w:lang w:val="zh-CN" w:eastAsia="zh-CN"/>
              </w:rPr>
            </w:pPr>
            <w:r>
              <w:rPr>
                <w:rFonts w:hint="default"/>
                <w:color w:val="auto"/>
                <w:sz w:val="24"/>
                <w:szCs w:val="24"/>
                <w:lang w:val="zh-CN" w:eastAsia="zh-CN"/>
              </w:rPr>
              <w:t>表3.1-</w:t>
            </w:r>
            <w:r>
              <w:rPr>
                <w:rFonts w:hint="eastAsia"/>
                <w:color w:val="auto"/>
                <w:sz w:val="24"/>
                <w:szCs w:val="24"/>
                <w:lang w:val="en-US" w:eastAsia="zh-CN"/>
              </w:rPr>
              <w:t xml:space="preserve">2 </w:t>
            </w:r>
            <w:r>
              <w:rPr>
                <w:rFonts w:hint="eastAsia"/>
                <w:color w:val="auto"/>
                <w:sz w:val="24"/>
                <w:szCs w:val="24"/>
                <w:lang w:val="zh-CN" w:eastAsia="zh-CN"/>
              </w:rPr>
              <w:t>福</w:t>
            </w:r>
            <w:r>
              <w:rPr>
                <w:rFonts w:hint="eastAsia"/>
                <w:color w:val="auto"/>
                <w:sz w:val="24"/>
                <w:szCs w:val="24"/>
                <w:lang w:val="en-US" w:eastAsia="zh-CN"/>
              </w:rPr>
              <w:t>清市</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年1月份</w:t>
            </w:r>
            <w:r>
              <w:rPr>
                <w:rFonts w:hint="eastAsia"/>
                <w:color w:val="auto"/>
                <w:sz w:val="24"/>
                <w:szCs w:val="24"/>
                <w:lang w:val="zh-CN" w:eastAsia="zh-CN"/>
              </w:rPr>
              <w:t>～</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w:t>
            </w:r>
            <w:r>
              <w:rPr>
                <w:rFonts w:hint="eastAsia"/>
                <w:color w:val="auto"/>
                <w:sz w:val="24"/>
                <w:szCs w:val="24"/>
                <w:lang w:val="en-US" w:eastAsia="zh-CN"/>
              </w:rPr>
              <w:t>2</w:t>
            </w:r>
            <w:r>
              <w:rPr>
                <w:rFonts w:hint="default"/>
                <w:color w:val="auto"/>
                <w:sz w:val="24"/>
                <w:szCs w:val="24"/>
                <w:lang w:val="zh-CN" w:eastAsia="zh-CN"/>
              </w:rPr>
              <w:t>月份环境空气质量统计</w:t>
            </w:r>
          </w:p>
          <w:tbl>
            <w:tblPr>
              <w:tblStyle w:val="20"/>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953"/>
              <w:gridCol w:w="942"/>
              <w:gridCol w:w="1008"/>
              <w:gridCol w:w="1008"/>
              <w:gridCol w:w="1019"/>
              <w:gridCol w:w="1119"/>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6141" w:type="dxa"/>
                  <w:gridSpan w:val="6"/>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月均值m</w:t>
                  </w:r>
                  <w:r>
                    <w:rPr>
                      <w:rFonts w:hint="default" w:ascii="Times New Roman" w:hAnsi="Times New Roman" w:eastAsia="宋体" w:cs="Times New Roman"/>
                      <w:b/>
                      <w:bCs/>
                      <w:color w:val="auto"/>
                      <w:sz w:val="21"/>
                      <w:szCs w:val="21"/>
                      <w:highlight w:val="none"/>
                    </w:rPr>
                    <w:t>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年2月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年3月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年4月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年5月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年6月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年7月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年8月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年9月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年10月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年11月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年12月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0.160</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6141" w:type="dxa"/>
                  <w:gridSpan w:val="6"/>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94" w:type="dxa"/>
                  <w:gridSpan w:val="7"/>
                  <w:tcBorders>
                    <w:tl2br w:val="nil"/>
                    <w:tr2bl w:val="nil"/>
                  </w:tcBorders>
                  <w:noWrap w:val="0"/>
                  <w:vAlign w:val="center"/>
                </w:tcPr>
                <w:p>
                  <w:pPr>
                    <w:spacing w:line="240" w:lineRule="auto"/>
                    <w:ind w:firstLine="0" w:firstLineChars="0"/>
                    <w:jc w:val="both"/>
                    <w:rPr>
                      <w:rFonts w:hint="default" w:ascii="Times New Roman" w:hAnsi="Times New Roman" w:eastAsia="宋体"/>
                      <w:color w:val="auto"/>
                      <w:highlight w:val="none"/>
                      <w:lang w:val="en-US" w:eastAsia="zh-CN"/>
                    </w:rPr>
                  </w:pPr>
                  <w:r>
                    <w:rPr>
                      <w:rFonts w:hint="default" w:ascii="Times New Roman" w:hAnsi="Times New Roman" w:eastAsia="宋体"/>
                      <w:color w:val="auto"/>
                      <w:sz w:val="18"/>
                      <w:szCs w:val="18"/>
                      <w:highlight w:val="none"/>
                    </w:rPr>
                    <w:t>注：CO为日均值第95百分位数，O</w:t>
                  </w:r>
                  <w:r>
                    <w:rPr>
                      <w:rFonts w:hint="default" w:ascii="Times New Roman" w:hAnsi="Times New Roman" w:eastAsia="宋体"/>
                      <w:color w:val="auto"/>
                      <w:sz w:val="18"/>
                      <w:szCs w:val="18"/>
                      <w:highlight w:val="none"/>
                      <w:vertAlign w:val="subscript"/>
                    </w:rPr>
                    <w:t>3</w:t>
                  </w:r>
                  <w:r>
                    <w:rPr>
                      <w:rFonts w:hint="default" w:ascii="Times New Roman" w:hAnsi="Times New Roman" w:eastAsia="宋体"/>
                      <w:color w:val="auto"/>
                      <w:sz w:val="18"/>
                      <w:szCs w:val="18"/>
                      <w:highlight w:val="none"/>
                    </w:rPr>
                    <w:t>为日最大8小时值第90百分位数。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12月份环境</w:t>
            </w:r>
            <w:r>
              <w:rPr>
                <w:rFonts w:hint="eastAsia" w:ascii="Times New Roman" w:hAnsi="Times New Roman" w:eastAsia="宋体" w:cs="Times New Roman"/>
                <w:color w:val="auto"/>
                <w:sz w:val="24"/>
                <w:szCs w:val="24"/>
                <w:highlight w:val="none"/>
                <w:lang w:val="en-US" w:eastAsia="zh-CN"/>
              </w:rPr>
              <w:t>空气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2.5</w:t>
            </w:r>
            <w:r>
              <w:rPr>
                <w:rFonts w:hint="default" w:ascii="Times New Roman" w:hAnsi="Times New Roman" w:eastAsia="宋体" w:cs="Times New Roman"/>
                <w:bCs/>
                <w:color w:val="auto"/>
                <w:sz w:val="24"/>
                <w:szCs w:val="24"/>
              </w:rPr>
              <w:t>、CO、O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六项污染物</w:t>
            </w:r>
            <w:r>
              <w:rPr>
                <w:rFonts w:hint="eastAsia" w:ascii="Times New Roman" w:hAnsi="Times New Roman" w:eastAsia="宋体" w:cs="Times New Roman"/>
                <w:bCs/>
                <w:color w:val="auto"/>
                <w:sz w:val="24"/>
                <w:szCs w:val="24"/>
                <w:lang w:eastAsia="zh-CN"/>
              </w:rPr>
              <w:t>浓度指标可达</w:t>
            </w:r>
            <w:r>
              <w:rPr>
                <w:rFonts w:hint="default" w:ascii="Times New Roman" w:hAnsi="Times New Roman" w:eastAsia="宋体" w:cs="Times New Roman"/>
                <w:bCs/>
                <w:color w:val="auto"/>
                <w:sz w:val="24"/>
                <w:szCs w:val="24"/>
              </w:rPr>
              <w:t>《环境空气质量标准》</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GB3095-2012</w:t>
            </w:r>
            <w:r>
              <w:rPr>
                <w:rFonts w:hint="default" w:ascii="Times New Roman" w:hAnsi="Times New Roman" w:eastAsia="宋体" w:cs="Times New Roman"/>
                <w:bCs/>
                <w:color w:val="auto"/>
                <w:sz w:val="24"/>
                <w:szCs w:val="24"/>
                <w:lang w:val="en-US" w:eastAsia="zh-CN"/>
              </w:rPr>
              <w:t>)及其修改单</w:t>
            </w:r>
            <w:r>
              <w:rPr>
                <w:rFonts w:hint="default" w:ascii="Times New Roman" w:hAnsi="Times New Roman" w:eastAsia="宋体" w:cs="Times New Roman"/>
                <w:bCs/>
                <w:color w:val="auto"/>
                <w:sz w:val="24"/>
                <w:szCs w:val="24"/>
              </w:rPr>
              <w:t>中的二级标准要求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highlight w:val="none"/>
                <w:lang w:val="en-US" w:eastAsia="zh-CN"/>
              </w:rPr>
              <w:t>因此，项目所在区域属于大气环境达标区。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其他</w:t>
            </w:r>
            <w:r>
              <w:rPr>
                <w:rFonts w:hint="default" w:ascii="Times New Roman" w:hAnsi="Times New Roman" w:eastAsia="宋体" w:cs="Times New Roman"/>
                <w:b/>
                <w:bCs/>
                <w:color w:val="auto"/>
                <w:sz w:val="24"/>
                <w:szCs w:val="24"/>
                <w:highlight w:val="none"/>
                <w:lang w:eastAsia="zh-CN"/>
              </w:rPr>
              <w:t>污染因子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4"/>
                <w:highlight w:val="none"/>
                <w:lang w:val="en-US" w:eastAsia="zh-CN"/>
              </w:rPr>
              <w:t>，本</w:t>
            </w:r>
            <w:r>
              <w:rPr>
                <w:rFonts w:hint="eastAsia" w:cs="Times New Roman"/>
                <w:b w:val="0"/>
                <w:bCs w:val="0"/>
                <w:color w:val="auto"/>
                <w:sz w:val="24"/>
                <w:szCs w:val="24"/>
                <w:highlight w:val="none"/>
                <w:lang w:val="en-US" w:eastAsia="zh-CN"/>
              </w:rPr>
              <w:t>次</w:t>
            </w:r>
            <w:r>
              <w:rPr>
                <w:rFonts w:hint="eastAsia" w:ascii="Times New Roman" w:hAnsi="Times New Roman" w:eastAsia="宋体" w:cs="Times New Roman"/>
                <w:b w:val="0"/>
                <w:bCs w:val="0"/>
                <w:color w:val="auto"/>
                <w:sz w:val="24"/>
                <w:szCs w:val="24"/>
                <w:highlight w:val="none"/>
                <w:lang w:val="en-US" w:eastAsia="zh-CN"/>
              </w:rPr>
              <w:t>评价引用安正计量检测有限公司于2024年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检测报告编号：AZJC24</w:t>
            </w:r>
            <w:r>
              <w:rPr>
                <w:rFonts w:hint="eastAsia" w:cs="Times New Roman"/>
                <w:b w:val="0"/>
                <w:bCs w:val="0"/>
                <w:color w:val="auto"/>
                <w:sz w:val="24"/>
                <w:szCs w:val="24"/>
                <w:highlight w:val="none"/>
                <w:lang w:val="en-US" w:eastAsia="zh-CN"/>
              </w:rPr>
              <w:t>0321001</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TSP监测结果见表3.1-</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，监测点位置见</w:t>
            </w:r>
            <w:r>
              <w:rPr>
                <w:rFonts w:hint="eastAsia" w:ascii="Times New Roman" w:hAnsi="Times New Roman" w:eastAsia="宋体" w:cs="Times New Roman"/>
                <w:b w:val="0"/>
                <w:bCs w:val="0"/>
                <w:color w:val="auto"/>
                <w:sz w:val="24"/>
                <w:szCs w:val="24"/>
                <w:highlight w:val="none"/>
                <w:lang w:val="en-US" w:eastAsia="zh-CN"/>
              </w:rPr>
              <w:t>附图</w:t>
            </w:r>
            <w:r>
              <w:rPr>
                <w:rFonts w:hint="eastAsia" w:cs="Times New Roman"/>
                <w:b w:val="0"/>
                <w:bCs w:val="0"/>
                <w:color w:val="auto"/>
                <w:sz w:val="24"/>
                <w:szCs w:val="24"/>
                <w:highlight w:val="none"/>
                <w:lang w:val="en-US" w:eastAsia="zh-CN"/>
              </w:rPr>
              <w:t>十三</w:t>
            </w:r>
            <w:r>
              <w:rPr>
                <w:rFonts w:hint="eastAsia" w:ascii="Times New Roman" w:hAnsi="Times New Roman" w:eastAsia="宋体" w:cs="Times New Roman"/>
                <w:b w:val="0"/>
                <w:bCs w:val="0"/>
                <w:color w:val="auto"/>
                <w:sz w:val="24"/>
                <w:szCs w:val="24"/>
                <w:highlight w:val="none"/>
                <w:lang w:val="en-US" w:eastAsia="zh-CN"/>
              </w:rPr>
              <w:t>，监测报告见附件</w:t>
            </w:r>
            <w:r>
              <w:rPr>
                <w:rFonts w:hint="eastAsia" w:cs="Times New Roman"/>
                <w:b w:val="0"/>
                <w:bCs w:val="0"/>
                <w:color w:val="auto"/>
                <w:sz w:val="24"/>
                <w:szCs w:val="24"/>
                <w:highlight w:val="none"/>
                <w:lang w:val="en-US" w:eastAsia="zh-CN"/>
              </w:rPr>
              <w:t>七</w:t>
            </w:r>
            <w:r>
              <w:rPr>
                <w:rFonts w:hint="eastAsia" w:ascii="Times New Roman" w:hAnsi="Times New Roman" w:eastAsia="宋体" w:cs="Times New Roman"/>
                <w:b w:val="0"/>
                <w:bCs w:val="0"/>
                <w:color w:val="auto"/>
                <w:sz w:val="24"/>
                <w:szCs w:val="24"/>
                <w:highlight w:val="none"/>
                <w:lang w:val="en-US" w:eastAsia="zh-CN"/>
              </w:rPr>
              <w:t>。</w:t>
            </w:r>
          </w:p>
          <w:p>
            <w:pPr>
              <w:pStyle w:val="33"/>
              <w:bidi w:val="0"/>
              <w:rPr>
                <w:rFonts w:hint="eastAsia"/>
                <w:color w:val="auto"/>
                <w:sz w:val="24"/>
                <w:szCs w:val="24"/>
                <w:lang w:val="en-US" w:eastAsia="zh-CN"/>
              </w:rPr>
            </w:pPr>
            <w:r>
              <w:rPr>
                <w:rFonts w:hint="eastAsia"/>
                <w:color w:val="auto"/>
                <w:sz w:val="24"/>
                <w:szCs w:val="24"/>
                <w:lang w:val="en-US" w:eastAsia="zh-CN"/>
              </w:rPr>
              <w:t>表3.1-3 项目区域TSP环境监测数据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根据上表监测结果可知，项目所在区域</w:t>
            </w:r>
            <w:r>
              <w:rPr>
                <w:rFonts w:hint="eastAsia" w:cs="Times New Roman"/>
                <w:color w:val="auto"/>
                <w:sz w:val="24"/>
                <w:szCs w:val="24"/>
                <w:lang w:val="en-US" w:eastAsia="zh-CN"/>
              </w:rPr>
              <w:t>石溪</w:t>
            </w:r>
            <w:r>
              <w:rPr>
                <w:rFonts w:hint="eastAsia" w:ascii="Times New Roman" w:hAnsi="Times New Roman" w:eastAsia="宋体" w:cs="Times New Roman"/>
                <w:color w:val="auto"/>
                <w:sz w:val="24"/>
                <w:szCs w:val="24"/>
                <w:lang w:val="en-US" w:eastAsia="zh-CN"/>
              </w:rPr>
              <w:t>村TSP的24小时平均浓度值符合《环境空气质量标准》（GB3095-2012）及其修改单中的二级标准，即≤0.3mg/m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，环境质量现状良好</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引用资料的有效性</w:t>
            </w:r>
            <w:r>
              <w:rPr>
                <w:rFonts w:hint="eastAsia" w:cs="Times New Roman"/>
                <w:b/>
                <w:bCs/>
                <w:color w:val="auto"/>
                <w:sz w:val="24"/>
                <w:szCs w:val="24"/>
                <w:lang w:val="en-US" w:eastAsia="zh-CN"/>
              </w:rPr>
              <w:t>及可行性</w:t>
            </w:r>
            <w:r>
              <w:rPr>
                <w:rFonts w:hint="default" w:ascii="Times New Roman" w:hAnsi="Times New Roman" w:eastAsia="宋体" w:cs="Times New Roman"/>
                <w:b/>
                <w:bCs/>
                <w:color w:val="auto"/>
                <w:sz w:val="24"/>
                <w:szCs w:val="24"/>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根据《建设项目环境影响报告表编制技术指南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污染影响类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环办环评〔2020〕33号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4"/>
                <w:lang w:eastAsia="zh-CN"/>
              </w:rPr>
              <w:t>，无相关数据的选择当季主导风向下风向1个点位补充不少于3天的监测数据</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本评价常规污染因子选取</w:t>
            </w:r>
            <w:r>
              <w:rPr>
                <w:rFonts w:hint="eastAsia" w:ascii="Times New Roman" w:hAnsi="Times New Roman" w:eastAsia="宋体" w:cs="Times New Roman"/>
                <w:color w:val="auto"/>
                <w:sz w:val="24"/>
                <w:szCs w:val="24"/>
                <w:lang w:val="en-US" w:eastAsia="zh-CN"/>
              </w:rPr>
              <w:t>福</w:t>
            </w:r>
            <w:r>
              <w:rPr>
                <w:rFonts w:hint="eastAsia" w:cs="Times New Roman"/>
                <w:color w:val="auto"/>
                <w:sz w:val="24"/>
                <w:szCs w:val="24"/>
                <w:lang w:val="en-US" w:eastAsia="zh-CN"/>
              </w:rPr>
              <w:t>清市</w:t>
            </w:r>
            <w:r>
              <w:rPr>
                <w:rFonts w:hint="eastAsia" w:ascii="Times New Roman" w:hAnsi="Times New Roman" w:eastAsia="宋体" w:cs="Times New Roman"/>
                <w:color w:val="auto"/>
                <w:sz w:val="24"/>
                <w:szCs w:val="24"/>
                <w:lang w:val="en-US" w:eastAsia="zh-CN"/>
              </w:rPr>
              <w:t>人民政府</w:t>
            </w:r>
            <w:r>
              <w:rPr>
                <w:rFonts w:hint="default" w:ascii="Times New Roman" w:hAnsi="Times New Roman" w:eastAsia="宋体" w:cs="Times New Roman"/>
                <w:color w:val="auto"/>
                <w:sz w:val="24"/>
                <w:szCs w:val="24"/>
                <w:lang w:eastAsia="zh-CN"/>
              </w:rPr>
              <w:t>发布的</w:t>
            </w:r>
            <w:r>
              <w:rPr>
                <w:rFonts w:hint="eastAsia" w:cs="Times New Roman"/>
                <w:color w:val="auto"/>
                <w:sz w:val="24"/>
                <w:szCs w:val="24"/>
                <w:lang w:val="en-US" w:eastAsia="zh-CN"/>
              </w:rPr>
              <w:t>2024年1-12月份</w:t>
            </w:r>
            <w:r>
              <w:rPr>
                <w:rFonts w:hint="default" w:ascii="Times New Roman" w:hAnsi="Times New Roman" w:eastAsia="宋体" w:cs="Times New Roman"/>
                <w:color w:val="auto"/>
                <w:sz w:val="24"/>
                <w:szCs w:val="24"/>
                <w:lang w:eastAsia="zh-CN"/>
              </w:rPr>
              <w:t>环境空气质量现状信息，特征污染因子TSP</w:t>
            </w:r>
            <w:r>
              <w:rPr>
                <w:rFonts w:hint="eastAsia" w:ascii="Times New Roman" w:hAnsi="Times New Roman" w:eastAsia="宋体" w:cs="Times New Roman"/>
                <w:color w:val="auto"/>
                <w:sz w:val="24"/>
                <w:szCs w:val="24"/>
                <w:lang w:val="en-US" w:eastAsia="zh-CN"/>
              </w:rPr>
              <w:t>引用</w:t>
            </w:r>
            <w:r>
              <w:rPr>
                <w:rFonts w:hint="default" w:ascii="Times New Roman" w:hAnsi="Times New Roman" w:eastAsia="宋体" w:cs="Times New Roman"/>
                <w:color w:val="auto"/>
                <w:sz w:val="24"/>
                <w:szCs w:val="24"/>
                <w:lang w:eastAsia="zh-CN"/>
              </w:rPr>
              <w:t>项目周边</w:t>
            </w:r>
            <w:r>
              <w:rPr>
                <w:rFonts w:hint="eastAsia" w:ascii="Times New Roman" w:hAnsi="Times New Roman" w:eastAsia="宋体" w:cs="Times New Roman"/>
                <w:color w:val="auto"/>
                <w:sz w:val="24"/>
                <w:szCs w:val="24"/>
                <w:lang w:val="en-US" w:eastAsia="zh-CN"/>
              </w:rPr>
              <w:t>5千米范围内</w:t>
            </w:r>
            <w:r>
              <w:rPr>
                <w:rFonts w:hint="default" w:ascii="Times New Roman" w:hAnsi="Times New Roman" w:eastAsia="宋体" w:cs="Times New Roman"/>
                <w:color w:val="auto"/>
                <w:sz w:val="24"/>
                <w:szCs w:val="24"/>
                <w:lang w:eastAsia="zh-CN"/>
              </w:rPr>
              <w:t>监测点</w:t>
            </w:r>
            <w:r>
              <w:rPr>
                <w:rFonts w:hint="eastAsia" w:ascii="Times New Roman" w:hAnsi="Times New Roman" w:eastAsia="宋体" w:cs="Times New Roman"/>
                <w:color w:val="auto"/>
                <w:sz w:val="24"/>
                <w:szCs w:val="24"/>
                <w:lang w:val="en-US" w:eastAsia="zh-CN"/>
              </w:rPr>
              <w:t>近3年内监测</w:t>
            </w:r>
            <w:r>
              <w:rPr>
                <w:rFonts w:hint="eastAsia" w:cs="Times New Roman"/>
                <w:color w:val="auto"/>
                <w:sz w:val="24"/>
                <w:szCs w:val="24"/>
                <w:lang w:val="en-US" w:eastAsia="zh-CN"/>
              </w:rPr>
              <w:t>数据</w:t>
            </w:r>
            <w:r>
              <w:rPr>
                <w:rFonts w:hint="default" w:ascii="Times New Roman" w:hAnsi="Times New Roman" w:eastAsia="宋体" w:cs="Times New Roman"/>
                <w:color w:val="auto"/>
                <w:sz w:val="24"/>
                <w:szCs w:val="24"/>
                <w:lang w:eastAsia="zh-CN"/>
              </w:rPr>
              <w:t>，符合《建设项目环境影响报告表编制技术指南（污染影响类）（试行）》（环办环评〔2020〕33号）的要求。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本项目引用</w:t>
            </w:r>
            <w:r>
              <w:rPr>
                <w:rFonts w:hint="eastAsia" w:ascii="Times New Roman" w:hAnsi="Times New Roman" w:eastAsia="宋体" w:cs="Times New Roman"/>
                <w:b w:val="0"/>
                <w:bCs w:val="0"/>
                <w:color w:val="auto"/>
                <w:sz w:val="24"/>
                <w:szCs w:val="24"/>
                <w:highlight w:val="none"/>
                <w:lang w:val="en-US" w:eastAsia="zh-CN"/>
              </w:rPr>
              <w:t>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检测报告编号：AZJC24</w:t>
            </w:r>
            <w:r>
              <w:rPr>
                <w:rFonts w:hint="eastAsia" w:cs="Times New Roman"/>
                <w:b w:val="0"/>
                <w:bCs w:val="0"/>
                <w:color w:val="auto"/>
                <w:sz w:val="24"/>
                <w:szCs w:val="24"/>
                <w:highlight w:val="none"/>
                <w:lang w:val="en-US" w:eastAsia="zh-CN"/>
              </w:rPr>
              <w:t>0321001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监测点位于本项目</w:t>
            </w:r>
            <w:r>
              <w:rPr>
                <w:rFonts w:hint="eastAsia" w:ascii="Times New Roman" w:hAnsi="Times New Roman" w:eastAsia="宋体" w:cs="Times New Roman"/>
                <w:b w:val="0"/>
                <w:bCs w:val="0"/>
                <w:color w:val="auto"/>
                <w:sz w:val="24"/>
                <w:szCs w:val="24"/>
                <w:highlight w:val="none"/>
                <w:lang w:val="en-US" w:eastAsia="zh-CN"/>
              </w:rPr>
              <w:t>厂区西</w:t>
            </w:r>
            <w:r>
              <w:rPr>
                <w:rFonts w:hint="eastAsia" w:cs="Times New Roman"/>
                <w:b w:val="0"/>
                <w:bCs w:val="0"/>
                <w:color w:val="auto"/>
                <w:sz w:val="24"/>
                <w:szCs w:val="24"/>
                <w:highlight w:val="none"/>
                <w:lang w:val="en-US" w:eastAsia="zh-CN"/>
              </w:rPr>
              <w:t>北</w:t>
            </w:r>
            <w:r>
              <w:rPr>
                <w:rFonts w:hint="eastAsia" w:ascii="Times New Roman" w:hAnsi="Times New Roman" w:eastAsia="宋体" w:cs="Times New Roman"/>
                <w:b w:val="0"/>
                <w:bCs w:val="0"/>
                <w:color w:val="auto"/>
                <w:sz w:val="24"/>
                <w:szCs w:val="24"/>
                <w:highlight w:val="none"/>
                <w:lang w:val="en-US" w:eastAsia="zh-CN"/>
              </w:rPr>
              <w:t>侧约</w:t>
            </w:r>
            <w:r>
              <w:rPr>
                <w:rFonts w:hint="eastAsia" w:cs="Times New Roman"/>
                <w:b w:val="0"/>
                <w:bCs w:val="0"/>
                <w:color w:val="auto"/>
                <w:sz w:val="24"/>
                <w:szCs w:val="24"/>
                <w:highlight w:val="none"/>
                <w:lang w:val="en-US" w:eastAsia="zh-CN"/>
              </w:rPr>
              <w:t>321</w:t>
            </w:r>
            <w:r>
              <w:rPr>
                <w:rFonts w:hint="eastAsia" w:ascii="Times New Roman" w:hAnsi="Times New Roman" w:eastAsia="宋体" w:cs="Times New Roman"/>
                <w:b w:val="0"/>
                <w:bCs w:val="0"/>
                <w:color w:val="auto"/>
                <w:sz w:val="24"/>
                <w:szCs w:val="24"/>
                <w:highlight w:val="none"/>
                <w:lang w:val="en-US" w:eastAsia="zh-CN"/>
              </w:rPr>
              <w:t>m</w:t>
            </w:r>
            <w:r>
              <w:rPr>
                <w:rFonts w:hint="eastAsia" w:cs="Times New Roman"/>
                <w:b w:val="0"/>
                <w:bCs w:val="0"/>
                <w:color w:val="auto"/>
                <w:sz w:val="24"/>
                <w:szCs w:val="24"/>
                <w:highlight w:val="none"/>
                <w:lang w:val="en-US" w:eastAsia="zh-CN"/>
              </w:rPr>
              <w:t>处的石溪村居民区内</w:t>
            </w:r>
            <w:r>
              <w:rPr>
                <w:rFonts w:hint="default" w:ascii="Times New Roman" w:hAnsi="Times New Roman" w:eastAsia="宋体" w:cs="Times New Roman"/>
                <w:b w:val="0"/>
                <w:bCs w:val="0"/>
                <w:color w:val="auto"/>
                <w:sz w:val="24"/>
                <w:szCs w:val="24"/>
                <w:highlight w:val="none"/>
                <w:lang w:val="en-US" w:eastAsia="zh-CN"/>
              </w:rPr>
              <w:t>，符合《建设项目环境影响报告表编制技术指南（污染影响类）</w:t>
            </w:r>
            <w:r>
              <w:rPr>
                <w:rFonts w:hint="eastAsia" w:cs="Times New Roman"/>
                <w:b w:val="0"/>
                <w:bCs w:val="0"/>
                <w:color w:val="auto"/>
                <w:sz w:val="24"/>
                <w:szCs w:val="24"/>
                <w:highlight w:val="none"/>
                <w:lang w:val="en-US" w:eastAsia="zh-CN"/>
              </w:rPr>
              <w:t>（试行）》</w:t>
            </w:r>
            <w:r>
              <w:rPr>
                <w:rFonts w:hint="default" w:ascii="Times New Roman" w:hAnsi="Times New Roman" w:eastAsia="宋体" w:cs="Times New Roman"/>
                <w:b w:val="0"/>
                <w:bCs w:val="0"/>
                <w:color w:val="auto"/>
                <w:sz w:val="24"/>
                <w:szCs w:val="24"/>
                <w:highlight w:val="none"/>
                <w:lang w:val="en-US" w:eastAsia="zh-CN"/>
              </w:rPr>
              <w:t>中“排放国家、地方环境空气质量标准中有标准限值要求的特征污染物时，引用建设项目周边5千米范围内近3年的现有监测数据”要求</w:t>
            </w:r>
            <w:r>
              <w:rPr>
                <w:rFonts w:hint="eastAsia" w:ascii="Times New Roman" w:hAnsi="Times New Roman" w:eastAsia="宋体" w:cs="Times New Roman"/>
                <w:b w:val="0"/>
                <w:bCs w:val="0"/>
                <w:color w:val="auto"/>
                <w:sz w:val="24"/>
                <w:szCs w:val="24"/>
                <w:highlight w:val="none"/>
                <w:lang w:val="en-US" w:eastAsia="zh-CN"/>
              </w:rPr>
              <w:t>，因此</w:t>
            </w:r>
            <w:r>
              <w:rPr>
                <w:rFonts w:hint="default" w:ascii="Times New Roman" w:hAnsi="Times New Roman" w:eastAsia="宋体" w:cs="Times New Roman"/>
                <w:b w:val="0"/>
                <w:bCs w:val="0"/>
                <w:color w:val="auto"/>
                <w:sz w:val="24"/>
                <w:szCs w:val="24"/>
                <w:highlight w:val="none"/>
                <w:lang w:val="en-US" w:eastAsia="zh-CN"/>
              </w:rPr>
              <w:t>可作为本项目所在区域</w:t>
            </w:r>
            <w:r>
              <w:rPr>
                <w:rFonts w:hint="eastAsia" w:ascii="Times New Roman" w:hAnsi="Times New Roman" w:eastAsia="宋体"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lang w:val="en-US" w:eastAsia="zh-CN"/>
              </w:rPr>
              <w:t>环境空气质量现状的参考。</w:t>
            </w:r>
          </w:p>
          <w:p>
            <w:pPr>
              <w:pStyle w:val="3"/>
              <w:bidi w:val="0"/>
              <w:rPr>
                <w:rFonts w:hint="default"/>
                <w:color w:val="auto"/>
              </w:rPr>
            </w:pPr>
            <w:r>
              <w:rPr>
                <w:rFonts w:hint="default"/>
                <w:color w:val="auto"/>
              </w:rPr>
              <w:t>3.2水环境质量现状</w:t>
            </w:r>
          </w:p>
          <w:p>
            <w:pPr>
              <w:pStyle w:val="4"/>
              <w:bidi w:val="0"/>
              <w:rPr>
                <w:color w:val="auto"/>
              </w:rPr>
            </w:pPr>
            <w:r>
              <w:rPr>
                <w:color w:val="auto"/>
              </w:rPr>
              <w:t>3.2.1地表水功能区划</w:t>
            </w:r>
          </w:p>
          <w:p>
            <w:pPr>
              <w:bidi w:val="0"/>
              <w:rPr>
                <w:color w:val="auto"/>
              </w:rPr>
            </w:pPr>
            <w:r>
              <w:rPr>
                <w:color w:val="auto"/>
              </w:rPr>
              <w:t>⑴水环境</w:t>
            </w:r>
          </w:p>
          <w:p>
            <w:pPr>
              <w:bidi w:val="0"/>
              <w:rPr>
                <w:color w:val="auto"/>
              </w:rPr>
            </w:pPr>
            <w:r>
              <w:rPr>
                <w:rFonts w:hint="default"/>
                <w:color w:val="auto"/>
                <w:lang w:eastAsia="zh-CN"/>
              </w:rPr>
              <w:t>项目周边水域为南侧的南厝河，主要水环境功能为农业用水；根据福建省人民政府准《福州市地表水环境功能区划定方案》</w:t>
            </w:r>
            <w:r>
              <w:rPr>
                <w:rFonts w:hint="default"/>
                <w:color w:val="auto"/>
                <w:lang w:val="en-US" w:eastAsia="zh-CN"/>
              </w:rPr>
              <w:t>(</w:t>
            </w:r>
            <w:r>
              <w:rPr>
                <w:rFonts w:hint="default"/>
                <w:color w:val="auto"/>
                <w:lang w:eastAsia="zh-CN"/>
              </w:rPr>
              <w:t>闽政文[2006]133号</w:t>
            </w:r>
            <w:r>
              <w:rPr>
                <w:rFonts w:hint="default"/>
                <w:color w:val="auto"/>
                <w:lang w:val="en-US" w:eastAsia="zh-CN"/>
              </w:rPr>
              <w:t>)规定，</w:t>
            </w:r>
            <w:r>
              <w:rPr>
                <w:rFonts w:hint="default"/>
                <w:color w:val="auto"/>
                <w:lang w:eastAsia="zh-CN"/>
              </w:rPr>
              <w:t>附表1、附表2表中未提到的福州市辖区范围内的其他河流、河段及湖库执行Ⅲ类标准，因此，项目周边南厝河水质执行《地表水环境质量标准》(GB3838-2002)中Ⅲ类水质标准，</w:t>
            </w:r>
            <w:r>
              <w:rPr>
                <w:color w:val="auto"/>
              </w:rPr>
              <w:t>详见表3.2-1。</w:t>
            </w:r>
          </w:p>
          <w:p>
            <w:pPr>
              <w:bidi w:val="0"/>
              <w:rPr>
                <w:color w:val="auto"/>
              </w:rPr>
            </w:pPr>
          </w:p>
          <w:p>
            <w:pPr>
              <w:bidi w:val="0"/>
              <w:rPr>
                <w:color w:val="auto"/>
              </w:rPr>
            </w:pPr>
          </w:p>
          <w:p>
            <w:pPr>
              <w:pStyle w:val="33"/>
              <w:bidi w:val="0"/>
              <w:rPr>
                <w:rFonts w:eastAsia="黑体"/>
                <w:color w:val="auto"/>
                <w:sz w:val="24"/>
                <w:szCs w:val="24"/>
              </w:rPr>
            </w:pPr>
            <w:r>
              <w:rPr>
                <w:color w:val="auto"/>
                <w:sz w:val="24"/>
                <w:szCs w:val="24"/>
              </w:rPr>
              <w:t>表3.2-1 地表水环境质量标准(GB3838-2002)(摘录) 单位：mg/L(pH除外)</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47"/>
              <w:gridCol w:w="2424"/>
              <w:gridCol w:w="1248"/>
              <w:gridCol w:w="1209"/>
              <w:gridCol w:w="1168"/>
              <w:gridCol w:w="11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序号</w:t>
                  </w:r>
                </w:p>
              </w:tc>
              <w:tc>
                <w:tcPr>
                  <w:tcW w:w="2424" w:type="dxa"/>
                  <w:shd w:val="clear" w:color="auto" w:fill="auto"/>
                  <w:noWrap w:val="0"/>
                  <w:vAlign w:val="center"/>
                </w:tcPr>
                <w:p>
                  <w:pPr>
                    <w:pStyle w:val="31"/>
                    <w:bidi w:val="0"/>
                    <w:rPr>
                      <w:color w:val="auto"/>
                    </w:rPr>
                  </w:pPr>
                  <w:r>
                    <w:rPr>
                      <w:color w:val="auto"/>
                    </w:rPr>
                    <w:t>项目</w:t>
                  </w:r>
                </w:p>
              </w:tc>
              <w:tc>
                <w:tcPr>
                  <w:tcW w:w="1248" w:type="dxa"/>
                  <w:shd w:val="clear" w:color="auto" w:fill="auto"/>
                  <w:noWrap w:val="0"/>
                  <w:vAlign w:val="center"/>
                </w:tcPr>
                <w:p>
                  <w:pPr>
                    <w:pStyle w:val="31"/>
                    <w:bidi w:val="0"/>
                    <w:rPr>
                      <w:color w:val="auto"/>
                    </w:rPr>
                  </w:pPr>
                  <w:r>
                    <w:rPr>
                      <w:color w:val="auto"/>
                    </w:rPr>
                    <w:t>Ⅱ类</w:t>
                  </w:r>
                </w:p>
              </w:tc>
              <w:tc>
                <w:tcPr>
                  <w:tcW w:w="1209" w:type="dxa"/>
                  <w:shd w:val="clear" w:color="auto" w:fill="BEBEBE" w:themeFill="background1" w:themeFillShade="BF"/>
                  <w:noWrap w:val="0"/>
                  <w:vAlign w:val="center"/>
                </w:tcPr>
                <w:p>
                  <w:pPr>
                    <w:pStyle w:val="31"/>
                    <w:bidi w:val="0"/>
                    <w:rPr>
                      <w:color w:val="auto"/>
                      <w:highlight w:val="none"/>
                    </w:rPr>
                  </w:pPr>
                  <w:r>
                    <w:rPr>
                      <w:color w:val="auto"/>
                      <w:highlight w:val="none"/>
                    </w:rPr>
                    <w:t>Ⅲ类</w:t>
                  </w:r>
                </w:p>
              </w:tc>
              <w:tc>
                <w:tcPr>
                  <w:tcW w:w="1168" w:type="dxa"/>
                  <w:shd w:val="clear" w:color="auto" w:fill="FFFFFF"/>
                  <w:noWrap w:val="0"/>
                  <w:vAlign w:val="center"/>
                </w:tcPr>
                <w:p>
                  <w:pPr>
                    <w:pStyle w:val="31"/>
                    <w:bidi w:val="0"/>
                    <w:rPr>
                      <w:color w:val="auto"/>
                    </w:rPr>
                  </w:pPr>
                  <w:r>
                    <w:rPr>
                      <w:color w:val="auto"/>
                    </w:rPr>
                    <w:t>Ⅳ类</w:t>
                  </w:r>
                </w:p>
              </w:tc>
              <w:tc>
                <w:tcPr>
                  <w:tcW w:w="1170" w:type="dxa"/>
                  <w:noWrap w:val="0"/>
                  <w:vAlign w:val="center"/>
                </w:tcPr>
                <w:p>
                  <w:pPr>
                    <w:pStyle w:val="31"/>
                    <w:bidi w:val="0"/>
                    <w:rPr>
                      <w:color w:val="auto"/>
                    </w:rPr>
                  </w:pPr>
                  <w:r>
                    <w:rPr>
                      <w:color w:val="auto"/>
                    </w:rPr>
                    <w:t>Ⅴ类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1</w:t>
                  </w:r>
                </w:p>
              </w:tc>
              <w:tc>
                <w:tcPr>
                  <w:tcW w:w="2424" w:type="dxa"/>
                  <w:shd w:val="clear" w:color="auto" w:fill="auto"/>
                  <w:noWrap w:val="0"/>
                  <w:vAlign w:val="center"/>
                </w:tcPr>
                <w:p>
                  <w:pPr>
                    <w:pStyle w:val="31"/>
                    <w:bidi w:val="0"/>
                    <w:rPr>
                      <w:color w:val="auto"/>
                    </w:rPr>
                  </w:pPr>
                  <w:r>
                    <w:rPr>
                      <w:color w:val="auto"/>
                    </w:rPr>
                    <w:t>pH(无量纲)</w:t>
                  </w:r>
                </w:p>
              </w:tc>
              <w:tc>
                <w:tcPr>
                  <w:tcW w:w="4795" w:type="dxa"/>
                  <w:gridSpan w:val="4"/>
                  <w:shd w:val="clear" w:color="auto" w:fill="BEBEBE" w:themeFill="background1" w:themeFillShade="BF"/>
                  <w:noWrap w:val="0"/>
                  <w:vAlign w:val="center"/>
                </w:tcPr>
                <w:p>
                  <w:pPr>
                    <w:pStyle w:val="31"/>
                    <w:bidi w:val="0"/>
                    <w:rPr>
                      <w:color w:val="auto"/>
                      <w:highlight w:val="none"/>
                    </w:rPr>
                  </w:pPr>
                  <w:r>
                    <w:rPr>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2</w:t>
                  </w:r>
                </w:p>
              </w:tc>
              <w:tc>
                <w:tcPr>
                  <w:tcW w:w="2424" w:type="dxa"/>
                  <w:shd w:val="clear" w:color="auto" w:fill="auto"/>
                  <w:noWrap w:val="0"/>
                  <w:vAlign w:val="center"/>
                </w:tcPr>
                <w:p>
                  <w:pPr>
                    <w:pStyle w:val="31"/>
                    <w:bidi w:val="0"/>
                    <w:rPr>
                      <w:color w:val="auto"/>
                    </w:rPr>
                  </w:pPr>
                  <w:r>
                    <w:rPr>
                      <w:color w:val="auto"/>
                    </w:rPr>
                    <w:t>COD</w:t>
                  </w:r>
                  <w:r>
                    <w:rPr>
                      <w:color w:val="auto"/>
                      <w:vertAlign w:val="subscript"/>
                    </w:rPr>
                    <w:t>Mn</w:t>
                  </w:r>
                  <w:r>
                    <w:rPr>
                      <w:color w:val="auto"/>
                    </w:rPr>
                    <w:t>≤</w:t>
                  </w:r>
                </w:p>
              </w:tc>
              <w:tc>
                <w:tcPr>
                  <w:tcW w:w="1248" w:type="dxa"/>
                  <w:tcBorders>
                    <w:right w:val="single" w:color="auto" w:sz="4" w:space="0"/>
                  </w:tcBorders>
                  <w:shd w:val="clear" w:color="auto" w:fill="auto"/>
                  <w:noWrap w:val="0"/>
                  <w:vAlign w:val="center"/>
                </w:tcPr>
                <w:p>
                  <w:pPr>
                    <w:pStyle w:val="31"/>
                    <w:bidi w:val="0"/>
                    <w:rPr>
                      <w:color w:val="auto"/>
                    </w:rPr>
                  </w:pPr>
                  <w:r>
                    <w:rPr>
                      <w:color w:val="auto"/>
                    </w:rPr>
                    <w:t>4</w:t>
                  </w:r>
                </w:p>
              </w:tc>
              <w:tc>
                <w:tcPr>
                  <w:tcW w:w="1209" w:type="dxa"/>
                  <w:tcBorders>
                    <w:left w:val="single" w:color="auto" w:sz="4" w:space="0"/>
                    <w:right w:val="single" w:color="auto" w:sz="4" w:space="0"/>
                  </w:tcBorders>
                  <w:shd w:val="clear" w:color="auto" w:fill="BEBEBE" w:themeFill="background1" w:themeFillShade="BF"/>
                  <w:noWrap w:val="0"/>
                  <w:vAlign w:val="center"/>
                </w:tcPr>
                <w:p>
                  <w:pPr>
                    <w:pStyle w:val="31"/>
                    <w:bidi w:val="0"/>
                    <w:rPr>
                      <w:color w:val="auto"/>
                      <w:highlight w:val="none"/>
                    </w:rPr>
                  </w:pPr>
                  <w:r>
                    <w:rPr>
                      <w:color w:val="auto"/>
                      <w:highlight w:val="none"/>
                    </w:rPr>
                    <w:t>6</w:t>
                  </w:r>
                </w:p>
              </w:tc>
              <w:tc>
                <w:tcPr>
                  <w:tcW w:w="1168" w:type="dxa"/>
                  <w:tcBorders>
                    <w:left w:val="single" w:color="auto" w:sz="4" w:space="0"/>
                    <w:right w:val="single" w:color="auto" w:sz="4" w:space="0"/>
                  </w:tcBorders>
                  <w:shd w:val="clear" w:color="auto" w:fill="FFFFFF"/>
                  <w:noWrap w:val="0"/>
                  <w:vAlign w:val="center"/>
                </w:tcPr>
                <w:p>
                  <w:pPr>
                    <w:pStyle w:val="31"/>
                    <w:bidi w:val="0"/>
                    <w:rPr>
                      <w:color w:val="auto"/>
                    </w:rPr>
                  </w:pPr>
                  <w:r>
                    <w:rPr>
                      <w:color w:val="auto"/>
                    </w:rPr>
                    <w:t>10</w:t>
                  </w:r>
                </w:p>
              </w:tc>
              <w:tc>
                <w:tcPr>
                  <w:tcW w:w="1170" w:type="dxa"/>
                  <w:tcBorders>
                    <w:left w:val="single" w:color="auto" w:sz="4" w:space="0"/>
                  </w:tcBorders>
                  <w:noWrap w:val="0"/>
                  <w:vAlign w:val="center"/>
                </w:tcPr>
                <w:p>
                  <w:pPr>
                    <w:pStyle w:val="31"/>
                    <w:bidi w:val="0"/>
                    <w:rPr>
                      <w:color w:val="auto"/>
                    </w:rPr>
                  </w:pPr>
                  <w:r>
                    <w:rPr>
                      <w:color w:val="auto"/>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3</w:t>
                  </w:r>
                </w:p>
              </w:tc>
              <w:tc>
                <w:tcPr>
                  <w:tcW w:w="2424" w:type="dxa"/>
                  <w:shd w:val="clear" w:color="auto" w:fill="auto"/>
                  <w:noWrap w:val="0"/>
                  <w:vAlign w:val="center"/>
                </w:tcPr>
                <w:p>
                  <w:pPr>
                    <w:pStyle w:val="31"/>
                    <w:bidi w:val="0"/>
                    <w:rPr>
                      <w:color w:val="auto"/>
                    </w:rPr>
                  </w:pPr>
                  <w:r>
                    <w:rPr>
                      <w:color w:val="auto"/>
                    </w:rPr>
                    <w:t>DO</w:t>
                  </w:r>
                  <w:r>
                    <w:rPr>
                      <w:rFonts w:hint="eastAsia"/>
                      <w:color w:val="auto"/>
                    </w:rPr>
                    <w:t>≥</w:t>
                  </w:r>
                </w:p>
              </w:tc>
              <w:tc>
                <w:tcPr>
                  <w:tcW w:w="1248" w:type="dxa"/>
                  <w:shd w:val="clear" w:color="auto" w:fill="auto"/>
                  <w:noWrap w:val="0"/>
                  <w:vAlign w:val="center"/>
                </w:tcPr>
                <w:p>
                  <w:pPr>
                    <w:pStyle w:val="31"/>
                    <w:bidi w:val="0"/>
                    <w:rPr>
                      <w:color w:val="auto"/>
                    </w:rPr>
                  </w:pPr>
                  <w:r>
                    <w:rPr>
                      <w:color w:val="auto"/>
                    </w:rPr>
                    <w:t>6</w:t>
                  </w:r>
                </w:p>
              </w:tc>
              <w:tc>
                <w:tcPr>
                  <w:tcW w:w="1209" w:type="dxa"/>
                  <w:shd w:val="clear" w:color="auto" w:fill="BEBEBE" w:themeFill="background1" w:themeFillShade="BF"/>
                  <w:noWrap w:val="0"/>
                  <w:vAlign w:val="center"/>
                </w:tcPr>
                <w:p>
                  <w:pPr>
                    <w:pStyle w:val="31"/>
                    <w:bidi w:val="0"/>
                    <w:rPr>
                      <w:color w:val="auto"/>
                      <w:highlight w:val="none"/>
                    </w:rPr>
                  </w:pPr>
                  <w:r>
                    <w:rPr>
                      <w:color w:val="auto"/>
                      <w:highlight w:val="none"/>
                    </w:rPr>
                    <w:t>5</w:t>
                  </w:r>
                </w:p>
              </w:tc>
              <w:tc>
                <w:tcPr>
                  <w:tcW w:w="1168" w:type="dxa"/>
                  <w:shd w:val="clear" w:color="auto" w:fill="FFFFFF"/>
                  <w:noWrap w:val="0"/>
                  <w:vAlign w:val="center"/>
                </w:tcPr>
                <w:p>
                  <w:pPr>
                    <w:pStyle w:val="31"/>
                    <w:bidi w:val="0"/>
                    <w:rPr>
                      <w:color w:val="auto"/>
                    </w:rPr>
                  </w:pPr>
                  <w:r>
                    <w:rPr>
                      <w:color w:val="auto"/>
                    </w:rPr>
                    <w:t>3</w:t>
                  </w:r>
                </w:p>
              </w:tc>
              <w:tc>
                <w:tcPr>
                  <w:tcW w:w="1170" w:type="dxa"/>
                  <w:noWrap w:val="0"/>
                  <w:vAlign w:val="center"/>
                </w:tcPr>
                <w:p>
                  <w:pPr>
                    <w:pStyle w:val="31"/>
                    <w:bidi w:val="0"/>
                    <w:rPr>
                      <w:color w:val="auto"/>
                    </w:rPr>
                  </w:pPr>
                  <w:r>
                    <w:rPr>
                      <w:color w:val="auto"/>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4</w:t>
                  </w:r>
                </w:p>
              </w:tc>
              <w:tc>
                <w:tcPr>
                  <w:tcW w:w="2424" w:type="dxa"/>
                  <w:shd w:val="clear" w:color="auto" w:fill="auto"/>
                  <w:noWrap w:val="0"/>
                  <w:vAlign w:val="center"/>
                </w:tcPr>
                <w:p>
                  <w:pPr>
                    <w:pStyle w:val="31"/>
                    <w:bidi w:val="0"/>
                    <w:rPr>
                      <w:color w:val="auto"/>
                    </w:rPr>
                  </w:pPr>
                  <w:r>
                    <w:rPr>
                      <w:color w:val="auto"/>
                    </w:rPr>
                    <w:t>NH</w:t>
                  </w:r>
                  <w:r>
                    <w:rPr>
                      <w:color w:val="auto"/>
                      <w:vertAlign w:val="subscript"/>
                    </w:rPr>
                    <w:t>3</w:t>
                  </w:r>
                  <w:r>
                    <w:rPr>
                      <w:color w:val="auto"/>
                    </w:rPr>
                    <w:t>-N≤</w:t>
                  </w:r>
                </w:p>
              </w:tc>
              <w:tc>
                <w:tcPr>
                  <w:tcW w:w="1248" w:type="dxa"/>
                  <w:shd w:val="clear" w:color="auto" w:fill="auto"/>
                  <w:noWrap w:val="0"/>
                  <w:vAlign w:val="center"/>
                </w:tcPr>
                <w:p>
                  <w:pPr>
                    <w:pStyle w:val="31"/>
                    <w:bidi w:val="0"/>
                    <w:rPr>
                      <w:color w:val="auto"/>
                    </w:rPr>
                  </w:pPr>
                  <w:r>
                    <w:rPr>
                      <w:color w:val="auto"/>
                    </w:rPr>
                    <w:t>0.5</w:t>
                  </w:r>
                </w:p>
              </w:tc>
              <w:tc>
                <w:tcPr>
                  <w:tcW w:w="1209" w:type="dxa"/>
                  <w:shd w:val="clear" w:color="auto" w:fill="BEBEBE" w:themeFill="background1" w:themeFillShade="BF"/>
                  <w:noWrap w:val="0"/>
                  <w:vAlign w:val="center"/>
                </w:tcPr>
                <w:p>
                  <w:pPr>
                    <w:pStyle w:val="31"/>
                    <w:bidi w:val="0"/>
                    <w:rPr>
                      <w:color w:val="auto"/>
                      <w:highlight w:val="none"/>
                    </w:rPr>
                  </w:pPr>
                  <w:r>
                    <w:rPr>
                      <w:color w:val="auto"/>
                      <w:highlight w:val="none"/>
                    </w:rPr>
                    <w:t>1.0</w:t>
                  </w:r>
                </w:p>
              </w:tc>
              <w:tc>
                <w:tcPr>
                  <w:tcW w:w="1168" w:type="dxa"/>
                  <w:shd w:val="clear" w:color="auto" w:fill="FFFFFF"/>
                  <w:noWrap w:val="0"/>
                  <w:vAlign w:val="center"/>
                </w:tcPr>
                <w:p>
                  <w:pPr>
                    <w:pStyle w:val="31"/>
                    <w:bidi w:val="0"/>
                    <w:rPr>
                      <w:color w:val="auto"/>
                    </w:rPr>
                  </w:pPr>
                  <w:r>
                    <w:rPr>
                      <w:color w:val="auto"/>
                    </w:rPr>
                    <w:t>1.5</w:t>
                  </w:r>
                </w:p>
              </w:tc>
              <w:tc>
                <w:tcPr>
                  <w:tcW w:w="1170" w:type="dxa"/>
                  <w:noWrap w:val="0"/>
                  <w:vAlign w:val="center"/>
                </w:tcPr>
                <w:p>
                  <w:pPr>
                    <w:pStyle w:val="31"/>
                    <w:bidi w:val="0"/>
                    <w:rPr>
                      <w:color w:val="auto"/>
                    </w:rPr>
                  </w:pPr>
                  <w:r>
                    <w:rPr>
                      <w:color w:val="auto"/>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color w:val="auto"/>
                    </w:rPr>
                    <w:t>5</w:t>
                  </w:r>
                </w:p>
              </w:tc>
              <w:tc>
                <w:tcPr>
                  <w:tcW w:w="2424" w:type="dxa"/>
                  <w:shd w:val="clear" w:color="auto" w:fill="auto"/>
                  <w:noWrap w:val="0"/>
                  <w:vAlign w:val="center"/>
                </w:tcPr>
                <w:p>
                  <w:pPr>
                    <w:pStyle w:val="31"/>
                    <w:bidi w:val="0"/>
                    <w:rPr>
                      <w:color w:val="auto"/>
                    </w:rPr>
                  </w:pPr>
                  <w:r>
                    <w:rPr>
                      <w:color w:val="auto"/>
                    </w:rPr>
                    <w:t>BOD</w:t>
                  </w:r>
                  <w:r>
                    <w:rPr>
                      <w:color w:val="auto"/>
                      <w:vertAlign w:val="subscript"/>
                    </w:rPr>
                    <w:t>5</w:t>
                  </w:r>
                  <w:r>
                    <w:rPr>
                      <w:color w:val="auto"/>
                    </w:rPr>
                    <w:t>≤</w:t>
                  </w:r>
                </w:p>
              </w:tc>
              <w:tc>
                <w:tcPr>
                  <w:tcW w:w="1248" w:type="dxa"/>
                  <w:shd w:val="clear" w:color="auto" w:fill="auto"/>
                  <w:noWrap w:val="0"/>
                  <w:vAlign w:val="center"/>
                </w:tcPr>
                <w:p>
                  <w:pPr>
                    <w:pStyle w:val="31"/>
                    <w:bidi w:val="0"/>
                    <w:rPr>
                      <w:color w:val="auto"/>
                    </w:rPr>
                  </w:pPr>
                  <w:r>
                    <w:rPr>
                      <w:color w:val="auto"/>
                    </w:rPr>
                    <w:t>3</w:t>
                  </w:r>
                </w:p>
              </w:tc>
              <w:tc>
                <w:tcPr>
                  <w:tcW w:w="1209" w:type="dxa"/>
                  <w:shd w:val="clear" w:color="auto" w:fill="BEBEBE" w:themeFill="background1" w:themeFillShade="BF"/>
                  <w:noWrap w:val="0"/>
                  <w:vAlign w:val="center"/>
                </w:tcPr>
                <w:p>
                  <w:pPr>
                    <w:pStyle w:val="31"/>
                    <w:bidi w:val="0"/>
                    <w:rPr>
                      <w:color w:val="auto"/>
                      <w:highlight w:val="none"/>
                    </w:rPr>
                  </w:pPr>
                  <w:r>
                    <w:rPr>
                      <w:color w:val="auto"/>
                      <w:highlight w:val="none"/>
                    </w:rPr>
                    <w:t>4</w:t>
                  </w:r>
                </w:p>
              </w:tc>
              <w:tc>
                <w:tcPr>
                  <w:tcW w:w="1168" w:type="dxa"/>
                  <w:shd w:val="clear" w:color="auto" w:fill="FFFFFF"/>
                  <w:noWrap w:val="0"/>
                  <w:vAlign w:val="center"/>
                </w:tcPr>
                <w:p>
                  <w:pPr>
                    <w:pStyle w:val="31"/>
                    <w:bidi w:val="0"/>
                    <w:rPr>
                      <w:color w:val="auto"/>
                    </w:rPr>
                  </w:pPr>
                  <w:r>
                    <w:rPr>
                      <w:color w:val="auto"/>
                    </w:rPr>
                    <w:t>6</w:t>
                  </w:r>
                </w:p>
              </w:tc>
              <w:tc>
                <w:tcPr>
                  <w:tcW w:w="1170" w:type="dxa"/>
                  <w:noWrap w:val="0"/>
                  <w:vAlign w:val="center"/>
                </w:tcPr>
                <w:p>
                  <w:pPr>
                    <w:pStyle w:val="31"/>
                    <w:bidi w:val="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31"/>
                    <w:bidi w:val="0"/>
                    <w:rPr>
                      <w:color w:val="auto"/>
                    </w:rPr>
                  </w:pPr>
                  <w:r>
                    <w:rPr>
                      <w:rFonts w:hint="eastAsia"/>
                      <w:color w:val="auto"/>
                    </w:rPr>
                    <w:t>6</w:t>
                  </w:r>
                </w:p>
              </w:tc>
              <w:tc>
                <w:tcPr>
                  <w:tcW w:w="2424" w:type="dxa"/>
                  <w:shd w:val="clear" w:color="auto" w:fill="auto"/>
                  <w:noWrap w:val="0"/>
                  <w:vAlign w:val="center"/>
                </w:tcPr>
                <w:p>
                  <w:pPr>
                    <w:pStyle w:val="31"/>
                    <w:bidi w:val="0"/>
                    <w:rPr>
                      <w:color w:val="auto"/>
                    </w:rPr>
                  </w:pPr>
                  <w:r>
                    <w:rPr>
                      <w:rFonts w:hint="eastAsia"/>
                      <w:color w:val="auto"/>
                    </w:rPr>
                    <w:t>TP</w:t>
                  </w:r>
                  <w:r>
                    <w:rPr>
                      <w:color w:val="auto"/>
                    </w:rPr>
                    <w:t>≤</w:t>
                  </w:r>
                </w:p>
              </w:tc>
              <w:tc>
                <w:tcPr>
                  <w:tcW w:w="1248" w:type="dxa"/>
                  <w:shd w:val="clear" w:color="auto" w:fill="auto"/>
                  <w:noWrap w:val="0"/>
                  <w:vAlign w:val="center"/>
                </w:tcPr>
                <w:p>
                  <w:pPr>
                    <w:pStyle w:val="31"/>
                    <w:bidi w:val="0"/>
                    <w:rPr>
                      <w:rFonts w:hint="eastAsia"/>
                      <w:color w:val="auto"/>
                      <w:lang w:eastAsia="zh-CN"/>
                    </w:rPr>
                  </w:pPr>
                  <w:r>
                    <w:rPr>
                      <w:rFonts w:hint="eastAsia"/>
                      <w:color w:val="auto"/>
                    </w:rPr>
                    <w:t>0.</w:t>
                  </w:r>
                  <w:r>
                    <w:rPr>
                      <w:rFonts w:hint="eastAsia"/>
                      <w:color w:val="auto"/>
                      <w:lang w:val="en-US" w:eastAsia="zh-CN"/>
                    </w:rPr>
                    <w:t>1</w:t>
                  </w:r>
                </w:p>
              </w:tc>
              <w:tc>
                <w:tcPr>
                  <w:tcW w:w="1209" w:type="dxa"/>
                  <w:shd w:val="clear" w:color="auto" w:fill="BEBEBE" w:themeFill="background1" w:themeFillShade="BF"/>
                  <w:noWrap w:val="0"/>
                  <w:vAlign w:val="center"/>
                </w:tcPr>
                <w:p>
                  <w:pPr>
                    <w:pStyle w:val="31"/>
                    <w:bidi w:val="0"/>
                    <w:rPr>
                      <w:color w:val="auto"/>
                      <w:highlight w:val="none"/>
                    </w:rPr>
                  </w:pPr>
                  <w:r>
                    <w:rPr>
                      <w:rFonts w:hint="eastAsia"/>
                      <w:color w:val="auto"/>
                      <w:highlight w:val="none"/>
                    </w:rPr>
                    <w:t>0.2</w:t>
                  </w:r>
                </w:p>
              </w:tc>
              <w:tc>
                <w:tcPr>
                  <w:tcW w:w="1168" w:type="dxa"/>
                  <w:shd w:val="clear" w:color="auto" w:fill="FFFFFF"/>
                  <w:noWrap w:val="0"/>
                  <w:vAlign w:val="center"/>
                </w:tcPr>
                <w:p>
                  <w:pPr>
                    <w:pStyle w:val="31"/>
                    <w:bidi w:val="0"/>
                    <w:rPr>
                      <w:color w:val="auto"/>
                    </w:rPr>
                  </w:pPr>
                  <w:r>
                    <w:rPr>
                      <w:rFonts w:hint="eastAsia"/>
                      <w:color w:val="auto"/>
                    </w:rPr>
                    <w:t>0.3</w:t>
                  </w:r>
                </w:p>
              </w:tc>
              <w:tc>
                <w:tcPr>
                  <w:tcW w:w="1170" w:type="dxa"/>
                  <w:noWrap w:val="0"/>
                  <w:vAlign w:val="center"/>
                </w:tcPr>
                <w:p>
                  <w:pPr>
                    <w:pStyle w:val="31"/>
                    <w:bidi w:val="0"/>
                    <w:rPr>
                      <w:color w:val="auto"/>
                    </w:rPr>
                  </w:pPr>
                  <w:r>
                    <w:rPr>
                      <w:rFonts w:hint="eastAsia"/>
                      <w:color w:val="auto"/>
                    </w:rPr>
                    <w:t>0.4</w:t>
                  </w:r>
                </w:p>
              </w:tc>
            </w:tr>
          </w:tbl>
          <w:p>
            <w:pPr>
              <w:pStyle w:val="4"/>
              <w:bidi w:val="0"/>
              <w:rPr>
                <w:rFonts w:hint="default"/>
                <w:color w:val="auto"/>
              </w:rPr>
            </w:pPr>
            <w:r>
              <w:rPr>
                <w:rFonts w:hint="default"/>
                <w:color w:val="auto"/>
              </w:rPr>
              <w:t>3.2.</w:t>
            </w:r>
            <w:r>
              <w:rPr>
                <w:rFonts w:hint="default"/>
                <w:color w:val="auto"/>
                <w:lang w:val="en-US" w:eastAsia="zh-CN"/>
              </w:rPr>
              <w:t>2</w:t>
            </w:r>
            <w:r>
              <w:rPr>
                <w:rFonts w:hint="default"/>
                <w:color w:val="auto"/>
              </w:rPr>
              <w:t>水环境质量现状</w:t>
            </w:r>
          </w:p>
          <w:p>
            <w:pPr>
              <w:numPr>
                <w:ilvl w:val="0"/>
                <w:numId w:val="0"/>
              </w:numPr>
              <w:ind w:left="48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）地表水</w:t>
            </w:r>
            <w:r>
              <w:rPr>
                <w:rFonts w:hint="default" w:ascii="Times New Roman" w:hAnsi="Times New Roman" w:eastAsia="宋体" w:cs="Times New Roman"/>
                <w:b/>
                <w:bCs/>
                <w:color w:val="auto"/>
                <w:sz w:val="24"/>
                <w:szCs w:val="24"/>
              </w:rPr>
              <w:t>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为了解建设项目区域水环境质量现状，本评价引用</w:t>
            </w:r>
            <w:r>
              <w:rPr>
                <w:rFonts w:hint="eastAsia" w:cs="Times New Roman"/>
                <w:color w:val="auto"/>
                <w:sz w:val="24"/>
                <w:szCs w:val="24"/>
                <w:lang w:val="en-US" w:eastAsia="zh-CN"/>
              </w:rPr>
              <w:t>福建省生态环境厅</w:t>
            </w:r>
            <w:r>
              <w:rPr>
                <w:rFonts w:hint="eastAsia" w:ascii="Times New Roman" w:hAnsi="Times New Roman" w:eastAsia="宋体" w:cs="Times New Roman"/>
                <w:color w:val="auto"/>
                <w:sz w:val="24"/>
                <w:szCs w:val="24"/>
                <w:lang w:val="en-US" w:eastAsia="zh-CN"/>
              </w:rPr>
              <w:t>发布的《福建省流域水环境质量状况202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年》：2024年，全省主要流域总体水质为优，国控断面Ⅰ～Ⅲ类水质比例100％,Ⅰ～Ⅱ类水质比例77.1％；国控及省控断面Ⅰ～Ⅲ类水质比例99.7％，其中Ⅰ～Ⅱ类水质比例80.0％，各类水质比例如下：Ⅰ类占2.4％，Ⅱ类占77.6％，Ⅲ类占19.7％，Ⅳ类占0.3％，无Ⅴ类和劣Ⅴ类水。（</w:t>
            </w:r>
            <w:r>
              <w:rPr>
                <w:rFonts w:hint="eastAsia" w:ascii="Times New Roman" w:hAnsi="Times New Roman" w:eastAsia="宋体" w:cs="Times New Roman"/>
                <w:color w:val="auto"/>
                <w:sz w:val="24"/>
                <w:szCs w:val="24"/>
                <w:highlight w:val="none"/>
                <w:lang w:val="en-US" w:eastAsia="zh-CN"/>
              </w:rPr>
              <w:t>详见附图</w:t>
            </w:r>
            <w:r>
              <w:rPr>
                <w:rFonts w:hint="eastAsia" w:cs="Times New Roman"/>
                <w:color w:val="auto"/>
                <w:sz w:val="24"/>
                <w:szCs w:val="24"/>
                <w:highlight w:val="none"/>
                <w:lang w:val="en-US" w:eastAsia="zh-CN"/>
              </w:rPr>
              <w:t>十一</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spacing w:line="360" w:lineRule="auto"/>
              <w:ind w:left="0" w:leftChars="0" w:firstLine="482" w:firstLineChars="200"/>
              <w:textAlignment w:val="bottom"/>
              <w:rPr>
                <w:rFonts w:hint="default" w:cs="Times New Roman"/>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sz w:val="24"/>
                <w:szCs w:val="24"/>
                <w:highlight w:val="none"/>
                <w:lang w:val="en-US" w:eastAsia="zh-CN"/>
              </w:rPr>
              <w:t>海水水质现状调查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根据福建省生态环境厅发布的</w:t>
            </w:r>
            <w:r>
              <w:rPr>
                <w:rFonts w:hint="eastAsia" w:ascii="Times New Roman" w:hAnsi="Times New Roman" w:eastAsia="宋体" w:cs="Times New Roman"/>
                <w:color w:val="auto"/>
                <w:sz w:val="24"/>
                <w:szCs w:val="24"/>
                <w:lang w:val="en-US" w:eastAsia="zh-CN"/>
              </w:rPr>
              <w:t>《福建省近岸海域水质状况》：2024年1-11月，全省近岸海域水质状况如下：按照面积法评价，国控点位优良（一、二类）水质比例92.6%，各类水质比例如下：一类占72.7％，二类占19.9％，三类占2.8％，四类占3.1％，劣四类占1.5％；国省控点位优良（一、二类）水质比例为92.4%。按照点位法评价，国控点位优良（一、二类）水质比例85.2%，国省控点位优良（一、二类）水质比例为81.3%。（详见附图</w:t>
            </w:r>
            <w:r>
              <w:rPr>
                <w:rFonts w:hint="eastAsia" w:cs="Times New Roman"/>
                <w:color w:val="auto"/>
                <w:sz w:val="24"/>
                <w:szCs w:val="24"/>
                <w:lang w:val="en-US" w:eastAsia="zh-CN"/>
              </w:rPr>
              <w:t>十二</w:t>
            </w:r>
            <w:r>
              <w:rPr>
                <w:rFonts w:hint="eastAsia" w:ascii="Times New Roman" w:hAnsi="Times New Roman" w:eastAsia="宋体" w:cs="Times New Roman"/>
                <w:color w:val="auto"/>
                <w:sz w:val="24"/>
                <w:szCs w:val="24"/>
                <w:lang w:val="en-US" w:eastAsia="zh-CN"/>
              </w:rPr>
              <w:t>）。</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val="en-US" w:eastAsia="zh-CN"/>
              </w:rPr>
              <w:t>设备清洗废水、地面冲洗废水、</w:t>
            </w:r>
            <w:r>
              <w:rPr>
                <w:rFonts w:hint="eastAsia" w:cs="Times New Roman"/>
                <w:color w:val="auto"/>
                <w:sz w:val="24"/>
                <w:szCs w:val="24"/>
                <w:highlight w:val="none"/>
                <w:lang w:val="en-US" w:eastAsia="zh-CN"/>
              </w:rPr>
              <w:t>试验清洗废水、收集初期雨水</w:t>
            </w:r>
            <w:r>
              <w:rPr>
                <w:rFonts w:hint="eastAsia" w:ascii="Times New Roman" w:hAnsi="Times New Roman" w:eastAsia="宋体" w:cs="Times New Roman"/>
                <w:color w:val="auto"/>
                <w:sz w:val="24"/>
                <w:szCs w:val="24"/>
                <w:highlight w:val="none"/>
                <w:lang w:val="en-US" w:eastAsia="zh-CN"/>
              </w:rPr>
              <w:t>经生产废水处理系统处理后</w:t>
            </w:r>
            <w:r>
              <w:rPr>
                <w:rFonts w:hint="eastAsia" w:ascii="Times New Roman" w:hAnsi="Times New Roman" w:eastAsia="宋体" w:cs="Times New Roman"/>
                <w:color w:val="auto"/>
                <w:sz w:val="24"/>
                <w:szCs w:val="24"/>
                <w:highlight w:val="none"/>
                <w:lang w:eastAsia="zh-CN"/>
              </w:rPr>
              <w:t>全部回用，不外排；</w:t>
            </w:r>
            <w:r>
              <w:rPr>
                <w:rFonts w:hint="eastAsia" w:cs="Times New Roman"/>
                <w:color w:val="auto"/>
                <w:sz w:val="24"/>
                <w:szCs w:val="24"/>
                <w:highlight w:val="none"/>
                <w:lang w:val="en-US" w:eastAsia="zh-CN"/>
              </w:rPr>
              <w:t>厂区职工</w:t>
            </w:r>
            <w:r>
              <w:rPr>
                <w:rFonts w:hint="eastAsia" w:ascii="Times New Roman" w:hAnsi="Times New Roman" w:eastAsia="宋体" w:cs="Times New Roman"/>
                <w:color w:val="auto"/>
                <w:sz w:val="24"/>
                <w:szCs w:val="24"/>
                <w:highlight w:val="none"/>
                <w:lang w:eastAsia="zh-CN"/>
              </w:rPr>
              <w:t>生活污水</w:t>
            </w:r>
            <w:r>
              <w:rPr>
                <w:rFonts w:hint="eastAsia" w:cs="Times New Roman"/>
                <w:color w:val="auto"/>
                <w:sz w:val="24"/>
                <w:szCs w:val="24"/>
                <w:highlight w:val="none"/>
                <w:lang w:val="en-US" w:eastAsia="zh-CN"/>
              </w:rPr>
              <w:t>纳入</w:t>
            </w:r>
            <w:r>
              <w:rPr>
                <w:rFonts w:hint="eastAsia" w:ascii="Times New Roman" w:hAnsi="Times New Roman" w:eastAsia="宋体" w:cs="Times New Roman"/>
                <w:color w:val="auto"/>
                <w:sz w:val="24"/>
                <w:szCs w:val="24"/>
                <w:highlight w:val="none"/>
                <w:lang w:eastAsia="zh-CN"/>
              </w:rPr>
              <w:t>厂区化粪池</w:t>
            </w:r>
            <w:r>
              <w:rPr>
                <w:rFonts w:hint="eastAsia" w:cs="Times New Roman"/>
                <w:color w:val="auto"/>
                <w:sz w:val="24"/>
                <w:szCs w:val="24"/>
                <w:highlight w:val="none"/>
                <w:lang w:val="en-US" w:eastAsia="zh-CN"/>
              </w:rPr>
              <w:t>+一体化污水处理设施</w:t>
            </w:r>
            <w:r>
              <w:rPr>
                <w:rFonts w:hint="eastAsia" w:ascii="Times New Roman" w:hAnsi="Times New Roman" w:eastAsia="宋体" w:cs="Times New Roman"/>
                <w:color w:val="auto"/>
                <w:sz w:val="24"/>
                <w:szCs w:val="24"/>
                <w:highlight w:val="none"/>
                <w:lang w:eastAsia="zh-CN"/>
              </w:rPr>
              <w:t>处理，</w:t>
            </w:r>
            <w:r>
              <w:rPr>
                <w:rFonts w:hint="eastAsia" w:cs="Times New Roman"/>
                <w:color w:val="auto"/>
                <w:sz w:val="24"/>
                <w:szCs w:val="24"/>
                <w:highlight w:val="none"/>
                <w:lang w:val="en-US" w:eastAsia="zh-CN"/>
              </w:rPr>
              <w:t>回用于厂区绿化灌溉及生产</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不外排</w:t>
            </w:r>
            <w:r>
              <w:rPr>
                <w:rFonts w:hint="eastAsia" w:ascii="Times New Roman" w:hAnsi="Times New Roman" w:eastAsia="宋体" w:cs="Times New Roman"/>
                <w:color w:val="auto"/>
                <w:sz w:val="24"/>
                <w:szCs w:val="24"/>
                <w:highlight w:val="none"/>
                <w:lang w:eastAsia="zh-CN"/>
              </w:rPr>
              <w:t>入周边地表水体，几乎不会改变周边水环境质量现状。</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pPr>
              <w:autoSpaceDE w:val="0"/>
              <w:autoSpaceDN w:val="0"/>
              <w:spacing w:line="360" w:lineRule="auto"/>
              <w:ind w:firstLine="480" w:firstLineChars="200"/>
              <w:textAlignment w:val="bottom"/>
              <w:rPr>
                <w:rFonts w:ascii="Times New Roman" w:hAnsi="Times New Roman" w:eastAsia="宋体"/>
                <w:color w:val="auto"/>
                <w:sz w:val="24"/>
                <w:szCs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szCs w:val="24"/>
              </w:rPr>
              <w:t>评价选取</w:t>
            </w:r>
            <w:r>
              <w:rPr>
                <w:rFonts w:hint="eastAsia" w:ascii="Times New Roman" w:hAnsi="Times New Roman" w:eastAsia="宋体"/>
                <w:color w:val="auto"/>
                <w:sz w:val="24"/>
                <w:szCs w:val="24"/>
                <w:lang w:val="en-US" w:eastAsia="zh-CN"/>
              </w:rPr>
              <w:t>福建省生态环境厅发布的</w:t>
            </w:r>
            <w:r>
              <w:rPr>
                <w:rFonts w:ascii="Times New Roman" w:hAnsi="Times New Roman" w:eastAsia="宋体"/>
                <w:color w:val="auto"/>
                <w:sz w:val="24"/>
                <w:szCs w:val="24"/>
              </w:rPr>
              <w:t>水环境</w:t>
            </w:r>
            <w:r>
              <w:rPr>
                <w:rFonts w:hint="eastAsia" w:ascii="Times New Roman" w:hAnsi="Times New Roman" w:eastAsia="宋体"/>
                <w:color w:val="auto"/>
                <w:sz w:val="24"/>
                <w:szCs w:val="24"/>
                <w:lang w:val="en-US" w:eastAsia="zh-CN"/>
              </w:rPr>
              <w:t>质量状况</w:t>
            </w:r>
            <w:r>
              <w:rPr>
                <w:rFonts w:ascii="Times New Roman" w:hAnsi="Times New Roman" w:eastAsia="宋体"/>
                <w:color w:val="auto"/>
                <w:sz w:val="24"/>
                <w:szCs w:val="24"/>
              </w:rPr>
              <w:t>，符合《建设项目环境影响报告表编制技术指南</w:t>
            </w:r>
            <w:r>
              <w:rPr>
                <w:rFonts w:hint="eastAsia" w:ascii="Times New Roman" w:hAnsi="Times New Roman" w:eastAsia="宋体"/>
                <w:color w:val="auto"/>
                <w:sz w:val="24"/>
                <w:szCs w:val="24"/>
              </w:rPr>
              <w:t>(</w:t>
            </w:r>
            <w:r>
              <w:rPr>
                <w:rFonts w:ascii="Times New Roman" w:hAnsi="Times New Roman" w:eastAsia="宋体"/>
                <w:color w:val="auto"/>
                <w:sz w:val="24"/>
                <w:szCs w:val="24"/>
              </w:rPr>
              <w:t>污染影响类</w:t>
            </w:r>
            <w:r>
              <w:rPr>
                <w:rFonts w:hint="eastAsia" w:ascii="Times New Roman" w:hAnsi="Times New Roman" w:eastAsia="宋体"/>
                <w:color w:val="auto"/>
                <w:sz w:val="24"/>
                <w:szCs w:val="24"/>
              </w:rPr>
              <w:t>)(</w:t>
            </w:r>
            <w:r>
              <w:rPr>
                <w:rFonts w:ascii="Times New Roman" w:hAnsi="Times New Roman" w:eastAsia="宋体"/>
                <w:color w:val="auto"/>
                <w:sz w:val="24"/>
                <w:szCs w:val="24"/>
              </w:rPr>
              <w:t>试行</w:t>
            </w:r>
            <w:r>
              <w:rPr>
                <w:rFonts w:hint="eastAsia" w:ascii="Times New Roman" w:hAnsi="Times New Roman" w:eastAsia="宋体"/>
                <w:color w:val="auto"/>
                <w:sz w:val="24"/>
                <w:szCs w:val="24"/>
              </w:rPr>
              <w:t>)</w:t>
            </w:r>
            <w:r>
              <w:rPr>
                <w:rFonts w:ascii="Times New Roman" w:hAnsi="Times New Roman" w:eastAsia="宋体"/>
                <w:color w:val="auto"/>
                <w:sz w:val="24"/>
                <w:szCs w:val="24"/>
              </w:rPr>
              <w:t>》</w:t>
            </w:r>
            <w:r>
              <w:rPr>
                <w:rFonts w:hint="eastAsia" w:ascii="Times New Roman" w:hAnsi="Times New Roman" w:eastAsia="宋体"/>
                <w:color w:val="auto"/>
                <w:sz w:val="24"/>
                <w:szCs w:val="24"/>
              </w:rPr>
              <w:t>(</w:t>
            </w:r>
            <w:r>
              <w:rPr>
                <w:rFonts w:ascii="Times New Roman" w:hAnsi="Times New Roman" w:eastAsia="宋体"/>
                <w:color w:val="auto"/>
                <w:sz w:val="24"/>
                <w:szCs w:val="24"/>
              </w:rPr>
              <w:t>环办环评〔2020〕33号</w:t>
            </w:r>
            <w:r>
              <w:rPr>
                <w:rFonts w:hint="eastAsia" w:ascii="Times New Roman" w:hAnsi="Times New Roman" w:eastAsia="宋体"/>
                <w:color w:val="auto"/>
                <w:sz w:val="24"/>
                <w:szCs w:val="24"/>
              </w:rPr>
              <w:t>)的</w:t>
            </w:r>
            <w:r>
              <w:rPr>
                <w:rFonts w:ascii="Times New Roman" w:hAnsi="Times New Roman" w:eastAsia="宋体"/>
                <w:color w:val="auto"/>
                <w:sz w:val="24"/>
                <w:szCs w:val="24"/>
              </w:rPr>
              <w:t>要求。</w:t>
            </w:r>
          </w:p>
          <w:p>
            <w:pPr>
              <w:pStyle w:val="3"/>
              <w:bidi w:val="0"/>
              <w:rPr>
                <w:rFonts w:hint="default"/>
                <w:color w:val="auto"/>
              </w:rPr>
            </w:pPr>
            <w:r>
              <w:rPr>
                <w:rFonts w:hint="default"/>
                <w:color w:val="auto"/>
              </w:rPr>
              <w:t>3.3声环境质量现状</w:t>
            </w:r>
          </w:p>
          <w:p>
            <w:pPr>
              <w:pStyle w:val="4"/>
              <w:bidi w:val="0"/>
              <w:rPr>
                <w:rFonts w:hint="default"/>
                <w:color w:val="auto"/>
              </w:rPr>
            </w:pPr>
            <w:r>
              <w:rPr>
                <w:rFonts w:hint="default"/>
                <w:color w:val="auto"/>
              </w:rPr>
              <w:t>3.3.1声环境功能区</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lang w:eastAsia="zh-CN"/>
              </w:rPr>
              <w:t>本项目选址于</w:t>
            </w: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lang w:val="en-US" w:eastAsia="zh-CN"/>
              </w:rPr>
              <w:t>所在区域属于</w:t>
            </w:r>
            <w:r>
              <w:rPr>
                <w:rFonts w:hint="default" w:ascii="Times New Roman" w:hAnsi="Times New Roman" w:eastAsia="宋体" w:cs="Times New Roman"/>
                <w:color w:val="auto"/>
                <w:sz w:val="24"/>
                <w:szCs w:val="24"/>
              </w:rPr>
              <w:t>居住、商业、工业混杂</w:t>
            </w:r>
            <w:r>
              <w:rPr>
                <w:rFonts w:hint="eastAsia"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zh-CN" w:eastAsia="zh-CN"/>
              </w:rPr>
              <w:t>根据</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eastAsia="zh-CN"/>
              </w:rPr>
              <w:t>声环境功能区划分技术规范》(GB/T15190-2014)</w:t>
            </w:r>
            <w:r>
              <w:rPr>
                <w:rFonts w:hint="eastAsia" w:ascii="Times New Roman" w:hAnsi="Times New Roman" w:eastAsia="宋体" w:cs="Times New Roman"/>
                <w:color w:val="auto"/>
                <w:sz w:val="24"/>
                <w:szCs w:val="24"/>
                <w:lang w:val="en-US" w:eastAsia="zh-CN"/>
              </w:rPr>
              <w:t>等可知</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声环境功能区划为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类区</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声环境功能执行《声环境质量标准》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详见表3.</w:t>
            </w:r>
            <w:r>
              <w:rPr>
                <w:rFonts w:hint="eastAsia" w:ascii="Times New Roman" w:hAnsi="Times New Roman" w:eastAsia="宋体" w:cs="Times New Roman"/>
                <w:color w:val="auto"/>
                <w:sz w:val="24"/>
                <w:szCs w:val="24"/>
                <w:lang w:val="en-US" w:eastAsia="zh-CN"/>
              </w:rPr>
              <w:t>3-1。项目距离西北侧S11福厦高速53m，距离东北侧228国道大真线130m，且不临228国道一侧，不在</w:t>
            </w:r>
            <w:r>
              <w:rPr>
                <w:rFonts w:hint="default" w:ascii="Times New Roman" w:hAnsi="Times New Roman" w:eastAsia="宋体" w:cs="Times New Roman"/>
                <w:color w:val="auto"/>
                <w:sz w:val="24"/>
                <w:szCs w:val="24"/>
              </w:rPr>
              <w:t>《声环境质量标准》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与《声环境功能区划分技术规范》（GB/T 15190-2014）中所规定的4a</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范围内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因此，不执行4a</w:t>
            </w:r>
            <w:r>
              <w:rPr>
                <w:rFonts w:hint="default" w:ascii="Times New Roman" w:hAnsi="Times New Roman" w:eastAsia="宋体" w:cs="Times New Roman"/>
                <w:color w:val="auto"/>
                <w:sz w:val="24"/>
                <w:szCs w:val="24"/>
              </w:rPr>
              <w:t>类</w:t>
            </w:r>
            <w:r>
              <w:rPr>
                <w:rFonts w:hint="eastAsia" w:ascii="Times New Roman" w:hAnsi="Times New Roman" w:eastAsia="宋体" w:cs="Times New Roman"/>
                <w:color w:val="auto"/>
                <w:sz w:val="24"/>
                <w:szCs w:val="24"/>
                <w:lang w:val="en-US" w:eastAsia="zh-CN"/>
              </w:rPr>
              <w:t>声环境</w:t>
            </w:r>
            <w:r>
              <w:rPr>
                <w:rFonts w:hint="default"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w:t>
            </w:r>
          </w:p>
          <w:p>
            <w:pPr>
              <w:pStyle w:val="33"/>
              <w:bidi w:val="0"/>
              <w:rPr>
                <w:color w:val="auto"/>
                <w:sz w:val="24"/>
                <w:szCs w:val="24"/>
              </w:rPr>
            </w:pPr>
            <w:r>
              <w:rPr>
                <w:color w:val="auto"/>
                <w:sz w:val="24"/>
                <w:szCs w:val="24"/>
              </w:rPr>
              <w:t>表3.3-1 《声环境质量</w:t>
            </w:r>
            <w:r>
              <w:rPr>
                <w:color w:val="auto"/>
                <w:sz w:val="24"/>
                <w:szCs w:val="24"/>
              </w:rPr>
              <w:tab/>
            </w:r>
            <w:r>
              <w:rPr>
                <w:color w:val="auto"/>
                <w:sz w:val="24"/>
                <w:szCs w:val="24"/>
              </w:rPr>
              <w:t>标准》(GB3096-2008)(摘录)</w:t>
            </w:r>
          </w:p>
          <w:tbl>
            <w:tblPr>
              <w:tblStyle w:val="20"/>
              <w:tblW w:w="0" w:type="auto"/>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5014"/>
              <w:gridCol w:w="1071"/>
              <w:gridCol w:w="1260"/>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vMerge w:val="restart"/>
                  <w:tcBorders>
                    <w:top w:val="single" w:color="000000" w:sz="12" w:space="0"/>
                    <w:left w:val="nil"/>
                    <w:bottom w:val="single" w:color="000000" w:sz="6" w:space="0"/>
                    <w:right w:val="single" w:color="000000" w:sz="4" w:space="0"/>
                  </w:tcBorders>
                  <w:noWrap w:val="0"/>
                  <w:vAlign w:val="center"/>
                </w:tcPr>
                <w:p>
                  <w:pPr>
                    <w:pStyle w:val="31"/>
                    <w:bidi w:val="0"/>
                    <w:rPr>
                      <w:color w:val="auto"/>
                    </w:rPr>
                  </w:pPr>
                  <w:r>
                    <w:rPr>
                      <w:color w:val="auto"/>
                    </w:rPr>
                    <w:t>标准类别</w:t>
                  </w:r>
                </w:p>
              </w:tc>
              <w:tc>
                <w:tcPr>
                  <w:tcW w:w="5014" w:type="dxa"/>
                  <w:vMerge w:val="restart"/>
                  <w:tcBorders>
                    <w:top w:val="single" w:color="000000" w:sz="12" w:space="0"/>
                    <w:left w:val="single" w:color="000000" w:sz="4" w:space="0"/>
                    <w:bottom w:val="single" w:color="000000" w:sz="6" w:space="0"/>
                    <w:right w:val="single" w:color="000000" w:sz="4" w:space="0"/>
                  </w:tcBorders>
                  <w:noWrap w:val="0"/>
                  <w:vAlign w:val="center"/>
                </w:tcPr>
                <w:p>
                  <w:pPr>
                    <w:pStyle w:val="31"/>
                    <w:bidi w:val="0"/>
                    <w:rPr>
                      <w:color w:val="auto"/>
                    </w:rPr>
                  </w:pPr>
                  <w:r>
                    <w:rPr>
                      <w:color w:val="auto"/>
                    </w:rPr>
                    <w:t>适用区域</w:t>
                  </w:r>
                </w:p>
              </w:tc>
              <w:tc>
                <w:tcPr>
                  <w:tcW w:w="2331" w:type="dxa"/>
                  <w:gridSpan w:val="2"/>
                  <w:tcBorders>
                    <w:top w:val="single" w:color="000000" w:sz="12" w:space="0"/>
                    <w:left w:val="single" w:color="000000" w:sz="4" w:space="0"/>
                    <w:bottom w:val="single" w:color="000000" w:sz="6" w:space="0"/>
                    <w:right w:val="nil"/>
                  </w:tcBorders>
                  <w:noWrap w:val="0"/>
                  <w:vAlign w:val="center"/>
                </w:tcPr>
                <w:p>
                  <w:pPr>
                    <w:pStyle w:val="31"/>
                    <w:bidi w:val="0"/>
                    <w:rPr>
                      <w:color w:val="auto"/>
                    </w:rPr>
                  </w:pPr>
                  <w:r>
                    <w:rPr>
                      <w:color w:val="auto"/>
                    </w:rPr>
                    <w:t>等效声级Leq(dB(A))</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vMerge w:val="continue"/>
                  <w:tcBorders>
                    <w:top w:val="single" w:color="000000" w:sz="6" w:space="0"/>
                    <w:left w:val="nil"/>
                    <w:bottom w:val="single" w:color="000000" w:sz="6" w:space="0"/>
                    <w:right w:val="single" w:color="000000" w:sz="4" w:space="0"/>
                  </w:tcBorders>
                  <w:noWrap w:val="0"/>
                  <w:vAlign w:val="center"/>
                </w:tcPr>
                <w:p>
                  <w:pPr>
                    <w:pStyle w:val="31"/>
                    <w:bidi w:val="0"/>
                    <w:rPr>
                      <w:color w:val="auto"/>
                    </w:rPr>
                  </w:pPr>
                </w:p>
              </w:tc>
              <w:tc>
                <w:tcPr>
                  <w:tcW w:w="5014" w:type="dxa"/>
                  <w:vMerge w:val="continue"/>
                  <w:tcBorders>
                    <w:top w:val="single" w:color="000000" w:sz="6" w:space="0"/>
                    <w:left w:val="single" w:color="000000" w:sz="4" w:space="0"/>
                    <w:bottom w:val="single" w:color="000000" w:sz="6" w:space="0"/>
                    <w:right w:val="single" w:color="000000" w:sz="4" w:space="0"/>
                  </w:tcBorders>
                  <w:noWrap w:val="0"/>
                  <w:vAlign w:val="center"/>
                </w:tcPr>
                <w:p>
                  <w:pPr>
                    <w:pStyle w:val="31"/>
                    <w:bidi w:val="0"/>
                    <w:rPr>
                      <w:color w:val="auto"/>
                    </w:rPr>
                  </w:pPr>
                </w:p>
              </w:tc>
              <w:tc>
                <w:tcPr>
                  <w:tcW w:w="1071" w:type="dxa"/>
                  <w:tcBorders>
                    <w:top w:val="single" w:color="000000" w:sz="6" w:space="0"/>
                    <w:left w:val="single" w:color="000000" w:sz="4" w:space="0"/>
                    <w:bottom w:val="single" w:color="000000" w:sz="6" w:space="0"/>
                    <w:right w:val="single" w:color="auto" w:sz="4" w:space="0"/>
                  </w:tcBorders>
                  <w:noWrap w:val="0"/>
                  <w:vAlign w:val="center"/>
                </w:tcPr>
                <w:p>
                  <w:pPr>
                    <w:pStyle w:val="31"/>
                    <w:bidi w:val="0"/>
                    <w:rPr>
                      <w:color w:val="auto"/>
                    </w:rPr>
                  </w:pPr>
                  <w:r>
                    <w:rPr>
                      <w:color w:val="auto"/>
                    </w:rPr>
                    <w:t>昼间</w:t>
                  </w:r>
                </w:p>
              </w:tc>
              <w:tc>
                <w:tcPr>
                  <w:tcW w:w="1260" w:type="dxa"/>
                  <w:tcBorders>
                    <w:top w:val="single" w:color="000000" w:sz="6" w:space="0"/>
                    <w:left w:val="single" w:color="auto" w:sz="4" w:space="0"/>
                    <w:bottom w:val="single" w:color="000000" w:sz="6" w:space="0"/>
                    <w:right w:val="nil"/>
                  </w:tcBorders>
                  <w:noWrap w:val="0"/>
                  <w:vAlign w:val="center"/>
                </w:tcPr>
                <w:p>
                  <w:pPr>
                    <w:pStyle w:val="31"/>
                    <w:bidi w:val="0"/>
                    <w:rPr>
                      <w:rFonts w:hint="eastAsia"/>
                      <w:color w:val="auto"/>
                    </w:rPr>
                  </w:pPr>
                  <w:r>
                    <w:rPr>
                      <w:rFonts w:hint="eastAsia"/>
                      <w:color w:val="auto"/>
                    </w:rPr>
                    <w:t>夜间</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tcBorders>
                    <w:top w:val="single" w:color="000000" w:sz="6" w:space="0"/>
                    <w:left w:val="nil"/>
                    <w:bottom w:val="single" w:color="000000" w:sz="12" w:space="0"/>
                    <w:right w:val="single" w:color="000000" w:sz="4" w:space="0"/>
                  </w:tcBorders>
                  <w:noWrap w:val="0"/>
                  <w:vAlign w:val="center"/>
                </w:tcPr>
                <w:p>
                  <w:pPr>
                    <w:pStyle w:val="31"/>
                    <w:bidi w:val="0"/>
                    <w:rPr>
                      <w:rFonts w:hint="eastAsia"/>
                      <w:color w:val="auto"/>
                      <w:lang w:eastAsia="zh-CN"/>
                    </w:rPr>
                  </w:pPr>
                  <w:r>
                    <w:rPr>
                      <w:rFonts w:hint="eastAsia"/>
                      <w:color w:val="auto"/>
                      <w:lang w:val="en-US" w:eastAsia="zh-CN"/>
                    </w:rPr>
                    <w:t>2</w:t>
                  </w:r>
                </w:p>
              </w:tc>
              <w:tc>
                <w:tcPr>
                  <w:tcW w:w="5014" w:type="dxa"/>
                  <w:tcBorders>
                    <w:top w:val="single" w:color="000000" w:sz="6" w:space="0"/>
                    <w:left w:val="single" w:color="000000" w:sz="4" w:space="0"/>
                    <w:bottom w:val="single" w:color="000000" w:sz="12" w:space="0"/>
                    <w:right w:val="single" w:color="000000" w:sz="4" w:space="0"/>
                  </w:tcBorders>
                  <w:noWrap w:val="0"/>
                  <w:vAlign w:val="center"/>
                </w:tcPr>
                <w:p>
                  <w:pPr>
                    <w:pStyle w:val="31"/>
                    <w:bidi w:val="0"/>
                    <w:rPr>
                      <w:rFonts w:hint="default"/>
                      <w:color w:val="auto"/>
                    </w:rPr>
                  </w:pPr>
                  <w:r>
                    <w:rPr>
                      <w:rFonts w:hint="default"/>
                      <w:color w:val="auto"/>
                    </w:rPr>
                    <w:t>指以商业金融、集市贸易为主要功能，或者居住、</w:t>
                  </w:r>
                </w:p>
                <w:p>
                  <w:pPr>
                    <w:pStyle w:val="31"/>
                    <w:bidi w:val="0"/>
                    <w:rPr>
                      <w:color w:val="auto"/>
                    </w:rPr>
                  </w:pPr>
                  <w:r>
                    <w:rPr>
                      <w:rFonts w:hint="default"/>
                      <w:color w:val="auto"/>
                    </w:rPr>
                    <w:t>商业、工业混杂，需要维护住宅安静的区域</w:t>
                  </w:r>
                </w:p>
              </w:tc>
              <w:tc>
                <w:tcPr>
                  <w:tcW w:w="1071" w:type="dxa"/>
                  <w:tcBorders>
                    <w:top w:val="single" w:color="000000" w:sz="6" w:space="0"/>
                    <w:left w:val="single" w:color="000000" w:sz="4" w:space="0"/>
                    <w:bottom w:val="single" w:color="000000" w:sz="12" w:space="0"/>
                    <w:right w:val="single" w:color="auto" w:sz="4" w:space="0"/>
                  </w:tcBorders>
                  <w:noWrap w:val="0"/>
                  <w:vAlign w:val="center"/>
                </w:tcPr>
                <w:p>
                  <w:pPr>
                    <w:pStyle w:val="31"/>
                    <w:bidi w:val="0"/>
                    <w:rPr>
                      <w:rFonts w:hint="eastAsia"/>
                      <w:color w:val="auto"/>
                    </w:rPr>
                  </w:pPr>
                  <w:r>
                    <w:rPr>
                      <w:rFonts w:hint="default"/>
                      <w:color w:val="auto"/>
                    </w:rPr>
                    <w:t>≤60</w:t>
                  </w:r>
                </w:p>
              </w:tc>
              <w:tc>
                <w:tcPr>
                  <w:tcW w:w="1260" w:type="dxa"/>
                  <w:tcBorders>
                    <w:top w:val="single" w:color="000000" w:sz="6" w:space="0"/>
                    <w:left w:val="single" w:color="auto" w:sz="4" w:space="0"/>
                    <w:bottom w:val="single" w:color="000000" w:sz="12" w:space="0"/>
                    <w:right w:val="nil"/>
                  </w:tcBorders>
                  <w:noWrap w:val="0"/>
                  <w:vAlign w:val="center"/>
                </w:tcPr>
                <w:p>
                  <w:pPr>
                    <w:pStyle w:val="31"/>
                    <w:bidi w:val="0"/>
                    <w:rPr>
                      <w:rFonts w:hint="default"/>
                      <w:color w:val="auto"/>
                      <w:lang w:val="en-US" w:eastAsia="zh-CN"/>
                    </w:rPr>
                  </w:pPr>
                  <w:r>
                    <w:rPr>
                      <w:rFonts w:hint="default"/>
                      <w:color w:val="auto"/>
                    </w:rPr>
                    <w:t>≤</w:t>
                  </w:r>
                  <w:r>
                    <w:rPr>
                      <w:rFonts w:hint="eastAsia"/>
                      <w:color w:val="auto"/>
                      <w:lang w:val="en-US" w:eastAsia="zh-CN"/>
                    </w:rPr>
                    <w:t>50</w:t>
                  </w:r>
                </w:p>
              </w:tc>
            </w:tr>
          </w:tbl>
          <w:p>
            <w:pPr>
              <w:pStyle w:val="4"/>
              <w:bidi w:val="0"/>
              <w:rPr>
                <w:rFonts w:hint="default"/>
                <w:color w:val="auto"/>
              </w:rPr>
            </w:pPr>
            <w:r>
              <w:rPr>
                <w:rFonts w:hint="default"/>
                <w:color w:val="auto"/>
              </w:rPr>
              <w:t>3.3.2声环境质量现状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24"/>
                <w:szCs w:val="24"/>
                <w:lang w:val="en-US" w:eastAsia="zh-CN"/>
              </w:rPr>
            </w:pPr>
            <w:r>
              <w:rPr>
                <w:rFonts w:hint="default" w:ascii="Times New Roman" w:hAnsi="Times New Roman" w:eastAsia="宋体" w:cs="Times New Roman"/>
                <w:color w:val="auto"/>
                <w:sz w:val="24"/>
                <w:szCs w:val="24"/>
                <w:highlight w:val="none"/>
                <w:lang w:val="zh-CN" w:eastAsia="zh-CN"/>
              </w:rPr>
              <w:t>根据《建设项目环境影响报告表编制技术指南</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污染影响类</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试行</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环办环评〔2020〕33号</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的要求</w:t>
            </w:r>
            <w:r>
              <w:rPr>
                <w:rFonts w:hint="eastAsia" w:ascii="Times New Roman" w:hAnsi="Times New Roman" w:eastAsia="宋体" w:cs="Times New Roman"/>
                <w:color w:val="auto"/>
                <w:sz w:val="24"/>
                <w:szCs w:val="24"/>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4"/>
                <w:highlight w:val="none"/>
                <w:lang w:val="en-US" w:eastAsia="zh-CN"/>
              </w:rPr>
              <w:t>根据环境影响评价网（</w:t>
            </w:r>
            <w:r>
              <w:rPr>
                <w:rFonts w:hint="default" w:ascii="Times New Roman" w:hAnsi="Times New Roman" w:eastAsia="宋体" w:cs="Times New Roman"/>
                <w:b/>
                <w:bCs/>
                <w:color w:val="auto"/>
                <w:sz w:val="24"/>
                <w:szCs w:val="24"/>
                <w:highlight w:val="none"/>
                <w:lang w:val="zh-CN" w:eastAsia="zh-CN"/>
              </w:rPr>
              <w:t>生态环境部环境工程评估中心</w:t>
            </w:r>
            <w:r>
              <w:rPr>
                <w:rFonts w:hint="eastAsia" w:ascii="Times New Roman" w:hAnsi="Times New Roman" w:eastAsia="宋体" w:cs="Times New Roman"/>
                <w:b/>
                <w:bCs/>
                <w:color w:val="auto"/>
                <w:sz w:val="24"/>
                <w:szCs w:val="24"/>
                <w:highlight w:val="none"/>
                <w:lang w:val="zh-CN" w:eastAsia="zh-CN"/>
              </w:rPr>
              <w:t>）</w:t>
            </w:r>
            <w:r>
              <w:rPr>
                <w:rFonts w:hint="eastAsia" w:ascii="Times New Roman" w:hAnsi="Times New Roman" w:eastAsia="宋体" w:cs="Times New Roman"/>
                <w:b/>
                <w:bCs/>
                <w:color w:val="auto"/>
                <w:sz w:val="24"/>
                <w:szCs w:val="24"/>
                <w:highlight w:val="none"/>
                <w:lang w:val="en-US" w:eastAsia="zh-CN"/>
              </w:rPr>
              <w:t>关于</w:t>
            </w:r>
            <w:r>
              <w:rPr>
                <w:rFonts w:hint="eastAsia" w:ascii="Times New Roman" w:hAnsi="Times New Roman" w:eastAsia="宋体" w:cs="Times New Roman"/>
                <w:b/>
                <w:bCs/>
                <w:color w:val="auto"/>
                <w:sz w:val="24"/>
                <w:szCs w:val="24"/>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4"/>
                <w:highlight w:val="none"/>
                <w:lang w:val="zh-CN" w:eastAsia="zh-CN"/>
              </w:rPr>
              <w:t>厂界外周边</w:t>
            </w:r>
            <w:r>
              <w:rPr>
                <w:rFonts w:hint="eastAsia" w:ascii="Times New Roman" w:hAnsi="Times New Roman"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4"/>
                <w:highlight w:val="none"/>
                <w:lang w:val="zh-CN" w:eastAsia="zh-CN"/>
              </w:rPr>
              <w:t>厂界外周边</w:t>
            </w:r>
            <w:r>
              <w:rPr>
                <w:rFonts w:hint="eastAsia" w:ascii="Times New Roman" w:hAnsi="Times New Roman" w:eastAsia="宋体" w:cs="Times New Roman"/>
                <w:b/>
                <w:bCs/>
                <w:color w:val="auto"/>
                <w:sz w:val="24"/>
                <w:szCs w:val="24"/>
                <w:highlight w:val="none"/>
                <w:lang w:val="en-US" w:eastAsia="zh-CN"/>
              </w:rPr>
              <w:t>50</w:t>
            </w:r>
            <w:r>
              <w:rPr>
                <w:rFonts w:hint="eastAsia" w:ascii="Times New Roman" w:hAnsi="Times New Roman" w:eastAsia="宋体" w:cs="Times New Roman"/>
                <w:b/>
                <w:bCs/>
                <w:color w:val="auto"/>
                <w:sz w:val="24"/>
                <w:szCs w:val="24"/>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4"/>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4"/>
                <w:highlight w:val="none"/>
                <w:lang w:val="zh-CN" w:eastAsia="zh-CN"/>
              </w:rPr>
              <w:t>声环境质量现状监测。</w:t>
            </w:r>
          </w:p>
          <w:p>
            <w:pPr>
              <w:pStyle w:val="3"/>
              <w:bidi w:val="0"/>
              <w:rPr>
                <w:rFonts w:hint="default"/>
                <w:color w:val="auto"/>
              </w:rPr>
            </w:pPr>
            <w:r>
              <w:rPr>
                <w:rFonts w:hint="default"/>
                <w:color w:val="auto"/>
              </w:rPr>
              <w:t>3.</w:t>
            </w:r>
            <w:r>
              <w:rPr>
                <w:rFonts w:hint="default"/>
                <w:color w:val="auto"/>
                <w:lang w:val="en-US" w:eastAsia="zh-CN"/>
              </w:rPr>
              <w:t>4</w:t>
            </w:r>
            <w:r>
              <w:rPr>
                <w:rFonts w:hint="default"/>
                <w:color w:val="auto"/>
              </w:rPr>
              <w:t xml:space="preserve"> 生态环境现状调查</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kern w:val="0"/>
                <w:sz w:val="24"/>
                <w:szCs w:val="24"/>
                <w:highlight w:val="none"/>
              </w:rPr>
              <w:t>根据</w:t>
            </w:r>
            <w:r>
              <w:rPr>
                <w:rFonts w:hint="eastAsia" w:cs="Times New Roman"/>
                <w:color w:val="auto"/>
                <w:kern w:val="0"/>
                <w:sz w:val="24"/>
                <w:szCs w:val="24"/>
                <w:highlight w:val="none"/>
                <w:lang w:eastAsia="zh-CN"/>
              </w:rPr>
              <w:t>现场勘察，项目用地为未建设空地，地表主要为砂土和杂草，中部有硬化道路，</w:t>
            </w:r>
            <w:r>
              <w:rPr>
                <w:rFonts w:hint="default" w:ascii="Times New Roman" w:hAnsi="Times New Roman" w:eastAsia="宋体" w:cs="Times New Roman"/>
                <w:color w:val="auto"/>
                <w:sz w:val="24"/>
                <w:szCs w:val="24"/>
                <w:highlight w:val="none"/>
                <w:lang w:val="zh-CN"/>
              </w:rPr>
              <w:t>用地</w:t>
            </w:r>
            <w:r>
              <w:rPr>
                <w:rFonts w:hint="eastAsia" w:ascii="Times New Roman" w:hAnsi="Times New Roman" w:eastAsia="宋体" w:cs="Times New Roman"/>
                <w:color w:val="auto"/>
                <w:sz w:val="24"/>
                <w:szCs w:val="24"/>
                <w:highlight w:val="none"/>
                <w:lang w:val="zh-CN"/>
              </w:rPr>
              <w:t>周边</w:t>
            </w:r>
            <w:r>
              <w:rPr>
                <w:rFonts w:hint="default" w:ascii="Times New Roman" w:hAnsi="Times New Roman" w:eastAsia="宋体" w:cs="Times New Roman"/>
                <w:color w:val="auto"/>
                <w:sz w:val="24"/>
                <w:szCs w:val="24"/>
                <w:highlight w:val="none"/>
                <w:lang w:val="zh-CN"/>
              </w:rPr>
              <w:t>以道路、工业企业</w:t>
            </w:r>
            <w:r>
              <w:rPr>
                <w:rFonts w:hint="default" w:ascii="Times New Roman" w:hAnsi="Times New Roman" w:eastAsia="宋体" w:cs="Times New Roman"/>
                <w:color w:val="auto"/>
                <w:sz w:val="24"/>
                <w:szCs w:val="24"/>
                <w:highlight w:val="none"/>
                <w:lang w:val="zh-CN" w:eastAsia="zh-CN"/>
              </w:rPr>
              <w:t>等为主，</w:t>
            </w:r>
            <w:r>
              <w:rPr>
                <w:rFonts w:hint="default" w:ascii="Times New Roman" w:hAnsi="Times New Roman" w:eastAsia="宋体" w:cs="Times New Roman"/>
                <w:color w:val="auto"/>
                <w:sz w:val="24"/>
                <w:szCs w:val="24"/>
                <w:highlight w:val="none"/>
                <w:lang w:val="zh-CN"/>
              </w:rPr>
              <w:t>项目评价区域主要植被为草坪、行道树等景观树种</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auto"/>
                <w:sz w:val="24"/>
                <w:szCs w:val="24"/>
                <w:highlight w:val="none"/>
                <w:lang w:val="zh-CN" w:eastAsia="zh-CN"/>
              </w:rPr>
              <w:t>，因此，</w:t>
            </w:r>
            <w:r>
              <w:rPr>
                <w:rFonts w:hint="default" w:ascii="Times New Roman" w:hAnsi="Times New Roman" w:eastAsia="宋体" w:cs="Times New Roman"/>
                <w:color w:val="auto"/>
                <w:sz w:val="24"/>
                <w:szCs w:val="24"/>
                <w:highlight w:val="none"/>
                <w:lang w:val="zh-CN"/>
              </w:rPr>
              <w:t>本环评</w:t>
            </w:r>
            <w:r>
              <w:rPr>
                <w:rFonts w:hint="default" w:ascii="Times New Roman" w:hAnsi="Times New Roman" w:eastAsia="宋体" w:cs="Times New Roman"/>
                <w:color w:val="auto"/>
                <w:sz w:val="24"/>
                <w:szCs w:val="24"/>
                <w:highlight w:val="none"/>
                <w:lang w:val="zh-CN" w:eastAsia="zh-CN"/>
              </w:rPr>
              <w:t>不对</w:t>
            </w:r>
            <w:r>
              <w:rPr>
                <w:rFonts w:hint="default" w:ascii="Times New Roman" w:hAnsi="Times New Roman" w:eastAsia="宋体" w:cs="Times New Roman"/>
                <w:color w:val="auto"/>
                <w:sz w:val="24"/>
                <w:szCs w:val="24"/>
                <w:highlight w:val="none"/>
                <w:lang w:val="zh-CN"/>
              </w:rPr>
              <w:t>生态环境现状进行评价</w:t>
            </w:r>
            <w:r>
              <w:rPr>
                <w:rFonts w:hint="default" w:ascii="Times New Roman" w:hAnsi="Times New Roman" w:eastAsia="宋体" w:cs="Times New Roman"/>
                <w:color w:val="auto"/>
                <w:sz w:val="24"/>
                <w:szCs w:val="24"/>
                <w:highlight w:val="none"/>
                <w:lang w:val="zh-CN" w:eastAsia="zh-CN"/>
              </w:rPr>
              <w:t>。</w:t>
            </w:r>
          </w:p>
          <w:p>
            <w:pPr>
              <w:pStyle w:val="3"/>
              <w:bidi w:val="0"/>
              <w:rPr>
                <w:rFonts w:hint="default"/>
                <w:color w:val="auto"/>
              </w:rPr>
            </w:pPr>
            <w:r>
              <w:rPr>
                <w:rFonts w:hint="default"/>
                <w:color w:val="auto"/>
              </w:rPr>
              <w:t>3.5地下水</w:t>
            </w:r>
            <w:r>
              <w:rPr>
                <w:rFonts w:hint="default"/>
                <w:color w:val="auto"/>
                <w:lang w:eastAsia="zh-CN"/>
              </w:rPr>
              <w:t>、土壤</w:t>
            </w:r>
            <w:r>
              <w:rPr>
                <w:rFonts w:hint="default"/>
                <w:color w:val="auto"/>
              </w:rPr>
              <w:t>环境质量现状</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根据《建设项目环境影响报告表编制技术指南</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规定，“原则上不开展环境质量现状调查。建设项目存在土壤、地下水环境污染途径的，应结合污染源、保护目标分布情况开展现状调查以留作背景值”。</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现场勘查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项目周边以</w:t>
            </w:r>
            <w:r>
              <w:rPr>
                <w:rFonts w:hint="default" w:ascii="Times New Roman" w:hAnsi="Times New Roman" w:eastAsia="宋体" w:cs="Times New Roman"/>
                <w:color w:val="auto"/>
                <w:sz w:val="24"/>
                <w:szCs w:val="24"/>
                <w:highlight w:val="none"/>
                <w:lang w:val="zh-CN"/>
              </w:rPr>
              <w:t>城市道路、</w:t>
            </w:r>
            <w:r>
              <w:rPr>
                <w:rFonts w:hint="eastAsia" w:ascii="Times New Roman" w:hAnsi="Times New Roman" w:eastAsia="宋体" w:cs="Times New Roman"/>
                <w:color w:val="auto"/>
                <w:sz w:val="24"/>
                <w:szCs w:val="24"/>
                <w:highlight w:val="none"/>
                <w:lang w:val="zh-CN"/>
              </w:rPr>
              <w:t>工业</w:t>
            </w:r>
            <w:r>
              <w:rPr>
                <w:rFonts w:hint="default" w:ascii="Times New Roman" w:hAnsi="Times New Roman" w:eastAsia="宋体" w:cs="Times New Roman"/>
                <w:color w:val="auto"/>
                <w:sz w:val="24"/>
                <w:szCs w:val="24"/>
                <w:highlight w:val="none"/>
                <w:lang w:val="zh-CN"/>
              </w:rPr>
              <w:t>企业</w:t>
            </w:r>
            <w:r>
              <w:rPr>
                <w:rFonts w:hint="eastAsia" w:ascii="Times New Roman" w:hAnsi="Times New Roman" w:eastAsia="宋体" w:cs="Times New Roman"/>
                <w:color w:val="auto"/>
                <w:sz w:val="24"/>
                <w:szCs w:val="24"/>
                <w:highlight w:val="none"/>
                <w:lang w:val="zh-CN" w:eastAsia="zh-CN"/>
              </w:rPr>
              <w:t>为主</w:t>
            </w:r>
            <w:r>
              <w:rPr>
                <w:rFonts w:hint="eastAsia" w:ascii="Times New Roman" w:hAnsi="Times New Roman" w:eastAsia="宋体" w:cs="Times New Roman"/>
                <w:color w:val="auto"/>
                <w:sz w:val="24"/>
                <w:szCs w:val="24"/>
                <w:highlight w:val="none"/>
                <w:lang w:val="en-US" w:eastAsia="zh-CN"/>
              </w:rPr>
              <w:t>，项目周边地下水、土壤环境相对不敏感，采取有效的防渗措施后，项目对地下水、土壤环境影响很小，因此，本评价不对项目地下水、土壤环境质量进行补充监测。</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br w:type="page"/>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7"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310" w:type="dxa"/>
            <w:noWrap w:val="0"/>
            <w:vAlign w:val="center"/>
          </w:tcPr>
          <w:p>
            <w:pPr>
              <w:pStyle w:val="3"/>
              <w:bidi w:val="0"/>
              <w:rPr>
                <w:rFonts w:hint="default"/>
                <w:color w:val="auto"/>
              </w:rPr>
            </w:pPr>
            <w:r>
              <w:rPr>
                <w:rFonts w:hint="default"/>
                <w:color w:val="auto"/>
                <w:lang w:val="en-US" w:eastAsia="zh-CN"/>
              </w:rPr>
              <w:t>3.</w:t>
            </w:r>
            <w:r>
              <w:rPr>
                <w:rFonts w:hint="eastAsia"/>
                <w:color w:val="auto"/>
                <w:lang w:val="en-US" w:eastAsia="zh-CN"/>
              </w:rPr>
              <w:t>6</w:t>
            </w:r>
            <w:r>
              <w:rPr>
                <w:rFonts w:hint="default"/>
                <w:color w:val="auto"/>
                <w:lang w:val="en-US" w:eastAsia="zh-CN"/>
              </w:rPr>
              <w:t xml:space="preserve"> </w:t>
            </w:r>
            <w:r>
              <w:rPr>
                <w:rFonts w:hint="default"/>
                <w:color w:val="auto"/>
              </w:rPr>
              <w:t>环境保护目标</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根据《建设项目环境影响报告表编制技术指南</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要求以及对项目周边环境的调查，项目</w:t>
            </w:r>
            <w:r>
              <w:rPr>
                <w:rFonts w:hint="default" w:ascii="Times New Roman" w:hAnsi="Times New Roman" w:eastAsia="宋体" w:cs="Times New Roman"/>
                <w:color w:val="auto"/>
                <w:kern w:val="0"/>
                <w:sz w:val="24"/>
                <w:szCs w:val="24"/>
                <w:lang w:val="en-US" w:eastAsia="zh-CN"/>
              </w:rPr>
              <w:t>大气环境</w:t>
            </w:r>
            <w:r>
              <w:rPr>
                <w:rFonts w:hint="eastAsia" w:ascii="Times New Roman" w:hAnsi="Times New Roman" w:eastAsia="宋体" w:cs="Times New Roman"/>
                <w:color w:val="auto"/>
                <w:kern w:val="0"/>
                <w:sz w:val="24"/>
                <w:szCs w:val="24"/>
                <w:lang w:val="en-US" w:eastAsia="zh-CN"/>
              </w:rPr>
              <w:t>(厂界外500m)</w:t>
            </w:r>
            <w:r>
              <w:rPr>
                <w:rFonts w:hint="default" w:ascii="Times New Roman" w:hAnsi="Times New Roman" w:eastAsia="宋体" w:cs="Times New Roman"/>
                <w:color w:val="auto"/>
                <w:kern w:val="0"/>
                <w:sz w:val="24"/>
                <w:szCs w:val="24"/>
                <w:lang w:val="en-US" w:eastAsia="zh-CN"/>
              </w:rPr>
              <w:t>、地表水环境、声环境</w:t>
            </w:r>
            <w:r>
              <w:rPr>
                <w:rFonts w:hint="eastAsia" w:ascii="Times New Roman" w:hAnsi="Times New Roman" w:eastAsia="宋体" w:cs="Times New Roman"/>
                <w:color w:val="auto"/>
                <w:kern w:val="0"/>
                <w:sz w:val="24"/>
                <w:szCs w:val="24"/>
                <w:lang w:val="en-US" w:eastAsia="zh-CN"/>
              </w:rPr>
              <w:t>(厂界外50m)、地下水环境(厂界外500m)等环境保护目标</w:t>
            </w:r>
            <w:r>
              <w:rPr>
                <w:rFonts w:hint="default" w:ascii="Times New Roman" w:hAnsi="Times New Roman" w:eastAsia="宋体" w:cs="Times New Roman"/>
                <w:color w:val="auto"/>
                <w:kern w:val="0"/>
                <w:sz w:val="24"/>
                <w:szCs w:val="24"/>
              </w:rPr>
              <w:t>见表3.</w:t>
            </w:r>
            <w:r>
              <w:rPr>
                <w:rFonts w:hint="eastAsia" w:ascii="Times New Roman" w:hAnsi="Times New Roman" w:eastAsia="宋体" w:cs="Times New Roman"/>
                <w:color w:val="auto"/>
                <w:kern w:val="0"/>
                <w:sz w:val="24"/>
                <w:szCs w:val="24"/>
                <w:lang w:val="en-US" w:eastAsia="zh-CN"/>
              </w:rPr>
              <w:t>6-1</w:t>
            </w:r>
            <w:r>
              <w:rPr>
                <w:rFonts w:hint="default" w:ascii="Times New Roman" w:hAnsi="Times New Roman" w:eastAsia="宋体" w:cs="Times New Roman"/>
                <w:color w:val="auto"/>
                <w:kern w:val="0"/>
                <w:sz w:val="24"/>
                <w:szCs w:val="24"/>
              </w:rPr>
              <w:t>和附图</w:t>
            </w:r>
            <w:r>
              <w:rPr>
                <w:rFonts w:hint="eastAsia" w:cs="Times New Roman"/>
                <w:color w:val="auto"/>
                <w:kern w:val="0"/>
                <w:sz w:val="24"/>
                <w:szCs w:val="24"/>
                <w:lang w:val="en-US" w:eastAsia="zh-CN"/>
              </w:rPr>
              <w:t>二</w:t>
            </w:r>
            <w:r>
              <w:rPr>
                <w:rFonts w:hint="default" w:ascii="Times New Roman" w:hAnsi="Times New Roman" w:eastAsia="宋体" w:cs="Times New Roman"/>
                <w:color w:val="auto"/>
                <w:kern w:val="0"/>
                <w:sz w:val="24"/>
                <w:szCs w:val="24"/>
              </w:rPr>
              <w:t>。</w:t>
            </w:r>
          </w:p>
          <w:p>
            <w:pPr>
              <w:pStyle w:val="33"/>
              <w:bidi w:val="0"/>
              <w:rPr>
                <w:rFonts w:hint="default"/>
                <w:color w:val="auto"/>
                <w:sz w:val="24"/>
              </w:rPr>
            </w:pPr>
            <w:r>
              <w:rPr>
                <w:rFonts w:hint="default"/>
                <w:color w:val="auto"/>
                <w:sz w:val="24"/>
              </w:rPr>
              <w:t>表</w:t>
            </w:r>
            <w:r>
              <w:rPr>
                <w:rFonts w:hint="eastAsia"/>
                <w:color w:val="auto"/>
                <w:sz w:val="24"/>
                <w:lang w:val="en-US" w:eastAsia="zh-CN"/>
              </w:rPr>
              <w:t xml:space="preserve">3.6-1 </w:t>
            </w:r>
            <w:r>
              <w:rPr>
                <w:rFonts w:hint="default"/>
                <w:color w:val="auto"/>
                <w:sz w:val="24"/>
              </w:rPr>
              <w:t>环境保护目标一览表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329"/>
              <w:gridCol w:w="1653"/>
              <w:gridCol w:w="1792"/>
              <w:gridCol w:w="2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31"/>
                    <w:bidi w:val="0"/>
                    <w:rPr>
                      <w:rFonts w:hint="default"/>
                      <w:b/>
                      <w:bCs/>
                      <w:color w:val="auto"/>
                    </w:rPr>
                  </w:pPr>
                  <w:r>
                    <w:rPr>
                      <w:rFonts w:hint="default"/>
                      <w:b/>
                      <w:bCs/>
                      <w:color w:val="auto"/>
                    </w:rPr>
                    <w:t>环境</w:t>
                  </w:r>
                </w:p>
                <w:p>
                  <w:pPr>
                    <w:pStyle w:val="31"/>
                    <w:bidi w:val="0"/>
                    <w:rPr>
                      <w:rFonts w:hint="default"/>
                      <w:b/>
                      <w:bCs/>
                      <w:color w:val="auto"/>
                    </w:rPr>
                  </w:pPr>
                  <w:r>
                    <w:rPr>
                      <w:rFonts w:hint="default"/>
                      <w:b/>
                      <w:bCs/>
                      <w:color w:val="auto"/>
                    </w:rPr>
                    <w:t>要素</w:t>
                  </w:r>
                </w:p>
              </w:tc>
              <w:tc>
                <w:tcPr>
                  <w:tcW w:w="821" w:type="pct"/>
                  <w:noWrap w:val="0"/>
                  <w:vAlign w:val="center"/>
                </w:tcPr>
                <w:p>
                  <w:pPr>
                    <w:pStyle w:val="31"/>
                    <w:bidi w:val="0"/>
                    <w:rPr>
                      <w:rFonts w:hint="default"/>
                      <w:b/>
                      <w:bCs/>
                      <w:color w:val="auto"/>
                    </w:rPr>
                  </w:pPr>
                  <w:r>
                    <w:rPr>
                      <w:rFonts w:hint="default"/>
                      <w:b/>
                      <w:bCs/>
                      <w:color w:val="auto"/>
                    </w:rPr>
                    <w:t>环境保护对象名称</w:t>
                  </w:r>
                </w:p>
              </w:tc>
              <w:tc>
                <w:tcPr>
                  <w:tcW w:w="1021" w:type="pct"/>
                  <w:noWrap w:val="0"/>
                  <w:vAlign w:val="center"/>
                </w:tcPr>
                <w:p>
                  <w:pPr>
                    <w:pStyle w:val="31"/>
                    <w:bidi w:val="0"/>
                    <w:rPr>
                      <w:rFonts w:hint="default"/>
                      <w:b/>
                      <w:bCs/>
                      <w:color w:val="auto"/>
                    </w:rPr>
                  </w:pPr>
                  <w:r>
                    <w:rPr>
                      <w:rFonts w:hint="default"/>
                      <w:b/>
                      <w:bCs/>
                      <w:color w:val="auto"/>
                    </w:rPr>
                    <w:t>相对项目的方位和最近距离</w:t>
                  </w:r>
                </w:p>
              </w:tc>
              <w:tc>
                <w:tcPr>
                  <w:tcW w:w="1107" w:type="pct"/>
                  <w:noWrap w:val="0"/>
                  <w:vAlign w:val="center"/>
                </w:tcPr>
                <w:p>
                  <w:pPr>
                    <w:pStyle w:val="31"/>
                    <w:bidi w:val="0"/>
                    <w:rPr>
                      <w:rFonts w:hint="default"/>
                      <w:b/>
                      <w:bCs/>
                      <w:color w:val="auto"/>
                    </w:rPr>
                  </w:pPr>
                  <w:r>
                    <w:rPr>
                      <w:rFonts w:hint="default"/>
                      <w:b/>
                      <w:bCs/>
                      <w:color w:val="auto"/>
                    </w:rPr>
                    <w:t>目标规模</w:t>
                  </w:r>
                </w:p>
              </w:tc>
              <w:tc>
                <w:tcPr>
                  <w:tcW w:w="1539" w:type="pct"/>
                  <w:noWrap w:val="0"/>
                  <w:vAlign w:val="center"/>
                </w:tcPr>
                <w:p>
                  <w:pPr>
                    <w:pStyle w:val="31"/>
                    <w:bidi w:val="0"/>
                    <w:rPr>
                      <w:rFonts w:hint="default"/>
                      <w:b/>
                      <w:bCs/>
                      <w:color w:val="auto"/>
                    </w:rPr>
                  </w:pPr>
                  <w:r>
                    <w:rPr>
                      <w:rFonts w:hint="default"/>
                      <w:b/>
                      <w:bCs/>
                      <w:color w:val="auto"/>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31"/>
                    <w:bidi w:val="0"/>
                    <w:rPr>
                      <w:rFonts w:hint="default"/>
                      <w:color w:val="auto"/>
                    </w:rPr>
                  </w:pPr>
                  <w:r>
                    <w:rPr>
                      <w:rFonts w:hint="default"/>
                      <w:color w:val="auto"/>
                    </w:rPr>
                    <w:t>环境</w:t>
                  </w:r>
                </w:p>
                <w:p>
                  <w:pPr>
                    <w:pStyle w:val="31"/>
                    <w:bidi w:val="0"/>
                    <w:rPr>
                      <w:rFonts w:hint="default"/>
                      <w:color w:val="auto"/>
                    </w:rPr>
                  </w:pPr>
                  <w:r>
                    <w:rPr>
                      <w:rFonts w:hint="default"/>
                      <w:color w:val="auto"/>
                    </w:rPr>
                    <w:t>空气</w:t>
                  </w:r>
                </w:p>
              </w:tc>
              <w:tc>
                <w:tcPr>
                  <w:tcW w:w="821" w:type="pct"/>
                  <w:noWrap w:val="0"/>
                  <w:vAlign w:val="center"/>
                </w:tcPr>
                <w:p>
                  <w:pPr>
                    <w:pStyle w:val="31"/>
                    <w:bidi w:val="0"/>
                    <w:rPr>
                      <w:rFonts w:hint="default"/>
                      <w:color w:val="auto"/>
                      <w:lang w:val="en-US" w:eastAsia="zh-CN"/>
                    </w:rPr>
                  </w:pPr>
                  <w:r>
                    <w:rPr>
                      <w:rFonts w:hint="eastAsia"/>
                      <w:color w:val="auto"/>
                      <w:lang w:val="en-US" w:eastAsia="zh-CN"/>
                    </w:rPr>
                    <w:t>石溪村</w:t>
                  </w:r>
                </w:p>
              </w:tc>
              <w:tc>
                <w:tcPr>
                  <w:tcW w:w="1021" w:type="pct"/>
                  <w:noWrap w:val="0"/>
                  <w:vAlign w:val="center"/>
                </w:tcPr>
                <w:p>
                  <w:pPr>
                    <w:pStyle w:val="31"/>
                    <w:bidi w:val="0"/>
                    <w:rPr>
                      <w:rFonts w:hint="default"/>
                      <w:color w:val="auto"/>
                    </w:rPr>
                  </w:pPr>
                  <w:r>
                    <w:rPr>
                      <w:rFonts w:hint="eastAsia"/>
                      <w:color w:val="auto"/>
                      <w:lang w:val="en-US" w:eastAsia="zh-CN"/>
                    </w:rPr>
                    <w:t>西</w:t>
                  </w:r>
                  <w:r>
                    <w:rPr>
                      <w:rFonts w:hint="default"/>
                      <w:color w:val="auto"/>
                      <w:lang w:val="en-US" w:eastAsia="zh-CN"/>
                    </w:rPr>
                    <w:t>侧</w:t>
                  </w:r>
                  <w:r>
                    <w:rPr>
                      <w:rFonts w:hint="eastAsia"/>
                      <w:color w:val="auto"/>
                      <w:highlight w:val="none"/>
                      <w:lang w:val="en-US" w:eastAsia="zh-CN"/>
                    </w:rPr>
                    <w:t>260</w:t>
                  </w:r>
                  <w:r>
                    <w:rPr>
                      <w:rFonts w:hint="default"/>
                      <w:color w:val="auto"/>
                      <w:highlight w:val="none"/>
                      <w:lang w:val="en-US" w:eastAsia="zh-CN"/>
                    </w:rPr>
                    <w:t>m</w:t>
                  </w:r>
                </w:p>
              </w:tc>
              <w:tc>
                <w:tcPr>
                  <w:tcW w:w="1107" w:type="pct"/>
                  <w:noWrap w:val="0"/>
                  <w:vAlign w:val="center"/>
                </w:tcPr>
                <w:p>
                  <w:pPr>
                    <w:pStyle w:val="31"/>
                    <w:bidi w:val="0"/>
                    <w:rPr>
                      <w:rFonts w:hint="default"/>
                      <w:color w:val="auto"/>
                      <w:lang w:val="en-US" w:eastAsia="zh-CN"/>
                    </w:rPr>
                  </w:pPr>
                  <w:r>
                    <w:rPr>
                      <w:rFonts w:hint="eastAsia"/>
                      <w:color w:val="auto"/>
                      <w:lang w:val="en-US" w:eastAsia="zh-CN"/>
                    </w:rPr>
                    <w:t>约35户/125人（500m范围内）</w:t>
                  </w:r>
                </w:p>
              </w:tc>
              <w:tc>
                <w:tcPr>
                  <w:tcW w:w="1539" w:type="pct"/>
                  <w:noWrap w:val="0"/>
                  <w:vAlign w:val="center"/>
                </w:tcPr>
                <w:p>
                  <w:pPr>
                    <w:pStyle w:val="31"/>
                    <w:bidi w:val="0"/>
                    <w:rPr>
                      <w:rFonts w:hint="default"/>
                      <w:color w:val="auto"/>
                    </w:rPr>
                  </w:pPr>
                  <w:r>
                    <w:rPr>
                      <w:rFonts w:hint="default"/>
                      <w:color w:val="auto"/>
                    </w:rPr>
                    <w:t>《环境空气质量标准》(GB3095</w:t>
                  </w:r>
                  <w:r>
                    <w:rPr>
                      <w:rFonts w:hint="eastAsia"/>
                      <w:color w:val="auto"/>
                      <w:lang w:val="en-US" w:eastAsia="zh-CN"/>
                    </w:rPr>
                    <w:t xml:space="preserve"> </w:t>
                  </w:r>
                  <w:r>
                    <w:rPr>
                      <w:rFonts w:hint="default"/>
                      <w:color w:val="auto"/>
                    </w:rPr>
                    <w:t>-2012)及其修改单二级标准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31"/>
                    <w:bidi w:val="0"/>
                    <w:rPr>
                      <w:rFonts w:hint="default"/>
                      <w:color w:val="auto"/>
                    </w:rPr>
                  </w:pPr>
                  <w:r>
                    <w:rPr>
                      <w:rFonts w:hint="default"/>
                      <w:color w:val="auto"/>
                    </w:rPr>
                    <w:t>地表水</w:t>
                  </w:r>
                </w:p>
              </w:tc>
              <w:tc>
                <w:tcPr>
                  <w:tcW w:w="821" w:type="pct"/>
                  <w:noWrap w:val="0"/>
                  <w:vAlign w:val="center"/>
                </w:tcPr>
                <w:p>
                  <w:pPr>
                    <w:pStyle w:val="31"/>
                    <w:bidi w:val="0"/>
                    <w:rPr>
                      <w:rFonts w:hint="default"/>
                      <w:color w:val="auto"/>
                      <w:lang w:val="en-US" w:eastAsia="zh-CN"/>
                    </w:rPr>
                  </w:pPr>
                  <w:r>
                    <w:rPr>
                      <w:rFonts w:hint="default"/>
                      <w:color w:val="auto"/>
                      <w:lang w:eastAsia="zh-CN"/>
                    </w:rPr>
                    <w:t>南厝河</w:t>
                  </w:r>
                </w:p>
              </w:tc>
              <w:tc>
                <w:tcPr>
                  <w:tcW w:w="1021" w:type="pct"/>
                  <w:noWrap w:val="0"/>
                  <w:vAlign w:val="center"/>
                </w:tcPr>
                <w:p>
                  <w:pPr>
                    <w:pStyle w:val="31"/>
                    <w:bidi w:val="0"/>
                    <w:rPr>
                      <w:rFonts w:hint="eastAsia"/>
                      <w:color w:val="auto"/>
                      <w:lang w:val="en-US" w:eastAsia="zh-CN"/>
                    </w:rPr>
                  </w:pPr>
                  <w:r>
                    <w:rPr>
                      <w:rFonts w:hint="eastAsia"/>
                      <w:color w:val="auto"/>
                      <w:lang w:val="en-US" w:eastAsia="zh-CN"/>
                    </w:rPr>
                    <w:t>南侧5m</w:t>
                  </w:r>
                </w:p>
              </w:tc>
              <w:tc>
                <w:tcPr>
                  <w:tcW w:w="1107" w:type="pct"/>
                  <w:noWrap w:val="0"/>
                  <w:vAlign w:val="center"/>
                </w:tcPr>
                <w:p>
                  <w:pPr>
                    <w:pStyle w:val="31"/>
                    <w:bidi w:val="0"/>
                    <w:rPr>
                      <w:rFonts w:hint="default"/>
                      <w:color w:val="auto"/>
                      <w:lang w:val="en-US" w:eastAsia="zh-CN"/>
                    </w:rPr>
                  </w:pPr>
                  <w:r>
                    <w:rPr>
                      <w:rFonts w:hint="eastAsia"/>
                      <w:color w:val="auto"/>
                      <w:lang w:val="en-US" w:eastAsia="zh-CN"/>
                    </w:rPr>
                    <w:t>小型河流，河宽5-20m之间</w:t>
                  </w:r>
                </w:p>
              </w:tc>
              <w:tc>
                <w:tcPr>
                  <w:tcW w:w="1539" w:type="pct"/>
                  <w:noWrap w:val="0"/>
                  <w:vAlign w:val="center"/>
                </w:tcPr>
                <w:p>
                  <w:pPr>
                    <w:pStyle w:val="31"/>
                    <w:bidi w:val="0"/>
                    <w:rPr>
                      <w:rFonts w:hint="eastAsia"/>
                      <w:color w:val="auto"/>
                      <w:lang w:val="en-US" w:eastAsia="zh-CN"/>
                    </w:rPr>
                  </w:pPr>
                  <w:r>
                    <w:rPr>
                      <w:rFonts w:hint="eastAsia"/>
                      <w:color w:val="auto"/>
                      <w:lang w:val="en-US" w:eastAsia="zh-CN"/>
                    </w:rPr>
                    <w:t>《地表水环境质量标准》（GB3838-2002）中Ⅲ类标准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31"/>
                    <w:bidi w:val="0"/>
                    <w:rPr>
                      <w:rFonts w:hint="default"/>
                      <w:color w:val="auto"/>
                    </w:rPr>
                  </w:pPr>
                  <w:r>
                    <w:rPr>
                      <w:rFonts w:hint="default"/>
                      <w:color w:val="auto"/>
                    </w:rPr>
                    <w:t>声环境</w:t>
                  </w:r>
                </w:p>
              </w:tc>
              <w:tc>
                <w:tcPr>
                  <w:tcW w:w="4489" w:type="pct"/>
                  <w:gridSpan w:val="4"/>
                  <w:noWrap w:val="0"/>
                  <w:vAlign w:val="center"/>
                </w:tcPr>
                <w:p>
                  <w:pPr>
                    <w:pStyle w:val="31"/>
                    <w:bidi w:val="0"/>
                    <w:rPr>
                      <w:rFonts w:hint="default"/>
                      <w:color w:val="auto"/>
                    </w:rPr>
                  </w:pPr>
                  <w:r>
                    <w:rPr>
                      <w:rFonts w:hint="default"/>
                      <w:color w:val="auto"/>
                      <w:lang w:val="en-US" w:eastAsia="zh-CN"/>
                    </w:rPr>
                    <w:t>项目厂界外50m范围内无声环境保护目标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31"/>
                    <w:bidi w:val="0"/>
                    <w:rPr>
                      <w:rFonts w:hint="default"/>
                      <w:color w:val="auto"/>
                    </w:rPr>
                  </w:pPr>
                  <w:r>
                    <w:rPr>
                      <w:rFonts w:hint="default"/>
                      <w:color w:val="auto"/>
                    </w:rPr>
                    <w:t>地下水</w:t>
                  </w:r>
                </w:p>
              </w:tc>
              <w:tc>
                <w:tcPr>
                  <w:tcW w:w="4489" w:type="pct"/>
                  <w:gridSpan w:val="4"/>
                  <w:noWrap w:val="0"/>
                  <w:vAlign w:val="center"/>
                </w:tcPr>
                <w:p>
                  <w:pPr>
                    <w:pStyle w:val="31"/>
                    <w:bidi w:val="0"/>
                    <w:rPr>
                      <w:rFonts w:hint="default"/>
                      <w:color w:val="auto"/>
                    </w:rPr>
                  </w:pPr>
                  <w:r>
                    <w:rPr>
                      <w:rFonts w:hint="default"/>
                      <w:color w:val="auto"/>
                    </w:rPr>
                    <w:t>项目厂界外500</w:t>
                  </w:r>
                  <w:r>
                    <w:rPr>
                      <w:rFonts w:hint="default"/>
                      <w:color w:val="auto"/>
                      <w:lang w:val="en-US" w:eastAsia="zh-CN"/>
                    </w:rPr>
                    <w:t>m</w:t>
                  </w:r>
                  <w:r>
                    <w:rPr>
                      <w:rFonts w:hint="default"/>
                      <w:color w:val="auto"/>
                    </w:rPr>
                    <w:t>范围内无地下水集中式饮用水水源和热水、矿泉水、温泉等特殊地下水资源</w:t>
                  </w:r>
                </w:p>
              </w:tc>
            </w:tr>
          </w:tbl>
          <w:p>
            <w:pPr>
              <w:adjustRightInd w:val="0"/>
              <w:snapToGrid w:val="0"/>
              <w:spacing w:line="360" w:lineRule="auto"/>
              <w:ind w:firstLine="480" w:firstLineChars="200"/>
              <w:rPr>
                <w:rFonts w:hint="default" w:ascii="Times New Roman" w:hAnsi="Times New Roman" w:eastAsia="宋体"/>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污染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物排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放控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制标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Cs w:val="21"/>
              </w:rPr>
            </w:pPr>
            <w:r>
              <w:rPr>
                <w:rFonts w:hint="default"/>
                <w:color w:val="auto"/>
              </w:rPr>
              <w:t>准</w:t>
            </w:r>
          </w:p>
        </w:tc>
        <w:tc>
          <w:tcPr>
            <w:tcW w:w="8310" w:type="dxa"/>
            <w:noWrap w:val="0"/>
            <w:vAlign w:val="center"/>
          </w:tcPr>
          <w:p>
            <w:pPr>
              <w:pStyle w:val="3"/>
              <w:bidi w:val="0"/>
              <w:rPr>
                <w:rFonts w:hint="default"/>
                <w:color w:val="auto"/>
                <w:lang w:val="en-US" w:eastAsia="zh-CN"/>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 污染物排放标准</w:t>
            </w:r>
          </w:p>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 xml:space="preserve">.1 </w:t>
            </w:r>
            <w:r>
              <w:rPr>
                <w:rFonts w:hint="default"/>
                <w:color w:val="auto"/>
              </w:rPr>
              <w:t>水污染物</w:t>
            </w:r>
            <w:r>
              <w:rPr>
                <w:rFonts w:hint="default"/>
                <w:color w:val="auto"/>
                <w:lang w:val="en-US" w:eastAsia="zh-CN"/>
              </w:rPr>
              <w:t>排放标准</w:t>
            </w:r>
          </w:p>
          <w:p>
            <w:pPr>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w:t>
            </w:r>
            <w:r>
              <w:rPr>
                <w:rFonts w:hint="default"/>
                <w:color w:val="auto"/>
                <w:lang w:eastAsia="zh-CN"/>
              </w:rPr>
              <w:t>水污染物</w:t>
            </w:r>
            <w:r>
              <w:rPr>
                <w:rFonts w:hint="default"/>
                <w:color w:val="auto"/>
              </w:rPr>
              <w:t>排放标准</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施工期</w:t>
            </w:r>
          </w:p>
          <w:p>
            <w:pPr>
              <w:bidi w:val="0"/>
              <w:rPr>
                <w:rFonts w:hint="eastAsia"/>
                <w:color w:val="auto"/>
                <w:lang w:eastAsia="zh-CN"/>
              </w:rPr>
            </w:pPr>
            <w:r>
              <w:rPr>
                <w:color w:val="auto"/>
              </w:rPr>
              <w:t>施工期设临时隔油沉淀池，</w:t>
            </w:r>
            <w:r>
              <w:rPr>
                <w:rFonts w:hint="eastAsia"/>
                <w:color w:val="auto"/>
                <w:lang w:eastAsia="zh-CN"/>
              </w:rPr>
              <w:t>施工废水</w:t>
            </w:r>
            <w:r>
              <w:rPr>
                <w:color w:val="auto"/>
              </w:rPr>
              <w:t>经隔油沉淀处理后全部回用场地洒水抑尘和</w:t>
            </w:r>
            <w:r>
              <w:rPr>
                <w:rFonts w:hint="eastAsia"/>
                <w:color w:val="auto"/>
                <w:lang w:eastAsia="zh-CN"/>
              </w:rPr>
              <w:t>施工</w:t>
            </w:r>
            <w:r>
              <w:rPr>
                <w:color w:val="auto"/>
              </w:rPr>
              <w:t>，不外排。本项目</w:t>
            </w:r>
            <w:r>
              <w:rPr>
                <w:rFonts w:hint="eastAsia"/>
                <w:color w:val="auto"/>
                <w:lang w:eastAsia="zh-CN"/>
              </w:rPr>
              <w:t>施工人员租用周边民房，依托区域现有污水处理系统和排水系统，因此不另行设置排放标准。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运营期</w:t>
            </w:r>
          </w:p>
          <w:p>
            <w:pPr>
              <w:bidi w:val="0"/>
              <w:rPr>
                <w:rFonts w:hint="eastAsia"/>
                <w:color w:val="auto"/>
                <w:lang w:val="en-US" w:eastAsia="zh-CN"/>
              </w:rPr>
            </w:pPr>
            <w:r>
              <w:rPr>
                <w:rFonts w:hint="default"/>
                <w:color w:val="auto"/>
                <w:lang w:val="en-US" w:eastAsia="zh-CN"/>
              </w:rPr>
              <w:t>本项目设备清洗废水、</w:t>
            </w:r>
            <w:r>
              <w:rPr>
                <w:rFonts w:hint="eastAsia"/>
                <w:color w:val="auto"/>
                <w:lang w:val="en-US" w:eastAsia="zh-CN"/>
              </w:rPr>
              <w:t>生产区</w:t>
            </w:r>
            <w:r>
              <w:rPr>
                <w:rFonts w:hint="default"/>
                <w:color w:val="auto"/>
                <w:lang w:val="en-US" w:eastAsia="zh-CN"/>
              </w:rPr>
              <w:t>地面冲洗废水、</w:t>
            </w:r>
            <w:r>
              <w:rPr>
                <w:rFonts w:hint="eastAsia"/>
                <w:color w:val="auto"/>
                <w:lang w:val="en-US" w:eastAsia="zh-CN"/>
              </w:rPr>
              <w:t>试验清洗废水、</w:t>
            </w:r>
            <w:r>
              <w:rPr>
                <w:rFonts w:hint="default"/>
                <w:color w:val="auto"/>
                <w:lang w:val="en-US" w:eastAsia="zh-CN"/>
              </w:rPr>
              <w:t>经生产废水处理系统处理后全部回用，不外排；</w:t>
            </w:r>
            <w:r>
              <w:rPr>
                <w:rFonts w:hint="eastAsia"/>
                <w:color w:val="auto"/>
                <w:lang w:val="en-US" w:eastAsia="zh-CN"/>
              </w:rPr>
              <w:t>厂区职工的</w:t>
            </w:r>
            <w:r>
              <w:rPr>
                <w:rFonts w:hint="default"/>
                <w:color w:val="auto"/>
                <w:lang w:val="en-US" w:eastAsia="zh-CN"/>
              </w:rPr>
              <w:t>生活污水</w:t>
            </w:r>
            <w:r>
              <w:rPr>
                <w:rFonts w:hint="eastAsia"/>
                <w:color w:val="auto"/>
                <w:highlight w:val="none"/>
                <w:lang w:val="en-US" w:eastAsia="zh-CN"/>
              </w:rPr>
              <w:t>经</w:t>
            </w:r>
            <w:r>
              <w:rPr>
                <w:rFonts w:hint="default"/>
                <w:color w:val="auto"/>
                <w:highlight w:val="none"/>
                <w:lang w:val="en-US" w:eastAsia="zh-CN"/>
              </w:rPr>
              <w:t>厂区</w:t>
            </w:r>
            <w:r>
              <w:rPr>
                <w:rFonts w:hint="eastAsia"/>
                <w:color w:val="auto"/>
                <w:highlight w:val="none"/>
                <w:lang w:val="en-US" w:eastAsia="zh-CN"/>
              </w:rPr>
              <w:t>1#宿舍楼南侧的</w:t>
            </w:r>
            <w:r>
              <w:rPr>
                <w:rFonts w:hint="default"/>
                <w:color w:val="auto"/>
                <w:highlight w:val="none"/>
                <w:lang w:val="en-US" w:eastAsia="zh-CN"/>
              </w:rPr>
              <w:t>化粪池</w:t>
            </w:r>
            <w:r>
              <w:rPr>
                <w:rFonts w:hint="eastAsia"/>
                <w:color w:val="auto"/>
                <w:highlight w:val="none"/>
                <w:lang w:val="en-US" w:eastAsia="zh-CN"/>
              </w:rPr>
              <w:t>+一体化污水处理设施</w:t>
            </w:r>
            <w:r>
              <w:rPr>
                <w:rFonts w:hint="default"/>
                <w:color w:val="auto"/>
                <w:highlight w:val="none"/>
                <w:lang w:val="en-US" w:eastAsia="zh-CN"/>
              </w:rPr>
              <w:t>处理</w:t>
            </w:r>
            <w:r>
              <w:rPr>
                <w:rFonts w:hint="eastAsia"/>
                <w:color w:val="auto"/>
                <w:highlight w:val="none"/>
                <w:lang w:val="en-US" w:eastAsia="zh-CN"/>
              </w:rPr>
              <w:t>后</w:t>
            </w:r>
            <w:r>
              <w:rPr>
                <w:rFonts w:hint="default"/>
                <w:color w:val="auto"/>
                <w:highlight w:val="none"/>
                <w:lang w:val="en-US" w:eastAsia="zh-CN"/>
              </w:rPr>
              <w:t>，</w:t>
            </w:r>
            <w:r>
              <w:rPr>
                <w:rFonts w:hint="eastAsia"/>
                <w:color w:val="auto"/>
                <w:highlight w:val="none"/>
                <w:lang w:val="en-US" w:eastAsia="zh-CN"/>
              </w:rPr>
              <w:t>尾水用于厂区绿化灌溉以及回用于混凝土生产</w:t>
            </w:r>
            <w:r>
              <w:rPr>
                <w:rFonts w:hint="default"/>
                <w:color w:val="auto"/>
                <w:lang w:val="en-US" w:eastAsia="zh-CN"/>
              </w:rPr>
              <w:t>，</w:t>
            </w:r>
            <w:r>
              <w:rPr>
                <w:rFonts w:hint="eastAsia"/>
                <w:color w:val="auto"/>
                <w:lang w:val="en-US" w:eastAsia="zh-CN"/>
              </w:rPr>
              <w:t>不外排。</w:t>
            </w:r>
            <w:bookmarkStart w:id="19" w:name="_Toc461002554"/>
            <w:bookmarkStart w:id="20" w:name="_Toc7698"/>
            <w:bookmarkStart w:id="21" w:name="_Toc492278611"/>
            <w:bookmarkStart w:id="22" w:name="_Toc490031198"/>
            <w:r>
              <w:rPr>
                <w:rFonts w:hint="eastAsia"/>
                <w:color w:val="auto"/>
                <w:lang w:val="en-US" w:eastAsia="zh-CN"/>
              </w:rPr>
              <w:t>尾水满足</w:t>
            </w:r>
            <w:r>
              <w:rPr>
                <w:rFonts w:hint="eastAsia"/>
                <w:color w:val="auto"/>
                <w:lang w:val="en-GB" w:eastAsia="zh-CN"/>
              </w:rPr>
              <w:t>《城市污水再生利用 绿地灌溉水质》（GB/T25499-2010）</w:t>
            </w:r>
            <w:r>
              <w:rPr>
                <w:rFonts w:hint="eastAsia"/>
                <w:color w:val="auto"/>
                <w:lang w:val="en-US" w:eastAsia="zh-CN"/>
              </w:rPr>
              <w:t>相关水质要求，可用于上述的使用场景。</w:t>
            </w:r>
          </w:p>
          <w:p>
            <w:pPr>
              <w:pStyle w:val="33"/>
              <w:bidi w:val="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3.7-1</w:t>
            </w:r>
            <w:r>
              <w:rPr>
                <w:rFonts w:ascii="Times New Roman" w:hAnsi="Times New Roman" w:eastAsia="宋体" w:cs="Times New Roman"/>
                <w:color w:val="auto"/>
                <w:sz w:val="24"/>
                <w:szCs w:val="24"/>
              </w:rPr>
              <w:t xml:space="preserve">  项目</w:t>
            </w:r>
            <w:r>
              <w:rPr>
                <w:rFonts w:hint="eastAsia"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lang w:eastAsia="zh-CN"/>
              </w:rPr>
              <w:t>回用标准</w:t>
            </w:r>
            <w:r>
              <w:rPr>
                <w:rFonts w:ascii="Times New Roman" w:hAnsi="Times New Roman" w:eastAsia="宋体" w:cs="Times New Roman"/>
                <w:color w:val="auto"/>
                <w:sz w:val="24"/>
                <w:szCs w:val="24"/>
              </w:rPr>
              <w:t>限值一览表</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12"/>
              <w:gridCol w:w="4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val="0"/>
                      <w:bCs w:val="0"/>
                      <w:color w:val="auto"/>
                      <w:kern w:val="18"/>
                      <w:sz w:val="21"/>
                      <w:szCs w:val="21"/>
                      <w:highlight w:val="none"/>
                    </w:rPr>
                    <w:t>污染物名称</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eastAsia"/>
                      <w:color w:val="auto"/>
                      <w:sz w:val="21"/>
                      <w:szCs w:val="21"/>
                      <w:lang w:val="en-GB" w:eastAsia="zh-CN"/>
                    </w:rPr>
                    <w:t>GB/T25499-2010绿地灌溉水质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lang w:val="en-US" w:eastAsia="zh-CN"/>
                    </w:rPr>
                  </w:pPr>
                  <w:r>
                    <w:rPr>
                      <w:rFonts w:hint="default"/>
                      <w:color w:val="auto"/>
                      <w:sz w:val="21"/>
                      <w:szCs w:val="21"/>
                      <w:lang w:val="en-US" w:eastAsia="zh-CN"/>
                    </w:rPr>
                    <w:t>BOD</w:t>
                  </w:r>
                  <w:r>
                    <w:rPr>
                      <w:rFonts w:hint="default"/>
                      <w:color w:val="auto"/>
                      <w:sz w:val="21"/>
                      <w:szCs w:val="21"/>
                      <w:highlight w:val="none"/>
                      <w:vertAlign w:val="subscript"/>
                      <w:lang w:val="en-US" w:eastAsia="zh-CN"/>
                    </w:rPr>
                    <w:t>5</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6.0~9.0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26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r>
            <w:bookmarkEnd w:id="19"/>
            <w:bookmarkEnd w:id="20"/>
            <w:bookmarkEnd w:id="21"/>
            <w:bookmarkEnd w:id="22"/>
          </w:tbl>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.2 大气</w:t>
            </w:r>
            <w:r>
              <w:rPr>
                <w:rFonts w:hint="default"/>
                <w:color w:val="auto"/>
              </w:rPr>
              <w:t>污染物</w:t>
            </w:r>
            <w:r>
              <w:rPr>
                <w:rFonts w:hint="default"/>
                <w:color w:val="auto"/>
                <w:lang w:val="en-US" w:eastAsia="zh-CN"/>
              </w:rPr>
              <w:t>排放标准</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）施工期</w:t>
            </w:r>
          </w:p>
          <w:p>
            <w:pPr>
              <w:bidi w:val="0"/>
              <w:rPr>
                <w:color w:val="auto"/>
              </w:rPr>
            </w:pPr>
            <w:r>
              <w:rPr>
                <w:rFonts w:hint="eastAsia"/>
                <w:color w:val="auto"/>
              </w:rPr>
              <w:t>项目施工扬尘排放执行《大气污染物综合排放标准》（GB16297-1996）表2中的无组织排放监控浓度限值，详见表3.</w:t>
            </w:r>
            <w:r>
              <w:rPr>
                <w:rFonts w:hint="eastAsia"/>
                <w:color w:val="auto"/>
                <w:lang w:val="en-US" w:eastAsia="zh-CN"/>
              </w:rPr>
              <w:t>7-2</w:t>
            </w:r>
            <w:r>
              <w:rPr>
                <w:rFonts w:hint="eastAsia"/>
                <w:color w:val="auto"/>
              </w:rPr>
              <w:t>。</w:t>
            </w:r>
          </w:p>
          <w:p>
            <w:pPr>
              <w:pStyle w:val="33"/>
              <w:bidi w:val="0"/>
              <w:rPr>
                <w:color w:val="auto"/>
                <w:sz w:val="24"/>
                <w:szCs w:val="24"/>
              </w:rPr>
            </w:pPr>
            <w:r>
              <w:rPr>
                <w:color w:val="auto"/>
                <w:sz w:val="24"/>
                <w:szCs w:val="24"/>
              </w:rPr>
              <w:t>表</w:t>
            </w:r>
            <w:r>
              <w:rPr>
                <w:rFonts w:hint="eastAsia"/>
                <w:color w:val="auto"/>
                <w:sz w:val="24"/>
                <w:szCs w:val="24"/>
              </w:rPr>
              <w:t>3.</w:t>
            </w:r>
            <w:r>
              <w:rPr>
                <w:rFonts w:hint="eastAsia"/>
                <w:color w:val="auto"/>
                <w:sz w:val="24"/>
                <w:szCs w:val="24"/>
                <w:lang w:val="en-US" w:eastAsia="zh-CN"/>
              </w:rPr>
              <w:t>7</w:t>
            </w:r>
            <w:r>
              <w:rPr>
                <w:rFonts w:hint="eastAsia"/>
                <w:color w:val="auto"/>
                <w:sz w:val="24"/>
                <w:szCs w:val="24"/>
              </w:rPr>
              <w:t>-</w:t>
            </w:r>
            <w:r>
              <w:rPr>
                <w:rFonts w:hint="eastAsia"/>
                <w:color w:val="auto"/>
                <w:sz w:val="24"/>
                <w:szCs w:val="24"/>
                <w:lang w:val="en-US" w:eastAsia="zh-CN"/>
              </w:rPr>
              <w:t>2</w:t>
            </w:r>
            <w:r>
              <w:rPr>
                <w:rFonts w:hint="eastAsia"/>
                <w:color w:val="auto"/>
                <w:sz w:val="24"/>
                <w:szCs w:val="24"/>
              </w:rPr>
              <w:t xml:space="preserve"> </w:t>
            </w:r>
            <w:r>
              <w:rPr>
                <w:color w:val="auto"/>
                <w:sz w:val="24"/>
                <w:szCs w:val="24"/>
              </w:rPr>
              <w:t>《大气污染物综合排放标准》(GB16297-1996)表2 (摘录)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2268"/>
              <w:gridCol w:w="3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noWrap w:val="0"/>
                  <w:vAlign w:val="center"/>
                </w:tcPr>
                <w:p>
                  <w:pPr>
                    <w:pStyle w:val="33"/>
                    <w:bidi w:val="0"/>
                    <w:rPr>
                      <w:color w:val="auto"/>
                    </w:rPr>
                  </w:pPr>
                  <w:r>
                    <w:rPr>
                      <w:color w:val="auto"/>
                    </w:rPr>
                    <w:t>污染物名称</w:t>
                  </w:r>
                </w:p>
              </w:tc>
              <w:tc>
                <w:tcPr>
                  <w:tcW w:w="1401" w:type="pct"/>
                  <w:noWrap w:val="0"/>
                  <w:vAlign w:val="center"/>
                </w:tcPr>
                <w:p>
                  <w:pPr>
                    <w:pStyle w:val="33"/>
                    <w:bidi w:val="0"/>
                    <w:rPr>
                      <w:color w:val="auto"/>
                    </w:rPr>
                  </w:pPr>
                  <w:r>
                    <w:rPr>
                      <w:color w:val="auto"/>
                    </w:rPr>
                    <w:t>无组织排放监控点</w:t>
                  </w:r>
                </w:p>
              </w:tc>
              <w:tc>
                <w:tcPr>
                  <w:tcW w:w="2429" w:type="pct"/>
                  <w:noWrap w:val="0"/>
                  <w:vAlign w:val="center"/>
                </w:tcPr>
                <w:p>
                  <w:pPr>
                    <w:pStyle w:val="33"/>
                    <w:bidi w:val="0"/>
                    <w:rPr>
                      <w:color w:val="auto"/>
                    </w:rPr>
                  </w:pPr>
                  <w:r>
                    <w:rPr>
                      <w:color w:val="auto"/>
                    </w:rPr>
                    <w:t>无组织排放监控浓度限值(mg/m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noWrap w:val="0"/>
                  <w:vAlign w:val="center"/>
                </w:tcPr>
                <w:p>
                  <w:pPr>
                    <w:pStyle w:val="31"/>
                    <w:bidi w:val="0"/>
                    <w:rPr>
                      <w:color w:val="auto"/>
                    </w:rPr>
                  </w:pPr>
                  <w:r>
                    <w:rPr>
                      <w:color w:val="auto"/>
                    </w:rPr>
                    <w:t>颗粒物</w:t>
                  </w:r>
                </w:p>
              </w:tc>
              <w:tc>
                <w:tcPr>
                  <w:tcW w:w="1401" w:type="pct"/>
                  <w:noWrap w:val="0"/>
                  <w:vAlign w:val="center"/>
                </w:tcPr>
                <w:p>
                  <w:pPr>
                    <w:pStyle w:val="31"/>
                    <w:bidi w:val="0"/>
                    <w:rPr>
                      <w:color w:val="auto"/>
                    </w:rPr>
                  </w:pPr>
                  <w:r>
                    <w:rPr>
                      <w:color w:val="auto"/>
                    </w:rPr>
                    <w:t>周界外浓度最高点</w:t>
                  </w:r>
                </w:p>
              </w:tc>
              <w:tc>
                <w:tcPr>
                  <w:tcW w:w="2429" w:type="pct"/>
                  <w:noWrap w:val="0"/>
                  <w:vAlign w:val="center"/>
                </w:tcPr>
                <w:p>
                  <w:pPr>
                    <w:pStyle w:val="31"/>
                    <w:bidi w:val="0"/>
                    <w:rPr>
                      <w:color w:val="auto"/>
                    </w:rPr>
                  </w:pPr>
                  <w:r>
                    <w:rPr>
                      <w:color w:val="auto"/>
                    </w:rPr>
                    <w:t>1.0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）运营期</w:t>
            </w:r>
          </w:p>
          <w:p>
            <w:pPr>
              <w:bidi w:val="0"/>
              <w:rPr>
                <w:rFonts w:hint="eastAsia"/>
                <w:color w:val="auto"/>
                <w:highlight w:val="none"/>
                <w:lang w:eastAsia="zh-CN"/>
              </w:rPr>
            </w:pPr>
            <w:r>
              <w:rPr>
                <w:rFonts w:hint="eastAsia"/>
                <w:color w:val="auto"/>
                <w:highlight w:val="none"/>
                <w:lang w:val="en-US" w:eastAsia="zh-CN"/>
              </w:rPr>
              <w:t>本项目主要从事预拌混凝土、预制砼结构件的生产</w:t>
            </w:r>
            <w:r>
              <w:rPr>
                <w:rFonts w:hint="eastAsia"/>
                <w:color w:val="auto"/>
                <w:highlight w:val="none"/>
                <w:lang w:eastAsia="zh-CN"/>
              </w:rPr>
              <w:t>，</w:t>
            </w:r>
            <w:r>
              <w:rPr>
                <w:rFonts w:hint="eastAsia"/>
                <w:color w:val="auto"/>
                <w:highlight w:val="none"/>
                <w:lang w:val="en-US" w:eastAsia="zh-CN"/>
              </w:rPr>
              <w:t>项目生产过程中的工艺废气主要以颗粒物的形式排放，其中</w:t>
            </w:r>
            <w:r>
              <w:rPr>
                <w:rFonts w:hint="eastAsia"/>
                <w:color w:val="auto"/>
                <w:highlight w:val="none"/>
                <w:lang w:eastAsia="zh-CN"/>
              </w:rPr>
              <w:t>砂石装卸及堆场风蚀扬尘、运输车辆扬尘、搅拌粉尘、焊接烟尘经治理后无组织排放；粉料仓呼吸尘经各仓配套除尘器处理后无组织排放。</w:t>
            </w:r>
          </w:p>
          <w:p>
            <w:pPr>
              <w:bidi w:val="0"/>
              <w:rPr>
                <w:rFonts w:hint="eastAsia"/>
                <w:color w:val="auto"/>
                <w:highlight w:val="none"/>
                <w:lang w:eastAsia="zh-CN"/>
              </w:rPr>
            </w:pPr>
            <w:r>
              <w:rPr>
                <w:rFonts w:hint="eastAsia" w:ascii="Times New Roman" w:hAnsi="Times New Roman" w:eastAsia="宋体"/>
                <w:b w:val="0"/>
                <w:bCs w:val="0"/>
                <w:color w:val="auto"/>
                <w:sz w:val="24"/>
                <w:shd w:val="clear" w:color="auto" w:fill="FFFFFF"/>
                <w:lang w:eastAsia="zh-CN"/>
              </w:rPr>
              <w:t>根据《福建省环保厅关于水泥工业大气污染物排放标准执行有关事项的通知》（闽环保科〔2014〕12号），本项目属于该通知中第2类新建企业（2014年3月1日后环境影响评价文件通过审批的新、改、扩建项目），根据该通知要求：“新建企业中，第2类执行GB4915-2013表2规定的限值。</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所有企业作业场所的无组织排放限值执行DB35/1311-2013的相关规定</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新建企业自</w:t>
            </w:r>
            <w:r>
              <w:rPr>
                <w:rFonts w:hint="eastAsia" w:ascii="Times New Roman" w:hAnsi="Times New Roman" w:eastAsia="宋体"/>
                <w:b w:val="0"/>
                <w:bCs w:val="0"/>
                <w:color w:val="auto"/>
                <w:sz w:val="24"/>
                <w:shd w:val="clear" w:color="auto" w:fill="FFFFFF"/>
                <w:lang w:val="en-US" w:eastAsia="zh-CN"/>
              </w:rPr>
              <w:t>2014年3月1日1起，应同时符合DB35/1311-2013和GB4915-2013的有关规定要求</w:t>
            </w:r>
            <w:r>
              <w:rPr>
                <w:rFonts w:hint="eastAsia" w:ascii="Times New Roman" w:hAnsi="Times New Roman" w:eastAsia="宋体"/>
                <w:b w:val="0"/>
                <w:bCs w:val="0"/>
                <w:color w:val="auto"/>
                <w:sz w:val="24"/>
                <w:shd w:val="clear" w:color="auto" w:fill="FFFFFF"/>
                <w:lang w:eastAsia="zh-CN"/>
              </w:rPr>
              <w:t>”，因此，项目无组织颗粒物排放执行《水泥工业大气污染物排放标准》（DB35/1311-2013）表3排放限值</w:t>
            </w:r>
            <w:r>
              <w:rPr>
                <w:rFonts w:hint="eastAsia"/>
                <w:color w:val="auto"/>
                <w:highlight w:val="none"/>
                <w:lang w:eastAsia="zh-CN"/>
              </w:rPr>
              <w:t>，详见表</w:t>
            </w:r>
            <w:r>
              <w:rPr>
                <w:rFonts w:hint="eastAsia"/>
                <w:color w:val="auto"/>
                <w:highlight w:val="none"/>
                <w:lang w:val="en-US" w:eastAsia="zh-CN"/>
              </w:rPr>
              <w:t>3.7-3</w:t>
            </w:r>
            <w:r>
              <w:rPr>
                <w:rFonts w:hint="eastAsia"/>
                <w:color w:val="auto"/>
                <w:highlight w:val="none"/>
                <w:lang w:eastAsia="zh-CN"/>
              </w:rPr>
              <w:t>。</w:t>
            </w:r>
          </w:p>
          <w:p>
            <w:pPr>
              <w:bidi w:val="0"/>
              <w:rPr>
                <w:rFonts w:hint="eastAsia"/>
                <w:color w:val="auto"/>
                <w:highlight w:val="none"/>
                <w:lang w:eastAsia="zh-CN"/>
              </w:rPr>
            </w:pPr>
          </w:p>
          <w:p>
            <w:pPr>
              <w:pStyle w:val="33"/>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color w:val="auto"/>
                <w:sz w:val="24"/>
                <w:szCs w:val="24"/>
                <w:lang w:val="en-US" w:eastAsia="zh-CN"/>
              </w:rPr>
            </w:pPr>
            <w:r>
              <w:rPr>
                <w:color w:val="auto"/>
                <w:sz w:val="24"/>
                <w:szCs w:val="24"/>
              </w:rPr>
              <w:t>表</w:t>
            </w:r>
            <w:r>
              <w:rPr>
                <w:rFonts w:hint="eastAsia"/>
                <w:color w:val="auto"/>
                <w:sz w:val="24"/>
                <w:szCs w:val="24"/>
              </w:rPr>
              <w:t>3.</w:t>
            </w:r>
            <w:r>
              <w:rPr>
                <w:rFonts w:hint="eastAsia"/>
                <w:color w:val="auto"/>
                <w:sz w:val="24"/>
                <w:szCs w:val="24"/>
                <w:lang w:val="en-US" w:eastAsia="zh-CN"/>
              </w:rPr>
              <w:t>7-3 《水泥工业大气污染物排放标准》（DB35/1311-2013）表3摘录</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2692"/>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7" w:type="dxa"/>
                  <w:tcBorders>
                    <w:tl2br w:val="nil"/>
                    <w:tr2bl w:val="nil"/>
                  </w:tcBorders>
                  <w:noWrap w:val="0"/>
                  <w:vAlign w:val="center"/>
                </w:tcPr>
                <w:p>
                  <w:pPr>
                    <w:pStyle w:val="33"/>
                    <w:bidi w:val="0"/>
                    <w:rPr>
                      <w:rFonts w:hint="eastAsia"/>
                      <w:color w:val="auto"/>
                      <w:lang w:eastAsia="zh-CN"/>
                    </w:rPr>
                  </w:pPr>
                  <w:r>
                    <w:rPr>
                      <w:rFonts w:hint="eastAsia"/>
                      <w:color w:val="auto"/>
                      <w:lang w:eastAsia="zh-CN"/>
                    </w:rPr>
                    <w:t>作业场所</w:t>
                  </w:r>
                </w:p>
              </w:tc>
              <w:tc>
                <w:tcPr>
                  <w:tcW w:w="2737" w:type="dxa"/>
                  <w:tcBorders>
                    <w:tl2br w:val="nil"/>
                    <w:tr2bl w:val="nil"/>
                  </w:tcBorders>
                  <w:noWrap w:val="0"/>
                  <w:vAlign w:val="center"/>
                </w:tcPr>
                <w:p>
                  <w:pPr>
                    <w:pStyle w:val="33"/>
                    <w:bidi w:val="0"/>
                    <w:rPr>
                      <w:rFonts w:hint="eastAsia"/>
                      <w:color w:val="auto"/>
                      <w:lang w:eastAsia="zh-CN"/>
                    </w:rPr>
                  </w:pPr>
                  <w:r>
                    <w:rPr>
                      <w:rFonts w:hint="eastAsia"/>
                      <w:color w:val="auto"/>
                      <w:lang w:eastAsia="zh-CN"/>
                    </w:rPr>
                    <w:t>颗粒物无组织排放监控点</w:t>
                  </w:r>
                </w:p>
              </w:tc>
              <w:tc>
                <w:tcPr>
                  <w:tcW w:w="2738" w:type="dxa"/>
                  <w:tcBorders>
                    <w:tl2br w:val="nil"/>
                    <w:tr2bl w:val="nil"/>
                  </w:tcBorders>
                  <w:noWrap w:val="0"/>
                  <w:vAlign w:val="center"/>
                </w:tcPr>
                <w:p>
                  <w:pPr>
                    <w:pStyle w:val="33"/>
                    <w:bidi w:val="0"/>
                    <w:rPr>
                      <w:rFonts w:hint="default"/>
                      <w:color w:val="auto"/>
                      <w:lang w:val="en-US" w:eastAsia="zh-CN"/>
                    </w:rPr>
                  </w:pPr>
                  <w:r>
                    <w:rPr>
                      <w:rFonts w:hint="eastAsia"/>
                      <w:color w:val="auto"/>
                      <w:lang w:eastAsia="zh-CN"/>
                    </w:rPr>
                    <w:t>浓度限值</w:t>
                  </w:r>
                  <w:r>
                    <w:rPr>
                      <w:rFonts w:hint="eastAsia"/>
                      <w:color w:val="auto"/>
                      <w:lang w:val="en-US" w:eastAsia="zh-CN"/>
                    </w:rPr>
                    <w:t>*mg/m</w:t>
                  </w:r>
                  <w:r>
                    <w:rPr>
                      <w:rFonts w:hint="eastAsia"/>
                      <w:color w:val="auto"/>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7" w:type="dxa"/>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水泥制造（含粉磨站）、水泥制品厂、散装水泥中转站</w:t>
                  </w:r>
                </w:p>
              </w:tc>
              <w:tc>
                <w:tcPr>
                  <w:tcW w:w="2737" w:type="dxa"/>
                  <w:tcBorders>
                    <w:tl2br w:val="nil"/>
                    <w:tr2bl w:val="nil"/>
                  </w:tcBorders>
                  <w:noWrap w:val="0"/>
                  <w:vAlign w:val="center"/>
                </w:tcPr>
                <w:p>
                  <w:pPr>
                    <w:pStyle w:val="31"/>
                    <w:bidi w:val="0"/>
                    <w:rPr>
                      <w:rFonts w:hint="eastAsia"/>
                      <w:color w:val="auto"/>
                      <w:lang w:val="en-US" w:eastAsia="zh-CN"/>
                    </w:rPr>
                  </w:pPr>
                  <w:r>
                    <w:rPr>
                      <w:rFonts w:hint="eastAsia"/>
                      <w:color w:val="auto"/>
                      <w:lang w:eastAsia="zh-CN"/>
                    </w:rPr>
                    <w:t>厂界外</w:t>
                  </w:r>
                  <w:r>
                    <w:rPr>
                      <w:rFonts w:hint="eastAsia"/>
                      <w:color w:val="auto"/>
                      <w:lang w:val="en-US" w:eastAsia="zh-CN"/>
                    </w:rPr>
                    <w:t>20m处</w:t>
                  </w:r>
                </w:p>
              </w:tc>
              <w:tc>
                <w:tcPr>
                  <w:tcW w:w="2738" w:type="dxa"/>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0.5（扣除参考值）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2" w:type="dxa"/>
                  <w:gridSpan w:val="3"/>
                  <w:tcBorders>
                    <w:tl2br w:val="nil"/>
                    <w:tr2bl w:val="nil"/>
                  </w:tcBorders>
                  <w:noWrap w:val="0"/>
                  <w:vAlign w:val="center"/>
                </w:tcPr>
                <w:p>
                  <w:pPr>
                    <w:pStyle w:val="31"/>
                    <w:bidi w:val="0"/>
                    <w:jc w:val="both"/>
                    <w:rPr>
                      <w:rFonts w:hint="default" w:ascii="Times New Roman" w:hAnsi="Times New Roman" w:eastAsia="宋体" w:cs="Times New Roman"/>
                      <w:color w:val="auto"/>
                      <w:kern w:val="0"/>
                      <w:szCs w:val="21"/>
                      <w:lang w:val="en-US" w:eastAsia="zh-CN" w:bidi="ar"/>
                    </w:rPr>
                  </w:pPr>
                  <w:r>
                    <w:rPr>
                      <w:rFonts w:hint="eastAsia"/>
                      <w:color w:val="auto"/>
                      <w:lang w:val="en-US" w:eastAsia="zh-CN"/>
                    </w:rPr>
                    <w:t>*指监控点处总悬浮颗粒物（TSP）1小时浓度值。</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.3</w:t>
            </w:r>
            <w:r>
              <w:rPr>
                <w:rFonts w:hint="default"/>
                <w:color w:val="auto"/>
              </w:rPr>
              <w:t>厂界噪声</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施工期</w:t>
            </w:r>
          </w:p>
          <w:p>
            <w:pPr>
              <w:bidi w:val="0"/>
              <w:rPr>
                <w:rFonts w:hint="default"/>
                <w:color w:val="auto"/>
              </w:rPr>
            </w:pPr>
            <w:r>
              <w:rPr>
                <w:rFonts w:hint="default"/>
                <w:color w:val="auto"/>
              </w:rPr>
              <w:t>项目施工期场界噪声执行《建筑施工场界环境噪声排放标准》(GB12523-2011)表1排放限值，详见表</w:t>
            </w:r>
            <w:r>
              <w:rPr>
                <w:rFonts w:hint="default"/>
                <w:color w:val="auto"/>
                <w:highlight w:val="none"/>
                <w:lang w:val="en-US" w:eastAsia="zh-CN"/>
              </w:rPr>
              <w:t>3</w:t>
            </w:r>
            <w:r>
              <w:rPr>
                <w:rFonts w:hint="default"/>
                <w:color w:val="auto"/>
                <w:highlight w:val="none"/>
              </w:rPr>
              <w:t>.</w:t>
            </w:r>
            <w:r>
              <w:rPr>
                <w:rFonts w:hint="eastAsia"/>
                <w:color w:val="auto"/>
                <w:highlight w:val="none"/>
                <w:lang w:val="en-US" w:eastAsia="zh-CN"/>
              </w:rPr>
              <w:t>7</w:t>
            </w:r>
            <w:r>
              <w:rPr>
                <w:rFonts w:hint="default"/>
                <w:color w:val="auto"/>
                <w:highlight w:val="none"/>
              </w:rPr>
              <w:t>-</w:t>
            </w:r>
            <w:r>
              <w:rPr>
                <w:rFonts w:hint="eastAsia"/>
                <w:color w:val="auto"/>
                <w:highlight w:val="none"/>
                <w:lang w:val="en-US" w:eastAsia="zh-CN"/>
              </w:rPr>
              <w:t>4</w:t>
            </w:r>
            <w:r>
              <w:rPr>
                <w:rFonts w:hint="default"/>
                <w:color w:val="auto"/>
                <w:highlight w:val="none"/>
              </w:rPr>
              <w:t>。</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.7-4</w:t>
            </w:r>
            <w:r>
              <w:rPr>
                <w:rFonts w:hint="default"/>
                <w:color w:val="auto"/>
                <w:sz w:val="24"/>
                <w:szCs w:val="24"/>
              </w:rPr>
              <w:t xml:space="preserve"> 《建筑施工场界环境噪声排放标准》(GB12523-2011)(摘录)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71"/>
              <w:gridCol w:w="39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77" w:type="pct"/>
                  <w:noWrap w:val="0"/>
                  <w:vAlign w:val="center"/>
                </w:tcPr>
                <w:p>
                  <w:pPr>
                    <w:pStyle w:val="33"/>
                    <w:bidi w:val="0"/>
                    <w:rPr>
                      <w:rFonts w:hint="default"/>
                      <w:color w:val="auto"/>
                    </w:rPr>
                  </w:pPr>
                  <w:r>
                    <w:rPr>
                      <w:rFonts w:hint="default"/>
                      <w:color w:val="auto"/>
                    </w:rPr>
                    <w:t>昼间[dB(A)]</w:t>
                  </w:r>
                </w:p>
              </w:tc>
              <w:tc>
                <w:tcPr>
                  <w:tcW w:w="2422" w:type="pct"/>
                  <w:noWrap w:val="0"/>
                  <w:vAlign w:val="center"/>
                </w:tcPr>
                <w:p>
                  <w:pPr>
                    <w:pStyle w:val="33"/>
                    <w:bidi w:val="0"/>
                    <w:rPr>
                      <w:rFonts w:hint="default"/>
                      <w:color w:val="auto"/>
                    </w:rPr>
                  </w:pPr>
                  <w:r>
                    <w:rPr>
                      <w:rFonts w:hint="default"/>
                      <w:color w:val="auto"/>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77" w:type="pct"/>
                  <w:noWrap w:val="0"/>
                  <w:vAlign w:val="center"/>
                </w:tcPr>
                <w:p>
                  <w:pPr>
                    <w:pStyle w:val="31"/>
                    <w:bidi w:val="0"/>
                    <w:rPr>
                      <w:rFonts w:hint="default"/>
                      <w:color w:val="auto"/>
                    </w:rPr>
                  </w:pPr>
                  <w:r>
                    <w:rPr>
                      <w:rFonts w:hint="default"/>
                      <w:color w:val="auto"/>
                    </w:rPr>
                    <w:t>70</w:t>
                  </w:r>
                </w:p>
              </w:tc>
              <w:tc>
                <w:tcPr>
                  <w:tcW w:w="2422" w:type="pct"/>
                  <w:noWrap w:val="0"/>
                  <w:vAlign w:val="center"/>
                </w:tcPr>
                <w:p>
                  <w:pPr>
                    <w:pStyle w:val="31"/>
                    <w:bidi w:val="0"/>
                    <w:rPr>
                      <w:rFonts w:hint="default"/>
                      <w:color w:val="auto"/>
                    </w:rPr>
                  </w:pPr>
                  <w:r>
                    <w:rPr>
                      <w:rFonts w:hint="default"/>
                      <w:color w:val="auto"/>
                    </w:rPr>
                    <w:t>55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lang w:val="en-US"/>
              </w:rPr>
            </w:pPr>
            <w:r>
              <w:rPr>
                <w:rFonts w:hint="default"/>
                <w:color w:val="auto"/>
              </w:rPr>
              <w:t>项目运营期</w:t>
            </w:r>
            <w:r>
              <w:rPr>
                <w:rFonts w:hint="eastAsia"/>
                <w:color w:val="auto"/>
                <w:lang w:eastAsia="zh-CN"/>
              </w:rPr>
              <w:t>夜间不生产，昼间</w:t>
            </w:r>
            <w:r>
              <w:rPr>
                <w:rFonts w:hint="default"/>
                <w:color w:val="auto"/>
              </w:rPr>
              <w:t>厂界噪声执行《工业企业厂界环境噪声排放标准》(GB12348-2008)中</w:t>
            </w:r>
            <w:r>
              <w:rPr>
                <w:rFonts w:hint="eastAsia"/>
                <w:color w:val="auto"/>
                <w:lang w:val="en-US" w:eastAsia="zh-CN"/>
              </w:rPr>
              <w:t>2</w:t>
            </w:r>
            <w:r>
              <w:rPr>
                <w:rFonts w:hint="default"/>
                <w:color w:val="auto"/>
                <w:lang w:val="en-US" w:eastAsia="zh-CN"/>
              </w:rPr>
              <w:t>类</w:t>
            </w:r>
            <w:r>
              <w:rPr>
                <w:rFonts w:hint="eastAsia"/>
                <w:color w:val="auto"/>
                <w:lang w:val="en-US" w:eastAsia="zh-CN"/>
              </w:rPr>
              <w:t>标准。</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 xml:space="preserve">7-5 </w:t>
            </w:r>
            <w:r>
              <w:rPr>
                <w:rFonts w:hint="default"/>
                <w:color w:val="auto"/>
                <w:sz w:val="24"/>
                <w:szCs w:val="24"/>
              </w:rPr>
              <w:t>《工业企业厂界环境噪声排放标准》(GB12348-2008)表1(摘录)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68"/>
              <w:gridCol w:w="2001"/>
              <w:gridCol w:w="2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3" w:type="pct"/>
                  <w:tcBorders>
                    <w:tl2br w:val="single" w:color="auto" w:sz="2" w:space="0"/>
                  </w:tcBorders>
                  <w:noWrap w:val="0"/>
                  <w:vAlign w:val="center"/>
                </w:tcPr>
                <w:p>
                  <w:pPr>
                    <w:pStyle w:val="33"/>
                    <w:bidi w:val="0"/>
                    <w:jc w:val="right"/>
                    <w:rPr>
                      <w:rFonts w:hint="default"/>
                      <w:color w:val="auto"/>
                    </w:rPr>
                  </w:pPr>
                  <w:r>
                    <w:rPr>
                      <w:rFonts w:hint="default"/>
                      <w:color w:val="auto"/>
                    </w:rPr>
                    <w:t>时段</w:t>
                  </w:r>
                </w:p>
                <w:p>
                  <w:pPr>
                    <w:pStyle w:val="33"/>
                    <w:bidi w:val="0"/>
                    <w:jc w:val="left"/>
                    <w:rPr>
                      <w:rFonts w:hint="default"/>
                      <w:color w:val="auto"/>
                    </w:rPr>
                  </w:pPr>
                  <w:r>
                    <w:rPr>
                      <w:rFonts w:hint="default"/>
                      <w:color w:val="auto"/>
                    </w:rPr>
                    <w:t>厂界外声环境功能区类别</w:t>
                  </w:r>
                </w:p>
              </w:tc>
              <w:tc>
                <w:tcPr>
                  <w:tcW w:w="1236" w:type="pct"/>
                  <w:tcBorders>
                    <w:right w:val="single" w:color="auto" w:sz="4" w:space="0"/>
                  </w:tcBorders>
                  <w:noWrap w:val="0"/>
                  <w:vAlign w:val="center"/>
                </w:tcPr>
                <w:p>
                  <w:pPr>
                    <w:pStyle w:val="33"/>
                    <w:bidi w:val="0"/>
                    <w:rPr>
                      <w:rFonts w:hint="default"/>
                      <w:color w:val="auto"/>
                    </w:rPr>
                  </w:pPr>
                  <w:r>
                    <w:rPr>
                      <w:rFonts w:hint="default"/>
                      <w:color w:val="auto"/>
                    </w:rPr>
                    <w:t>昼 间</w:t>
                  </w:r>
                </w:p>
              </w:tc>
              <w:tc>
                <w:tcPr>
                  <w:tcW w:w="1249" w:type="pct"/>
                  <w:noWrap w:val="0"/>
                  <w:vAlign w:val="center"/>
                </w:tcPr>
                <w:p>
                  <w:pPr>
                    <w:pStyle w:val="33"/>
                    <w:bidi w:val="0"/>
                    <w:rPr>
                      <w:rFonts w:hint="default"/>
                      <w:color w:val="auto"/>
                    </w:rPr>
                  </w:pPr>
                  <w:r>
                    <w:rPr>
                      <w:rFonts w:hint="default"/>
                      <w:color w:val="auto"/>
                    </w:rPr>
                    <w:t>单 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3" w:type="pct"/>
                  <w:noWrap w:val="0"/>
                  <w:vAlign w:val="center"/>
                </w:tcPr>
                <w:p>
                  <w:pPr>
                    <w:pStyle w:val="31"/>
                    <w:bidi w:val="0"/>
                    <w:rPr>
                      <w:rFonts w:hint="default"/>
                      <w:color w:val="auto"/>
                    </w:rPr>
                  </w:pPr>
                  <w:r>
                    <w:rPr>
                      <w:rFonts w:hint="eastAsia"/>
                      <w:color w:val="auto"/>
                      <w:lang w:val="en-US" w:eastAsia="zh-CN"/>
                    </w:rPr>
                    <w:t>2</w:t>
                  </w:r>
                  <w:r>
                    <w:rPr>
                      <w:rFonts w:hint="default"/>
                      <w:color w:val="auto"/>
                    </w:rPr>
                    <w:t>类</w:t>
                  </w:r>
                </w:p>
              </w:tc>
              <w:tc>
                <w:tcPr>
                  <w:tcW w:w="1236" w:type="pct"/>
                  <w:tcBorders>
                    <w:right w:val="single" w:color="auto" w:sz="4" w:space="0"/>
                  </w:tcBorders>
                  <w:noWrap w:val="0"/>
                  <w:vAlign w:val="center"/>
                </w:tcPr>
                <w:p>
                  <w:pPr>
                    <w:pStyle w:val="31"/>
                    <w:bidi w:val="0"/>
                    <w:rPr>
                      <w:rFonts w:hint="default"/>
                      <w:color w:val="auto"/>
                      <w:lang w:val="en-US" w:eastAsia="zh-CN"/>
                    </w:rPr>
                  </w:pPr>
                  <w:r>
                    <w:rPr>
                      <w:rFonts w:hint="default"/>
                      <w:color w:val="auto"/>
                    </w:rPr>
                    <w:t>≤</w:t>
                  </w:r>
                  <w:r>
                    <w:rPr>
                      <w:rFonts w:hint="eastAsia"/>
                      <w:color w:val="auto"/>
                      <w:lang w:val="en-US" w:eastAsia="zh-CN"/>
                    </w:rPr>
                    <w:t>60</w:t>
                  </w:r>
                </w:p>
              </w:tc>
              <w:tc>
                <w:tcPr>
                  <w:tcW w:w="1249" w:type="pct"/>
                  <w:noWrap w:val="0"/>
                  <w:vAlign w:val="center"/>
                </w:tcPr>
                <w:p>
                  <w:pPr>
                    <w:pStyle w:val="31"/>
                    <w:bidi w:val="0"/>
                    <w:rPr>
                      <w:rFonts w:hint="default"/>
                      <w:color w:val="auto"/>
                    </w:rPr>
                  </w:pPr>
                  <w:r>
                    <w:rPr>
                      <w:rFonts w:hint="default"/>
                      <w:color w:val="auto"/>
                    </w:rPr>
                    <w:t>dB(A)</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.4 </w:t>
            </w:r>
            <w:r>
              <w:rPr>
                <w:rFonts w:hint="default"/>
                <w:color w:val="auto"/>
              </w:rPr>
              <w:t>固体废物</w:t>
            </w:r>
          </w:p>
          <w:p>
            <w:pPr>
              <w:bidi w:val="0"/>
              <w:rPr>
                <w:rFonts w:hint="default" w:ascii="Times New Roman" w:hAnsi="Times New Roman" w:eastAsia="宋体" w:cs="Times New Roman"/>
                <w:color w:val="auto"/>
                <w:kern w:val="0"/>
                <w:szCs w:val="21"/>
              </w:rPr>
            </w:pPr>
            <w:r>
              <w:rPr>
                <w:rFonts w:hint="default"/>
                <w:color w:val="auto"/>
              </w:rPr>
              <w:t>运营期项目内产生的</w:t>
            </w:r>
            <w:r>
              <w:rPr>
                <w:rFonts w:hint="default"/>
                <w:color w:val="auto"/>
                <w:lang w:eastAsia="zh-CN"/>
              </w:rPr>
              <w:t>一般工业固废</w:t>
            </w:r>
            <w:r>
              <w:rPr>
                <w:rFonts w:hint="eastAsia"/>
                <w:color w:val="auto"/>
                <w:lang w:val="en-US" w:eastAsia="zh-CN"/>
              </w:rPr>
              <w:t>贮存</w:t>
            </w:r>
            <w:r>
              <w:rPr>
                <w:rFonts w:hint="default"/>
                <w:color w:val="auto"/>
                <w:lang w:eastAsia="zh-CN"/>
              </w:rPr>
              <w:t>应</w:t>
            </w:r>
            <w:r>
              <w:rPr>
                <w:rFonts w:hint="default"/>
                <w:color w:val="auto"/>
              </w:rPr>
              <w:t>按照</w:t>
            </w:r>
            <w:r>
              <w:rPr>
                <w:rFonts w:hint="eastAsia"/>
                <w:color w:val="auto"/>
                <w:lang w:eastAsia="zh-CN"/>
              </w:rPr>
              <w:t>《一般工业固体废物贮存和填埋污染控制标准》(GB18599-2020)要求</w:t>
            </w:r>
            <w:r>
              <w:rPr>
                <w:rFonts w:hint="default"/>
                <w:color w:val="auto"/>
              </w:rPr>
              <w:t>进行</w:t>
            </w:r>
            <w:r>
              <w:rPr>
                <w:rFonts w:hint="eastAsia"/>
                <w:color w:val="auto"/>
                <w:lang w:eastAsia="zh-CN"/>
              </w:rPr>
              <w:t>；</w:t>
            </w:r>
            <w:r>
              <w:rPr>
                <w:rFonts w:hint="default"/>
                <w:color w:val="auto"/>
              </w:rPr>
              <w:t>危险废物</w:t>
            </w:r>
            <w:r>
              <w:rPr>
                <w:rFonts w:hint="eastAsia"/>
                <w:color w:val="auto"/>
                <w:lang w:val="en-US" w:eastAsia="zh-CN"/>
              </w:rPr>
              <w:t>贮存</w:t>
            </w:r>
            <w:r>
              <w:rPr>
                <w:rFonts w:hint="default"/>
                <w:color w:val="auto"/>
              </w:rPr>
              <w:t>应按照</w:t>
            </w:r>
            <w:r>
              <w:rPr>
                <w:rFonts w:hint="eastAsia"/>
                <w:color w:val="auto"/>
                <w:lang w:val="en-US" w:eastAsia="zh-CN"/>
              </w:rPr>
              <w:t>《危险废物贮存污染控制标准》(GB18597-2023)要求</w:t>
            </w:r>
            <w:r>
              <w:rPr>
                <w:rFonts w:hint="default"/>
                <w:color w:val="auto"/>
              </w:rPr>
              <w:t>进行</w:t>
            </w:r>
            <w:r>
              <w:rPr>
                <w:rFonts w:hint="eastAsia"/>
                <w:color w:val="auto"/>
                <w:lang w:eastAsia="zh-CN"/>
              </w:rPr>
              <w:t>，</w:t>
            </w:r>
            <w:r>
              <w:rPr>
                <w:rFonts w:hint="eastAsia"/>
                <w:color w:val="auto"/>
                <w:lang w:val="en-US" w:eastAsia="zh-CN"/>
              </w:rPr>
              <w:t>危险废物识别标志按照《危险废物识别标志设置技术规范》(HJ 1276-2022)要求进行</w:t>
            </w:r>
            <w:r>
              <w:rPr>
                <w:rFonts w:hint="default"/>
                <w:color w:val="auto"/>
                <w:lang w:val="en-US" w:eastAsia="zh-CN"/>
              </w:rPr>
              <w:t>设置</w:t>
            </w:r>
            <w:r>
              <w:rPr>
                <w:rFonts w:hint="eastAsia"/>
                <w:color w:val="auto"/>
                <w:lang w:eastAsia="zh-CN"/>
              </w:rPr>
              <w:t>，</w:t>
            </w:r>
            <w:r>
              <w:rPr>
                <w:rFonts w:hint="eastAsia"/>
                <w:color w:val="auto"/>
                <w:lang w:val="en-US" w:eastAsia="zh-CN"/>
              </w:rPr>
              <w:t>危险废物转移按照《危险废物转移管理办法》要求进行；项</w:t>
            </w:r>
            <w:r>
              <w:rPr>
                <w:rFonts w:hint="default"/>
                <w:color w:val="auto"/>
              </w:rPr>
              <w:t>目生活垃圾</w:t>
            </w:r>
            <w:r>
              <w:rPr>
                <w:rFonts w:hint="default"/>
                <w:color w:val="auto"/>
                <w:lang w:val="en-US" w:eastAsia="zh-CN"/>
              </w:rPr>
              <w:t>参照</w:t>
            </w:r>
            <w:r>
              <w:rPr>
                <w:rFonts w:hint="default"/>
                <w:color w:val="auto"/>
              </w:rPr>
              <w:t>《城市环境卫生设施规划规范》</w:t>
            </w:r>
            <w:r>
              <w:rPr>
                <w:rFonts w:hint="default"/>
                <w:color w:val="auto"/>
                <w:lang w:val="en-US" w:eastAsia="zh-CN"/>
              </w:rPr>
              <w:t>(</w:t>
            </w:r>
            <w:r>
              <w:rPr>
                <w:rFonts w:hint="default"/>
                <w:color w:val="auto"/>
              </w:rPr>
              <w:t>GB50337-2018</w:t>
            </w:r>
            <w:r>
              <w:rPr>
                <w:rFonts w:hint="default"/>
                <w:color w:val="auto"/>
                <w:lang w:val="en-US" w:eastAsia="zh-CN"/>
              </w:rPr>
              <w:t>)</w:t>
            </w:r>
            <w:r>
              <w:rPr>
                <w:rFonts w:hint="default"/>
                <w:color w:val="auto"/>
              </w:rPr>
              <w:t>中的要求进行综合利用和处置</w:t>
            </w:r>
            <w:r>
              <w:rPr>
                <w:rFonts w:hint="default"/>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rPr>
              <w:t>指标</w:t>
            </w:r>
          </w:p>
        </w:tc>
        <w:tc>
          <w:tcPr>
            <w:tcW w:w="8310" w:type="dxa"/>
            <w:noWrap w:val="0"/>
            <w:vAlign w:val="center"/>
          </w:tcPr>
          <w:p>
            <w:pPr>
              <w:pStyle w:val="3"/>
              <w:bidi w:val="0"/>
              <w:rPr>
                <w:rFonts w:hint="default"/>
                <w:color w:val="auto"/>
                <w:lang w:val="en-US" w:eastAsia="zh-CN"/>
              </w:rPr>
            </w:pPr>
            <w:r>
              <w:rPr>
                <w:rFonts w:hint="eastAsia"/>
                <w:color w:val="auto"/>
                <w:lang w:val="en-US" w:eastAsia="zh-CN"/>
              </w:rPr>
              <w:t>3.8 总量控制指标</w:t>
            </w:r>
          </w:p>
          <w:p>
            <w:pPr>
              <w:pStyle w:val="4"/>
              <w:bidi w:val="0"/>
              <w:rPr>
                <w:rFonts w:hint="default"/>
                <w:color w:val="auto"/>
                <w:lang w:val="en-US" w:eastAsia="zh-CN"/>
              </w:rPr>
            </w:pPr>
            <w:r>
              <w:rPr>
                <w:rFonts w:hint="eastAsia"/>
                <w:color w:val="auto"/>
                <w:lang w:val="en-US" w:eastAsia="zh-CN"/>
              </w:rPr>
              <w:t>3.8.1 总量控制指标</w:t>
            </w:r>
          </w:p>
          <w:p>
            <w:pPr>
              <w:bidi w:val="0"/>
              <w:rPr>
                <w:rFonts w:hint="eastAsia"/>
                <w:color w:val="auto"/>
                <w:lang w:val="en-US" w:eastAsia="zh-CN"/>
              </w:rPr>
            </w:pPr>
            <w:r>
              <w:rPr>
                <w:rFonts w:hint="default"/>
                <w:color w:val="auto"/>
                <w:lang w:val="en-GB"/>
              </w:rPr>
              <w:t>根据《福建省建设项目主要污染物排放总量指标管理办法</w:t>
            </w:r>
            <w:r>
              <w:rPr>
                <w:rFonts w:hint="eastAsia"/>
                <w:color w:val="auto"/>
                <w:lang w:val="en-GB" w:eastAsia="zh-CN"/>
              </w:rPr>
              <w:t>（</w:t>
            </w:r>
            <w:r>
              <w:rPr>
                <w:rFonts w:hint="default"/>
                <w:color w:val="auto"/>
                <w:lang w:val="en-GB"/>
              </w:rPr>
              <w:t>试行</w:t>
            </w:r>
            <w:r>
              <w:rPr>
                <w:rFonts w:hint="eastAsia"/>
                <w:color w:val="auto"/>
                <w:lang w:val="en-GB" w:eastAsia="zh-CN"/>
              </w:rPr>
              <w:t>）</w:t>
            </w:r>
            <w:r>
              <w:rPr>
                <w:rFonts w:hint="default"/>
                <w:color w:val="auto"/>
                <w:lang w:val="en-GB"/>
              </w:rPr>
              <w:t>的通知》</w:t>
            </w:r>
            <w:r>
              <w:rPr>
                <w:rFonts w:hint="eastAsia"/>
                <w:color w:val="auto"/>
                <w:lang w:val="en-GB" w:eastAsia="zh-CN"/>
              </w:rPr>
              <w:t>（</w:t>
            </w:r>
            <w:r>
              <w:rPr>
                <w:rFonts w:hint="default"/>
                <w:color w:val="auto"/>
                <w:lang w:val="en-GB"/>
              </w:rPr>
              <w:t>闽环发</w:t>
            </w:r>
            <w:r>
              <w:rPr>
                <w:rFonts w:hint="eastAsia"/>
                <w:color w:val="auto"/>
                <w:lang w:val="en-GB" w:eastAsia="zh-CN"/>
              </w:rPr>
              <w:t>〔</w:t>
            </w:r>
            <w:r>
              <w:rPr>
                <w:rFonts w:hint="default"/>
                <w:color w:val="auto"/>
                <w:lang w:val="en-GB"/>
              </w:rPr>
              <w:t>2014</w:t>
            </w:r>
            <w:r>
              <w:rPr>
                <w:rFonts w:hint="eastAsia"/>
                <w:color w:val="auto"/>
                <w:lang w:val="en-GB" w:eastAsia="zh-CN"/>
              </w:rPr>
              <w:t>〕</w:t>
            </w:r>
            <w:r>
              <w:rPr>
                <w:rFonts w:hint="default"/>
                <w:color w:val="auto"/>
                <w:lang w:val="en-GB"/>
              </w:rPr>
              <w:t>13号</w:t>
            </w:r>
            <w:r>
              <w:rPr>
                <w:rFonts w:hint="eastAsia"/>
                <w:color w:val="auto"/>
                <w:lang w:val="en-GB" w:eastAsia="zh-CN"/>
              </w:rPr>
              <w:t>）</w:t>
            </w:r>
            <w:r>
              <w:rPr>
                <w:rFonts w:hint="default"/>
                <w:color w:val="auto"/>
                <w:lang w:val="en-GB"/>
              </w:rPr>
              <w:t>、《福建省关于全面实施排污权有偿使用和交易工作的意见》</w:t>
            </w:r>
            <w:r>
              <w:rPr>
                <w:rFonts w:hint="eastAsia"/>
                <w:color w:val="auto"/>
                <w:lang w:val="en-GB" w:eastAsia="zh-CN"/>
              </w:rPr>
              <w:t>（</w:t>
            </w:r>
            <w:r>
              <w:rPr>
                <w:rFonts w:hint="default"/>
                <w:color w:val="auto"/>
                <w:lang w:val="en-GB"/>
              </w:rPr>
              <w:t>政2016号54号</w:t>
            </w:r>
            <w:r>
              <w:rPr>
                <w:rFonts w:hint="eastAsia"/>
                <w:color w:val="auto"/>
                <w:lang w:val="en-GB" w:eastAsia="zh-CN"/>
              </w:rPr>
              <w:t>）</w:t>
            </w:r>
            <w:r>
              <w:rPr>
                <w:rFonts w:hint="eastAsia"/>
                <w:color w:val="auto"/>
                <w:lang w:val="en-US" w:eastAsia="zh-CN"/>
              </w:rPr>
              <w:t>等文件要求，</w:t>
            </w:r>
            <w:r>
              <w:rPr>
                <w:rFonts w:hint="default"/>
                <w:color w:val="auto"/>
                <w:lang w:val="en-GB"/>
              </w:rPr>
              <w:t>现阶段</w:t>
            </w:r>
            <w:r>
              <w:rPr>
                <w:rFonts w:hint="eastAsia"/>
                <w:color w:val="auto"/>
                <w:lang w:val="en-US" w:eastAsia="zh-CN"/>
              </w:rPr>
              <w:t>福建省主要污染物排放总量指标为COD、NH</w:t>
            </w:r>
            <w:r>
              <w:rPr>
                <w:rFonts w:hint="eastAsia"/>
                <w:color w:val="auto"/>
                <w:vertAlign w:val="subscript"/>
                <w:lang w:val="en-US" w:eastAsia="zh-CN"/>
              </w:rPr>
              <w:t>3</w:t>
            </w:r>
            <w:r>
              <w:rPr>
                <w:rFonts w:hint="eastAsia"/>
                <w:color w:val="auto"/>
                <w:lang w:val="en-US" w:eastAsia="zh-CN"/>
              </w:rPr>
              <w:t>-N、SO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。同时根据《福建省大气污染防治条例》，结合《福州市环境保护局关于印发福州市大气污染联防联控联治工作方案的通知》（榕环保综〔2018〕386号）等文件要求，VOCs指标也列入总量控制行列。</w:t>
            </w:r>
          </w:p>
          <w:p>
            <w:pPr>
              <w:pStyle w:val="4"/>
              <w:bidi w:val="0"/>
              <w:rPr>
                <w:rFonts w:hint="default"/>
                <w:color w:val="auto"/>
                <w:lang w:val="en-US" w:eastAsia="zh-CN"/>
              </w:rPr>
            </w:pPr>
            <w:r>
              <w:rPr>
                <w:rFonts w:hint="eastAsia"/>
                <w:color w:val="auto"/>
                <w:lang w:val="en-US" w:eastAsia="zh-CN"/>
              </w:rPr>
              <w:t>3.8.2 废水主要污染物排放总量</w:t>
            </w:r>
          </w:p>
          <w:p>
            <w:pPr>
              <w:bidi w:val="0"/>
              <w:rPr>
                <w:rFonts w:hint="eastAsia" w:ascii="Times New Roman" w:hAnsi="Times New Roman" w:eastAsia="宋体"/>
                <w:color w:val="auto"/>
                <w:szCs w:val="21"/>
                <w:lang w:val="en-US" w:eastAsia="zh-CN"/>
              </w:rPr>
            </w:pPr>
            <w:r>
              <w:rPr>
                <w:rFonts w:hint="eastAsia"/>
                <w:color w:val="auto"/>
                <w:lang w:val="en-US" w:eastAsia="zh-CN"/>
              </w:rPr>
              <w:t>本项目生产废水及生产区初期雨水经处理后全部回用，不外排；厂区职工日常生活污水通过管线进入化粪池+一体化生物滤池处理设施处理，尾水回用于厂区绿化灌溉及混凝土生产工序。</w:t>
            </w:r>
            <w:r>
              <w:rPr>
                <w:color w:val="auto"/>
              </w:rPr>
              <w:t>根据《福建省环保厅关于进一步明确排污权工作有关问题的通知》</w:t>
            </w:r>
            <w:r>
              <w:rPr>
                <w:rFonts w:hint="eastAsia"/>
                <w:color w:val="auto"/>
                <w:lang w:eastAsia="zh-CN"/>
              </w:rPr>
              <w:t>（</w:t>
            </w:r>
            <w:r>
              <w:rPr>
                <w:color w:val="auto"/>
              </w:rPr>
              <w:t>闽环保财</w:t>
            </w:r>
            <w:r>
              <w:rPr>
                <w:rFonts w:hint="eastAsia"/>
                <w:color w:val="auto"/>
                <w:lang w:eastAsia="zh-CN"/>
              </w:rPr>
              <w:t>〔</w:t>
            </w:r>
            <w:r>
              <w:rPr>
                <w:color w:val="auto"/>
              </w:rPr>
              <w:t>2017</w:t>
            </w:r>
            <w:r>
              <w:rPr>
                <w:rFonts w:hint="eastAsia"/>
                <w:color w:val="auto"/>
                <w:lang w:eastAsia="zh-CN"/>
              </w:rPr>
              <w:t>〕</w:t>
            </w:r>
            <w:r>
              <w:rPr>
                <w:color w:val="auto"/>
              </w:rPr>
              <w:t>22号</w:t>
            </w:r>
            <w:r>
              <w:rPr>
                <w:rFonts w:hint="eastAsia"/>
                <w:color w:val="auto"/>
                <w:lang w:eastAsia="zh-CN"/>
              </w:rPr>
              <w:t>）</w:t>
            </w:r>
            <w:r>
              <w:rPr>
                <w:color w:val="auto"/>
              </w:rPr>
              <w:t>，现有工业排污单位的水污染物的初始排污权只核定工业废水部分，项目生活污水排放暂不需要购买相应的排污权指标</w:t>
            </w:r>
            <w:r>
              <w:rPr>
                <w:rFonts w:hint="eastAsia"/>
                <w:color w:val="auto"/>
                <w:lang w:eastAsia="zh-CN"/>
              </w:rPr>
              <w:t>，因此项目无需申请</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-N排污权指标。</w:t>
            </w:r>
          </w:p>
          <w:p>
            <w:pPr>
              <w:pStyle w:val="4"/>
              <w:bidi w:val="0"/>
              <w:rPr>
                <w:rFonts w:hint="default"/>
                <w:color w:val="auto"/>
                <w:lang w:val="en-US" w:eastAsia="zh-CN"/>
              </w:rPr>
            </w:pPr>
            <w:r>
              <w:rPr>
                <w:rFonts w:hint="eastAsia"/>
                <w:color w:val="auto"/>
                <w:lang w:val="en-US" w:eastAsia="zh-CN"/>
              </w:rPr>
              <w:t>3.8.3 废气主要污染物排放总量</w:t>
            </w:r>
          </w:p>
          <w:p>
            <w:pPr>
              <w:bidi w:val="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本项目不产生SO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及VOCs，不需要进行SO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废气总量购买及VOCs</w:t>
            </w:r>
            <w:r>
              <w:rPr>
                <w:rFonts w:hint="default" w:ascii="Times New Roman" w:hAnsi="Times New Roman" w:eastAsia="宋体" w:cs="Times New Roman"/>
                <w:color w:val="auto"/>
                <w:sz w:val="24"/>
                <w:lang w:val="en-US" w:eastAsia="zh-CN"/>
              </w:rPr>
              <w:t>区域削减替代</w:t>
            </w:r>
            <w:r>
              <w:rPr>
                <w:rFonts w:hint="eastAsia"/>
                <w:color w:val="auto"/>
                <w:lang w:val="en-US" w:eastAsia="zh-CN"/>
              </w:rPr>
              <w:t>。</w:t>
            </w:r>
            <w:r>
              <w:rPr>
                <w:rFonts w:hint="eastAsia" w:ascii="Times New Roman" w:hAnsi="Times New Roman" w:eastAsia="宋体" w:cs="Times New Roman"/>
                <w:color w:val="auto"/>
                <w:sz w:val="24"/>
                <w:lang w:val="en-US" w:eastAsia="zh-CN"/>
              </w:rPr>
              <w:t>项目排放的少量颗粒物以达标排放控制，粉尘排放总量详见表3.8-1。</w:t>
            </w:r>
          </w:p>
          <w:p>
            <w:pPr>
              <w:spacing w:before="120" w:beforeLines="5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 xml:space="preserve">3.8-1 </w:t>
            </w:r>
            <w:r>
              <w:rPr>
                <w:rFonts w:hint="default" w:ascii="Times New Roman" w:hAnsi="Times New Roman" w:eastAsia="黑体" w:cs="Times New Roman"/>
                <w:color w:val="auto"/>
                <w:sz w:val="24"/>
                <w:highlight w:val="none"/>
              </w:rPr>
              <w:t>项目废气污染物排放总量指标一览表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914"/>
              <w:gridCol w:w="1136"/>
              <w:gridCol w:w="1152"/>
              <w:gridCol w:w="1162"/>
              <w:gridCol w:w="1109"/>
              <w:gridCol w:w="12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4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污染源</w:t>
                  </w:r>
                </w:p>
              </w:tc>
              <w:tc>
                <w:tcPr>
                  <w:tcW w:w="57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污染物</w:t>
                  </w:r>
                </w:p>
              </w:tc>
              <w:tc>
                <w:tcPr>
                  <w:tcW w:w="714"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废气量</w:t>
                  </w:r>
                </w:p>
              </w:tc>
              <w:tc>
                <w:tcPr>
                  <w:tcW w:w="724"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允许排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放浓度</w:t>
                  </w:r>
                </w:p>
              </w:tc>
              <w:tc>
                <w:tcPr>
                  <w:tcW w:w="7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预测排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放浓度</w:t>
                  </w:r>
                </w:p>
              </w:tc>
              <w:tc>
                <w:tcPr>
                  <w:tcW w:w="60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预测排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放量</w:t>
                  </w:r>
                </w:p>
              </w:tc>
              <w:tc>
                <w:tcPr>
                  <w:tcW w:w="79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总量核</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算指标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48"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无组织排放</w:t>
                  </w:r>
                </w:p>
              </w:tc>
              <w:tc>
                <w:tcPr>
                  <w:tcW w:w="578"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714" w:type="pct"/>
                  <w:tcBorders>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24" w:type="pct"/>
                  <w:tcBorders>
                    <w:lef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30"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p>
              </w:tc>
              <w:tc>
                <w:tcPr>
                  <w:tcW w:w="606"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5.29742</w:t>
                  </w:r>
                  <w:r>
                    <w:rPr>
                      <w:rFonts w:hint="default" w:ascii="Times New Roman" w:hAnsi="Times New Roman" w:eastAsia="宋体" w:cs="Times New Roman"/>
                      <w:color w:val="auto"/>
                      <w:sz w:val="21"/>
                      <w:szCs w:val="21"/>
                      <w:lang w:val="en-US" w:eastAsia="zh-CN"/>
                    </w:rPr>
                    <w:t>t/a</w:t>
                  </w:r>
                </w:p>
              </w:tc>
              <w:tc>
                <w:tcPr>
                  <w:tcW w:w="79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val="en-US" w:eastAsia="zh-CN"/>
                    </w:rPr>
                    <w:t>合计(</w:t>
                  </w:r>
                  <w:r>
                    <w:rPr>
                      <w:rFonts w:hint="eastAsia"/>
                      <w:color w:val="auto"/>
                      <w:sz w:val="21"/>
                      <w:szCs w:val="21"/>
                      <w:lang w:val="en-US" w:eastAsia="zh-CN"/>
                    </w:rPr>
                    <w:t>5.29742</w:t>
                  </w:r>
                  <w:r>
                    <w:rPr>
                      <w:rFonts w:hint="default" w:ascii="Times New Roman" w:hAnsi="Times New Roman" w:cs="Times New Roman"/>
                      <w:color w:val="auto"/>
                      <w:sz w:val="21"/>
                      <w:szCs w:val="21"/>
                    </w:rPr>
                    <w:t>t/a</w:t>
                  </w:r>
                  <w:r>
                    <w:rPr>
                      <w:rFonts w:hint="eastAsia" w:ascii="Times New Roman" w:hAnsi="Times New Roman" w:cs="Times New Roman"/>
                      <w:color w:val="auto"/>
                      <w:sz w:val="21"/>
                      <w:szCs w:val="21"/>
                      <w:lang w:val="en-US" w:eastAsia="zh-CN"/>
                    </w:rPr>
                    <w:t>)</w:t>
                  </w:r>
                </w:p>
              </w:tc>
            </w:tr>
          </w:tbl>
          <w:p>
            <w:pPr>
              <w:bidi w:val="0"/>
              <w:rPr>
                <w:rFonts w:hint="default"/>
                <w:color w:val="auto"/>
                <w:lang w:val="en-US" w:eastAsia="zh-CN"/>
              </w:rPr>
            </w:pPr>
          </w:p>
        </w:tc>
      </w:tr>
    </w:tbl>
    <w:p>
      <w:pPr>
        <w:pStyle w:val="2"/>
        <w:numPr>
          <w:ilvl w:val="0"/>
          <w:numId w:val="7"/>
        </w:numPr>
        <w:bidi w:val="0"/>
        <w:jc w:val="center"/>
        <w:rPr>
          <w:rFonts w:hint="default" w:ascii="Times New Roman" w:hAnsi="Times New Roman" w:eastAsia="宋体" w:cs="Times New Roman"/>
          <w:snapToGrid w:val="0"/>
          <w:color w:val="auto"/>
          <w:szCs w:val="30"/>
        </w:rPr>
      </w:pPr>
      <w:r>
        <w:rPr>
          <w:rFonts w:hint="default" w:ascii="Times New Roman" w:hAnsi="Times New Roman" w:eastAsia="宋体" w:cs="Times New Roman"/>
          <w:snapToGrid w:val="0"/>
          <w:color w:val="auto"/>
          <w:szCs w:val="36"/>
        </w:rPr>
        <w:br w:type="page"/>
      </w:r>
      <w:bookmarkStart w:id="23" w:name="_Toc20172"/>
      <w:bookmarkStart w:id="24" w:name="_Toc16962"/>
      <w:r>
        <w:rPr>
          <w:rFonts w:hint="default"/>
          <w:color w:val="auto"/>
        </w:rPr>
        <w:t>主要环境影响和保护措施</w:t>
      </w:r>
      <w:bookmarkEnd w:id="23"/>
      <w:bookmarkEnd w:id="2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680" w:type="dxa"/>
            <w:noWrap w:val="0"/>
            <w:tcMar>
              <w:left w:w="28" w:type="dxa"/>
              <w:right w:w="28" w:type="dxa"/>
            </w:tcMar>
            <w:vAlign w:val="center"/>
          </w:tcPr>
          <w:p>
            <w:pPr>
              <w:pStyle w:val="31"/>
              <w:bidi w:val="0"/>
              <w:rPr>
                <w:rFonts w:hint="default"/>
                <w:color w:val="auto"/>
                <w:sz w:val="24"/>
                <w:szCs w:val="32"/>
              </w:rPr>
            </w:pPr>
            <w:r>
              <w:rPr>
                <w:rFonts w:hint="default"/>
                <w:color w:val="auto"/>
                <w:sz w:val="24"/>
                <w:szCs w:val="32"/>
              </w:rPr>
              <w:t>施工</w:t>
            </w:r>
          </w:p>
          <w:p>
            <w:pPr>
              <w:pStyle w:val="31"/>
              <w:bidi w:val="0"/>
              <w:rPr>
                <w:rFonts w:hint="default"/>
                <w:color w:val="auto"/>
                <w:sz w:val="24"/>
                <w:szCs w:val="32"/>
              </w:rPr>
            </w:pPr>
            <w:r>
              <w:rPr>
                <w:rFonts w:hint="default"/>
                <w:color w:val="auto"/>
                <w:sz w:val="24"/>
                <w:szCs w:val="32"/>
              </w:rPr>
              <w:t>期环</w:t>
            </w:r>
          </w:p>
          <w:p>
            <w:pPr>
              <w:pStyle w:val="31"/>
              <w:bidi w:val="0"/>
              <w:rPr>
                <w:rFonts w:hint="default"/>
                <w:color w:val="auto"/>
                <w:sz w:val="24"/>
                <w:szCs w:val="32"/>
              </w:rPr>
            </w:pPr>
            <w:r>
              <w:rPr>
                <w:rFonts w:hint="default"/>
                <w:color w:val="auto"/>
                <w:sz w:val="24"/>
                <w:szCs w:val="32"/>
              </w:rPr>
              <w:t>境保</w:t>
            </w:r>
          </w:p>
          <w:p>
            <w:pPr>
              <w:pStyle w:val="31"/>
              <w:bidi w:val="0"/>
              <w:rPr>
                <w:rFonts w:hint="default"/>
                <w:color w:val="auto"/>
                <w:sz w:val="24"/>
                <w:szCs w:val="32"/>
              </w:rPr>
            </w:pPr>
            <w:r>
              <w:rPr>
                <w:rFonts w:hint="default"/>
                <w:color w:val="auto"/>
                <w:sz w:val="24"/>
                <w:szCs w:val="32"/>
              </w:rPr>
              <w:t>护措</w:t>
            </w:r>
          </w:p>
          <w:p>
            <w:pPr>
              <w:pStyle w:val="31"/>
              <w:bidi w:val="0"/>
              <w:rPr>
                <w:rFonts w:hint="default" w:ascii="Times New Roman" w:hAnsi="Times New Roman" w:eastAsia="宋体" w:cs="Times New Roman"/>
                <w:bCs/>
                <w:color w:val="auto"/>
                <w:kern w:val="2"/>
                <w:szCs w:val="21"/>
              </w:rPr>
            </w:pPr>
            <w:r>
              <w:rPr>
                <w:rFonts w:hint="default"/>
                <w:color w:val="auto"/>
                <w:sz w:val="24"/>
                <w:szCs w:val="32"/>
              </w:rPr>
              <w:t>施</w:t>
            </w:r>
          </w:p>
        </w:tc>
        <w:tc>
          <w:tcPr>
            <w:tcW w:w="8149" w:type="dxa"/>
            <w:noWrap w:val="0"/>
            <w:vAlign w:val="center"/>
          </w:tcPr>
          <w:p>
            <w:pPr>
              <w:pStyle w:val="3"/>
              <w:bidi w:val="0"/>
              <w:rPr>
                <w:rFonts w:hint="default"/>
                <w:color w:val="auto"/>
                <w:lang w:val="en-US" w:eastAsia="zh-CN"/>
              </w:rPr>
            </w:pPr>
            <w:bookmarkStart w:id="25" w:name="_Toc4697"/>
            <w:bookmarkStart w:id="26" w:name="_Toc22024"/>
            <w:r>
              <w:rPr>
                <w:rFonts w:hint="default"/>
                <w:color w:val="auto"/>
              </w:rPr>
              <w:t>4.</w:t>
            </w:r>
            <w:r>
              <w:rPr>
                <w:rFonts w:hint="eastAsia"/>
                <w:color w:val="auto"/>
                <w:lang w:val="en-US" w:eastAsia="zh-CN"/>
              </w:rPr>
              <w:t>1 施工期环境保护措施</w:t>
            </w:r>
            <w:bookmarkEnd w:id="25"/>
            <w:bookmarkEnd w:id="26"/>
          </w:p>
          <w:p>
            <w:pPr>
              <w:bidi w:val="0"/>
              <w:rPr>
                <w:rFonts w:hint="eastAsia"/>
                <w:color w:val="auto"/>
                <w:lang w:val="en-US" w:eastAsia="zh-CN"/>
              </w:rPr>
            </w:pPr>
            <w:r>
              <w:rPr>
                <w:rFonts w:hint="default"/>
                <w:color w:val="auto"/>
                <w:lang w:val="en-US" w:eastAsia="zh-CN"/>
              </w:rPr>
              <w:t>本项目</w:t>
            </w:r>
            <w:r>
              <w:rPr>
                <w:rFonts w:hint="eastAsia"/>
                <w:color w:val="auto"/>
                <w:lang w:val="en-US" w:eastAsia="zh-CN"/>
              </w:rPr>
              <w:t>选址</w:t>
            </w:r>
            <w:r>
              <w:rPr>
                <w:rFonts w:hint="default"/>
                <w:color w:val="auto"/>
                <w:lang w:val="en-US" w:eastAsia="zh-CN"/>
              </w:rPr>
              <w:t>于</w:t>
            </w:r>
            <w:r>
              <w:rPr>
                <w:rFonts w:hint="eastAsia"/>
                <w:color w:val="auto"/>
                <w:lang w:eastAsia="zh-CN"/>
              </w:rPr>
              <w:t>福建省福州市</w:t>
            </w:r>
            <w:r>
              <w:rPr>
                <w:rFonts w:hint="eastAsia"/>
                <w:color w:val="auto"/>
                <w:lang w:val="en-US" w:eastAsia="zh-CN"/>
              </w:rPr>
              <w:t>福清市海口镇南厝村</w:t>
            </w:r>
            <w:r>
              <w:rPr>
                <w:rFonts w:hint="default"/>
                <w:color w:val="auto"/>
                <w:lang w:val="en-US" w:eastAsia="zh-CN"/>
              </w:rPr>
              <w:t>，</w:t>
            </w:r>
            <w:r>
              <w:rPr>
                <w:rFonts w:hint="eastAsia"/>
                <w:color w:val="auto"/>
                <w:lang w:val="en-US" w:eastAsia="zh-CN"/>
              </w:rPr>
              <w:t>项目施工期建设内容主要为1#宿舍楼、2#搅拌楼及其附属设施、3#物料库、5#生产车间、6#生产车间的搭建，厂区地面硬化，绿化施工、设备安装调试等，施工时间约24个月，随着施工结束，施工期环境影响也随着消失，采取相应的保护措施后，对周边环境造成施工影响较小。项目施工期环境保护措施如下：</w:t>
            </w:r>
          </w:p>
          <w:p>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pPr>
              <w:bidi w:val="0"/>
              <w:rPr>
                <w:rFonts w:hint="default"/>
                <w:color w:val="auto"/>
                <w:lang w:val="en-US" w:eastAsia="zh-CN"/>
              </w:rPr>
            </w:pPr>
            <w:bookmarkStart w:id="27" w:name="_Toc18014"/>
            <w:bookmarkStart w:id="28" w:name="_Toc10508"/>
            <w:r>
              <w:rPr>
                <w:rFonts w:hint="eastAsia"/>
                <w:color w:val="auto"/>
                <w:lang w:val="en-US" w:eastAsia="zh-CN"/>
              </w:rPr>
              <w:t>项目施工期废水主要为施工人员生活污水、施工废水，建议采取以下水污染防治措施：</w:t>
            </w:r>
          </w:p>
          <w:p>
            <w:pPr>
              <w:bidi w:val="0"/>
              <w:rPr>
                <w:rFonts w:hint="eastAsia"/>
                <w:color w:val="auto"/>
                <w:lang w:val="en-US" w:eastAsia="zh-CN"/>
              </w:rPr>
            </w:pPr>
            <w:r>
              <w:rPr>
                <w:rFonts w:hint="eastAsia"/>
                <w:color w:val="auto"/>
                <w:lang w:val="en-US" w:eastAsia="zh-CN"/>
              </w:rPr>
              <w:t>（1）</w:t>
            </w:r>
            <w:r>
              <w:rPr>
                <w:rFonts w:hint="default"/>
                <w:color w:val="auto"/>
                <w:lang w:val="en-US" w:eastAsia="zh-CN"/>
              </w:rPr>
              <w:t>本项目</w:t>
            </w:r>
            <w:r>
              <w:rPr>
                <w:rFonts w:hint="eastAsia"/>
                <w:color w:val="auto"/>
                <w:lang w:val="en-US" w:eastAsia="zh-CN"/>
              </w:rPr>
              <w:t>施工作业人员租住在周边民宅，产生的少量生活污水可</w:t>
            </w:r>
            <w:r>
              <w:rPr>
                <w:rFonts w:hint="default"/>
                <w:color w:val="auto"/>
                <w:lang w:val="en-US" w:eastAsia="zh-CN"/>
              </w:rPr>
              <w:t>依托</w:t>
            </w:r>
            <w:r>
              <w:rPr>
                <w:rFonts w:hint="eastAsia"/>
                <w:color w:val="auto"/>
                <w:lang w:val="en-US" w:eastAsia="zh-CN"/>
              </w:rPr>
              <w:t>区域内现有污水处理系统和排放管网，经处理达标后</w:t>
            </w:r>
            <w:r>
              <w:rPr>
                <w:rFonts w:hint="default"/>
                <w:color w:val="auto"/>
                <w:lang w:val="en-US" w:eastAsia="zh-CN"/>
              </w:rPr>
              <w:t>接入市政污水管网排入</w:t>
            </w:r>
            <w:r>
              <w:rPr>
                <w:rFonts w:hint="eastAsia"/>
                <w:color w:val="auto"/>
                <w:lang w:val="en-US" w:eastAsia="zh-CN"/>
              </w:rPr>
              <w:t>区域污水处理系统集中处理，不会对周边地表水环境产生直接不利影响。</w:t>
            </w:r>
          </w:p>
          <w:p>
            <w:pPr>
              <w:bidi w:val="0"/>
              <w:rPr>
                <w:rFonts w:hint="eastAsia"/>
                <w:color w:val="auto"/>
                <w:lang w:val="en-US" w:eastAsia="zh-CN"/>
              </w:rPr>
            </w:pPr>
            <w:r>
              <w:rPr>
                <w:rFonts w:hint="eastAsia"/>
                <w:color w:val="auto"/>
                <w:lang w:val="en-US" w:eastAsia="zh-CN"/>
              </w:rPr>
              <w:t>（2）施工期废水包括钻孔等作业产生的砂浆水、各种施工机械设备运转的冷却及洗涤用水等，含有一定量的SS、石油类，因此，施工现场应设立隔油池和沉淀池，施工废水均通过排水沟流入隔油沉淀池中，经隔油沉淀上清液循环使用，不外排。</w:t>
            </w:r>
          </w:p>
          <w:p>
            <w:pPr>
              <w:bidi w:val="0"/>
              <w:rPr>
                <w:rFonts w:hint="eastAsia"/>
                <w:color w:val="auto"/>
                <w:lang w:val="en-US" w:eastAsia="zh-CN"/>
              </w:rPr>
            </w:pPr>
            <w:r>
              <w:rPr>
                <w:rFonts w:hint="eastAsia"/>
                <w:color w:val="auto"/>
                <w:lang w:val="en-US" w:eastAsia="zh-CN"/>
              </w:rPr>
              <w:t>（3）施工材料应集中堆放在施工场地临时仓库内，不得随意堆放，避免雨水冲刷进入河道。</w:t>
            </w:r>
          </w:p>
          <w:p>
            <w:pPr>
              <w:bidi w:val="0"/>
              <w:rPr>
                <w:rFonts w:hint="default"/>
                <w:color w:val="auto"/>
                <w:lang w:val="en-US" w:eastAsia="zh-CN"/>
              </w:rPr>
            </w:pPr>
            <w:r>
              <w:rPr>
                <w:rFonts w:hint="eastAsia"/>
                <w:color w:val="auto"/>
                <w:lang w:val="en-US" w:eastAsia="zh-CN"/>
              </w:rPr>
              <w:t>（4）对施工用油的油桶暂存实行严格管理，避免跑冒滴漏。定期检查施工机械设备及运输车辆，一旦发现滴、漏油现象，应立即送到附近的机修厂进行维修。</w:t>
            </w:r>
          </w:p>
          <w:p>
            <w:pPr>
              <w:bidi w:val="0"/>
              <w:rPr>
                <w:rFonts w:hint="eastAsia"/>
                <w:color w:val="auto"/>
                <w:lang w:val="en-US" w:eastAsia="zh-CN"/>
              </w:rPr>
            </w:pPr>
            <w:r>
              <w:rPr>
                <w:rFonts w:hint="default"/>
                <w:color w:val="auto"/>
                <w:lang w:val="en-US" w:eastAsia="zh-CN"/>
              </w:rPr>
              <w:t>采取以上措施后，项目施工期</w:t>
            </w:r>
            <w:r>
              <w:rPr>
                <w:rFonts w:hint="eastAsia"/>
                <w:color w:val="auto"/>
                <w:lang w:val="en-US" w:eastAsia="zh-CN"/>
              </w:rPr>
              <w:t>废水不会直接进入周边水环境，不对地表水环境产生直接不利影响。</w:t>
            </w:r>
          </w:p>
          <w:p>
            <w:pPr>
              <w:pStyle w:val="26"/>
              <w:rPr>
                <w:rFonts w:hint="eastAsia"/>
                <w:color w:val="auto"/>
                <w:lang w:val="en-US" w:eastAsia="zh-CN"/>
              </w:rPr>
            </w:pPr>
          </w:p>
          <w:p>
            <w:pPr>
              <w:pStyle w:val="4"/>
              <w:keepNext/>
              <w:keepLines w:val="0"/>
              <w:pageBreakBefore w:val="0"/>
              <w:widowControl w:val="0"/>
              <w:kinsoku/>
              <w:wordWrap/>
              <w:overflowPunct/>
              <w:topLinePunct w:val="0"/>
              <w:autoSpaceDE/>
              <w:autoSpaceDN/>
              <w:bidi w:val="0"/>
              <w:adjustRightInd/>
              <w:snapToGrid/>
              <w:textAlignment w:val="auto"/>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7"/>
            <w:bookmarkEnd w:id="28"/>
            <w:r>
              <w:rPr>
                <w:rFonts w:hint="eastAsia"/>
                <w:color w:val="auto"/>
                <w:lang w:val="en-US" w:eastAsia="zh-CN"/>
              </w:rPr>
              <w:t>及保护措施</w:t>
            </w:r>
          </w:p>
          <w:p>
            <w:pPr>
              <w:bidi w:val="0"/>
              <w:rPr>
                <w:rFonts w:hint="eastAsia"/>
                <w:color w:val="auto"/>
                <w:lang w:eastAsia="zh-CN"/>
              </w:rPr>
            </w:pPr>
            <w:bookmarkStart w:id="29" w:name="_Toc14716"/>
            <w:bookmarkStart w:id="30" w:name="_Toc19444"/>
            <w:r>
              <w:rPr>
                <w:rFonts w:hint="eastAsia"/>
                <w:color w:val="auto"/>
                <w:lang w:eastAsia="zh-CN"/>
              </w:rPr>
              <w:t>项目施工期大气污染物主要为施工扬尘，施工机械、运输车辆尾气，装修期间装修材料散发少量有机溶剂废气。</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）施工扬尘</w:t>
            </w:r>
          </w:p>
          <w:p>
            <w:pPr>
              <w:bidi w:val="0"/>
              <w:rPr>
                <w:rFonts w:hint="eastAsia"/>
                <w:color w:val="auto"/>
                <w:lang w:eastAsia="zh-CN"/>
              </w:rPr>
            </w:pPr>
            <w:r>
              <w:rPr>
                <w:rFonts w:hint="eastAsia"/>
                <w:color w:val="auto"/>
                <w:lang w:eastAsia="zh-CN"/>
              </w:rPr>
              <w:t>施工过程扬尘主要来自三个方面：运输扬尘、堆场扬尘和施工作业点扬尘。</w:t>
            </w:r>
          </w:p>
          <w:p>
            <w:pPr>
              <w:bidi w:val="0"/>
              <w:rPr>
                <w:rFonts w:hint="eastAsia"/>
                <w:color w:val="auto"/>
                <w:lang w:eastAsia="zh-CN"/>
              </w:rPr>
            </w:pPr>
            <w:r>
              <w:rPr>
                <w:rFonts w:hint="eastAsia"/>
                <w:color w:val="auto"/>
                <w:lang w:eastAsia="zh-CN"/>
              </w:rPr>
              <w:t>①运输扬尘：机动车在运输建筑材料等过程中，车轮从施工场地等携带的泥块、沙尘、物料以及车载建筑原料均会抖落遗撒，经往来车辆的碾压后形成粒径较小的颗粒物进入空气，形成运输扬尘。车辆行驶产生的扬尘占施工扬尘总量的60%以上。</w:t>
            </w:r>
          </w:p>
          <w:p>
            <w:pPr>
              <w:bidi w:val="0"/>
              <w:rPr>
                <w:rFonts w:hint="eastAsia"/>
                <w:color w:val="auto"/>
                <w:lang w:eastAsia="zh-CN"/>
              </w:rPr>
            </w:pPr>
            <w:r>
              <w:rPr>
                <w:rFonts w:hint="eastAsia"/>
                <w:color w:val="auto"/>
                <w:lang w:eastAsia="zh-CN"/>
              </w:rPr>
              <w:t>②堆场扬尘：堆场扬尘主要为临时建筑材料由于堆积、装卸操作以及风作用等造成的扬尘。</w:t>
            </w:r>
          </w:p>
          <w:p>
            <w:pPr>
              <w:bidi w:val="0"/>
              <w:rPr>
                <w:rFonts w:hint="eastAsia"/>
                <w:color w:val="auto"/>
                <w:lang w:eastAsia="zh-CN"/>
              </w:rPr>
            </w:pPr>
            <w:r>
              <w:rPr>
                <w:rFonts w:hint="eastAsia"/>
                <w:color w:val="auto"/>
                <w:lang w:eastAsia="zh-CN"/>
              </w:rPr>
              <w:t>③施工作业点扬尘：施工作业点扬尘主要为场地平整硬化、施工等产生的扬尘。施工扬尘排放量与施工面积、施工水平、施工强度和土壤类型、气候条件等有关。</w:t>
            </w:r>
          </w:p>
          <w:p>
            <w:pPr>
              <w:bidi w:val="0"/>
              <w:rPr>
                <w:rFonts w:hint="eastAsia"/>
                <w:color w:val="auto"/>
                <w:lang w:eastAsia="zh-CN"/>
              </w:rPr>
            </w:pPr>
            <w:r>
              <w:rPr>
                <w:rFonts w:hint="eastAsia"/>
                <w:color w:val="auto"/>
              </w:rPr>
              <w:t>根据类比调查，施工扬尘的影响范围主要在施工现场附近，一般情况下，施工工地在自然风的作用下产生的扬尘所影响的范围在100m以内。如果施工期间对作业面实施洒水抑尘（每天4~5次），可使扬尘减少70%左右</w:t>
            </w:r>
            <w:r>
              <w:rPr>
                <w:rFonts w:hint="eastAsia"/>
                <w:color w:val="auto"/>
                <w:lang w:eastAsia="zh-CN"/>
              </w:rPr>
              <w:t>，</w:t>
            </w:r>
            <w:r>
              <w:rPr>
                <w:color w:val="auto"/>
              </w:rPr>
              <w:t>扬尘造成的TSP污染距离减小到50m范围</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）施工机械、运输车辆尾气</w:t>
            </w:r>
          </w:p>
          <w:p>
            <w:pPr>
              <w:bidi w:val="0"/>
              <w:rPr>
                <w:rFonts w:hint="eastAsia"/>
                <w:color w:val="auto"/>
              </w:rPr>
            </w:pPr>
            <w:r>
              <w:rPr>
                <w:color w:val="auto"/>
              </w:rPr>
              <w:t>建筑</w:t>
            </w:r>
            <w:r>
              <w:rPr>
                <w:rFonts w:hint="eastAsia"/>
                <w:color w:val="auto"/>
              </w:rPr>
              <w:t>工地上大量使用的施工机械和大型建筑材料运输车辆一般都以柴油为燃料。由柴油燃烧产生的尾气中主要含有颗粒物和碳氢化合物等废气，在常规气象条件下废气污染影响范围最大不超过排气孔下风向轴线几十米远的距离。一般情况下，在工地内运行的机械及载重卡车的废气污染影响范围仅局限于施工工地内，不影响界外区域。在工程施工期间，使用液体燃料的施工机械及运输车辆的发动机排放的尾气中含有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、CO、烃类等污染物，一般情况下，这些污染物的排放量不大，且本地区大气扩散条件良好，因此此类废气对周边大气环境的影响较小。</w:t>
            </w:r>
          </w:p>
          <w:p>
            <w:pPr>
              <w:bidi w:val="0"/>
              <w:rPr>
                <w:rFonts w:hint="eastAsia"/>
                <w:color w:val="auto"/>
                <w:lang w:val="en-US" w:eastAsia="zh-CN"/>
              </w:rPr>
            </w:pPr>
            <w:r>
              <w:rPr>
                <w:rFonts w:hint="eastAsia"/>
                <w:color w:val="auto"/>
                <w:lang w:val="en-US" w:eastAsia="zh-CN"/>
              </w:rPr>
              <w:t>（3）装修废气</w:t>
            </w:r>
          </w:p>
          <w:p>
            <w:pPr>
              <w:bidi w:val="0"/>
              <w:rPr>
                <w:rFonts w:hint="eastAsia"/>
                <w:color w:val="auto"/>
                <w:lang w:eastAsia="zh-CN"/>
              </w:rPr>
            </w:pPr>
            <w:r>
              <w:rPr>
                <w:rFonts w:hint="eastAsia"/>
                <w:color w:val="auto"/>
                <w:lang w:eastAsia="zh-CN"/>
              </w:rPr>
              <w:t>装修施工阶段，墙面、地面装饰需要使用涂料（油漆）。装修有机废气来自涂料中的挥发性成分，属无组织排放，主要污染因子为非甲烷总烃。装修期间有机废气向周边环境弥散。</w:t>
            </w:r>
          </w:p>
          <w:p>
            <w:pPr>
              <w:bidi w:val="0"/>
              <w:rPr>
                <w:rFonts w:hint="eastAsia"/>
                <w:color w:val="auto"/>
                <w:lang w:val="en-US" w:eastAsia="zh-CN"/>
              </w:rPr>
            </w:pPr>
            <w:r>
              <w:rPr>
                <w:rFonts w:hint="eastAsia"/>
                <w:color w:val="auto"/>
                <w:lang w:eastAsia="zh-CN"/>
              </w:rPr>
              <w:t>本项目周边敏感目标主要为西</w:t>
            </w:r>
            <w:r>
              <w:rPr>
                <w:rFonts w:hint="eastAsia"/>
                <w:color w:val="auto"/>
                <w:lang w:val="en-US" w:eastAsia="zh-CN"/>
              </w:rPr>
              <w:t>北</w:t>
            </w:r>
            <w:r>
              <w:rPr>
                <w:rFonts w:hint="eastAsia"/>
                <w:color w:val="auto"/>
                <w:lang w:eastAsia="zh-CN"/>
              </w:rPr>
              <w:t>侧约</w:t>
            </w:r>
            <w:r>
              <w:rPr>
                <w:rFonts w:hint="eastAsia"/>
                <w:color w:val="auto"/>
                <w:lang w:val="en-US" w:eastAsia="zh-CN"/>
              </w:rPr>
              <w:t>260m的石溪村，在施工工地自然风作用下产生的扬尘所影响的范围100m以外，因此项目施工对该敏感目标影响较小。为减少施工扬尘对周边环境的影响，建设单位应采取以下防治措施：</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）施工场地四周应设置2.5m高硬质围挡，并做到坚固、平整、整洁、美观，建筑物施工设垂直封闭网。</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）项目施工过程中，易产尘材料均采取防尘网遮盖，建筑垃圾及时清运，不在场地内长时间堆存。场地内配备移动式洒水车，并指定专人定期对易产生扬尘的地点进行喷水，使其保持一定的湿度，降低扬尘。</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）施工场地出入口设置洗车平台，运输车辆底盘和车轮冲洗干净后，方驶离施工现场。</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）对施工区的主要通道、进出道路、材料加工区及办公生活区地面进行硬化处理，并且工地出入口与城市道路连接区域在全部硬化的同时，按要求敷设钢板，防止路面破损。</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）施工现场安排专人负责卫生保洁工作，围挡上方设置水喷雾设施，并配备移动式洒水车，施工期间遇到大风天气时，增加洒水降尘次数。</w:t>
            </w:r>
          </w:p>
          <w:p>
            <w:pPr>
              <w:bidi w:val="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）车辆在运输建筑材料等散装物料时，采取密闭措施，做到车辆密</w:t>
            </w:r>
            <w:r>
              <w:rPr>
                <w:rFonts w:hint="eastAsia"/>
                <w:color w:val="auto"/>
                <w:lang w:val="en-US" w:eastAsia="zh-CN"/>
              </w:rPr>
              <w:t>闭</w:t>
            </w:r>
            <w:r>
              <w:rPr>
                <w:rFonts w:hint="eastAsia"/>
                <w:color w:val="auto"/>
                <w:lang w:eastAsia="zh-CN"/>
              </w:rPr>
              <w:t>、装载均衡，不出现沿途洒落，造成二次道路扬尘污染。</w:t>
            </w:r>
          </w:p>
          <w:p>
            <w:pPr>
              <w:bidi w:val="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）选择合理的运输路线和时间，使运输扬尘对周边环境的影响在可接受范围内。</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lang w:val="en-US" w:eastAsia="zh-CN"/>
              </w:rPr>
              <w:t>选择符合环保要求的施工机械，尽量选择以电能或燃轻柴油的设备，减少机械设备燃料废气的产生量</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（9）装修过程中应选用符合《民用建筑工程室内环境污染控制标准》（GB50325-2020）标准规定的建筑材料和装饰材料，并通过加强排气通风。</w:t>
            </w:r>
          </w:p>
          <w:p>
            <w:pPr>
              <w:bidi w:val="0"/>
              <w:rPr>
                <w:rFonts w:hint="eastAsia"/>
                <w:color w:val="auto"/>
                <w:lang w:eastAsia="zh-CN"/>
              </w:rPr>
            </w:pPr>
            <w:r>
              <w:rPr>
                <w:rFonts w:hint="eastAsia"/>
                <w:color w:val="auto"/>
                <w:lang w:val="en-US" w:eastAsia="zh-CN"/>
              </w:rPr>
              <w:t>采取以上综合防治措施后，可最大</w:t>
            </w:r>
            <w:r>
              <w:rPr>
                <w:rFonts w:hint="eastAsia"/>
                <w:color w:val="auto"/>
              </w:rPr>
              <w:t>减轻</w:t>
            </w:r>
            <w:r>
              <w:rPr>
                <w:rFonts w:hint="eastAsia"/>
                <w:color w:val="auto"/>
                <w:lang w:val="en-US" w:eastAsia="zh-CN"/>
              </w:rPr>
              <w:t>施工期废气</w:t>
            </w:r>
            <w:r>
              <w:rPr>
                <w:rFonts w:hint="eastAsia"/>
                <w:color w:val="auto"/>
              </w:rPr>
              <w:t>对区域环境空气质量</w:t>
            </w:r>
            <w:r>
              <w:rPr>
                <w:rFonts w:hint="eastAsia"/>
                <w:color w:val="auto"/>
                <w:lang w:val="en-US" w:eastAsia="zh-CN"/>
              </w:rPr>
              <w:t>带来</w:t>
            </w:r>
            <w:r>
              <w:rPr>
                <w:rFonts w:hint="eastAsia"/>
                <w:color w:val="auto"/>
              </w:rPr>
              <w:t>的不利影响</w:t>
            </w:r>
            <w:r>
              <w:rPr>
                <w:rFonts w:hint="eastAsia"/>
                <w:color w:val="auto"/>
                <w:lang w:eastAsia="zh-CN"/>
              </w:rPr>
              <w:t>，对周边大气环境及周边敏感点影响较小。</w:t>
            </w:r>
          </w:p>
          <w:p>
            <w:pPr>
              <w:pStyle w:val="4"/>
              <w:bidi w:val="0"/>
              <w:rPr>
                <w:rFonts w:hint="default"/>
                <w:color w:val="auto"/>
                <w:lang w:val="en-US" w:eastAsia="zh-CN"/>
              </w:rPr>
            </w:pPr>
            <w:r>
              <w:rPr>
                <w:rFonts w:hint="eastAsia"/>
                <w:color w:val="auto"/>
                <w:lang w:val="en-US" w:eastAsia="zh-CN"/>
              </w:rPr>
              <w:t>4.1.3施工期噪声环境影响分析</w:t>
            </w:r>
            <w:bookmarkEnd w:id="29"/>
            <w:bookmarkEnd w:id="30"/>
            <w:r>
              <w:rPr>
                <w:rFonts w:hint="eastAsia"/>
                <w:color w:val="auto"/>
                <w:lang w:val="en-US" w:eastAsia="zh-CN"/>
              </w:rPr>
              <w:t>及保护措施</w:t>
            </w:r>
          </w:p>
          <w:p>
            <w:pPr>
              <w:bidi w:val="0"/>
              <w:rPr>
                <w:rFonts w:hint="default"/>
                <w:color w:val="auto"/>
              </w:rPr>
            </w:pPr>
            <w:bookmarkStart w:id="31" w:name="_Toc165"/>
            <w:bookmarkStart w:id="32" w:name="_Toc166"/>
            <w:r>
              <w:rPr>
                <w:rFonts w:hint="default"/>
                <w:color w:val="auto"/>
              </w:rPr>
              <w:t>项目噪声主要来</w:t>
            </w:r>
            <w:r>
              <w:rPr>
                <w:rFonts w:hint="eastAsia"/>
                <w:color w:val="auto"/>
                <w:lang w:eastAsia="zh-CN"/>
              </w:rPr>
              <w:t>源于</w:t>
            </w:r>
            <w:r>
              <w:rPr>
                <w:rFonts w:hint="default"/>
                <w:color w:val="auto"/>
              </w:rPr>
              <w:t>施工现场的各类机械设备</w:t>
            </w:r>
            <w:r>
              <w:rPr>
                <w:rFonts w:hint="eastAsia"/>
                <w:color w:val="auto"/>
                <w:lang w:val="en-US" w:eastAsia="zh-CN"/>
              </w:rPr>
              <w:t>噪声</w:t>
            </w:r>
            <w:r>
              <w:rPr>
                <w:rFonts w:hint="default"/>
                <w:color w:val="auto"/>
              </w:rPr>
              <w:t>和物料运输的交通噪声。施工设备噪声值依据福建省环保局闽环保总队</w:t>
            </w:r>
            <w:r>
              <w:rPr>
                <w:rFonts w:hint="eastAsia"/>
                <w:color w:val="auto"/>
                <w:lang w:eastAsia="zh-CN"/>
              </w:rPr>
              <w:t>〔2006〕4号</w:t>
            </w:r>
            <w:r>
              <w:rPr>
                <w:rFonts w:hint="default"/>
                <w:color w:val="auto"/>
              </w:rPr>
              <w:t>文中“福建省建筑施工噪声类比监测数据一览表</w:t>
            </w:r>
            <w:r>
              <w:rPr>
                <w:rFonts w:hint="default"/>
                <w:color w:val="auto"/>
                <w:lang w:val="en-US" w:eastAsia="zh-CN"/>
              </w:rPr>
              <w:t>(</w:t>
            </w:r>
            <w:r>
              <w:rPr>
                <w:rFonts w:hint="default"/>
                <w:color w:val="auto"/>
              </w:rPr>
              <w:t>试行</w:t>
            </w:r>
            <w:r>
              <w:rPr>
                <w:rFonts w:hint="default"/>
                <w:color w:val="auto"/>
                <w:lang w:val="en-US" w:eastAsia="zh-CN"/>
              </w:rPr>
              <w:t>)</w:t>
            </w:r>
            <w:r>
              <w:rPr>
                <w:rFonts w:hint="default"/>
                <w:color w:val="auto"/>
              </w:rPr>
              <w:t>”中相关数据，见表</w:t>
            </w:r>
            <w:r>
              <w:rPr>
                <w:rFonts w:hint="eastAsia"/>
                <w:color w:val="auto"/>
                <w:lang w:val="en-US" w:eastAsia="zh-CN"/>
              </w:rPr>
              <w:t>4.1-1</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sz w:val="24"/>
                <w:szCs w:val="24"/>
                <w:lang w:val="en-US" w:eastAsia="zh-CN"/>
              </w:rPr>
            </w:pPr>
            <w:r>
              <w:rPr>
                <w:rFonts w:hint="default"/>
                <w:color w:val="auto"/>
                <w:sz w:val="24"/>
                <w:szCs w:val="24"/>
                <w:lang w:val="en-US" w:eastAsia="zh-CN"/>
              </w:rPr>
              <w:t>表4.1-1 项目施工机械噪声源源强</w:t>
            </w:r>
          </w:p>
          <w:tbl>
            <w:tblPr>
              <w:tblStyle w:val="20"/>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30" w:type="dxa"/>
                <w:bottom w:w="0" w:type="dxa"/>
                <w:right w:w="30" w:type="dxa"/>
              </w:tblCellMar>
            </w:tblPr>
            <w:tblGrid>
              <w:gridCol w:w="1512"/>
              <w:gridCol w:w="1328"/>
              <w:gridCol w:w="1923"/>
              <w:gridCol w:w="1474"/>
              <w:gridCol w:w="1693"/>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noWrap w:val="0"/>
                  <w:vAlign w:val="center"/>
                </w:tcPr>
                <w:p>
                  <w:pPr>
                    <w:pStyle w:val="31"/>
                    <w:bidi w:val="0"/>
                    <w:rPr>
                      <w:rFonts w:hint="default"/>
                      <w:b/>
                      <w:bCs/>
                      <w:color w:val="auto"/>
                    </w:rPr>
                  </w:pPr>
                  <w:r>
                    <w:rPr>
                      <w:rFonts w:hint="default"/>
                      <w:b/>
                      <w:bCs/>
                      <w:color w:val="auto"/>
                    </w:rPr>
                    <w:t>施工阶段</w:t>
                  </w:r>
                </w:p>
              </w:tc>
              <w:tc>
                <w:tcPr>
                  <w:tcW w:w="837" w:type="pct"/>
                  <w:noWrap w:val="0"/>
                  <w:vAlign w:val="center"/>
                </w:tcPr>
                <w:p>
                  <w:pPr>
                    <w:pStyle w:val="31"/>
                    <w:bidi w:val="0"/>
                    <w:rPr>
                      <w:rFonts w:hint="default"/>
                      <w:b/>
                      <w:bCs/>
                      <w:color w:val="auto"/>
                    </w:rPr>
                  </w:pPr>
                  <w:r>
                    <w:rPr>
                      <w:rFonts w:hint="default"/>
                      <w:b/>
                      <w:bCs/>
                      <w:color w:val="auto"/>
                    </w:rPr>
                    <w:t>施工设备</w:t>
                  </w:r>
                </w:p>
              </w:tc>
              <w:tc>
                <w:tcPr>
                  <w:tcW w:w="1212" w:type="pct"/>
                  <w:noWrap w:val="0"/>
                  <w:vAlign w:val="center"/>
                </w:tcPr>
                <w:p>
                  <w:pPr>
                    <w:pStyle w:val="31"/>
                    <w:bidi w:val="0"/>
                    <w:rPr>
                      <w:rFonts w:hint="default"/>
                      <w:b/>
                      <w:bCs/>
                      <w:color w:val="auto"/>
                    </w:rPr>
                  </w:pPr>
                  <w:r>
                    <w:rPr>
                      <w:rFonts w:hint="default"/>
                      <w:b/>
                      <w:bCs/>
                      <w:color w:val="auto"/>
                    </w:rPr>
                    <w:t>测点与设备距离(m)</w:t>
                  </w:r>
                </w:p>
              </w:tc>
              <w:tc>
                <w:tcPr>
                  <w:tcW w:w="929" w:type="pct"/>
                  <w:tcBorders>
                    <w:right w:val="single" w:color="auto" w:sz="4" w:space="0"/>
                  </w:tcBorders>
                  <w:noWrap w:val="0"/>
                  <w:vAlign w:val="center"/>
                </w:tcPr>
                <w:p>
                  <w:pPr>
                    <w:pStyle w:val="31"/>
                    <w:bidi w:val="0"/>
                    <w:rPr>
                      <w:rFonts w:hint="default"/>
                      <w:b/>
                      <w:bCs/>
                      <w:color w:val="auto"/>
                    </w:rPr>
                  </w:pPr>
                  <w:r>
                    <w:rPr>
                      <w:rFonts w:hint="default"/>
                      <w:b/>
                      <w:bCs/>
                      <w:color w:val="auto"/>
                    </w:rPr>
                    <w:t>噪声级dB(A)</w:t>
                  </w:r>
                </w:p>
              </w:tc>
              <w:tc>
                <w:tcPr>
                  <w:tcW w:w="1066" w:type="pct"/>
                  <w:tcBorders>
                    <w:left w:val="single" w:color="auto" w:sz="4" w:space="0"/>
                  </w:tcBorders>
                  <w:noWrap w:val="0"/>
                  <w:vAlign w:val="center"/>
                </w:tcPr>
                <w:p>
                  <w:pPr>
                    <w:pStyle w:val="31"/>
                    <w:bidi w:val="0"/>
                    <w:rPr>
                      <w:rFonts w:hint="default"/>
                      <w:b/>
                      <w:bCs/>
                      <w:color w:val="auto"/>
                    </w:rPr>
                  </w:pPr>
                  <w:r>
                    <w:rPr>
                      <w:rFonts w:hint="default"/>
                      <w:b/>
                      <w:bCs/>
                      <w:color w:val="auto"/>
                    </w:rPr>
                    <w:t>综合噪声级dB(A)</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pPr>
                    <w:pStyle w:val="31"/>
                    <w:bidi w:val="0"/>
                    <w:rPr>
                      <w:rFonts w:hint="default"/>
                      <w:color w:val="auto"/>
                    </w:rPr>
                  </w:pPr>
                  <w:r>
                    <w:rPr>
                      <w:rFonts w:hint="default"/>
                      <w:color w:val="auto"/>
                    </w:rPr>
                    <w:t>土石方阶段</w:t>
                  </w:r>
                </w:p>
              </w:tc>
              <w:tc>
                <w:tcPr>
                  <w:tcW w:w="837" w:type="pct"/>
                  <w:noWrap w:val="0"/>
                  <w:vAlign w:val="center"/>
                </w:tcPr>
                <w:p>
                  <w:pPr>
                    <w:pStyle w:val="31"/>
                    <w:bidi w:val="0"/>
                    <w:rPr>
                      <w:rFonts w:hint="default"/>
                      <w:color w:val="auto"/>
                    </w:rPr>
                  </w:pPr>
                  <w:r>
                    <w:rPr>
                      <w:rFonts w:hint="default"/>
                      <w:color w:val="auto"/>
                    </w:rPr>
                    <w:t>装载车</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80</w:t>
                  </w:r>
                </w:p>
              </w:tc>
              <w:tc>
                <w:tcPr>
                  <w:tcW w:w="1066" w:type="pct"/>
                  <w:vMerge w:val="restart"/>
                  <w:tcBorders>
                    <w:left w:val="single" w:color="auto" w:sz="4" w:space="0"/>
                  </w:tcBorders>
                  <w:noWrap w:val="0"/>
                  <w:vAlign w:val="center"/>
                </w:tcPr>
                <w:p>
                  <w:pPr>
                    <w:pStyle w:val="31"/>
                    <w:bidi w:val="0"/>
                    <w:rPr>
                      <w:rFonts w:hint="default"/>
                      <w:color w:val="auto"/>
                    </w:rPr>
                  </w:pPr>
                  <w:r>
                    <w:rPr>
                      <w:rFonts w:hint="default"/>
                      <w:color w:val="auto"/>
                    </w:rPr>
                    <w:t>93.2</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柴油空压机</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88</w:t>
                  </w:r>
                </w:p>
              </w:tc>
              <w:tc>
                <w:tcPr>
                  <w:tcW w:w="1066" w:type="pct"/>
                  <w:vMerge w:val="continue"/>
                  <w:tcBorders>
                    <w:left w:val="single" w:color="auto" w:sz="4" w:space="0"/>
                  </w:tcBorders>
                  <w:noWrap w:val="0"/>
                  <w:vAlign w:val="center"/>
                </w:tcPr>
                <w:p>
                  <w:pPr>
                    <w:pStyle w:val="31"/>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挖掘机</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79</w:t>
                  </w:r>
                </w:p>
              </w:tc>
              <w:tc>
                <w:tcPr>
                  <w:tcW w:w="1066" w:type="pct"/>
                  <w:vMerge w:val="continue"/>
                  <w:tcBorders>
                    <w:left w:val="single" w:color="auto" w:sz="4" w:space="0"/>
                  </w:tcBorders>
                  <w:noWrap w:val="0"/>
                  <w:vAlign w:val="center"/>
                </w:tcPr>
                <w:p>
                  <w:pPr>
                    <w:pStyle w:val="31"/>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风镐</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91</w:t>
                  </w:r>
                </w:p>
              </w:tc>
              <w:tc>
                <w:tcPr>
                  <w:tcW w:w="1066" w:type="pct"/>
                  <w:vMerge w:val="continue"/>
                  <w:tcBorders>
                    <w:left w:val="single" w:color="auto" w:sz="4" w:space="0"/>
                  </w:tcBorders>
                  <w:noWrap w:val="0"/>
                  <w:vAlign w:val="center"/>
                </w:tcPr>
                <w:p>
                  <w:pPr>
                    <w:pStyle w:val="31"/>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noWrap w:val="0"/>
                  <w:vAlign w:val="center"/>
                </w:tcPr>
                <w:p>
                  <w:pPr>
                    <w:pStyle w:val="31"/>
                    <w:bidi w:val="0"/>
                    <w:rPr>
                      <w:rFonts w:hint="default"/>
                      <w:color w:val="auto"/>
                    </w:rPr>
                  </w:pPr>
                  <w:r>
                    <w:rPr>
                      <w:rFonts w:hint="default"/>
                      <w:color w:val="auto"/>
                    </w:rPr>
                    <w:t>基础打桩阶段</w:t>
                  </w:r>
                </w:p>
              </w:tc>
              <w:tc>
                <w:tcPr>
                  <w:tcW w:w="837" w:type="pct"/>
                  <w:noWrap w:val="0"/>
                  <w:vAlign w:val="center"/>
                </w:tcPr>
                <w:p>
                  <w:pPr>
                    <w:pStyle w:val="31"/>
                    <w:bidi w:val="0"/>
                    <w:rPr>
                      <w:rFonts w:hint="default"/>
                      <w:color w:val="auto"/>
                    </w:rPr>
                  </w:pPr>
                  <w:r>
                    <w:rPr>
                      <w:rFonts w:hint="default"/>
                      <w:color w:val="auto"/>
                    </w:rPr>
                    <w:t>冲孔灌注桩</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90</w:t>
                  </w:r>
                </w:p>
              </w:tc>
              <w:tc>
                <w:tcPr>
                  <w:tcW w:w="1066" w:type="pct"/>
                  <w:tcBorders>
                    <w:left w:val="single" w:color="auto" w:sz="4" w:space="0"/>
                  </w:tcBorders>
                  <w:noWrap w:val="0"/>
                  <w:vAlign w:val="center"/>
                </w:tcPr>
                <w:p>
                  <w:pPr>
                    <w:pStyle w:val="31"/>
                    <w:bidi w:val="0"/>
                    <w:rPr>
                      <w:rFonts w:hint="default"/>
                      <w:color w:val="auto"/>
                    </w:rPr>
                  </w:pPr>
                  <w:r>
                    <w:rPr>
                      <w:rFonts w:hint="default"/>
                      <w:color w:val="auto"/>
                    </w:rPr>
                    <w:t>90.0</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pPr>
                    <w:pStyle w:val="31"/>
                    <w:bidi w:val="0"/>
                    <w:rPr>
                      <w:rFonts w:hint="default"/>
                      <w:color w:val="auto"/>
                    </w:rPr>
                  </w:pPr>
                  <w:r>
                    <w:rPr>
                      <w:rFonts w:hint="default"/>
                      <w:color w:val="auto"/>
                    </w:rPr>
                    <w:t>结构施工</w:t>
                  </w:r>
                  <w:r>
                    <w:rPr>
                      <w:rFonts w:hint="eastAsia"/>
                      <w:color w:val="auto"/>
                      <w:lang w:eastAsia="zh-CN"/>
                    </w:rPr>
                    <w:t>浇筑</w:t>
                  </w:r>
                </w:p>
                <w:p>
                  <w:pPr>
                    <w:pStyle w:val="31"/>
                    <w:bidi w:val="0"/>
                    <w:rPr>
                      <w:rFonts w:hint="default"/>
                      <w:color w:val="auto"/>
                    </w:rPr>
                  </w:pPr>
                  <w:r>
                    <w:rPr>
                      <w:rFonts w:hint="default"/>
                      <w:color w:val="auto"/>
                    </w:rPr>
                    <w:t>阶段</w:t>
                  </w:r>
                </w:p>
              </w:tc>
              <w:tc>
                <w:tcPr>
                  <w:tcW w:w="837" w:type="pct"/>
                  <w:noWrap w:val="0"/>
                  <w:vAlign w:val="center"/>
                </w:tcPr>
                <w:p>
                  <w:pPr>
                    <w:pStyle w:val="31"/>
                    <w:bidi w:val="0"/>
                    <w:rPr>
                      <w:rFonts w:hint="default"/>
                      <w:color w:val="auto"/>
                    </w:rPr>
                  </w:pPr>
                  <w:r>
                    <w:rPr>
                      <w:rFonts w:hint="default"/>
                      <w:color w:val="auto"/>
                    </w:rPr>
                    <w:t>搅拌机</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78</w:t>
                  </w:r>
                </w:p>
              </w:tc>
              <w:tc>
                <w:tcPr>
                  <w:tcW w:w="1066" w:type="pct"/>
                  <w:vMerge w:val="restart"/>
                  <w:tcBorders>
                    <w:left w:val="single" w:color="auto" w:sz="4" w:space="0"/>
                  </w:tcBorders>
                  <w:noWrap w:val="0"/>
                  <w:vAlign w:val="center"/>
                </w:tcPr>
                <w:p>
                  <w:pPr>
                    <w:pStyle w:val="31"/>
                    <w:bidi w:val="0"/>
                    <w:rPr>
                      <w:rFonts w:hint="default"/>
                      <w:color w:val="auto"/>
                    </w:rPr>
                  </w:pPr>
                  <w:r>
                    <w:rPr>
                      <w:rFonts w:hint="default"/>
                      <w:color w:val="auto"/>
                    </w:rPr>
                    <w:t>83.5</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起重机</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80</w:t>
                  </w:r>
                </w:p>
              </w:tc>
              <w:tc>
                <w:tcPr>
                  <w:tcW w:w="1066" w:type="pct"/>
                  <w:vMerge w:val="continue"/>
                  <w:tcBorders>
                    <w:left w:val="single" w:color="auto" w:sz="4" w:space="0"/>
                  </w:tcBorders>
                  <w:noWrap w:val="0"/>
                  <w:vAlign w:val="center"/>
                </w:tcPr>
                <w:p>
                  <w:pPr>
                    <w:pStyle w:val="31"/>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振动棒</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78</w:t>
                  </w:r>
                </w:p>
              </w:tc>
              <w:tc>
                <w:tcPr>
                  <w:tcW w:w="1066" w:type="pct"/>
                  <w:vMerge w:val="continue"/>
                  <w:tcBorders>
                    <w:left w:val="single" w:color="auto" w:sz="4" w:space="0"/>
                  </w:tcBorders>
                  <w:noWrap w:val="0"/>
                  <w:vAlign w:val="center"/>
                </w:tcPr>
                <w:p>
                  <w:pPr>
                    <w:pStyle w:val="31"/>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pPr>
                    <w:pStyle w:val="31"/>
                    <w:bidi w:val="0"/>
                    <w:rPr>
                      <w:rFonts w:hint="default"/>
                      <w:color w:val="auto"/>
                    </w:rPr>
                  </w:pPr>
                  <w:r>
                    <w:rPr>
                      <w:rFonts w:hint="default"/>
                      <w:color w:val="auto"/>
                    </w:rPr>
                    <w:t>装修阶段</w:t>
                  </w:r>
                </w:p>
              </w:tc>
              <w:tc>
                <w:tcPr>
                  <w:tcW w:w="837" w:type="pct"/>
                  <w:noWrap w:val="0"/>
                  <w:vAlign w:val="center"/>
                </w:tcPr>
                <w:p>
                  <w:pPr>
                    <w:pStyle w:val="31"/>
                    <w:bidi w:val="0"/>
                    <w:rPr>
                      <w:rFonts w:hint="default"/>
                      <w:color w:val="auto"/>
                    </w:rPr>
                  </w:pPr>
                  <w:r>
                    <w:rPr>
                      <w:rFonts w:hint="default"/>
                      <w:color w:val="auto"/>
                    </w:rPr>
                    <w:t>拉直切断机</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78</w:t>
                  </w:r>
                </w:p>
              </w:tc>
              <w:tc>
                <w:tcPr>
                  <w:tcW w:w="1066" w:type="pct"/>
                  <w:vMerge w:val="restart"/>
                  <w:tcBorders>
                    <w:left w:val="single" w:color="auto" w:sz="4" w:space="0"/>
                  </w:tcBorders>
                  <w:noWrap w:val="0"/>
                  <w:vAlign w:val="center"/>
                </w:tcPr>
                <w:p>
                  <w:pPr>
                    <w:pStyle w:val="31"/>
                    <w:bidi w:val="0"/>
                    <w:rPr>
                      <w:rFonts w:hint="default"/>
                      <w:color w:val="auto"/>
                    </w:rPr>
                  </w:pPr>
                  <w:r>
                    <w:rPr>
                      <w:rFonts w:hint="default"/>
                      <w:color w:val="auto"/>
                    </w:rPr>
                    <w:t>82.8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pPr>
                    <w:pStyle w:val="31"/>
                    <w:bidi w:val="0"/>
                    <w:rPr>
                      <w:rFonts w:hint="default"/>
                      <w:color w:val="auto"/>
                    </w:rPr>
                  </w:pPr>
                </w:p>
              </w:tc>
              <w:tc>
                <w:tcPr>
                  <w:tcW w:w="837" w:type="pct"/>
                  <w:noWrap w:val="0"/>
                  <w:vAlign w:val="center"/>
                </w:tcPr>
                <w:p>
                  <w:pPr>
                    <w:pStyle w:val="31"/>
                    <w:bidi w:val="0"/>
                    <w:rPr>
                      <w:rFonts w:hint="default"/>
                      <w:color w:val="auto"/>
                    </w:rPr>
                  </w:pPr>
                  <w:r>
                    <w:rPr>
                      <w:rFonts w:hint="default"/>
                      <w:color w:val="auto"/>
                    </w:rPr>
                    <w:t>冲击钻</w:t>
                  </w:r>
                </w:p>
              </w:tc>
              <w:tc>
                <w:tcPr>
                  <w:tcW w:w="1212" w:type="pct"/>
                  <w:noWrap w:val="0"/>
                  <w:vAlign w:val="center"/>
                </w:tcPr>
                <w:p>
                  <w:pPr>
                    <w:pStyle w:val="31"/>
                    <w:bidi w:val="0"/>
                    <w:rPr>
                      <w:rFonts w:hint="default"/>
                      <w:color w:val="auto"/>
                    </w:rPr>
                  </w:pPr>
                  <w:r>
                    <w:rPr>
                      <w:rFonts w:hint="default"/>
                      <w:color w:val="auto"/>
                    </w:rPr>
                    <w:t>5</w:t>
                  </w:r>
                </w:p>
              </w:tc>
              <w:tc>
                <w:tcPr>
                  <w:tcW w:w="929" w:type="pct"/>
                  <w:tcBorders>
                    <w:right w:val="single" w:color="auto" w:sz="4" w:space="0"/>
                  </w:tcBorders>
                  <w:noWrap w:val="0"/>
                  <w:vAlign w:val="center"/>
                </w:tcPr>
                <w:p>
                  <w:pPr>
                    <w:pStyle w:val="31"/>
                    <w:bidi w:val="0"/>
                    <w:rPr>
                      <w:rFonts w:hint="default"/>
                      <w:color w:val="auto"/>
                    </w:rPr>
                  </w:pPr>
                  <w:r>
                    <w:rPr>
                      <w:rFonts w:hint="default"/>
                      <w:color w:val="auto"/>
                    </w:rPr>
                    <w:t>81</w:t>
                  </w:r>
                </w:p>
              </w:tc>
              <w:tc>
                <w:tcPr>
                  <w:tcW w:w="1066" w:type="pct"/>
                  <w:vMerge w:val="continue"/>
                  <w:tcBorders>
                    <w:left w:val="single" w:color="auto" w:sz="4" w:space="0"/>
                  </w:tcBorders>
                  <w:noWrap w:val="0"/>
                  <w:vAlign w:val="center"/>
                </w:tcPr>
                <w:p>
                  <w:pPr>
                    <w:pStyle w:val="31"/>
                    <w:bidi w:val="0"/>
                    <w:rPr>
                      <w:rFonts w:hint="default"/>
                      <w:color w:val="auto"/>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rPr>
            </w:pPr>
            <w:r>
              <w:rPr>
                <w:rFonts w:hint="default"/>
                <w:color w:val="auto"/>
              </w:rPr>
              <w:t>在没有消声和屏障等衰减条件下，传播不同距离处，各种施工机械噪声值几何衰减情况见表</w:t>
            </w:r>
            <w:r>
              <w:rPr>
                <w:rFonts w:hint="eastAsia"/>
                <w:color w:val="auto"/>
                <w:lang w:val="en-US" w:eastAsia="zh-CN"/>
              </w:rPr>
              <w:t>4.1-2</w:t>
            </w:r>
            <w:r>
              <w:rPr>
                <w:rFonts w:hint="default"/>
                <w:color w:val="auto"/>
              </w:rPr>
              <w:t>。</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4.1-2</w:t>
            </w:r>
            <w:r>
              <w:rPr>
                <w:rFonts w:hint="default"/>
                <w:color w:val="auto"/>
                <w:sz w:val="24"/>
                <w:szCs w:val="24"/>
              </w:rPr>
              <w:t xml:space="preserve"> 各施工阶段主要施工机械噪声几何衰减值情况表</w:t>
            </w:r>
          </w:p>
          <w:tbl>
            <w:tblPr>
              <w:tblStyle w:val="20"/>
              <w:tblW w:w="4999" w:type="pct"/>
              <w:jc w:val="center"/>
              <w:tblLayout w:type="autofit"/>
              <w:tblCellMar>
                <w:top w:w="0" w:type="dxa"/>
                <w:left w:w="30" w:type="dxa"/>
                <w:bottom w:w="0" w:type="dxa"/>
                <w:right w:w="30" w:type="dxa"/>
              </w:tblCellMar>
            </w:tblPr>
            <w:tblGrid>
              <w:gridCol w:w="906"/>
              <w:gridCol w:w="906"/>
              <w:gridCol w:w="474"/>
              <w:gridCol w:w="474"/>
              <w:gridCol w:w="477"/>
              <w:gridCol w:w="474"/>
              <w:gridCol w:w="474"/>
              <w:gridCol w:w="477"/>
              <w:gridCol w:w="525"/>
              <w:gridCol w:w="585"/>
              <w:gridCol w:w="539"/>
              <w:gridCol w:w="540"/>
              <w:gridCol w:w="540"/>
              <w:gridCol w:w="540"/>
            </w:tblGrid>
            <w:tr>
              <w:tblPrEx>
                <w:tblCellMar>
                  <w:top w:w="0" w:type="dxa"/>
                  <w:left w:w="30" w:type="dxa"/>
                  <w:bottom w:w="0" w:type="dxa"/>
                  <w:right w:w="30" w:type="dxa"/>
                </w:tblCellMar>
              </w:tblPrEx>
              <w:trPr>
                <w:cantSplit/>
                <w:trHeight w:val="397" w:hRule="atLeast"/>
                <w:jc w:val="center"/>
              </w:trPr>
              <w:tc>
                <w:tcPr>
                  <w:tcW w:w="581" w:type="pct"/>
                  <w:vMerge w:val="restart"/>
                  <w:tcBorders>
                    <w:top w:val="single" w:color="auto" w:sz="12" w:space="0"/>
                    <w:right w:val="single" w:color="000000" w:sz="2" w:space="0"/>
                  </w:tcBorders>
                  <w:noWrap w:val="0"/>
                  <w:vAlign w:val="center"/>
                </w:tcPr>
                <w:p>
                  <w:pPr>
                    <w:pStyle w:val="31"/>
                    <w:bidi w:val="0"/>
                    <w:rPr>
                      <w:rFonts w:hint="default"/>
                      <w:color w:val="auto"/>
                    </w:rPr>
                  </w:pPr>
                  <w:r>
                    <w:rPr>
                      <w:rFonts w:hint="default"/>
                      <w:color w:val="auto"/>
                    </w:rPr>
                    <w:t>施工阶段</w:t>
                  </w:r>
                </w:p>
              </w:tc>
              <w:tc>
                <w:tcPr>
                  <w:tcW w:w="581" w:type="pct"/>
                  <w:vMerge w:val="restart"/>
                  <w:tcBorders>
                    <w:top w:val="single" w:color="auto" w:sz="12" w:space="0"/>
                    <w:left w:val="single" w:color="000000" w:sz="2" w:space="0"/>
                    <w:right w:val="single" w:color="000000" w:sz="2" w:space="0"/>
                  </w:tcBorders>
                  <w:noWrap w:val="0"/>
                  <w:vAlign w:val="center"/>
                </w:tcPr>
                <w:p>
                  <w:pPr>
                    <w:pStyle w:val="31"/>
                    <w:bidi w:val="0"/>
                    <w:rPr>
                      <w:rFonts w:hint="default"/>
                      <w:color w:val="auto"/>
                      <w:lang w:eastAsia="zh-CN"/>
                    </w:rPr>
                  </w:pPr>
                  <w:r>
                    <w:rPr>
                      <w:rFonts w:hint="default"/>
                      <w:color w:val="auto"/>
                      <w:lang w:eastAsia="zh-CN"/>
                    </w:rPr>
                    <w:t>综合</w:t>
                  </w:r>
                  <w:r>
                    <w:rPr>
                      <w:rFonts w:hint="default"/>
                      <w:color w:val="auto"/>
                    </w:rPr>
                    <w:t>声级</w:t>
                  </w:r>
                  <w:r>
                    <w:rPr>
                      <w:rFonts w:hint="default"/>
                      <w:color w:val="auto"/>
                      <w:lang w:val="en-US" w:eastAsia="zh-CN"/>
                    </w:rPr>
                    <w:t>(</w:t>
                  </w:r>
                  <w:r>
                    <w:rPr>
                      <w:rFonts w:hint="default"/>
                      <w:color w:val="auto"/>
                    </w:rPr>
                    <w:t>dB</w:t>
                  </w:r>
                  <w:r>
                    <w:rPr>
                      <w:rFonts w:hint="default"/>
                      <w:color w:val="auto"/>
                      <w:lang w:val="en-US" w:eastAsia="zh-CN"/>
                    </w:rPr>
                    <w:t>(A))</w:t>
                  </w:r>
                </w:p>
              </w:tc>
              <w:tc>
                <w:tcPr>
                  <w:tcW w:w="3837" w:type="pct"/>
                  <w:gridSpan w:val="12"/>
                  <w:tcBorders>
                    <w:top w:val="single" w:color="auto" w:sz="12" w:space="0"/>
                    <w:left w:val="single" w:color="000000" w:sz="2" w:space="0"/>
                    <w:bottom w:val="single" w:color="000000" w:sz="2" w:space="0"/>
                  </w:tcBorders>
                  <w:noWrap w:val="0"/>
                  <w:vAlign w:val="center"/>
                </w:tcPr>
                <w:p>
                  <w:pPr>
                    <w:pStyle w:val="31"/>
                    <w:bidi w:val="0"/>
                    <w:rPr>
                      <w:rFonts w:hint="default"/>
                      <w:color w:val="auto"/>
                    </w:rPr>
                  </w:pPr>
                  <w:r>
                    <w:rPr>
                      <w:rFonts w:hint="default"/>
                      <w:color w:val="auto"/>
                    </w:rPr>
                    <w:t>不同距离噪声值(dB(A))</w:t>
                  </w:r>
                </w:p>
              </w:tc>
            </w:tr>
            <w:tr>
              <w:tblPrEx>
                <w:tblCellMar>
                  <w:top w:w="0" w:type="dxa"/>
                  <w:left w:w="30" w:type="dxa"/>
                  <w:bottom w:w="0" w:type="dxa"/>
                  <w:right w:w="30" w:type="dxa"/>
                </w:tblCellMar>
              </w:tblPrEx>
              <w:trPr>
                <w:cantSplit/>
                <w:trHeight w:val="397" w:hRule="atLeast"/>
                <w:jc w:val="center"/>
              </w:trPr>
              <w:tc>
                <w:tcPr>
                  <w:tcW w:w="581" w:type="pct"/>
                  <w:vMerge w:val="continue"/>
                  <w:tcBorders>
                    <w:bottom w:val="single" w:color="auto" w:sz="4" w:space="0"/>
                    <w:right w:val="single" w:color="000000" w:sz="2" w:space="0"/>
                  </w:tcBorders>
                  <w:noWrap w:val="0"/>
                  <w:vAlign w:val="center"/>
                </w:tcPr>
                <w:p>
                  <w:pPr>
                    <w:pStyle w:val="31"/>
                    <w:bidi w:val="0"/>
                    <w:rPr>
                      <w:rFonts w:hint="default"/>
                      <w:color w:val="auto"/>
                    </w:rPr>
                  </w:pPr>
                </w:p>
              </w:tc>
              <w:tc>
                <w:tcPr>
                  <w:tcW w:w="581" w:type="pct"/>
                  <w:vMerge w:val="continue"/>
                  <w:tcBorders>
                    <w:left w:val="single" w:color="000000" w:sz="2" w:space="0"/>
                    <w:bottom w:val="single" w:color="000000" w:sz="2" w:space="0"/>
                    <w:right w:val="single" w:color="000000" w:sz="2" w:space="0"/>
                  </w:tcBorders>
                  <w:noWrap w:val="0"/>
                  <w:vAlign w:val="center"/>
                </w:tcPr>
                <w:p>
                  <w:pPr>
                    <w:pStyle w:val="31"/>
                    <w:bidi w:val="0"/>
                    <w:rPr>
                      <w:rFonts w:hint="default"/>
                      <w:color w:val="auto"/>
                    </w:rPr>
                  </w:pP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15m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20m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30m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45m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60m</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70m</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100m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150m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170m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180m</w:t>
                  </w:r>
                </w:p>
              </w:tc>
              <w:tc>
                <w:tcPr>
                  <w:tcW w:w="323" w:type="pct"/>
                  <w:tcBorders>
                    <w:top w:val="single" w:color="000000" w:sz="2" w:space="0"/>
                    <w:left w:val="single" w:color="000000" w:sz="2" w:space="0"/>
                    <w:bottom w:val="single" w:color="000000" w:sz="2" w:space="0"/>
                  </w:tcBorders>
                  <w:noWrap w:val="0"/>
                  <w:vAlign w:val="center"/>
                </w:tcPr>
                <w:p>
                  <w:pPr>
                    <w:pStyle w:val="31"/>
                    <w:bidi w:val="0"/>
                    <w:rPr>
                      <w:rFonts w:hint="default"/>
                      <w:color w:val="auto"/>
                    </w:rPr>
                  </w:pPr>
                  <w:r>
                    <w:rPr>
                      <w:rFonts w:hint="default"/>
                      <w:color w:val="auto"/>
                    </w:rPr>
                    <w:t>200m</w:t>
                  </w:r>
                </w:p>
              </w:tc>
            </w:tr>
            <w:tr>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pPr>
                    <w:pStyle w:val="31"/>
                    <w:bidi w:val="0"/>
                    <w:rPr>
                      <w:rFonts w:hint="default"/>
                      <w:color w:val="auto"/>
                    </w:rPr>
                  </w:pPr>
                  <w:bookmarkStart w:id="33" w:name="_Hlk252220818"/>
                  <w:r>
                    <w:rPr>
                      <w:rFonts w:hint="default"/>
                      <w:color w:val="auto"/>
                    </w:rPr>
                    <w:t>土石方</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93.2</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73.2</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69.7</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67.1</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63.7</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60.1</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57.6</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56.3</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53.2</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49.7</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48.6</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48.1</w:t>
                  </w:r>
                </w:p>
              </w:tc>
              <w:tc>
                <w:tcPr>
                  <w:tcW w:w="323" w:type="pct"/>
                  <w:tcBorders>
                    <w:top w:val="single" w:color="000000" w:sz="2" w:space="0"/>
                    <w:left w:val="single" w:color="000000" w:sz="2" w:space="0"/>
                    <w:bottom w:val="single" w:color="000000" w:sz="2" w:space="0"/>
                  </w:tcBorders>
                  <w:noWrap w:val="0"/>
                  <w:vAlign w:val="center"/>
                </w:tcPr>
                <w:p>
                  <w:pPr>
                    <w:pStyle w:val="31"/>
                    <w:bidi w:val="0"/>
                    <w:rPr>
                      <w:rFonts w:hint="default"/>
                      <w:color w:val="auto"/>
                    </w:rPr>
                  </w:pPr>
                  <w:r>
                    <w:rPr>
                      <w:rFonts w:hint="default"/>
                      <w:color w:val="auto"/>
                    </w:rPr>
                    <w:t>47.2</w:t>
                  </w:r>
                </w:p>
              </w:tc>
            </w:tr>
            <w:bookmarkEnd w:id="33"/>
            <w:tr>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pPr>
                    <w:pStyle w:val="31"/>
                    <w:bidi w:val="0"/>
                    <w:rPr>
                      <w:rFonts w:hint="default"/>
                      <w:color w:val="auto"/>
                    </w:rPr>
                  </w:pPr>
                  <w:r>
                    <w:rPr>
                      <w:rFonts w:hint="default"/>
                      <w:color w:val="auto"/>
                    </w:rPr>
                    <w:t>打桩</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90.0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70.0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66.5</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64.0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58.0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56.0</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54.0</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562.0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48.0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46.0</w:t>
                  </w:r>
                </w:p>
              </w:tc>
              <w:tc>
                <w:tcPr>
                  <w:tcW w:w="323" w:type="pct"/>
                  <w:tcBorders>
                    <w:top w:val="single" w:color="000000" w:sz="2" w:space="0"/>
                    <w:left w:val="single" w:color="000000" w:sz="2" w:space="0"/>
                    <w:bottom w:val="single" w:color="000000" w:sz="2" w:space="0"/>
                  </w:tcBorders>
                  <w:noWrap w:val="0"/>
                  <w:vAlign w:val="center"/>
                </w:tcPr>
                <w:p>
                  <w:pPr>
                    <w:pStyle w:val="31"/>
                    <w:bidi w:val="0"/>
                    <w:rPr>
                      <w:rFonts w:hint="default"/>
                      <w:color w:val="auto"/>
                    </w:rPr>
                  </w:pPr>
                  <w:r>
                    <w:rPr>
                      <w:rFonts w:hint="default"/>
                      <w:color w:val="auto"/>
                    </w:rPr>
                    <w:t>44.0</w:t>
                  </w:r>
                </w:p>
              </w:tc>
            </w:tr>
            <w:tr>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pPr>
                    <w:pStyle w:val="31"/>
                    <w:bidi w:val="0"/>
                    <w:rPr>
                      <w:rFonts w:hint="default"/>
                      <w:color w:val="auto"/>
                    </w:rPr>
                  </w:pPr>
                  <w:r>
                    <w:rPr>
                      <w:rFonts w:hint="default"/>
                      <w:color w:val="auto"/>
                    </w:rPr>
                    <w:t>结构</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83.5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63.5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60.0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57.5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54.0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50.4</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47.9</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46.6</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43.5</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40.0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38.9</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pPr>
                    <w:pStyle w:val="31"/>
                    <w:bidi w:val="0"/>
                    <w:rPr>
                      <w:rFonts w:hint="default"/>
                      <w:color w:val="auto"/>
                    </w:rPr>
                  </w:pPr>
                  <w:r>
                    <w:rPr>
                      <w:rFonts w:hint="default"/>
                      <w:color w:val="auto"/>
                    </w:rPr>
                    <w:t>38.4</w:t>
                  </w:r>
                </w:p>
              </w:tc>
              <w:tc>
                <w:tcPr>
                  <w:tcW w:w="323" w:type="pct"/>
                  <w:tcBorders>
                    <w:top w:val="single" w:color="000000" w:sz="2" w:space="0"/>
                    <w:left w:val="single" w:color="000000" w:sz="2" w:space="0"/>
                    <w:bottom w:val="single" w:color="000000" w:sz="2" w:space="0"/>
                  </w:tcBorders>
                  <w:noWrap w:val="0"/>
                  <w:vAlign w:val="center"/>
                </w:tcPr>
                <w:p>
                  <w:pPr>
                    <w:pStyle w:val="31"/>
                    <w:bidi w:val="0"/>
                    <w:rPr>
                      <w:rFonts w:hint="default"/>
                      <w:color w:val="auto"/>
                    </w:rPr>
                  </w:pPr>
                  <w:r>
                    <w:rPr>
                      <w:rFonts w:hint="default"/>
                      <w:color w:val="auto"/>
                    </w:rPr>
                    <w:t>37.5</w:t>
                  </w:r>
                </w:p>
              </w:tc>
            </w:tr>
            <w:tr>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装修</w:t>
                  </w:r>
                </w:p>
              </w:tc>
              <w:tc>
                <w:tcPr>
                  <w:tcW w:w="581"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82.8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62.8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59.3</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56.8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53.3</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49.7</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47.2</w:t>
                  </w:r>
                </w:p>
              </w:tc>
              <w:tc>
                <w:tcPr>
                  <w:tcW w:w="341"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45.9</w:t>
                  </w:r>
                </w:p>
              </w:tc>
              <w:tc>
                <w:tcPr>
                  <w:tcW w:w="37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42.8</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39.3</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38.2</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pPr>
                    <w:pStyle w:val="31"/>
                    <w:bidi w:val="0"/>
                    <w:rPr>
                      <w:rFonts w:hint="default"/>
                      <w:color w:val="auto"/>
                    </w:rPr>
                  </w:pPr>
                  <w:r>
                    <w:rPr>
                      <w:rFonts w:hint="default"/>
                      <w:color w:val="auto"/>
                    </w:rPr>
                    <w:t>37.7</w:t>
                  </w:r>
                </w:p>
              </w:tc>
              <w:tc>
                <w:tcPr>
                  <w:tcW w:w="323" w:type="pct"/>
                  <w:tcBorders>
                    <w:top w:val="single" w:color="000000" w:sz="2" w:space="0"/>
                    <w:left w:val="single" w:color="000000" w:sz="2" w:space="0"/>
                    <w:bottom w:val="single" w:color="auto" w:sz="12" w:space="0"/>
                  </w:tcBorders>
                  <w:noWrap w:val="0"/>
                  <w:vAlign w:val="center"/>
                </w:tcPr>
                <w:p>
                  <w:pPr>
                    <w:pStyle w:val="31"/>
                    <w:bidi w:val="0"/>
                    <w:rPr>
                      <w:rFonts w:hint="default"/>
                      <w:color w:val="auto"/>
                    </w:rPr>
                  </w:pPr>
                  <w:r>
                    <w:rPr>
                      <w:rFonts w:hint="default"/>
                      <w:color w:val="auto"/>
                    </w:rPr>
                    <w:t>36.8</w:t>
                  </w:r>
                </w:p>
              </w:tc>
            </w:tr>
          </w:tbl>
          <w:p>
            <w:pPr>
              <w:bidi w:val="0"/>
              <w:rPr>
                <w:rFonts w:hint="default"/>
                <w:color w:val="auto"/>
              </w:rPr>
            </w:pPr>
            <w:r>
              <w:rPr>
                <w:rFonts w:hint="default"/>
                <w:color w:val="auto"/>
              </w:rPr>
              <w:t>施工机械的噪声由于噪声级较高，在空旷地带传播距离很远，在不同施工阶段，施工场界昼间噪声会出现不同程度的超标情况。本项目施工期场界声环境</w:t>
            </w:r>
            <w:r>
              <w:rPr>
                <w:rFonts w:hint="eastAsia"/>
                <w:color w:val="auto"/>
                <w:lang w:eastAsia="zh-CN"/>
              </w:rPr>
              <w:t>不可避免地受到</w:t>
            </w:r>
            <w:r>
              <w:rPr>
                <w:rFonts w:hint="default"/>
                <w:color w:val="auto"/>
              </w:rPr>
              <w:t>施工噪声影响，昼间超标主要出现在土石方阶段，超标值为3.2dB(A)。除了土石方阶段和装修昼间噪声值超标外，其余各施工阶段的昼间噪声值均可达到《建筑施工场界环境噪声排放标准》</w:t>
            </w:r>
            <w:r>
              <w:rPr>
                <w:rFonts w:hint="default"/>
                <w:color w:val="auto"/>
                <w:lang w:val="en-US" w:eastAsia="zh-CN"/>
              </w:rPr>
              <w:t>(</w:t>
            </w:r>
            <w:r>
              <w:rPr>
                <w:rFonts w:hint="default"/>
                <w:color w:val="auto"/>
              </w:rPr>
              <w:t>GB12523-2011</w:t>
            </w:r>
            <w:r>
              <w:rPr>
                <w:rFonts w:hint="default"/>
                <w:color w:val="auto"/>
                <w:lang w:val="en-US" w:eastAsia="zh-CN"/>
              </w:rPr>
              <w:t>)</w:t>
            </w:r>
            <w:r>
              <w:rPr>
                <w:rFonts w:hint="default"/>
                <w:color w:val="auto"/>
              </w:rPr>
              <w:t>，即昼间≤70dB(A)。</w:t>
            </w:r>
          </w:p>
          <w:p>
            <w:pPr>
              <w:bidi w:val="0"/>
              <w:rPr>
                <w:color w:val="auto"/>
              </w:rPr>
            </w:pPr>
            <w:r>
              <w:rPr>
                <w:color w:val="auto"/>
              </w:rPr>
              <w:t>为了减轻施工噪声对周围环境的影响，建议采取以下措施：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（1）噪声源控制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①施工单位必须选用符合国家有关标准的施工机具，尽可能引进低噪声设备。空压机等噪声值较高的施工机械尽量设置在室内或有屏蔽的范围作业。对流动性较大的空气压缩机和风机选用消声器等</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②加强设备的维护和保养，保持机械润滑，降低运行噪声；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③振动较大的机械设备应使用减振机座降低噪声；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④使用的车辆尽量选用低噪声车辆；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⑤加强道路的养护和车辆的维护保养，降低噪声源；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⑥</w:t>
            </w:r>
            <w:r>
              <w:rPr>
                <w:rFonts w:hint="eastAsia" w:ascii="Times New Roman" w:hAnsi="Times New Roman" w:eastAsia="宋体"/>
                <w:color w:val="auto"/>
                <w:sz w:val="24"/>
                <w:szCs w:val="24"/>
                <w:lang w:val="en-US" w:eastAsia="zh-CN"/>
              </w:rPr>
              <w:t>加强对运输车辆的管理，尽量压缩工区机动车辆数量和行车密度，控制车辆鸣笛，</w:t>
            </w:r>
            <w:r>
              <w:rPr>
                <w:rFonts w:hint="eastAsia" w:ascii="Times New Roman" w:hAnsi="Times New Roman" w:eastAsia="宋体"/>
                <w:color w:val="auto"/>
                <w:sz w:val="24"/>
                <w:szCs w:val="24"/>
              </w:rPr>
              <w:t>限制工区内车辆时速在20km以内，并禁止施工车辆大声鸣笛</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⑦提倡文明施工，对施工人员进行文明施工培训，人为的施工噪声应有降噪措施和管理制度，并进行严格控制；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⑧选择先进施工工艺，项目施工应针对性地采取先进成熟、低噪声施工工艺，不采用《房屋建筑和市政基础设施工程危及生产安全施工工艺、设备和材料淘汰目录》中淘汰的施工工艺、设备、材料。</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（2）传播途径控制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①施工场地周边可建立隔声屏障；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②空压机等</w:t>
            </w:r>
            <w:r>
              <w:rPr>
                <w:rFonts w:hint="eastAsia" w:ascii="Times New Roman" w:hAnsi="Times New Roman" w:eastAsia="宋体"/>
                <w:color w:val="auto"/>
                <w:sz w:val="24"/>
                <w:szCs w:val="24"/>
                <w:lang w:eastAsia="zh-CN"/>
              </w:rPr>
              <w:t>设备</w:t>
            </w:r>
            <w:r>
              <w:rPr>
                <w:rFonts w:hint="eastAsia" w:ascii="Times New Roman" w:hAnsi="Times New Roman" w:eastAsia="宋体"/>
                <w:color w:val="auto"/>
                <w:sz w:val="24"/>
                <w:szCs w:val="24"/>
              </w:rPr>
              <w:t>尽可能用多孔性吸声材料建立隔声屏障、隔声罩和隔声间</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③高噪声环境的施工人员应佩戴防噪声耳塞、耳罩或防噪声头盔。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（3）敏感点防护措施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shd w:val="clear" w:color="auto" w:fill="FFFFFF"/>
                <w:lang w:eastAsia="zh-CN"/>
              </w:rPr>
              <w:t>本项目周边敏感目标主要为西侧约</w:t>
            </w:r>
            <w:r>
              <w:rPr>
                <w:rFonts w:hint="eastAsia"/>
                <w:color w:val="auto"/>
                <w:sz w:val="24"/>
                <w:szCs w:val="24"/>
                <w:shd w:val="clear" w:color="auto" w:fill="FFFFFF"/>
                <w:lang w:val="en-US" w:eastAsia="zh-CN"/>
              </w:rPr>
              <w:t>260</w:t>
            </w:r>
            <w:r>
              <w:rPr>
                <w:rFonts w:hint="eastAsia" w:ascii="Times New Roman" w:hAnsi="Times New Roman" w:eastAsia="宋体"/>
                <w:color w:val="auto"/>
                <w:sz w:val="24"/>
                <w:szCs w:val="24"/>
                <w:shd w:val="clear" w:color="auto" w:fill="FFFFFF"/>
                <w:lang w:val="en-US" w:eastAsia="zh-CN"/>
              </w:rPr>
              <w:t>m的</w:t>
            </w:r>
            <w:r>
              <w:rPr>
                <w:rFonts w:hint="eastAsia"/>
                <w:color w:val="auto"/>
                <w:sz w:val="24"/>
                <w:szCs w:val="24"/>
                <w:shd w:val="clear" w:color="auto" w:fill="FFFFFF"/>
                <w:lang w:val="en-US" w:eastAsia="zh-CN"/>
              </w:rPr>
              <w:t>石溪村</w:t>
            </w:r>
            <w:r>
              <w:rPr>
                <w:rFonts w:hint="eastAsia" w:ascii="Times New Roman" w:hAnsi="Times New Roman" w:eastAsia="宋体"/>
                <w:color w:val="auto"/>
                <w:sz w:val="24"/>
                <w:szCs w:val="24"/>
                <w:shd w:val="clear" w:color="auto" w:fill="FFFFFF"/>
                <w:lang w:val="en-US" w:eastAsia="zh-CN"/>
              </w:rPr>
              <w:t>，距离较远，因此主要为运输过程中的噪声影响，可通过合理安排施工运输时间，</w:t>
            </w:r>
            <w:r>
              <w:rPr>
                <w:rFonts w:hint="eastAsia" w:ascii="Times New Roman" w:hAnsi="Times New Roman" w:eastAsia="宋体"/>
                <w:color w:val="auto"/>
                <w:sz w:val="24"/>
                <w:szCs w:val="24"/>
              </w:rPr>
              <w:t>材料运输车辆在经过道路沿线的</w:t>
            </w:r>
            <w:r>
              <w:rPr>
                <w:rFonts w:hint="eastAsia" w:ascii="Times New Roman" w:hAnsi="Times New Roman" w:eastAsia="宋体"/>
                <w:color w:val="auto"/>
                <w:sz w:val="24"/>
                <w:szCs w:val="24"/>
                <w:lang w:eastAsia="zh-CN"/>
              </w:rPr>
              <w:t>居民点</w:t>
            </w:r>
            <w:r>
              <w:rPr>
                <w:rFonts w:hint="eastAsia" w:ascii="Times New Roman" w:hAnsi="Times New Roman" w:eastAsia="宋体"/>
                <w:color w:val="auto"/>
                <w:sz w:val="24"/>
                <w:szCs w:val="24"/>
              </w:rPr>
              <w:t>时，速度不应超过40km/h；运输车辆行驶时，不得鸣笛；加强运输车辆管理，禁止运输车辆随意空载运行</w:t>
            </w:r>
            <w:r>
              <w:rPr>
                <w:rFonts w:hint="eastAsia" w:ascii="Times New Roman" w:hAnsi="Times New Roman" w:eastAsia="宋体"/>
                <w:color w:val="auto"/>
                <w:sz w:val="24"/>
                <w:szCs w:val="24"/>
                <w:lang w:eastAsia="zh-CN"/>
              </w:rPr>
              <w:t>，以</w:t>
            </w:r>
            <w:r>
              <w:rPr>
                <w:rFonts w:hint="eastAsia" w:ascii="Times New Roman" w:hAnsi="Times New Roman" w:eastAsia="宋体"/>
                <w:color w:val="auto"/>
                <w:sz w:val="24"/>
                <w:szCs w:val="24"/>
                <w:shd w:val="clear" w:color="auto" w:fill="FFFFFF"/>
                <w:lang w:val="en-US" w:eastAsia="zh-CN"/>
              </w:rPr>
              <w:t>减少对敏感点的噪声影响。</w:t>
            </w:r>
          </w:p>
          <w:bookmarkEnd w:id="31"/>
          <w:bookmarkEnd w:id="32"/>
          <w:p>
            <w:pPr>
              <w:pStyle w:val="4"/>
              <w:bidi w:val="0"/>
              <w:rPr>
                <w:rFonts w:hint="default"/>
                <w:color w:val="auto"/>
                <w:lang w:val="en-US" w:eastAsia="zh-CN"/>
              </w:rPr>
            </w:pPr>
            <w:r>
              <w:rPr>
                <w:rFonts w:hint="eastAsia"/>
                <w:color w:val="auto"/>
                <w:lang w:val="en-US" w:eastAsia="zh-CN"/>
              </w:rPr>
              <w:t>4.1.4施工期固废环境影响分析及保护措施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施工垃圾主要来自施工所产生的建筑垃圾和施工队伍生活产生的生活垃圾。</w:t>
            </w:r>
            <w:r>
              <w:rPr>
                <w:rFonts w:hint="eastAsia" w:ascii="Times New Roman" w:hAnsi="Times New Roman" w:eastAsia="宋体"/>
                <w:color w:val="auto"/>
                <w:sz w:val="24"/>
                <w:szCs w:val="24"/>
              </w:rPr>
              <w:t>建筑垃圾如：石子、混凝土块、砖头、石块、石屑、黄沙、石灰和废木料等，要严格按照相关部门规定处理；施工人员生活垃圾要实行袋装化，由环卫部门统一处理。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为防止建设项目在建设期间发生上述环境污染的现象，使建设项目在建设期间对周围环境的影响尽可能小，建议采取以下的污染防治措施：</w:t>
            </w:r>
          </w:p>
          <w:p>
            <w:pPr>
              <w:ind w:firstLine="48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）加强施工期管理，建造沉淀池、隔油池等污水临时处理设施，砂浆和石灰浆等废液宜集中处理，干燥后与固体废弃物一起处置；</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工程开挖土石方临时堆砌时应选择在项目周边空地，工程结束后及时进行回填并压实；</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对建筑垃圾应边施工边清除，施工建筑垃圾应分类收集，尽可能回收再利用。</w:t>
            </w:r>
            <w:r>
              <w:rPr>
                <w:rFonts w:hint="eastAsia" w:ascii="Times New Roman" w:hAnsi="Times New Roman" w:eastAsia="宋体" w:cs="Times New Roman"/>
                <w:color w:val="auto"/>
                <w:sz w:val="24"/>
                <w:szCs w:val="24"/>
                <w:lang w:eastAsia="zh-CN"/>
              </w:rPr>
              <w:t>对于不可利用的建筑垃圾，</w:t>
            </w:r>
            <w:r>
              <w:rPr>
                <w:rFonts w:hint="default" w:ascii="Times New Roman" w:hAnsi="Times New Roman" w:eastAsia="宋体" w:cs="Times New Roman"/>
                <w:color w:val="auto"/>
                <w:sz w:val="24"/>
                <w:szCs w:val="24"/>
                <w:lang w:eastAsia="zh-CN"/>
              </w:rPr>
              <w:t>运输至指定堆存点集中管理；</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加强施工人员的管理，严禁在施工场地及周边随意丢弃垃圾，施工结束后应对施工场地进行清理</w:t>
            </w:r>
            <w:r>
              <w:rPr>
                <w:rFonts w:hint="eastAsia" w:ascii="Times New Roman" w:hAnsi="Times New Roman" w:eastAsia="宋体" w:cs="Times New Roman"/>
                <w:color w:val="auto"/>
                <w:sz w:val="24"/>
                <w:szCs w:val="24"/>
                <w:lang w:eastAsia="zh-CN"/>
              </w:rPr>
              <w:t>；</w:t>
            </w:r>
          </w:p>
          <w:p>
            <w:pPr>
              <w:ind w:firstLine="48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）施工过程中产生的废油桶，废机油以及装修阶段产生的油漆废渣、废油漆桶等应分类单独收集贮存危险废物贮存间，委托有资质单位统一处置。</w:t>
            </w:r>
          </w:p>
          <w:p>
            <w:pPr>
              <w:pStyle w:val="4"/>
              <w:bidi w:val="0"/>
              <w:rPr>
                <w:rFonts w:hint="default"/>
                <w:color w:val="auto"/>
                <w:lang w:val="en-US" w:eastAsia="zh-CN"/>
              </w:rPr>
            </w:pPr>
            <w:r>
              <w:rPr>
                <w:rFonts w:hint="eastAsia"/>
                <w:color w:val="auto"/>
                <w:lang w:val="en-US" w:eastAsia="zh-CN"/>
              </w:rPr>
              <w:t>4.1.5施工期</w:t>
            </w:r>
            <w:r>
              <w:rPr>
                <w:rFonts w:hint="default"/>
                <w:color w:val="auto"/>
                <w:lang w:val="en-US" w:eastAsia="zh-CN"/>
              </w:rPr>
              <w:t>生态环境影响分析</w:t>
            </w:r>
            <w:r>
              <w:rPr>
                <w:rFonts w:hint="eastAsia"/>
                <w:color w:val="auto"/>
                <w:lang w:val="en-US" w:eastAsia="zh-CN"/>
              </w:rPr>
              <w:t>及保护措施</w:t>
            </w:r>
          </w:p>
          <w:p>
            <w:pPr>
              <w:bidi w:val="0"/>
              <w:rPr>
                <w:rFonts w:hint="default"/>
                <w:color w:val="auto"/>
              </w:rPr>
            </w:pPr>
            <w:r>
              <w:rPr>
                <w:rFonts w:hint="default"/>
                <w:color w:val="auto"/>
              </w:rPr>
              <w:t>本项目对生态环境的影响主要体现在工程永久占地、施工活动及工程运行带来的影响。</w:t>
            </w:r>
          </w:p>
          <w:p>
            <w:pPr>
              <w:bidi w:val="0"/>
              <w:rPr>
                <w:color w:val="auto"/>
              </w:rPr>
            </w:pPr>
            <w:r>
              <w:rPr>
                <w:rFonts w:hint="default"/>
                <w:color w:val="auto"/>
              </w:rPr>
              <w:t>工程</w:t>
            </w:r>
            <w:r>
              <w:rPr>
                <w:rFonts w:hint="eastAsia"/>
                <w:color w:val="auto"/>
                <w:lang w:eastAsia="zh-CN"/>
              </w:rPr>
              <w:t>在现有工业场地内进行，不涉及临时占地，目前场地上仅少量的杂草，生态影响主要是</w:t>
            </w:r>
            <w:r>
              <w:rPr>
                <w:rFonts w:hint="default"/>
                <w:color w:val="auto"/>
              </w:rPr>
              <w:t>由于</w:t>
            </w:r>
            <w:r>
              <w:rPr>
                <w:rFonts w:hint="eastAsia"/>
                <w:color w:val="auto"/>
                <w:lang w:eastAsia="zh-CN"/>
              </w:rPr>
              <w:t>平整硬化、</w:t>
            </w:r>
            <w:r>
              <w:rPr>
                <w:rFonts w:hint="default"/>
                <w:color w:val="auto"/>
              </w:rPr>
              <w:t>临时堆放等活动将扰动、损坏地貌，导致涉及区域的水土流失，其形式以水力侵蚀为主。</w:t>
            </w:r>
            <w:r>
              <w:rPr>
                <w:rFonts w:hint="eastAsia"/>
                <w:color w:val="auto"/>
                <w:lang w:eastAsia="zh-CN"/>
              </w:rPr>
              <w:t>根据建设单位提供资料，项目需开挖土石方量小</w:t>
            </w:r>
            <w:r>
              <w:rPr>
                <w:rFonts w:hint="eastAsia"/>
                <w:color w:val="auto"/>
                <w:lang w:val="en-US" w:eastAsia="zh-CN"/>
              </w:rPr>
              <w:t>，就地在场地内平整回填，无弃方。</w:t>
            </w:r>
            <w:r>
              <w:rPr>
                <w:color w:val="auto"/>
              </w:rPr>
              <w:t>为</w:t>
            </w:r>
            <w:r>
              <w:rPr>
                <w:rFonts w:hint="eastAsia"/>
                <w:color w:val="auto"/>
                <w:lang w:val="en-US" w:eastAsia="zh-CN"/>
              </w:rPr>
              <w:t>降低项目对生态环境的影响，</w:t>
            </w:r>
            <w:r>
              <w:rPr>
                <w:color w:val="auto"/>
              </w:rPr>
              <w:t>建议采取以下的污染防治措施：</w:t>
            </w:r>
          </w:p>
          <w:p>
            <w:pPr>
              <w:bidi w:val="0"/>
              <w:rPr>
                <w:rFonts w:hint="default"/>
                <w:color w:val="auto"/>
              </w:rPr>
            </w:pPr>
            <w:r>
              <w:rPr>
                <w:rFonts w:hint="eastAsia"/>
                <w:color w:val="auto"/>
                <w:lang w:val="en-US" w:eastAsia="zh-CN"/>
              </w:rPr>
              <w:t>（1）</w:t>
            </w:r>
            <w:r>
              <w:rPr>
                <w:rFonts w:hint="default"/>
                <w:color w:val="auto"/>
              </w:rPr>
              <w:t>合理施工布置规划，精心组织施工管理，严格控制占地面积，将施工区域控制在最小范围内；</w:t>
            </w:r>
          </w:p>
          <w:p>
            <w:pPr>
              <w:bidi w:val="0"/>
              <w:rPr>
                <w:rFonts w:hint="default"/>
                <w:color w:val="auto"/>
              </w:rPr>
            </w:pPr>
            <w:r>
              <w:rPr>
                <w:rFonts w:hint="eastAsia"/>
                <w:color w:val="auto"/>
                <w:lang w:val="en-US" w:eastAsia="zh-CN"/>
              </w:rPr>
              <w:t>（2）</w:t>
            </w:r>
            <w:r>
              <w:rPr>
                <w:rFonts w:hint="default"/>
                <w:color w:val="auto"/>
              </w:rPr>
              <w:t>为减少水土流失，</w:t>
            </w:r>
            <w:r>
              <w:rPr>
                <w:rFonts w:hint="eastAsia"/>
                <w:color w:val="auto"/>
                <w:lang w:eastAsia="zh-CN"/>
              </w:rPr>
              <w:t>应</w:t>
            </w:r>
            <w:r>
              <w:rPr>
                <w:rFonts w:hint="default"/>
                <w:color w:val="auto"/>
              </w:rPr>
              <w:t>对施工中开挖裸露地表进行覆盖，防止水土流失和地质灾害；</w:t>
            </w:r>
          </w:p>
          <w:p>
            <w:pPr>
              <w:bidi w:val="0"/>
              <w:rPr>
                <w:rFonts w:hint="default"/>
                <w:color w:val="auto"/>
              </w:rPr>
            </w:pPr>
            <w:r>
              <w:rPr>
                <w:rFonts w:hint="eastAsia"/>
                <w:color w:val="auto"/>
                <w:lang w:val="en-US" w:eastAsia="zh-CN"/>
              </w:rPr>
              <w:t>（3）</w:t>
            </w:r>
            <w:r>
              <w:rPr>
                <w:rFonts w:hint="default"/>
                <w:color w:val="auto"/>
              </w:rPr>
              <w:t>施工完毕后及时进行场地清理平整以及</w:t>
            </w:r>
            <w:r>
              <w:rPr>
                <w:rFonts w:hint="eastAsia"/>
                <w:color w:val="auto"/>
                <w:lang w:eastAsia="zh-CN"/>
              </w:rPr>
              <w:t>地表</w:t>
            </w:r>
            <w:r>
              <w:rPr>
                <w:rFonts w:hint="default"/>
                <w:color w:val="auto"/>
              </w:rPr>
              <w:t>恢复，从而防止或减轻水土流失；</w:t>
            </w:r>
          </w:p>
          <w:p>
            <w:pPr>
              <w:bidi w:val="0"/>
              <w:rPr>
                <w:rFonts w:hint="default"/>
                <w:color w:val="auto"/>
              </w:rPr>
            </w:pPr>
            <w:r>
              <w:rPr>
                <w:rFonts w:hint="eastAsia"/>
                <w:color w:val="auto"/>
                <w:lang w:val="en-US" w:eastAsia="zh-CN"/>
              </w:rPr>
              <w:t>（4）</w:t>
            </w:r>
            <w:r>
              <w:rPr>
                <w:rFonts w:hint="default"/>
                <w:color w:val="auto"/>
              </w:rPr>
              <w:t>施工开挖土方、装卸运输土方等工序，应尽量避开降雨天气；</w:t>
            </w:r>
          </w:p>
          <w:p>
            <w:pPr>
              <w:bidi w:val="0"/>
              <w:rPr>
                <w:rFonts w:hint="default"/>
                <w:color w:val="auto"/>
              </w:rPr>
            </w:pPr>
            <w:r>
              <w:rPr>
                <w:rFonts w:hint="eastAsia"/>
                <w:color w:val="auto"/>
                <w:lang w:val="en-US" w:eastAsia="zh-CN"/>
              </w:rPr>
              <w:t>（5）</w:t>
            </w:r>
            <w:r>
              <w:rPr>
                <w:rFonts w:hint="default"/>
                <w:color w:val="auto"/>
              </w:rPr>
              <w:t>结合地形合理规划土方堆置场地，周围设围挡物，结合实际情况适时采取专门的排水措施(如在场区外设置截流沟等)；</w:t>
            </w:r>
          </w:p>
          <w:p>
            <w:pPr>
              <w:bidi w:val="0"/>
              <w:rPr>
                <w:rFonts w:hint="default" w:ascii="Times New Roman" w:hAnsi="Times New Roman" w:eastAsia="宋体" w:cs="Times New Roman"/>
                <w:color w:val="auto"/>
                <w:highlight w:val="none"/>
                <w:u w:val="none"/>
                <w:lang w:val="en-US" w:eastAsia="zh-CN"/>
              </w:rPr>
            </w:pPr>
            <w:r>
              <w:rPr>
                <w:rFonts w:hint="eastAsia"/>
                <w:color w:val="auto"/>
                <w:lang w:val="en-US" w:eastAsia="zh-CN"/>
              </w:rPr>
              <w:t>（6）</w:t>
            </w:r>
            <w:r>
              <w:rPr>
                <w:rFonts w:hint="default"/>
                <w:color w:val="auto"/>
                <w:lang w:val="en-US" w:eastAsia="zh-CN"/>
              </w:rPr>
              <w:t>工程开挖造成的取土坑和回填好的坑待工序结束后，须及时压实整平，原土覆盖</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tcMar>
              <w:left w:w="28" w:type="dxa"/>
              <w:right w:w="28" w:type="dxa"/>
            </w:tcMar>
            <w:vAlign w:val="center"/>
          </w:tcPr>
          <w:p>
            <w:pPr>
              <w:pStyle w:val="31"/>
              <w:bidi w:val="0"/>
              <w:rPr>
                <w:rFonts w:hint="default"/>
                <w:color w:val="auto"/>
                <w:sz w:val="24"/>
                <w:szCs w:val="32"/>
              </w:rPr>
            </w:pPr>
            <w:r>
              <w:rPr>
                <w:rFonts w:hint="default"/>
                <w:color w:val="auto"/>
                <w:sz w:val="24"/>
                <w:szCs w:val="32"/>
              </w:rPr>
              <w:t>运营</w:t>
            </w:r>
          </w:p>
          <w:p>
            <w:pPr>
              <w:pStyle w:val="31"/>
              <w:bidi w:val="0"/>
              <w:rPr>
                <w:rFonts w:hint="default"/>
                <w:color w:val="auto"/>
                <w:sz w:val="24"/>
                <w:szCs w:val="32"/>
              </w:rPr>
            </w:pPr>
            <w:r>
              <w:rPr>
                <w:rFonts w:hint="default"/>
                <w:color w:val="auto"/>
                <w:sz w:val="24"/>
                <w:szCs w:val="32"/>
              </w:rPr>
              <w:t>期环</w:t>
            </w:r>
          </w:p>
          <w:p>
            <w:pPr>
              <w:pStyle w:val="31"/>
              <w:bidi w:val="0"/>
              <w:rPr>
                <w:rFonts w:hint="default"/>
                <w:color w:val="auto"/>
                <w:sz w:val="24"/>
                <w:szCs w:val="32"/>
              </w:rPr>
            </w:pPr>
            <w:r>
              <w:rPr>
                <w:rFonts w:hint="default"/>
                <w:color w:val="auto"/>
                <w:sz w:val="24"/>
                <w:szCs w:val="32"/>
              </w:rPr>
              <w:t>境影</w:t>
            </w:r>
          </w:p>
          <w:p>
            <w:pPr>
              <w:pStyle w:val="31"/>
              <w:bidi w:val="0"/>
              <w:rPr>
                <w:rFonts w:hint="default"/>
                <w:color w:val="auto"/>
                <w:sz w:val="24"/>
                <w:szCs w:val="32"/>
              </w:rPr>
            </w:pPr>
            <w:r>
              <w:rPr>
                <w:rFonts w:hint="default"/>
                <w:color w:val="auto"/>
                <w:sz w:val="24"/>
                <w:szCs w:val="32"/>
              </w:rPr>
              <w:t>响和</w:t>
            </w:r>
          </w:p>
          <w:p>
            <w:pPr>
              <w:pStyle w:val="31"/>
              <w:bidi w:val="0"/>
              <w:rPr>
                <w:rFonts w:hint="default"/>
                <w:color w:val="auto"/>
                <w:sz w:val="24"/>
                <w:szCs w:val="32"/>
              </w:rPr>
            </w:pPr>
            <w:r>
              <w:rPr>
                <w:rFonts w:hint="default"/>
                <w:color w:val="auto"/>
                <w:sz w:val="24"/>
                <w:szCs w:val="32"/>
              </w:rPr>
              <w:t>保护</w:t>
            </w:r>
          </w:p>
          <w:p>
            <w:pPr>
              <w:pStyle w:val="31"/>
              <w:bidi w:val="0"/>
              <w:rPr>
                <w:rFonts w:hint="default" w:ascii="Times New Roman" w:hAnsi="Times New Roman" w:eastAsia="宋体" w:cs="Times New Roman"/>
                <w:color w:val="auto"/>
                <w:kern w:val="2"/>
                <w:szCs w:val="21"/>
              </w:rPr>
            </w:pPr>
            <w:r>
              <w:rPr>
                <w:rFonts w:hint="default"/>
                <w:color w:val="auto"/>
                <w:sz w:val="24"/>
                <w:szCs w:val="32"/>
              </w:rPr>
              <w:t>措施</w:t>
            </w:r>
          </w:p>
        </w:tc>
        <w:tc>
          <w:tcPr>
            <w:tcW w:w="8149" w:type="dxa"/>
            <w:noWrap w:val="0"/>
            <w:vAlign w:val="center"/>
          </w:tcPr>
          <w:p>
            <w:pPr>
              <w:pStyle w:val="3"/>
              <w:bidi w:val="0"/>
              <w:rPr>
                <w:rFonts w:hint="default"/>
                <w:color w:val="auto"/>
              </w:rPr>
            </w:pPr>
            <w:r>
              <w:rPr>
                <w:rFonts w:hint="default"/>
                <w:color w:val="auto"/>
              </w:rPr>
              <w:t>4.</w:t>
            </w:r>
            <w:r>
              <w:rPr>
                <w:rFonts w:hint="eastAsia"/>
                <w:color w:val="auto"/>
                <w:lang w:val="en-US" w:eastAsia="zh-CN"/>
              </w:rPr>
              <w:t>2</w:t>
            </w:r>
            <w:r>
              <w:rPr>
                <w:rFonts w:hint="default"/>
                <w:color w:val="auto"/>
              </w:rPr>
              <w:t>运营期大气环境影响分析和污染防治措施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2</w:t>
            </w:r>
            <w:r>
              <w:rPr>
                <w:rFonts w:hint="default"/>
                <w:color w:val="auto"/>
                <w:lang w:val="en-US" w:eastAsia="zh-CN"/>
              </w:rPr>
              <w:t>.1</w:t>
            </w:r>
            <w:r>
              <w:rPr>
                <w:rFonts w:hint="default"/>
                <w:color w:val="auto"/>
              </w:rPr>
              <w:t>运营期废气源强核算</w:t>
            </w:r>
          </w:p>
          <w:p>
            <w:pPr>
              <w:bidi w:val="0"/>
              <w:rPr>
                <w:rFonts w:hint="eastAsia"/>
                <w:color w:val="auto"/>
                <w:lang w:val="en-US" w:eastAsia="zh-CN"/>
              </w:rPr>
            </w:pPr>
            <w:r>
              <w:rPr>
                <w:rFonts w:hint="eastAsia"/>
                <w:color w:val="auto"/>
                <w:lang w:val="en-US" w:eastAsia="zh-CN"/>
              </w:rPr>
              <w:t>项目运营期产生的废气主要为砂石料装卸及堆场风蚀扬尘、运输车辆扬尘、粉料仓呼吸尘、砂石计量配料粉尘、搅拌粉尘、焊接烟尘。</w:t>
            </w:r>
          </w:p>
          <w:p>
            <w:pPr>
              <w:bidi w:val="0"/>
              <w:rPr>
                <w:rFonts w:hint="default"/>
                <w:color w:val="auto"/>
                <w:lang w:val="en-US" w:eastAsia="zh-CN"/>
              </w:rPr>
            </w:pPr>
            <w:r>
              <w:rPr>
                <w:rFonts w:hint="eastAsia"/>
                <w:color w:val="auto"/>
                <w:lang w:val="en-US" w:eastAsia="zh-CN"/>
              </w:rPr>
              <w:t>本项目废气参照《污染源源强核算技术指南 准则》（HJ884-2018）、《排污许可证申请与核发技术规范 水泥工业》(HJ 847-2017)等相关要求进行。</w:t>
            </w:r>
          </w:p>
          <w:p>
            <w:pPr>
              <w:bidi w:val="0"/>
              <w:rPr>
                <w:rFonts w:hint="default"/>
                <w:b/>
                <w:bCs/>
                <w:color w:val="auto"/>
                <w:lang w:val="en-US" w:eastAsia="zh-CN"/>
              </w:rPr>
            </w:pPr>
            <w:r>
              <w:rPr>
                <w:rFonts w:hint="eastAsia"/>
                <w:b/>
                <w:bCs/>
                <w:color w:val="auto"/>
                <w:lang w:val="en-US" w:eastAsia="zh-CN"/>
              </w:rPr>
              <w:t>（1）外来砂石料装卸及堆场风蚀扬尘</w:t>
            </w:r>
          </w:p>
          <w:p>
            <w:pPr>
              <w:bidi w:val="0"/>
              <w:rPr>
                <w:rFonts w:hint="eastAsia"/>
                <w:color w:val="auto"/>
                <w:lang w:eastAsia="zh-CN"/>
              </w:rPr>
            </w:pPr>
            <w:r>
              <w:rPr>
                <w:rFonts w:hint="eastAsia"/>
                <w:color w:val="auto"/>
                <w:lang w:eastAsia="zh-CN"/>
              </w:rPr>
              <w:t>项目</w:t>
            </w:r>
            <w:r>
              <w:rPr>
                <w:rFonts w:hint="eastAsia"/>
                <w:color w:val="auto"/>
                <w:lang w:val="en-US" w:eastAsia="zh-CN"/>
              </w:rPr>
              <w:t>在3#物料库设置各类型号碎石及细砂等物料的堆场，外来砂石料经运输车辆运输至3#物料库内，而后装卸、堆存</w:t>
            </w:r>
            <w:r>
              <w:rPr>
                <w:rFonts w:hint="eastAsia"/>
                <w:color w:val="auto"/>
                <w:lang w:eastAsia="zh-CN"/>
              </w:rPr>
              <w:t>于</w:t>
            </w:r>
            <w:r>
              <w:rPr>
                <w:rFonts w:hint="eastAsia"/>
                <w:color w:val="auto"/>
                <w:lang w:val="en-US" w:eastAsia="zh-CN"/>
              </w:rPr>
              <w:t>各砂石仓</w:t>
            </w:r>
            <w:r>
              <w:rPr>
                <w:rFonts w:hint="eastAsia"/>
                <w:color w:val="auto"/>
                <w:lang w:eastAsia="zh-CN"/>
              </w:rPr>
              <w:t>内</w:t>
            </w:r>
            <w:r>
              <w:rPr>
                <w:rFonts w:hint="eastAsia"/>
                <w:color w:val="auto"/>
                <w:lang w:val="en-US" w:eastAsia="zh-CN"/>
              </w:rPr>
              <w:t>，再根据生产调度的需求</w:t>
            </w:r>
            <w:r>
              <w:rPr>
                <w:rFonts w:hint="eastAsia"/>
                <w:color w:val="auto"/>
                <w:lang w:eastAsia="zh-CN"/>
              </w:rPr>
              <w:t>，</w:t>
            </w:r>
            <w:r>
              <w:rPr>
                <w:rFonts w:hint="eastAsia"/>
                <w:color w:val="auto"/>
                <w:lang w:val="en-US" w:eastAsia="zh-CN"/>
              </w:rPr>
              <w:t>通过铲车装载送入后续计量配料工序后，由传送带输送至2#搅拌楼使用。</w:t>
            </w:r>
          </w:p>
          <w:p>
            <w:pPr>
              <w:bidi w:val="0"/>
              <w:rPr>
                <w:rFonts w:hint="eastAsia"/>
                <w:color w:val="auto"/>
                <w:lang w:eastAsia="zh-CN"/>
              </w:rPr>
            </w:pPr>
            <w:r>
              <w:rPr>
                <w:rFonts w:hint="eastAsia"/>
                <w:color w:val="auto"/>
                <w:lang w:eastAsia="zh-CN"/>
              </w:rPr>
              <w:t>根据生态环境部发布的《排放源统计调查产排污核算方法和系数手册》（生态环境部公告2021年第24号）中的《固体物料堆存颗粒物产排污核算系数手册》，工业企业固体物料堆存颗粒物包括装卸扬尘和风蚀扬尘，颗粒物产生量核算公式如下：</w:t>
            </w:r>
          </w:p>
          <w:p>
            <w:pPr>
              <w:ind w:left="0" w:leftChars="0" w:firstLine="0" w:firstLineChars="0"/>
              <w:jc w:val="center"/>
              <w:rPr>
                <w:rFonts w:hint="eastAsia" w:ascii="Times New Roman" w:hAnsi="Times New Roman" w:eastAsia="宋体"/>
                <w:color w:val="auto"/>
              </w:rPr>
            </w:pPr>
            <w:r>
              <w:rPr>
                <w:rFonts w:ascii="Times New Roman" w:hAnsi="Times New Roman" w:eastAsia="宋体"/>
                <w:color w:val="auto"/>
              </w:rPr>
              <w:drawing>
                <wp:inline distT="0" distB="0" distL="114300" distR="114300">
                  <wp:extent cx="3726815" cy="32385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726815" cy="323850"/>
                          </a:xfrm>
                          <a:prstGeom prst="rect">
                            <a:avLst/>
                          </a:prstGeom>
                          <a:noFill/>
                          <a:ln>
                            <a:noFill/>
                          </a:ln>
                        </pic:spPr>
                      </pic:pic>
                    </a:graphicData>
                  </a:graphic>
                </wp:inline>
              </w:drawing>
            </w:r>
          </w:p>
          <w:p>
            <w:pPr>
              <w:bidi w:val="0"/>
              <w:ind w:left="0" w:leftChars="0" w:firstLine="0" w:firstLineChars="0"/>
              <w:rPr>
                <w:rFonts w:hint="eastAsia"/>
                <w:color w:val="auto"/>
                <w:lang w:eastAsia="zh-CN"/>
              </w:rPr>
            </w:pPr>
            <w:r>
              <w:rPr>
                <w:rFonts w:hint="eastAsia"/>
                <w:color w:val="auto"/>
                <w:lang w:eastAsia="zh-CN"/>
              </w:rPr>
              <w:t>式中：P 指颗粒物产生量（单位：吨）；</w:t>
            </w:r>
          </w:p>
          <w:p>
            <w:pPr>
              <w:bidi w:val="0"/>
              <w:ind w:firstLine="720" w:firstLineChars="300"/>
              <w:rPr>
                <w:rFonts w:hint="eastAsia"/>
                <w:color w:val="auto"/>
                <w:lang w:eastAsia="zh-CN"/>
              </w:rPr>
            </w:pPr>
            <w:r>
              <w:rPr>
                <w:rFonts w:hint="eastAsia"/>
                <w:color w:val="auto"/>
                <w:lang w:eastAsia="zh-CN"/>
              </w:rPr>
              <w:t>ZCy指装卸扬尘产生量（单位：吨）；</w:t>
            </w:r>
          </w:p>
          <w:p>
            <w:pPr>
              <w:bidi w:val="0"/>
              <w:ind w:firstLine="720" w:firstLineChars="300"/>
              <w:rPr>
                <w:rFonts w:hint="eastAsia"/>
                <w:color w:val="auto"/>
                <w:lang w:eastAsia="zh-CN"/>
              </w:rPr>
            </w:pPr>
            <w:r>
              <w:rPr>
                <w:rFonts w:hint="eastAsia"/>
                <w:color w:val="auto"/>
                <w:lang w:eastAsia="zh-CN"/>
              </w:rPr>
              <w:t>FCy指风蚀扬尘产生量（单位：吨）；</w:t>
            </w:r>
          </w:p>
          <w:p>
            <w:pPr>
              <w:bidi w:val="0"/>
              <w:ind w:firstLine="720" w:firstLineChars="300"/>
              <w:rPr>
                <w:rFonts w:hint="eastAsia"/>
                <w:color w:val="auto"/>
                <w:lang w:eastAsia="zh-CN"/>
              </w:rPr>
            </w:pPr>
            <w:r>
              <w:rPr>
                <w:rFonts w:hint="eastAsia"/>
                <w:color w:val="auto"/>
                <w:lang w:eastAsia="zh-CN"/>
              </w:rPr>
              <w:t>Nc指年物料运载车次（单位：车）；</w:t>
            </w:r>
          </w:p>
          <w:p>
            <w:pPr>
              <w:bidi w:val="0"/>
              <w:ind w:firstLine="720" w:firstLineChars="300"/>
              <w:rPr>
                <w:rFonts w:hint="eastAsia"/>
                <w:color w:val="auto"/>
                <w:lang w:eastAsia="zh-CN"/>
              </w:rPr>
            </w:pPr>
            <w:r>
              <w:rPr>
                <w:rFonts w:hint="eastAsia"/>
                <w:color w:val="auto"/>
                <w:lang w:eastAsia="zh-CN"/>
              </w:rPr>
              <w:t>D 指单车平均运载量（单位：吨/车）；</w:t>
            </w:r>
          </w:p>
          <w:p>
            <w:pPr>
              <w:bidi w:val="0"/>
              <w:ind w:firstLine="720" w:firstLineChars="300"/>
              <w:rPr>
                <w:rFonts w:hint="eastAsia"/>
                <w:color w:val="auto"/>
                <w:lang w:eastAsia="zh-CN"/>
              </w:rPr>
            </w:pPr>
            <w:r>
              <w:rPr>
                <w:rFonts w:hint="eastAsia"/>
                <w:color w:val="auto"/>
                <w:lang w:eastAsia="zh-CN"/>
              </w:rPr>
              <w:t>（a/b）指装卸扬尘概化系数（单位：千克/吨）。</w:t>
            </w:r>
          </w:p>
          <w:p>
            <w:pPr>
              <w:bidi w:val="0"/>
              <w:ind w:firstLine="720" w:firstLineChars="300"/>
              <w:rPr>
                <w:rFonts w:hint="eastAsia"/>
                <w:color w:val="auto"/>
                <w:lang w:eastAsia="zh-CN"/>
              </w:rPr>
            </w:pPr>
            <w:r>
              <w:rPr>
                <w:rFonts w:hint="eastAsia"/>
                <w:color w:val="auto"/>
                <w:lang w:eastAsia="zh-CN"/>
              </w:rPr>
              <w:t>a指各省风速概化系数，参考《固体物料堆存颗粒物产排污核算系数手册》附录1，福建省为0.0009；</w:t>
            </w:r>
          </w:p>
          <w:p>
            <w:pPr>
              <w:bidi w:val="0"/>
              <w:ind w:firstLine="720" w:firstLineChars="300"/>
              <w:rPr>
                <w:rFonts w:hint="default"/>
                <w:color w:val="auto"/>
                <w:lang w:val="en-US" w:eastAsia="zh-CN"/>
              </w:rPr>
            </w:pPr>
            <w:r>
              <w:rPr>
                <w:rFonts w:hint="eastAsia"/>
                <w:color w:val="auto"/>
                <w:lang w:eastAsia="zh-CN"/>
              </w:rPr>
              <w:t>b指物料含水率概化系数，见《固体物料堆存颗粒物产排污核算系数手册》附录2。本项目</w:t>
            </w:r>
            <w:r>
              <w:rPr>
                <w:rFonts w:hint="eastAsia"/>
                <w:color w:val="auto"/>
                <w:lang w:val="en-US" w:eastAsia="zh-CN"/>
              </w:rPr>
              <w:t>建筑垃圾破碎处理后得到的石料和机制砂，</w:t>
            </w:r>
            <w:r>
              <w:rPr>
                <w:rFonts w:hint="eastAsia"/>
                <w:color w:val="auto"/>
                <w:lang w:eastAsia="zh-CN"/>
              </w:rPr>
              <w:t>参照</w:t>
            </w:r>
            <w:r>
              <w:rPr>
                <w:rFonts w:hint="eastAsia"/>
                <w:color w:val="auto"/>
                <w:lang w:val="en-US" w:eastAsia="zh-CN"/>
              </w:rPr>
              <w:t>表土</w:t>
            </w:r>
            <w:r>
              <w:rPr>
                <w:rFonts w:hint="eastAsia"/>
                <w:color w:val="auto"/>
                <w:lang w:eastAsia="zh-CN"/>
              </w:rPr>
              <w:t>的含水率概化系数，取</w:t>
            </w:r>
            <w:r>
              <w:rPr>
                <w:rFonts w:hint="eastAsia"/>
                <w:color w:val="auto"/>
                <w:lang w:val="en-US" w:eastAsia="zh-CN"/>
              </w:rPr>
              <w:t>0.0151</w:t>
            </w:r>
            <w:r>
              <w:rPr>
                <w:rFonts w:hint="eastAsia"/>
                <w:color w:val="auto"/>
                <w:lang w:eastAsia="zh-CN"/>
              </w:rPr>
              <w:t>；</w:t>
            </w:r>
            <w:r>
              <w:rPr>
                <w:rFonts w:hint="eastAsia"/>
                <w:color w:val="auto"/>
                <w:lang w:val="en-US" w:eastAsia="zh-CN"/>
              </w:rPr>
              <w:t>毛石参照块矿的含水率概化系数，取0.0064。</w:t>
            </w:r>
          </w:p>
          <w:p>
            <w:pPr>
              <w:bidi w:val="0"/>
              <w:ind w:firstLine="720" w:firstLineChars="300"/>
              <w:rPr>
                <w:rFonts w:hint="default"/>
                <w:color w:val="auto"/>
                <w:lang w:val="en-US" w:eastAsia="zh-CN"/>
              </w:rPr>
            </w:pPr>
            <w:r>
              <w:rPr>
                <w:rFonts w:hint="eastAsia"/>
                <w:color w:val="auto"/>
                <w:lang w:eastAsia="zh-CN"/>
              </w:rPr>
              <w:t>Ef 指堆场风蚀扬尘概化系数（单位：千克/平方米），见《固体物料堆存颗粒物产排污核算系数手册》附录3，本项目</w:t>
            </w:r>
            <w:r>
              <w:rPr>
                <w:rFonts w:hint="eastAsia"/>
                <w:color w:val="auto"/>
                <w:lang w:val="en-US" w:eastAsia="zh-CN"/>
              </w:rPr>
              <w:t>石子和机制砂</w:t>
            </w:r>
            <w:r>
              <w:rPr>
                <w:rFonts w:hint="eastAsia"/>
                <w:color w:val="auto"/>
                <w:lang w:eastAsia="zh-CN"/>
              </w:rPr>
              <w:t>参照</w:t>
            </w:r>
            <w:r>
              <w:rPr>
                <w:rFonts w:hint="eastAsia"/>
                <w:color w:val="auto"/>
                <w:lang w:val="en-US" w:eastAsia="zh-CN"/>
              </w:rPr>
              <w:t>表土</w:t>
            </w:r>
            <w:r>
              <w:rPr>
                <w:rFonts w:hint="eastAsia"/>
                <w:color w:val="auto"/>
                <w:lang w:eastAsia="zh-CN"/>
              </w:rPr>
              <w:t>的风蚀概化系数，取值</w:t>
            </w:r>
            <w:r>
              <w:rPr>
                <w:rFonts w:hint="eastAsia"/>
                <w:color w:val="auto"/>
                <w:lang w:val="en-US" w:eastAsia="zh-CN"/>
              </w:rPr>
              <w:t>41.5808</w:t>
            </w:r>
            <w:r>
              <w:rPr>
                <w:rFonts w:hint="eastAsia"/>
                <w:color w:val="auto"/>
                <w:lang w:eastAsia="zh-CN"/>
              </w:rPr>
              <w:t>；</w:t>
            </w:r>
            <w:r>
              <w:rPr>
                <w:rFonts w:hint="eastAsia"/>
                <w:color w:val="auto"/>
                <w:lang w:val="en-US" w:eastAsia="zh-CN"/>
              </w:rPr>
              <w:t>毛石料由外部直接运输进场，无场内堆场。</w:t>
            </w:r>
          </w:p>
          <w:p>
            <w:pPr>
              <w:bidi w:val="0"/>
              <w:ind w:firstLine="720" w:firstLineChars="300"/>
              <w:rPr>
                <w:rFonts w:hint="eastAsia"/>
                <w:color w:val="auto"/>
                <w:lang w:eastAsia="zh-CN"/>
              </w:rPr>
            </w:pPr>
            <w:r>
              <w:rPr>
                <w:rFonts w:hint="eastAsia"/>
                <w:color w:val="auto"/>
                <w:lang w:eastAsia="zh-CN"/>
              </w:rPr>
              <w:t>S指堆场占地面积（单位：平方米）。</w:t>
            </w:r>
          </w:p>
          <w:p>
            <w:pPr>
              <w:bidi w:val="0"/>
              <w:rPr>
                <w:rFonts w:hint="eastAsia"/>
                <w:color w:val="auto"/>
                <w:lang w:eastAsia="zh-CN"/>
              </w:rPr>
            </w:pPr>
            <w:r>
              <w:rPr>
                <w:rFonts w:hint="eastAsia"/>
                <w:color w:val="auto"/>
                <w:lang w:val="en-US" w:eastAsia="zh-CN"/>
              </w:rPr>
              <w:t>项目用各型号石料与细砂的</w:t>
            </w:r>
            <w:r>
              <w:rPr>
                <w:rFonts w:hint="eastAsia"/>
                <w:color w:val="auto"/>
                <w:lang w:eastAsia="zh-CN"/>
              </w:rPr>
              <w:t>车辆单次运输量</w:t>
            </w:r>
            <w:r>
              <w:rPr>
                <w:rFonts w:hint="eastAsia"/>
                <w:color w:val="auto"/>
                <w:lang w:val="en-US" w:eastAsia="zh-CN"/>
              </w:rPr>
              <w:t>均</w:t>
            </w:r>
            <w:r>
              <w:rPr>
                <w:rFonts w:hint="eastAsia"/>
                <w:color w:val="auto"/>
                <w:lang w:eastAsia="zh-CN"/>
              </w:rPr>
              <w:t>按30</w:t>
            </w:r>
            <w:r>
              <w:rPr>
                <w:rFonts w:hint="eastAsia"/>
                <w:color w:val="auto"/>
                <w:lang w:val="en-US" w:eastAsia="zh-CN"/>
              </w:rPr>
              <w:t>t/车</w:t>
            </w:r>
            <w:r>
              <w:rPr>
                <w:rFonts w:hint="eastAsia"/>
                <w:color w:val="auto"/>
                <w:lang w:eastAsia="zh-CN"/>
              </w:rPr>
              <w:t>计，项目</w:t>
            </w:r>
            <w:r>
              <w:rPr>
                <w:rFonts w:hint="eastAsia"/>
                <w:color w:val="auto"/>
                <w:lang w:val="en-US" w:eastAsia="zh-CN"/>
              </w:rPr>
              <w:t>石料的年用量约为80万t/a，</w:t>
            </w:r>
            <w:r>
              <w:rPr>
                <w:rFonts w:hint="eastAsia"/>
                <w:color w:val="auto"/>
                <w:lang w:eastAsia="zh-CN"/>
              </w:rPr>
              <w:t>则</w:t>
            </w:r>
            <w:r>
              <w:rPr>
                <w:rFonts w:hint="eastAsia"/>
                <w:color w:val="auto"/>
                <w:lang w:val="en-US" w:eastAsia="zh-CN"/>
              </w:rPr>
              <w:t>石料的</w:t>
            </w:r>
            <w:r>
              <w:rPr>
                <w:rFonts w:hint="eastAsia"/>
                <w:color w:val="auto"/>
                <w:lang w:eastAsia="zh-CN"/>
              </w:rPr>
              <w:t>年物料运载车次</w:t>
            </w:r>
            <w:r>
              <w:rPr>
                <w:rFonts w:hint="eastAsia"/>
                <w:color w:val="auto"/>
                <w:lang w:val="en-US" w:eastAsia="zh-CN"/>
              </w:rPr>
              <w:t>26667</w:t>
            </w:r>
            <w:r>
              <w:rPr>
                <w:rFonts w:hint="eastAsia"/>
                <w:color w:val="auto"/>
                <w:lang w:eastAsia="zh-CN"/>
              </w:rPr>
              <w:t>次；项目</w:t>
            </w:r>
            <w:r>
              <w:rPr>
                <w:rFonts w:hint="eastAsia"/>
                <w:color w:val="auto"/>
                <w:lang w:val="en-US" w:eastAsia="zh-CN"/>
              </w:rPr>
              <w:t>细砂的年用量约为72万t/a，</w:t>
            </w:r>
            <w:r>
              <w:rPr>
                <w:rFonts w:hint="eastAsia"/>
                <w:color w:val="auto"/>
                <w:lang w:eastAsia="zh-CN"/>
              </w:rPr>
              <w:t>则</w:t>
            </w:r>
            <w:r>
              <w:rPr>
                <w:rFonts w:hint="eastAsia"/>
                <w:color w:val="auto"/>
                <w:lang w:val="en-US" w:eastAsia="zh-CN"/>
              </w:rPr>
              <w:t>细砂的</w:t>
            </w:r>
            <w:r>
              <w:rPr>
                <w:rFonts w:hint="eastAsia"/>
                <w:color w:val="auto"/>
                <w:lang w:eastAsia="zh-CN"/>
              </w:rPr>
              <w:t>年物料运载车次</w:t>
            </w:r>
            <w:r>
              <w:rPr>
                <w:rFonts w:hint="eastAsia"/>
                <w:color w:val="auto"/>
                <w:lang w:val="en-US" w:eastAsia="zh-CN"/>
              </w:rPr>
              <w:t>24000</w:t>
            </w:r>
            <w:r>
              <w:rPr>
                <w:rFonts w:hint="eastAsia"/>
                <w:color w:val="auto"/>
                <w:lang w:eastAsia="zh-CN"/>
              </w:rPr>
              <w:t>次。</w:t>
            </w:r>
            <w:r>
              <w:rPr>
                <w:rFonts w:hint="eastAsia"/>
                <w:color w:val="auto"/>
                <w:lang w:val="en-US" w:eastAsia="zh-CN"/>
              </w:rPr>
              <w:t>石料及细砂堆放于各自的堆放场内，根据建设单位提供信息，砂石料堆场占地面积为1518.48m</w:t>
            </w:r>
            <w:r>
              <w:rPr>
                <w:rFonts w:hint="eastAsia"/>
                <w:color w:val="auto"/>
                <w:vertAlign w:val="superscript"/>
                <w:lang w:val="en-US" w:eastAsia="zh-CN"/>
              </w:rPr>
              <w:t>2</w:t>
            </w:r>
            <w:r>
              <w:rPr>
                <w:rFonts w:hint="eastAsia"/>
                <w:color w:val="auto"/>
                <w:lang w:val="en-US" w:eastAsia="zh-CN"/>
              </w:rPr>
              <w:t>，细砂和碎石料的堆场面积各占一半，因此砂、石场的面积各为759.24m</w:t>
            </w:r>
            <w:r>
              <w:rPr>
                <w:rFonts w:hint="eastAsia"/>
                <w:color w:val="auto"/>
                <w:vertAlign w:val="superscript"/>
                <w:lang w:val="en-US" w:eastAsia="zh-CN"/>
              </w:rPr>
              <w:t>2</w:t>
            </w:r>
            <w:r>
              <w:rPr>
                <w:rFonts w:hint="eastAsia"/>
                <w:color w:val="auto"/>
                <w:lang w:val="en-US" w:eastAsia="zh-CN"/>
              </w:rPr>
              <w:t>。</w:t>
            </w:r>
            <w:r>
              <w:rPr>
                <w:rFonts w:hint="eastAsia"/>
                <w:color w:val="auto"/>
                <w:lang w:eastAsia="zh-CN"/>
              </w:rPr>
              <w:t>根据核算公式，项目</w:t>
            </w:r>
            <w:r>
              <w:rPr>
                <w:rFonts w:hint="eastAsia"/>
                <w:color w:val="auto"/>
                <w:lang w:val="en-US" w:eastAsia="zh-CN"/>
              </w:rPr>
              <w:t>砂石</w:t>
            </w:r>
            <w:r>
              <w:rPr>
                <w:rFonts w:hint="eastAsia"/>
                <w:color w:val="auto"/>
                <w:lang w:eastAsia="zh-CN"/>
              </w:rPr>
              <w:t>装卸及堆场风蚀扬尘产生量计算系数及结果见下表。</w:t>
            </w:r>
          </w:p>
          <w:p>
            <w:pPr>
              <w:pStyle w:val="26"/>
              <w:rPr>
                <w:rFonts w:hint="eastAsia"/>
                <w:color w:val="auto"/>
                <w:lang w:eastAsia="zh-CN"/>
              </w:rPr>
            </w:pPr>
          </w:p>
          <w:p>
            <w:pPr>
              <w:pStyle w:val="33"/>
              <w:bidi w:val="0"/>
              <w:rPr>
                <w:rFonts w:hint="eastAsia"/>
                <w:color w:val="auto"/>
                <w:sz w:val="24"/>
                <w:szCs w:val="24"/>
              </w:rPr>
            </w:pPr>
            <w:r>
              <w:rPr>
                <w:rFonts w:hint="eastAsia"/>
                <w:color w:val="auto"/>
                <w:sz w:val="24"/>
                <w:szCs w:val="24"/>
              </w:rPr>
              <w:t>表4.2-1 项目装卸及堆场风蚀扬尘计算系数及结果</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172"/>
              <w:gridCol w:w="1155"/>
              <w:gridCol w:w="1258"/>
              <w:gridCol w:w="1088"/>
              <w:gridCol w:w="926"/>
              <w:gridCol w:w="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noWrap w:val="0"/>
                  <w:vAlign w:val="center"/>
                </w:tcPr>
                <w:p>
                  <w:pPr>
                    <w:pStyle w:val="31"/>
                    <w:bidi w:val="0"/>
                    <w:spacing w:line="240" w:lineRule="auto"/>
                    <w:rPr>
                      <w:color w:val="auto"/>
                    </w:rPr>
                  </w:pPr>
                  <w:r>
                    <w:rPr>
                      <w:rFonts w:hint="eastAsia"/>
                      <w:color w:val="auto"/>
                    </w:rPr>
                    <w:t>物料名称</w:t>
                  </w:r>
                </w:p>
              </w:tc>
              <w:tc>
                <w:tcPr>
                  <w:tcW w:w="739" w:type="pct"/>
                  <w:noWrap w:val="0"/>
                  <w:vAlign w:val="center"/>
                </w:tcPr>
                <w:p>
                  <w:pPr>
                    <w:pStyle w:val="31"/>
                    <w:bidi w:val="0"/>
                    <w:spacing w:line="240" w:lineRule="auto"/>
                    <w:rPr>
                      <w:rFonts w:hint="eastAsia"/>
                      <w:color w:val="auto"/>
                      <w:lang w:val="en-US" w:eastAsia="zh-CN"/>
                    </w:rPr>
                  </w:pPr>
                  <w:r>
                    <w:rPr>
                      <w:rFonts w:hint="eastAsia"/>
                      <w:color w:val="auto"/>
                    </w:rPr>
                    <w:t>Nc</w:t>
                  </w:r>
                  <w:r>
                    <w:rPr>
                      <w:rFonts w:hint="eastAsia"/>
                      <w:color w:val="auto"/>
                      <w:lang w:val="en-US" w:eastAsia="zh-CN"/>
                    </w:rPr>
                    <w:t xml:space="preserve"> （车）</w:t>
                  </w:r>
                </w:p>
              </w:tc>
              <w:tc>
                <w:tcPr>
                  <w:tcW w:w="728" w:type="pct"/>
                  <w:noWrap w:val="0"/>
                  <w:vAlign w:val="center"/>
                </w:tcPr>
                <w:p>
                  <w:pPr>
                    <w:pStyle w:val="31"/>
                    <w:bidi w:val="0"/>
                    <w:spacing w:line="240" w:lineRule="auto"/>
                    <w:rPr>
                      <w:rFonts w:hint="eastAsia"/>
                      <w:color w:val="auto"/>
                      <w:lang w:eastAsia="zh-CN"/>
                    </w:rPr>
                  </w:pPr>
                  <w:r>
                    <w:rPr>
                      <w:rFonts w:hint="eastAsia"/>
                      <w:color w:val="auto"/>
                    </w:rPr>
                    <w:t>D</w:t>
                  </w:r>
                  <w:r>
                    <w:rPr>
                      <w:rFonts w:hint="eastAsia"/>
                      <w:color w:val="auto"/>
                      <w:lang w:val="en-US" w:eastAsia="zh-CN"/>
                    </w:rPr>
                    <w:t>（吨/车）</w:t>
                  </w:r>
                </w:p>
              </w:tc>
              <w:tc>
                <w:tcPr>
                  <w:tcW w:w="793" w:type="pct"/>
                  <w:noWrap w:val="0"/>
                  <w:vAlign w:val="center"/>
                </w:tcPr>
                <w:p>
                  <w:pPr>
                    <w:pStyle w:val="31"/>
                    <w:bidi w:val="0"/>
                    <w:spacing w:line="240" w:lineRule="auto"/>
                    <w:rPr>
                      <w:rFonts w:hint="eastAsia"/>
                      <w:color w:val="auto"/>
                      <w:lang w:val="en-US" w:eastAsia="zh-CN"/>
                    </w:rPr>
                  </w:pPr>
                  <w:r>
                    <w:rPr>
                      <w:rFonts w:hint="eastAsia"/>
                      <w:color w:val="auto"/>
                      <w:lang w:val="en-US" w:eastAsia="zh-CN"/>
                    </w:rPr>
                    <w:t>a/b</w:t>
                  </w:r>
                </w:p>
                <w:p>
                  <w:pPr>
                    <w:pStyle w:val="31"/>
                    <w:bidi w:val="0"/>
                    <w:spacing w:line="240" w:lineRule="auto"/>
                    <w:rPr>
                      <w:rFonts w:hint="eastAsia"/>
                      <w:color w:val="auto"/>
                      <w:lang w:eastAsia="zh-CN"/>
                    </w:rPr>
                  </w:pPr>
                  <w:r>
                    <w:rPr>
                      <w:rFonts w:hint="eastAsia"/>
                      <w:color w:val="auto"/>
                      <w:lang w:eastAsia="zh-CN"/>
                    </w:rPr>
                    <w:t>（千克/吨）</w:t>
                  </w:r>
                </w:p>
              </w:tc>
              <w:tc>
                <w:tcPr>
                  <w:tcW w:w="686" w:type="pct"/>
                  <w:noWrap w:val="0"/>
                  <w:vAlign w:val="center"/>
                </w:tcPr>
                <w:p>
                  <w:pPr>
                    <w:pStyle w:val="31"/>
                    <w:bidi w:val="0"/>
                    <w:spacing w:line="240" w:lineRule="auto"/>
                    <w:rPr>
                      <w:color w:val="auto"/>
                    </w:rPr>
                  </w:pPr>
                  <w:r>
                    <w:rPr>
                      <w:rFonts w:hint="eastAsia"/>
                      <w:color w:val="auto"/>
                    </w:rPr>
                    <w:t>Ef</w:t>
                  </w:r>
                  <w:r>
                    <w:rPr>
                      <w:rFonts w:hint="eastAsia"/>
                      <w:color w:val="auto"/>
                      <w:lang w:eastAsia="zh-CN"/>
                    </w:rPr>
                    <w:t>（千克/</w:t>
                  </w:r>
                  <w:r>
                    <w:rPr>
                      <w:rFonts w:hint="eastAsia"/>
                      <w:color w:val="auto"/>
                      <w:lang w:val="en-US" w:eastAsia="zh-CN"/>
                    </w:rPr>
                    <w:t>平方米</w:t>
                  </w:r>
                  <w:r>
                    <w:rPr>
                      <w:rFonts w:hint="eastAsia"/>
                      <w:color w:val="auto"/>
                      <w:lang w:eastAsia="zh-CN"/>
                    </w:rPr>
                    <w:t>）</w:t>
                  </w:r>
                </w:p>
              </w:tc>
              <w:tc>
                <w:tcPr>
                  <w:tcW w:w="583" w:type="pct"/>
                  <w:noWrap w:val="0"/>
                  <w:vAlign w:val="center"/>
                </w:tcPr>
                <w:p>
                  <w:pPr>
                    <w:pStyle w:val="31"/>
                    <w:bidi w:val="0"/>
                    <w:spacing w:line="240" w:lineRule="auto"/>
                    <w:rPr>
                      <w:rFonts w:hint="eastAsia"/>
                      <w:color w:val="auto"/>
                      <w:lang w:eastAsia="zh-CN"/>
                    </w:rPr>
                  </w:pPr>
                  <w:r>
                    <w:rPr>
                      <w:rFonts w:hint="eastAsia"/>
                      <w:color w:val="auto"/>
                    </w:rPr>
                    <w:t>S</w:t>
                  </w:r>
                  <w:r>
                    <w:rPr>
                      <w:rFonts w:hint="eastAsia"/>
                      <w:color w:val="auto"/>
                      <w:lang w:eastAsia="zh-CN"/>
                    </w:rPr>
                    <w:t>（平方米）</w:t>
                  </w:r>
                </w:p>
              </w:tc>
              <w:tc>
                <w:tcPr>
                  <w:tcW w:w="600" w:type="pct"/>
                  <w:noWrap w:val="0"/>
                  <w:vAlign w:val="center"/>
                </w:tcPr>
                <w:p>
                  <w:pPr>
                    <w:pStyle w:val="31"/>
                    <w:bidi w:val="0"/>
                    <w:spacing w:line="240" w:lineRule="auto"/>
                    <w:rPr>
                      <w:rFonts w:hint="eastAsia"/>
                      <w:color w:val="auto"/>
                      <w:lang w:eastAsia="zh-CN"/>
                    </w:rPr>
                  </w:pPr>
                  <w:r>
                    <w:rPr>
                      <w:rFonts w:hint="eastAsia"/>
                      <w:color w:val="auto"/>
                    </w:rPr>
                    <w:t>P</w:t>
                  </w:r>
                  <w:r>
                    <w:rPr>
                      <w:rFonts w:hint="eastAsia"/>
                      <w:color w:val="auto"/>
                      <w:lang w:eastAsia="zh-CN"/>
                    </w:rPr>
                    <w:t>（吨）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碎石及细砂</w:t>
                  </w:r>
                </w:p>
              </w:tc>
              <w:tc>
                <w:tcPr>
                  <w:tcW w:w="73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50667</w:t>
                  </w:r>
                </w:p>
              </w:tc>
              <w:tc>
                <w:tcPr>
                  <w:tcW w:w="728" w:type="pct"/>
                  <w:noWrap w:val="0"/>
                  <w:vAlign w:val="center"/>
                </w:tcPr>
                <w:p>
                  <w:pPr>
                    <w:pStyle w:val="31"/>
                    <w:bidi w:val="0"/>
                    <w:spacing w:line="240" w:lineRule="auto"/>
                    <w:rPr>
                      <w:color w:val="auto"/>
                    </w:rPr>
                  </w:pPr>
                  <w:r>
                    <w:rPr>
                      <w:rFonts w:hint="eastAsia"/>
                      <w:color w:val="auto"/>
                    </w:rPr>
                    <w:t>30</w:t>
                  </w:r>
                </w:p>
              </w:tc>
              <w:tc>
                <w:tcPr>
                  <w:tcW w:w="79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0.1406</w:t>
                  </w:r>
                </w:p>
              </w:tc>
              <w:tc>
                <w:tcPr>
                  <w:tcW w:w="686" w:type="pct"/>
                  <w:noWrap w:val="0"/>
                  <w:vAlign w:val="center"/>
                </w:tcPr>
                <w:p>
                  <w:pPr>
                    <w:pStyle w:val="31"/>
                    <w:bidi w:val="0"/>
                    <w:spacing w:line="240" w:lineRule="auto"/>
                    <w:rPr>
                      <w:rFonts w:hint="eastAsia" w:eastAsia="宋体"/>
                      <w:color w:val="auto"/>
                      <w:lang w:eastAsia="zh-CN"/>
                    </w:rPr>
                  </w:pPr>
                  <w:r>
                    <w:rPr>
                      <w:rFonts w:hint="eastAsia"/>
                      <w:color w:val="auto"/>
                      <w:lang w:val="en-US" w:eastAsia="zh-CN"/>
                    </w:rPr>
                    <w:t>/</w:t>
                  </w:r>
                </w:p>
              </w:tc>
              <w:tc>
                <w:tcPr>
                  <w:tcW w:w="58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w:t>
                  </w:r>
                </w:p>
              </w:tc>
              <w:tc>
                <w:tcPr>
                  <w:tcW w:w="600" w:type="pct"/>
                  <w:noWrap w:val="0"/>
                  <w:vAlign w:val="center"/>
                </w:tcPr>
                <w:p>
                  <w:pPr>
                    <w:pStyle w:val="31"/>
                    <w:bidi w:val="0"/>
                    <w:jc w:val="center"/>
                    <w:rPr>
                      <w:rFonts w:hint="default"/>
                      <w:color w:val="auto"/>
                      <w:lang w:val="en-US" w:eastAsia="zh-CN"/>
                    </w:rPr>
                  </w:pPr>
                  <w:r>
                    <w:rPr>
                      <w:rFonts w:hint="eastAsia"/>
                      <w:color w:val="auto"/>
                      <w:lang w:val="en-US" w:eastAsia="zh-CN"/>
                    </w:rPr>
                    <w:t>213.71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碎石</w:t>
                  </w:r>
                </w:p>
              </w:tc>
              <w:tc>
                <w:tcPr>
                  <w:tcW w:w="73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w:t>
                  </w:r>
                </w:p>
              </w:tc>
              <w:tc>
                <w:tcPr>
                  <w:tcW w:w="728" w:type="pct"/>
                  <w:noWrap w:val="0"/>
                  <w:vAlign w:val="center"/>
                </w:tcPr>
                <w:p>
                  <w:pPr>
                    <w:pStyle w:val="31"/>
                    <w:bidi w:val="0"/>
                    <w:spacing w:line="240" w:lineRule="auto"/>
                    <w:rPr>
                      <w:rFonts w:hint="default"/>
                      <w:color w:val="auto"/>
                      <w:lang w:val="en-US" w:eastAsia="zh-CN"/>
                    </w:rPr>
                  </w:pPr>
                  <w:r>
                    <w:rPr>
                      <w:rFonts w:hint="eastAsia"/>
                      <w:color w:val="auto"/>
                      <w:lang w:val="en-US" w:eastAsia="zh-CN"/>
                    </w:rPr>
                    <w:t>/</w:t>
                  </w:r>
                </w:p>
              </w:tc>
              <w:tc>
                <w:tcPr>
                  <w:tcW w:w="79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0.0596</w:t>
                  </w:r>
                </w:p>
              </w:tc>
              <w:tc>
                <w:tcPr>
                  <w:tcW w:w="686" w:type="pct"/>
                  <w:noWrap w:val="0"/>
                  <w:vAlign w:val="center"/>
                </w:tcPr>
                <w:p>
                  <w:pPr>
                    <w:pStyle w:val="31"/>
                    <w:bidi w:val="0"/>
                    <w:spacing w:line="240" w:lineRule="auto"/>
                    <w:rPr>
                      <w:rFonts w:hint="default"/>
                      <w:color w:val="auto"/>
                      <w:lang w:val="en-US" w:eastAsia="zh-CN"/>
                    </w:rPr>
                  </w:pPr>
                  <w:r>
                    <w:rPr>
                      <w:rFonts w:hint="eastAsia"/>
                      <w:color w:val="auto"/>
                    </w:rPr>
                    <w:t>41.5808</w:t>
                  </w:r>
                </w:p>
              </w:tc>
              <w:tc>
                <w:tcPr>
                  <w:tcW w:w="58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759.24</w:t>
                  </w:r>
                </w:p>
              </w:tc>
              <w:tc>
                <w:tcPr>
                  <w:tcW w:w="600" w:type="pct"/>
                  <w:noWrap w:val="0"/>
                  <w:vAlign w:val="center"/>
                </w:tcPr>
                <w:p>
                  <w:pPr>
                    <w:pStyle w:val="31"/>
                    <w:bidi w:val="0"/>
                    <w:jc w:val="center"/>
                    <w:rPr>
                      <w:rFonts w:hint="default"/>
                      <w:color w:val="auto"/>
                      <w:lang w:val="en-US" w:eastAsia="zh-CN"/>
                    </w:rPr>
                  </w:pPr>
                  <w:r>
                    <w:rPr>
                      <w:rFonts w:hint="eastAsia"/>
                      <w:color w:val="auto"/>
                      <w:lang w:val="en-US" w:eastAsia="zh-CN"/>
                    </w:rPr>
                    <w:t>63.14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细砂</w:t>
                  </w:r>
                </w:p>
              </w:tc>
              <w:tc>
                <w:tcPr>
                  <w:tcW w:w="739" w:type="pct"/>
                  <w:noWrap w:val="0"/>
                  <w:vAlign w:val="center"/>
                </w:tcPr>
                <w:p>
                  <w:pPr>
                    <w:pStyle w:val="31"/>
                    <w:bidi w:val="0"/>
                    <w:spacing w:line="240" w:lineRule="auto"/>
                    <w:rPr>
                      <w:rFonts w:hint="default"/>
                      <w:color w:val="auto"/>
                      <w:lang w:val="en-US" w:eastAsia="zh-CN"/>
                    </w:rPr>
                  </w:pPr>
                  <w:r>
                    <w:rPr>
                      <w:rFonts w:hint="eastAsia"/>
                      <w:color w:val="auto"/>
                      <w:lang w:val="en-US" w:eastAsia="zh-CN"/>
                    </w:rPr>
                    <w:t>/</w:t>
                  </w:r>
                </w:p>
              </w:tc>
              <w:tc>
                <w:tcPr>
                  <w:tcW w:w="728" w:type="pct"/>
                  <w:noWrap w:val="0"/>
                  <w:vAlign w:val="center"/>
                </w:tcPr>
                <w:p>
                  <w:pPr>
                    <w:pStyle w:val="31"/>
                    <w:bidi w:val="0"/>
                    <w:spacing w:line="240" w:lineRule="auto"/>
                    <w:rPr>
                      <w:rFonts w:hint="default"/>
                      <w:color w:val="auto"/>
                      <w:lang w:val="en-US" w:eastAsia="zh-CN"/>
                    </w:rPr>
                  </w:pPr>
                  <w:r>
                    <w:rPr>
                      <w:rFonts w:hint="eastAsia"/>
                      <w:color w:val="auto"/>
                      <w:lang w:val="en-US" w:eastAsia="zh-CN"/>
                    </w:rPr>
                    <w:t>/</w:t>
                  </w:r>
                </w:p>
              </w:tc>
              <w:tc>
                <w:tcPr>
                  <w:tcW w:w="79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0.0596</w:t>
                  </w:r>
                </w:p>
              </w:tc>
              <w:tc>
                <w:tcPr>
                  <w:tcW w:w="686" w:type="pct"/>
                  <w:noWrap w:val="0"/>
                  <w:vAlign w:val="center"/>
                </w:tcPr>
                <w:p>
                  <w:pPr>
                    <w:pStyle w:val="31"/>
                    <w:bidi w:val="0"/>
                    <w:spacing w:line="240" w:lineRule="auto"/>
                    <w:rPr>
                      <w:rFonts w:hint="eastAsia"/>
                      <w:color w:val="auto"/>
                    </w:rPr>
                  </w:pPr>
                  <w:r>
                    <w:rPr>
                      <w:rFonts w:hint="eastAsia"/>
                      <w:color w:val="auto"/>
                    </w:rPr>
                    <w:t>41.5808</w:t>
                  </w:r>
                </w:p>
              </w:tc>
              <w:tc>
                <w:tcPr>
                  <w:tcW w:w="583" w:type="pct"/>
                  <w:noWrap w:val="0"/>
                  <w:vAlign w:val="center"/>
                </w:tcPr>
                <w:p>
                  <w:pPr>
                    <w:pStyle w:val="31"/>
                    <w:bidi w:val="0"/>
                    <w:spacing w:line="240" w:lineRule="auto"/>
                    <w:rPr>
                      <w:rFonts w:hint="default"/>
                      <w:color w:val="auto"/>
                      <w:lang w:val="en-US" w:eastAsia="zh-CN"/>
                    </w:rPr>
                  </w:pPr>
                  <w:r>
                    <w:rPr>
                      <w:rFonts w:hint="eastAsia"/>
                      <w:color w:val="auto"/>
                      <w:lang w:val="en-US" w:eastAsia="zh-CN"/>
                    </w:rPr>
                    <w:t>759.24</w:t>
                  </w:r>
                </w:p>
              </w:tc>
              <w:tc>
                <w:tcPr>
                  <w:tcW w:w="600" w:type="pct"/>
                  <w:noWrap w:val="0"/>
                  <w:vAlign w:val="center"/>
                </w:tcPr>
                <w:p>
                  <w:pPr>
                    <w:pStyle w:val="31"/>
                    <w:bidi w:val="0"/>
                    <w:jc w:val="center"/>
                    <w:rPr>
                      <w:rFonts w:hint="default"/>
                      <w:color w:val="auto"/>
                      <w:lang w:val="en-US" w:eastAsia="zh-CN"/>
                    </w:rPr>
                  </w:pPr>
                  <w:r>
                    <w:rPr>
                      <w:rFonts w:hint="eastAsia"/>
                      <w:color w:val="auto"/>
                      <w:lang w:val="en-US" w:eastAsia="zh-CN"/>
                    </w:rPr>
                    <w:t>63.14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9" w:type="pct"/>
                  <w:gridSpan w:val="6"/>
                  <w:noWrap w:val="0"/>
                  <w:vAlign w:val="center"/>
                </w:tcPr>
                <w:p>
                  <w:pPr>
                    <w:pStyle w:val="31"/>
                    <w:bidi w:val="0"/>
                    <w:spacing w:line="240" w:lineRule="auto"/>
                    <w:rPr>
                      <w:rFonts w:hint="default"/>
                      <w:color w:val="auto"/>
                      <w:lang w:val="en-US" w:eastAsia="zh-CN"/>
                    </w:rPr>
                  </w:pPr>
                  <w:r>
                    <w:rPr>
                      <w:rFonts w:hint="eastAsia"/>
                      <w:color w:val="auto"/>
                      <w:lang w:val="en-US" w:eastAsia="zh-CN"/>
                    </w:rPr>
                    <w:t>合计</w:t>
                  </w:r>
                </w:p>
              </w:tc>
              <w:tc>
                <w:tcPr>
                  <w:tcW w:w="600" w:type="pct"/>
                  <w:noWrap w:val="0"/>
                  <w:vAlign w:val="center"/>
                </w:tcPr>
                <w:p>
                  <w:pPr>
                    <w:pStyle w:val="31"/>
                    <w:bidi w:val="0"/>
                    <w:jc w:val="center"/>
                    <w:rPr>
                      <w:rFonts w:hint="default"/>
                      <w:color w:val="auto"/>
                      <w:lang w:val="en-US" w:eastAsia="zh-CN"/>
                    </w:rPr>
                  </w:pPr>
                  <w:r>
                    <w:rPr>
                      <w:rFonts w:hint="eastAsia"/>
                      <w:color w:val="auto"/>
                      <w:lang w:val="en-US" w:eastAsia="zh-CN"/>
                    </w:rPr>
                    <w:t>339.99</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eastAsia="zh-CN"/>
              </w:rPr>
            </w:pPr>
            <w:r>
              <w:rPr>
                <w:rFonts w:hint="eastAsia"/>
                <w:color w:val="auto"/>
                <w:lang w:eastAsia="zh-CN"/>
              </w:rPr>
              <w:t>据上述参数计算得本项目装卸粉尘和砂石堆场风蚀扬尘产生量约为</w:t>
            </w:r>
            <w:r>
              <w:rPr>
                <w:rFonts w:hint="eastAsia"/>
                <w:color w:val="auto"/>
                <w:lang w:val="en-US" w:eastAsia="zh-CN"/>
              </w:rPr>
              <w:t>339.99</w:t>
            </w:r>
            <w:r>
              <w:rPr>
                <w:rFonts w:hint="eastAsia"/>
                <w:color w:val="auto"/>
                <w:lang w:eastAsia="zh-CN"/>
              </w:rPr>
              <w:t>t/a，</w:t>
            </w:r>
            <w:r>
              <w:rPr>
                <w:rFonts w:hint="eastAsia"/>
                <w:color w:val="auto"/>
                <w:lang w:val="en-US" w:eastAsia="zh-CN"/>
              </w:rPr>
              <w:t>产生速率最大为96.89kg/h</w:t>
            </w:r>
            <w:r>
              <w:rPr>
                <w:rFonts w:hint="eastAsia"/>
                <w:color w:val="auto"/>
                <w:lang w:eastAsia="zh-CN"/>
              </w:rPr>
              <w:t>。</w:t>
            </w:r>
          </w:p>
          <w:p>
            <w:pPr>
              <w:bidi w:val="0"/>
              <w:rPr>
                <w:rFonts w:hint="eastAsia" w:ascii="Times New Roman" w:hAnsi="Times New Roman" w:eastAsia="宋体" w:cs="Times New Roman"/>
                <w:color w:val="auto"/>
                <w:szCs w:val="24"/>
                <w:lang w:eastAsia="zh-CN"/>
              </w:rPr>
            </w:pPr>
            <w:r>
              <w:rPr>
                <w:rFonts w:hint="eastAsia"/>
                <w:color w:val="auto"/>
                <w:lang w:eastAsia="zh-CN"/>
              </w:rPr>
              <w:t>根据《固体物料堆存颗粒物产排污核算系数手册》，工业企业固体物料堆场颗粒物排放量核算公式如下：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color w:val="auto"/>
                <w:sz w:val="24"/>
                <w:szCs w:val="24"/>
                <w:lang w:eastAsia="zh-CN"/>
              </w:rPr>
            </w:pPr>
            <w:r>
              <w:rPr>
                <w:rFonts w:ascii="Times New Roman" w:hAnsi="Times New Roman" w:eastAsia="宋体"/>
                <w:color w:val="auto"/>
              </w:rPr>
              <w:drawing>
                <wp:inline distT="0" distB="0" distL="114300" distR="114300">
                  <wp:extent cx="2386330" cy="300355"/>
                  <wp:effectExtent l="0" t="0" r="1397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386330" cy="300355"/>
                          </a:xfrm>
                          <a:prstGeom prst="rect">
                            <a:avLst/>
                          </a:prstGeom>
                          <a:noFill/>
                          <a:ln>
                            <a:noFill/>
                          </a:ln>
                        </pic:spPr>
                      </pic:pic>
                    </a:graphicData>
                  </a:graphic>
                </wp:inline>
              </w:drawing>
            </w:r>
          </w:p>
          <w:p>
            <w:pPr>
              <w:bidi w:val="0"/>
              <w:rPr>
                <w:rFonts w:hint="eastAsia"/>
                <w:color w:val="auto"/>
                <w:lang w:eastAsia="zh-CN"/>
              </w:rPr>
            </w:pPr>
            <w:r>
              <w:rPr>
                <w:rFonts w:hint="eastAsia"/>
                <w:color w:val="auto"/>
                <w:lang w:eastAsia="zh-CN"/>
              </w:rPr>
              <w:t>式中：P指颗粒物产生量（单位：吨）；</w:t>
            </w:r>
          </w:p>
          <w:p>
            <w:pPr>
              <w:bidi w:val="0"/>
              <w:ind w:firstLine="1200" w:firstLineChars="500"/>
              <w:rPr>
                <w:rFonts w:hint="eastAsia"/>
                <w:color w:val="auto"/>
                <w:lang w:eastAsia="zh-CN"/>
              </w:rPr>
            </w:pPr>
            <w:r>
              <w:rPr>
                <w:rFonts w:hint="eastAsia"/>
                <w:color w:val="auto"/>
                <w:lang w:eastAsia="zh-CN"/>
              </w:rPr>
              <w:t>Uc指颗粒物排放量（单位：吨）；</w:t>
            </w:r>
          </w:p>
          <w:p>
            <w:pPr>
              <w:bidi w:val="0"/>
              <w:ind w:firstLine="1200" w:firstLineChars="500"/>
              <w:rPr>
                <w:rFonts w:hint="eastAsia"/>
                <w:color w:val="auto"/>
                <w:lang w:eastAsia="zh-CN"/>
              </w:rPr>
            </w:pPr>
            <w:r>
              <w:rPr>
                <w:rFonts w:hint="eastAsia"/>
                <w:color w:val="auto"/>
                <w:lang w:eastAsia="zh-CN"/>
              </w:rPr>
              <w:t>Cm指颗粒物控制措施控制效率（单位：%）</w:t>
            </w:r>
          </w:p>
          <w:p>
            <w:pPr>
              <w:bidi w:val="0"/>
              <w:ind w:firstLine="1200" w:firstLineChars="500"/>
              <w:rPr>
                <w:rFonts w:hint="eastAsia"/>
                <w:color w:val="auto"/>
                <w:lang w:eastAsia="zh-CN"/>
              </w:rPr>
            </w:pPr>
            <w:r>
              <w:rPr>
                <w:rFonts w:hint="eastAsia"/>
                <w:color w:val="auto"/>
                <w:lang w:eastAsia="zh-CN"/>
              </w:rPr>
              <w:t>Tm指堆场类型控制效率（单位：%），</w:t>
            </w:r>
          </w:p>
          <w:p>
            <w:pPr>
              <w:bidi w:val="0"/>
              <w:rPr>
                <w:rFonts w:hint="default"/>
                <w:color w:val="auto"/>
                <w:lang w:val="en-US" w:eastAsia="zh-CN"/>
              </w:rPr>
            </w:pPr>
            <w:r>
              <w:rPr>
                <w:rFonts w:hint="eastAsia"/>
                <w:color w:val="auto"/>
                <w:lang w:eastAsia="zh-CN"/>
              </w:rPr>
              <w:t>项目</w:t>
            </w:r>
            <w:r>
              <w:rPr>
                <w:rFonts w:hint="eastAsia"/>
                <w:color w:val="auto"/>
                <w:lang w:val="en-US" w:eastAsia="zh-CN"/>
              </w:rPr>
              <w:t>碎石、细砂储存于封闭式仓（仅保留物料进出口）</w:t>
            </w:r>
            <w:r>
              <w:rPr>
                <w:rFonts w:hint="eastAsia"/>
                <w:color w:val="auto"/>
                <w:lang w:eastAsia="zh-CN"/>
              </w:rPr>
              <w:t>，并配套喷淋系统进行喷淋抑尘，物料以密闭运输车方式进出，厂区道路硬化，定时人工洒水抑尘和冲洗清扫，出入口配备车辆冲洗设备。根据《固体物料堆存颗粒物产排污核算系数手册》附录4控制措施的控制效率和附录5堆场类型控制效率，洒水粉尘控制效率74%，出入车辆冲洗粉尘控制效率78%，项目</w:t>
            </w:r>
            <w:r>
              <w:rPr>
                <w:rFonts w:hint="eastAsia"/>
                <w:color w:val="auto"/>
                <w:lang w:val="en-US" w:eastAsia="zh-CN"/>
              </w:rPr>
              <w:t>仅</w:t>
            </w:r>
            <w:r>
              <w:rPr>
                <w:rFonts w:hint="eastAsia"/>
                <w:color w:val="auto"/>
                <w:lang w:eastAsia="zh-CN"/>
              </w:rPr>
              <w:t>保留物料进出口，</w:t>
            </w:r>
            <w:r>
              <w:rPr>
                <w:rFonts w:hint="eastAsia"/>
                <w:color w:val="auto"/>
                <w:lang w:val="en-US" w:eastAsia="zh-CN"/>
              </w:rPr>
              <w:t>侧面及顶部设有围墙封闭，进料口与3#物料库连接</w:t>
            </w:r>
            <w:r>
              <w:rPr>
                <w:rFonts w:hint="eastAsia"/>
                <w:color w:val="auto"/>
                <w:lang w:eastAsia="zh-CN"/>
              </w:rPr>
              <w:t>，</w:t>
            </w:r>
            <w:r>
              <w:rPr>
                <w:rFonts w:hint="eastAsia"/>
                <w:color w:val="auto"/>
                <w:lang w:val="en-US" w:eastAsia="zh-CN"/>
              </w:rPr>
              <w:t>因此砂石料</w:t>
            </w:r>
            <w:r>
              <w:rPr>
                <w:rFonts w:hint="eastAsia"/>
                <w:color w:val="auto"/>
                <w:lang w:eastAsia="zh-CN"/>
              </w:rPr>
              <w:t>堆场类型控制效率按</w:t>
            </w:r>
            <w:r>
              <w:rPr>
                <w:rFonts w:hint="eastAsia"/>
                <w:color w:val="auto"/>
                <w:lang w:val="en-US" w:eastAsia="zh-CN"/>
              </w:rPr>
              <w:t>密闭式</w:t>
            </w:r>
            <w:r>
              <w:rPr>
                <w:rFonts w:hint="eastAsia"/>
                <w:color w:val="auto"/>
                <w:lang w:eastAsia="zh-CN"/>
              </w:rPr>
              <w:t>堆场控制效率</w:t>
            </w:r>
            <w:r>
              <w:rPr>
                <w:rFonts w:hint="eastAsia"/>
                <w:color w:val="auto"/>
                <w:lang w:val="en-US" w:eastAsia="zh-CN"/>
              </w:rPr>
              <w:t>99</w:t>
            </w:r>
            <w:r>
              <w:rPr>
                <w:rFonts w:hint="eastAsia"/>
                <w:color w:val="auto"/>
                <w:lang w:eastAsia="zh-CN"/>
              </w:rPr>
              <w:t>%计；</w:t>
            </w:r>
            <w:r>
              <w:rPr>
                <w:rFonts w:hint="eastAsia"/>
                <w:color w:val="auto"/>
                <w:lang w:val="en-US" w:eastAsia="zh-CN"/>
              </w:rPr>
              <w:t>砂石堆存时长按7920h/a（330d/a，24h/d）计。</w:t>
            </w:r>
            <w:r>
              <w:rPr>
                <w:rFonts w:hint="eastAsia"/>
                <w:color w:val="auto"/>
                <w:lang w:eastAsia="zh-CN"/>
              </w:rPr>
              <w:t>故经计算，本项目砂石装卸粉尘和堆场风蚀扬尘排放量</w:t>
            </w:r>
            <w:r>
              <w:rPr>
                <w:rFonts w:hint="eastAsia"/>
                <w:color w:val="auto"/>
                <w:lang w:val="en-US" w:eastAsia="zh-CN"/>
              </w:rPr>
              <w:t>共计</w:t>
            </w:r>
            <w:r>
              <w:rPr>
                <w:rFonts w:hint="eastAsia"/>
                <w:color w:val="auto"/>
                <w:lang w:eastAsia="zh-CN"/>
              </w:rPr>
              <w:t>为</w:t>
            </w:r>
            <w:r>
              <w:rPr>
                <w:rFonts w:hint="eastAsia"/>
                <w:color w:val="auto"/>
                <w:lang w:val="en-US" w:eastAsia="zh-CN"/>
              </w:rPr>
              <w:t>0.194</w:t>
            </w:r>
            <w:r>
              <w:rPr>
                <w:rFonts w:hint="eastAsia"/>
                <w:color w:val="auto"/>
                <w:lang w:eastAsia="zh-CN"/>
              </w:rPr>
              <w:t>t/a，</w:t>
            </w:r>
            <w:r>
              <w:rPr>
                <w:rFonts w:hint="eastAsia"/>
                <w:color w:val="auto"/>
                <w:lang w:val="en-US" w:eastAsia="zh-CN"/>
              </w:rPr>
              <w:t>最大</w:t>
            </w:r>
            <w:r>
              <w:rPr>
                <w:rFonts w:hint="eastAsia"/>
                <w:color w:val="auto"/>
                <w:lang w:eastAsia="zh-CN"/>
              </w:rPr>
              <w:t>排放速率为</w:t>
            </w:r>
            <w:r>
              <w:rPr>
                <w:rFonts w:hint="eastAsia"/>
                <w:color w:val="auto"/>
                <w:lang w:val="en-US" w:eastAsia="zh-CN"/>
              </w:rPr>
              <w:t>0.025</w:t>
            </w:r>
            <w:r>
              <w:rPr>
                <w:rFonts w:hint="eastAsia"/>
                <w:color w:val="auto"/>
                <w:lang w:eastAsia="zh-CN"/>
              </w:rPr>
              <w:t>kg/h。</w:t>
            </w:r>
          </w:p>
          <w:p>
            <w:pPr>
              <w:bidi w:val="0"/>
              <w:rPr>
                <w:rFonts w:hint="eastAsia"/>
                <w:b/>
                <w:bCs/>
                <w:color w:val="auto"/>
                <w:lang w:val="en-US" w:eastAsia="zh-CN"/>
              </w:rPr>
            </w:pPr>
            <w:r>
              <w:rPr>
                <w:rFonts w:hint="eastAsia"/>
                <w:b/>
                <w:bCs/>
                <w:color w:val="auto"/>
                <w:lang w:val="en-US" w:eastAsia="zh-CN"/>
              </w:rPr>
              <w:t>（2）运输车辆扬尘</w:t>
            </w:r>
          </w:p>
          <w:p>
            <w:pPr>
              <w:bidi w:val="0"/>
              <w:rPr>
                <w:rFonts w:hint="eastAsia"/>
                <w:color w:val="auto"/>
                <w:lang w:val="en-US" w:eastAsia="zh-CN"/>
              </w:rPr>
            </w:pPr>
            <w:r>
              <w:rPr>
                <w:rFonts w:hint="eastAsia"/>
                <w:color w:val="auto"/>
                <w:lang w:val="en-US" w:eastAsia="zh-CN"/>
              </w:rPr>
              <w:t>项目汽车运输扬尘对一定范围内环境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在道路完全干燥的情况下，可按下列经验公式计算：</w:t>
            </w:r>
          </w:p>
          <w:p>
            <w:pPr>
              <w:bidi w:val="0"/>
              <w:jc w:val="center"/>
              <w:rPr>
                <w:rFonts w:hint="eastAsia"/>
                <w:color w:val="auto"/>
                <w:lang w:val="en-US" w:eastAsia="zh-CN"/>
              </w:rPr>
            </w:pPr>
            <w:r>
              <w:rPr>
                <w:rFonts w:hint="default"/>
                <w:color w:val="auto"/>
                <w:lang w:val="en-US" w:eastAsia="zh-CN"/>
              </w:rPr>
              <w:drawing>
                <wp:inline distT="0" distB="0" distL="114300" distR="114300">
                  <wp:extent cx="2434590" cy="288290"/>
                  <wp:effectExtent l="0" t="0" r="381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434590" cy="28829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式中：Q：汽车行驶时的扬尘，kg/km·辆；</w:t>
            </w:r>
          </w:p>
          <w:p>
            <w:pPr>
              <w:bidi w:val="0"/>
              <w:rPr>
                <w:rFonts w:hint="eastAsia"/>
                <w:color w:val="auto"/>
                <w:lang w:val="en-US" w:eastAsia="zh-CN"/>
              </w:rPr>
            </w:pPr>
            <w:r>
              <w:rPr>
                <w:rFonts w:hint="eastAsia"/>
                <w:color w:val="auto"/>
                <w:lang w:val="en-US" w:eastAsia="zh-CN"/>
              </w:rPr>
              <w:t>V：汽车速度，km/h；</w:t>
            </w:r>
          </w:p>
          <w:p>
            <w:pPr>
              <w:bidi w:val="0"/>
              <w:rPr>
                <w:rFonts w:hint="eastAsia"/>
                <w:color w:val="auto"/>
                <w:lang w:val="en-US" w:eastAsia="zh-CN"/>
              </w:rPr>
            </w:pPr>
            <w:r>
              <w:rPr>
                <w:rFonts w:hint="eastAsia"/>
                <w:color w:val="auto"/>
                <w:lang w:val="en-US" w:eastAsia="zh-CN"/>
              </w:rPr>
              <w:t>W：汽车载重量，吨；</w:t>
            </w:r>
          </w:p>
          <w:p>
            <w:pPr>
              <w:bidi w:val="0"/>
              <w:rPr>
                <w:rFonts w:hint="eastAsia"/>
                <w:color w:val="auto"/>
                <w:lang w:val="en-US" w:eastAsia="zh-CN"/>
              </w:rPr>
            </w:pPr>
            <w:r>
              <w:rPr>
                <w:rFonts w:hint="eastAsia"/>
                <w:color w:val="auto"/>
                <w:lang w:val="en-US" w:eastAsia="zh-CN"/>
              </w:rPr>
              <w:t>P：道路表面粉尘量，kg/m</w:t>
            </w:r>
            <w:r>
              <w:rPr>
                <w:rFonts w:hint="eastAsia"/>
                <w:color w:val="auto"/>
                <w:vertAlign w:val="superscript"/>
                <w:lang w:val="en-US" w:eastAsia="zh-CN"/>
              </w:rPr>
              <w:t>2</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本项目的车辆在厂区内行驶距离按0.</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km进行计算，</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通过车辆运输进厂的</w:t>
            </w:r>
            <w:r>
              <w:rPr>
                <w:rFonts w:hint="eastAsia" w:ascii="Times New Roman" w:hAnsi="Times New Roman" w:eastAsia="宋体" w:cs="Times New Roman"/>
                <w:color w:val="auto"/>
                <w:sz w:val="24"/>
                <w:szCs w:val="24"/>
                <w:lang w:val="en-US" w:eastAsia="zh-CN"/>
              </w:rPr>
              <w:t>主要原料（水泥、</w:t>
            </w:r>
            <w:r>
              <w:rPr>
                <w:rFonts w:hint="eastAsia" w:cs="Times New Roman"/>
                <w:color w:val="auto"/>
                <w:sz w:val="24"/>
                <w:szCs w:val="24"/>
                <w:lang w:val="en-US" w:eastAsia="zh-CN"/>
              </w:rPr>
              <w:t>粉煤灰、矿粉、碎石、细砂</w:t>
            </w:r>
            <w:r>
              <w:rPr>
                <w:rFonts w:hint="eastAsia" w:ascii="Times New Roman" w:hAnsi="Times New Roman" w:eastAsia="宋体" w:cs="Times New Roman"/>
                <w:color w:val="auto"/>
                <w:sz w:val="24"/>
                <w:szCs w:val="24"/>
                <w:lang w:val="en-US" w:eastAsia="zh-CN"/>
              </w:rPr>
              <w:t>等）约</w:t>
            </w:r>
            <w:r>
              <w:rPr>
                <w:rFonts w:hint="eastAsia" w:cs="Times New Roman"/>
                <w:color w:val="auto"/>
                <w:sz w:val="24"/>
                <w:szCs w:val="24"/>
                <w:lang w:val="en-US" w:eastAsia="zh-CN"/>
              </w:rPr>
              <w:t>207</w:t>
            </w:r>
            <w:r>
              <w:rPr>
                <w:rFonts w:hint="eastAsia" w:ascii="Times New Roman" w:hAnsi="Times New Roman" w:eastAsia="宋体" w:cs="Times New Roman"/>
                <w:color w:val="auto"/>
                <w:sz w:val="24"/>
                <w:szCs w:val="24"/>
                <w:lang w:val="en-US" w:eastAsia="zh-CN"/>
              </w:rPr>
              <w:t>万t/a及</w:t>
            </w:r>
            <w:r>
              <w:rPr>
                <w:rFonts w:hint="eastAsia" w:cs="Times New Roman"/>
                <w:color w:val="auto"/>
                <w:sz w:val="24"/>
                <w:szCs w:val="24"/>
                <w:lang w:val="en-US" w:eastAsia="zh-CN"/>
              </w:rPr>
              <w:t>产品236万</w:t>
            </w:r>
            <w:r>
              <w:rPr>
                <w:rFonts w:hint="eastAsia" w:ascii="Times New Roman" w:hAnsi="Times New Roman" w:eastAsia="宋体" w:cs="Times New Roman"/>
                <w:color w:val="auto"/>
                <w:sz w:val="24"/>
                <w:szCs w:val="24"/>
                <w:lang w:eastAsia="zh-CN"/>
              </w:rPr>
              <w:t>t/a，共计约</w:t>
            </w:r>
            <w:r>
              <w:rPr>
                <w:rFonts w:hint="eastAsia" w:cs="Times New Roman"/>
                <w:color w:val="auto"/>
                <w:sz w:val="24"/>
                <w:szCs w:val="24"/>
                <w:lang w:val="en-US" w:eastAsia="zh-CN"/>
              </w:rPr>
              <w:t>443</w:t>
            </w:r>
            <w:r>
              <w:rPr>
                <w:rFonts w:hint="eastAsia" w:ascii="Times New Roman" w:hAnsi="Times New Roman" w:eastAsia="宋体" w:cs="Times New Roman"/>
                <w:color w:val="auto"/>
                <w:sz w:val="24"/>
                <w:szCs w:val="24"/>
                <w:lang w:val="en-US" w:eastAsia="zh-CN"/>
              </w:rPr>
              <w:t>万</w:t>
            </w:r>
            <w:r>
              <w:rPr>
                <w:rFonts w:hint="eastAsia" w:ascii="Times New Roman" w:hAnsi="Times New Roman" w:eastAsia="宋体" w:cs="Times New Roman"/>
                <w:color w:val="auto"/>
                <w:sz w:val="24"/>
                <w:szCs w:val="24"/>
                <w:lang w:eastAsia="zh-CN"/>
              </w:rPr>
              <w:t>t/a。车辆载重规格按30t计，年发车</w:t>
            </w:r>
            <w:r>
              <w:rPr>
                <w:rFonts w:hint="eastAsia" w:cs="Times New Roman"/>
                <w:color w:val="auto"/>
                <w:sz w:val="24"/>
                <w:szCs w:val="24"/>
                <w:lang w:val="en-US" w:eastAsia="zh-CN"/>
              </w:rPr>
              <w:t>147667</w:t>
            </w:r>
            <w:r>
              <w:rPr>
                <w:rFonts w:hint="eastAsia" w:ascii="Times New Roman" w:hAnsi="Times New Roman" w:eastAsia="宋体" w:cs="Times New Roman"/>
                <w:color w:val="auto"/>
                <w:sz w:val="24"/>
                <w:szCs w:val="24"/>
                <w:lang w:eastAsia="zh-CN"/>
              </w:rPr>
              <w:t>辆次</w:t>
            </w:r>
            <w:r>
              <w:rPr>
                <w:rFonts w:hint="eastAsia" w:ascii="Times New Roman" w:hAnsi="Times New Roman" w:eastAsia="宋体" w:cs="Times New Roman"/>
                <w:color w:val="auto"/>
                <w:sz w:val="24"/>
                <w:szCs w:val="24"/>
                <w:lang w:val="en-US" w:eastAsia="zh-CN"/>
              </w:rPr>
              <w:t>，综上每天发车空、重载各约</w:t>
            </w:r>
            <w:r>
              <w:rPr>
                <w:rFonts w:hint="eastAsia" w:cs="Times New Roman"/>
                <w:color w:val="auto"/>
                <w:sz w:val="24"/>
                <w:szCs w:val="24"/>
                <w:lang w:val="en-US" w:eastAsia="zh-CN"/>
              </w:rPr>
              <w:t>447</w:t>
            </w:r>
            <w:r>
              <w:rPr>
                <w:rFonts w:hint="eastAsia" w:ascii="Times New Roman" w:hAnsi="Times New Roman" w:eastAsia="宋体" w:cs="Times New Roman"/>
                <w:color w:val="auto"/>
                <w:sz w:val="24"/>
                <w:szCs w:val="24"/>
                <w:lang w:val="en-US" w:eastAsia="zh-CN"/>
              </w:rPr>
              <w:t>辆（次），空车重约10t，载重车重约40t，以速度10km/h行驶，考虑项目厂区地面均已硬化，在不洒水的情况下，道路表面粉尘量以0.05kg/m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计，则项目运输车辆动力起尘量约为</w:t>
            </w:r>
            <w:r>
              <w:rPr>
                <w:rFonts w:hint="eastAsia" w:cs="Times New Roman"/>
                <w:color w:val="auto"/>
                <w:sz w:val="24"/>
                <w:szCs w:val="24"/>
                <w:lang w:val="en-US" w:eastAsia="zh-CN"/>
              </w:rPr>
              <w:t>17.3kg</w:t>
            </w:r>
            <w:r>
              <w:rPr>
                <w:rFonts w:hint="eastAsia" w:ascii="Times New Roman" w:hAnsi="Times New Roman" w:eastAsia="宋体" w:cs="Times New Roman"/>
                <w:color w:val="auto"/>
                <w:sz w:val="24"/>
                <w:szCs w:val="24"/>
                <w:lang w:val="en-US" w:eastAsia="zh-CN"/>
              </w:rPr>
              <w:t>/d。项目车辆运输避开夜间和午间，因此每日运输时间按8h计，年</w:t>
            </w:r>
            <w:r>
              <w:rPr>
                <w:rFonts w:hint="eastAsia" w:cs="Times New Roman"/>
                <w:color w:val="auto"/>
                <w:sz w:val="24"/>
                <w:szCs w:val="24"/>
                <w:lang w:val="en-US" w:eastAsia="zh-CN"/>
              </w:rPr>
              <w:t>330</w:t>
            </w:r>
            <w:r>
              <w:rPr>
                <w:rFonts w:hint="eastAsia" w:ascii="Times New Roman" w:hAnsi="Times New Roman" w:eastAsia="宋体" w:cs="Times New Roman"/>
                <w:color w:val="auto"/>
                <w:sz w:val="24"/>
                <w:szCs w:val="24"/>
                <w:lang w:val="en-US" w:eastAsia="zh-CN"/>
              </w:rPr>
              <w:t>天。项目车辆运输扬尘产生量约为</w:t>
            </w:r>
            <w:r>
              <w:rPr>
                <w:rFonts w:hint="eastAsia" w:cs="Times New Roman"/>
                <w:color w:val="auto"/>
                <w:sz w:val="24"/>
                <w:szCs w:val="24"/>
                <w:lang w:val="en-US" w:eastAsia="zh-CN"/>
              </w:rPr>
              <w:t>5.71</w:t>
            </w:r>
            <w:r>
              <w:rPr>
                <w:rFonts w:hint="eastAsia" w:ascii="Times New Roman" w:hAnsi="Times New Roman" w:eastAsia="宋体" w:cs="Times New Roman"/>
                <w:color w:val="auto"/>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项目厂区地面</w:t>
            </w:r>
            <w:r>
              <w:rPr>
                <w:rFonts w:hint="eastAsia" w:ascii="Times New Roman" w:hAnsi="Times New Roman" w:eastAsia="宋体" w:cs="Times New Roman"/>
                <w:color w:val="auto"/>
                <w:sz w:val="24"/>
                <w:szCs w:val="24"/>
                <w:lang w:val="en-US" w:eastAsia="zh-CN"/>
              </w:rPr>
              <w:t>硬化</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val="en-US" w:eastAsia="zh-CN"/>
              </w:rPr>
              <w:t>拟对厂区内路面进行定时</w:t>
            </w:r>
            <w:r>
              <w:rPr>
                <w:rFonts w:hint="eastAsia" w:ascii="Times New Roman" w:hAnsi="Times New Roman" w:eastAsia="宋体" w:cs="Times New Roman"/>
                <w:color w:val="auto"/>
                <w:sz w:val="24"/>
                <w:szCs w:val="24"/>
                <w:lang w:val="en-US" w:eastAsia="zh-CN"/>
              </w:rPr>
              <w:t>人工</w:t>
            </w:r>
            <w:r>
              <w:rPr>
                <w:rFonts w:hint="default" w:ascii="Times New Roman" w:hAnsi="Times New Roman" w:eastAsia="宋体" w:cs="Times New Roman"/>
                <w:color w:val="auto"/>
                <w:sz w:val="24"/>
                <w:szCs w:val="24"/>
                <w:lang w:val="en-US" w:eastAsia="zh-CN"/>
              </w:rPr>
              <w:t>洒水</w:t>
            </w:r>
            <w:r>
              <w:rPr>
                <w:rFonts w:hint="eastAsia" w:ascii="Times New Roman" w:hAnsi="Times New Roman" w:eastAsia="宋体" w:cs="Times New Roman"/>
                <w:color w:val="auto"/>
                <w:sz w:val="24"/>
                <w:szCs w:val="24"/>
                <w:lang w:val="en-US" w:eastAsia="zh-CN"/>
              </w:rPr>
              <w:t>和清扫</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进出车辆设洗车台冲洗，</w:t>
            </w:r>
            <w:r>
              <w:rPr>
                <w:rFonts w:hint="default" w:ascii="Times New Roman" w:hAnsi="Times New Roman" w:eastAsia="宋体" w:cs="Times New Roman"/>
                <w:color w:val="auto"/>
                <w:sz w:val="24"/>
                <w:szCs w:val="24"/>
                <w:lang w:val="en-US" w:eastAsia="zh-CN"/>
              </w:rPr>
              <w:t>以减少道路扬尘。参考《</w:t>
            </w:r>
            <w:r>
              <w:rPr>
                <w:rFonts w:hint="eastAsia" w:cs="Times New Roman"/>
                <w:color w:val="auto"/>
                <w:sz w:val="24"/>
                <w:szCs w:val="24"/>
                <w:lang w:val="en-US" w:eastAsia="zh-CN"/>
              </w:rPr>
              <w:t>固体物料堆存颗粒物产排污核算系数手册</w:t>
            </w:r>
            <w:r>
              <w:rPr>
                <w:rFonts w:hint="default" w:ascii="Times New Roman" w:hAnsi="Times New Roman" w:eastAsia="宋体" w:cs="Times New Roman"/>
                <w:color w:val="auto"/>
                <w:sz w:val="24"/>
                <w:szCs w:val="24"/>
                <w:lang w:val="en-US" w:eastAsia="zh-CN"/>
              </w:rPr>
              <w:t>》附录4控制措施的控制效率，洒水降尘控制效率约74%</w:t>
            </w:r>
            <w:r>
              <w:rPr>
                <w:rFonts w:hint="eastAsia" w:ascii="Times New Roman" w:hAnsi="Times New Roman" w:eastAsia="宋体" w:cs="Times New Roman"/>
                <w:color w:val="auto"/>
                <w:sz w:val="24"/>
                <w:szCs w:val="24"/>
                <w:lang w:val="en-US" w:eastAsia="zh-CN"/>
              </w:rPr>
              <w:t>，出入车辆冲洗粉尘控制效率78%，则</w:t>
            </w:r>
            <w:r>
              <w:rPr>
                <w:rFonts w:hint="default" w:ascii="Times New Roman" w:hAnsi="Times New Roman" w:eastAsia="宋体" w:cs="Times New Roman"/>
                <w:color w:val="auto"/>
                <w:sz w:val="24"/>
                <w:szCs w:val="24"/>
                <w:lang w:val="en-US" w:eastAsia="zh-CN"/>
              </w:rPr>
              <w:t>采取洒水降尘措施后，项目</w:t>
            </w:r>
            <w:r>
              <w:rPr>
                <w:rFonts w:hint="eastAsia" w:ascii="Times New Roman" w:hAnsi="Times New Roman" w:eastAsia="宋体" w:cs="Times New Roman"/>
                <w:color w:val="auto"/>
                <w:sz w:val="24"/>
                <w:szCs w:val="24"/>
                <w:lang w:val="en-US" w:eastAsia="zh-CN"/>
              </w:rPr>
              <w:t>车辆扬尘</w:t>
            </w:r>
            <w:r>
              <w:rPr>
                <w:rFonts w:hint="default" w:ascii="Times New Roman" w:hAnsi="Times New Roman" w:eastAsia="宋体" w:cs="Times New Roman"/>
                <w:color w:val="auto"/>
                <w:sz w:val="24"/>
                <w:szCs w:val="24"/>
                <w:lang w:val="en-US" w:eastAsia="zh-CN"/>
              </w:rPr>
              <w:t>量为</w:t>
            </w:r>
            <w:r>
              <w:rPr>
                <w:rFonts w:hint="eastAsia" w:cs="Times New Roman"/>
                <w:color w:val="auto"/>
                <w:sz w:val="24"/>
                <w:szCs w:val="24"/>
                <w:lang w:val="en-US" w:eastAsia="zh-CN"/>
              </w:rPr>
              <w:t>0.327</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0.124</w:t>
            </w:r>
            <w:r>
              <w:rPr>
                <w:rFonts w:hint="default" w:ascii="Times New Roman" w:hAnsi="Times New Roman" w:eastAsia="宋体" w:cs="Times New Roman"/>
                <w:color w:val="auto"/>
                <w:sz w:val="24"/>
                <w:szCs w:val="24"/>
                <w:lang w:val="en-US" w:eastAsia="zh-CN"/>
              </w:rPr>
              <w:t>kg/h。</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）粉料仓</w:t>
            </w:r>
            <w:r>
              <w:rPr>
                <w:rFonts w:hint="eastAsia"/>
                <w:b/>
                <w:bCs/>
                <w:color w:val="auto"/>
                <w:lang w:val="en-US" w:eastAsia="zh-CN"/>
              </w:rPr>
              <w:t>呼吸尘</w:t>
            </w:r>
          </w:p>
          <w:p>
            <w:pPr>
              <w:bidi w:val="0"/>
              <w:rPr>
                <w:rFonts w:hint="default"/>
                <w:color w:val="auto"/>
                <w:lang w:val="en-US" w:eastAsia="zh-CN"/>
              </w:rPr>
            </w:pPr>
            <w:r>
              <w:rPr>
                <w:rFonts w:hint="default"/>
                <w:color w:val="auto"/>
                <w:lang w:val="en-US" w:eastAsia="zh-CN"/>
              </w:rPr>
              <w:t>项目水泥、</w:t>
            </w:r>
            <w:r>
              <w:rPr>
                <w:rFonts w:hint="eastAsia"/>
                <w:color w:val="auto"/>
                <w:lang w:val="en-US" w:eastAsia="zh-CN"/>
              </w:rPr>
              <w:t>矿粉、粉煤灰</w:t>
            </w:r>
            <w:r>
              <w:rPr>
                <w:rFonts w:hint="default"/>
                <w:color w:val="auto"/>
                <w:lang w:val="en-US" w:eastAsia="zh-CN"/>
              </w:rPr>
              <w:t>为粉状料，通过密闭运输车和管道输送至</w:t>
            </w:r>
            <w:r>
              <w:rPr>
                <w:rFonts w:hint="eastAsia"/>
                <w:color w:val="auto"/>
                <w:lang w:val="en-US" w:eastAsia="zh-CN"/>
              </w:rPr>
              <w:t>粉料仓</w:t>
            </w:r>
            <w:r>
              <w:rPr>
                <w:rFonts w:hint="default"/>
                <w:color w:val="auto"/>
                <w:lang w:val="en-US" w:eastAsia="zh-CN"/>
              </w:rPr>
              <w:t>储存，项目设</w:t>
            </w:r>
            <w:r>
              <w:rPr>
                <w:rFonts w:hint="eastAsia"/>
                <w:color w:val="auto"/>
                <w:lang w:val="en-US" w:eastAsia="zh-CN"/>
              </w:rPr>
              <w:t>两套混凝土搅拌站，其粉料仓</w:t>
            </w:r>
            <w:r>
              <w:rPr>
                <w:rFonts w:hint="default"/>
                <w:color w:val="auto"/>
                <w:lang w:val="en-US" w:eastAsia="zh-CN"/>
              </w:rPr>
              <w:t>共计</w:t>
            </w:r>
            <w:r>
              <w:rPr>
                <w:rFonts w:hint="eastAsia"/>
                <w:color w:val="auto"/>
                <w:lang w:val="en-US" w:eastAsia="zh-CN"/>
              </w:rPr>
              <w:t>12</w:t>
            </w:r>
            <w:r>
              <w:rPr>
                <w:rFonts w:hint="default"/>
                <w:color w:val="auto"/>
                <w:lang w:val="en-US" w:eastAsia="zh-CN"/>
              </w:rPr>
              <w:t>个，其中水泥仓</w:t>
            </w:r>
            <w:r>
              <w:rPr>
                <w:rFonts w:hint="eastAsia"/>
                <w:color w:val="auto"/>
                <w:lang w:val="en-US" w:eastAsia="zh-CN"/>
              </w:rPr>
              <w:t>8个</w:t>
            </w:r>
            <w:r>
              <w:rPr>
                <w:rFonts w:hint="default"/>
                <w:color w:val="auto"/>
                <w:lang w:val="en-US" w:eastAsia="zh-CN"/>
              </w:rPr>
              <w:t>、</w:t>
            </w:r>
            <w:r>
              <w:rPr>
                <w:rFonts w:hint="eastAsia"/>
                <w:color w:val="auto"/>
                <w:lang w:val="en-US" w:eastAsia="zh-CN"/>
              </w:rPr>
              <w:t>矿粉</w:t>
            </w:r>
            <w:r>
              <w:rPr>
                <w:rFonts w:hint="default"/>
                <w:color w:val="auto"/>
                <w:lang w:val="en-US" w:eastAsia="zh-CN"/>
              </w:rPr>
              <w:t>仓</w:t>
            </w:r>
            <w:r>
              <w:rPr>
                <w:rFonts w:hint="eastAsia"/>
                <w:color w:val="auto"/>
                <w:lang w:val="en-US" w:eastAsia="zh-CN"/>
              </w:rPr>
              <w:t>2</w:t>
            </w:r>
            <w:r>
              <w:rPr>
                <w:rFonts w:hint="default"/>
                <w:color w:val="auto"/>
                <w:lang w:val="en-US" w:eastAsia="zh-CN"/>
              </w:rPr>
              <w:t>个</w:t>
            </w:r>
            <w:r>
              <w:rPr>
                <w:rFonts w:hint="eastAsia"/>
                <w:color w:val="auto"/>
                <w:lang w:val="en-US" w:eastAsia="zh-CN"/>
              </w:rPr>
              <w:t>、粉煤灰仓2个</w:t>
            </w:r>
            <w:r>
              <w:rPr>
                <w:rFonts w:hint="default"/>
                <w:color w:val="auto"/>
                <w:lang w:val="en-US" w:eastAsia="zh-CN"/>
              </w:rPr>
              <w:t>，均配有呼吸口，呼吸口位于</w:t>
            </w:r>
            <w:r>
              <w:rPr>
                <w:rFonts w:hint="eastAsia"/>
                <w:color w:val="auto"/>
                <w:lang w:val="en-US" w:eastAsia="zh-CN"/>
              </w:rPr>
              <w:t>筒仓</w:t>
            </w:r>
            <w:r>
              <w:rPr>
                <w:rFonts w:hint="default"/>
                <w:color w:val="auto"/>
                <w:lang w:val="en-US" w:eastAsia="zh-CN"/>
              </w:rPr>
              <w:t>顶部。当进出料时，由于压差，</w:t>
            </w:r>
            <w:r>
              <w:rPr>
                <w:rFonts w:hint="eastAsia"/>
                <w:color w:val="auto"/>
                <w:lang w:val="en-US" w:eastAsia="zh-CN"/>
              </w:rPr>
              <w:t>粉料仓</w:t>
            </w:r>
            <w:r>
              <w:rPr>
                <w:rFonts w:hint="default"/>
                <w:color w:val="auto"/>
                <w:lang w:val="en-US" w:eastAsia="zh-CN"/>
              </w:rPr>
              <w:t>将产生呼吸现象，</w:t>
            </w:r>
            <w:r>
              <w:rPr>
                <w:rFonts w:hint="eastAsia"/>
                <w:color w:val="auto"/>
                <w:lang w:val="en-US" w:eastAsia="zh-CN"/>
              </w:rPr>
              <w:t>仓</w:t>
            </w:r>
            <w:r>
              <w:rPr>
                <w:rFonts w:hint="default"/>
                <w:color w:val="auto"/>
                <w:lang w:val="en-US" w:eastAsia="zh-CN"/>
              </w:rPr>
              <w:t>体内粉尘从呼吸口排出</w:t>
            </w:r>
            <w:r>
              <w:rPr>
                <w:rFonts w:hint="eastAsia"/>
                <w:color w:val="auto"/>
                <w:lang w:val="en-US" w:eastAsia="zh-CN"/>
              </w:rPr>
              <w:t>仓</w:t>
            </w:r>
            <w:r>
              <w:rPr>
                <w:rFonts w:hint="default"/>
                <w:color w:val="auto"/>
                <w:lang w:val="en-US" w:eastAsia="zh-CN"/>
              </w:rPr>
              <w:t>外，从而产生呼吸尘。</w:t>
            </w:r>
          </w:p>
          <w:p>
            <w:pPr>
              <w:bidi w:val="0"/>
              <w:rPr>
                <w:rFonts w:hint="eastAsia" w:ascii="Times New Roman" w:hAnsi="Times New Roman" w:eastAsia="宋体" w:cs="Times New Roman"/>
                <w:color w:val="auto"/>
                <w:szCs w:val="24"/>
                <w:lang w:val="en-US" w:eastAsia="zh-CN"/>
              </w:rPr>
            </w:pPr>
            <w:r>
              <w:rPr>
                <w:rFonts w:hint="eastAsia"/>
                <w:color w:val="auto"/>
                <w:lang w:val="en-US" w:eastAsia="zh-CN"/>
              </w:rPr>
              <w:t>项目粉料仓物料主要用于生产预拌商品混凝土，参考</w:t>
            </w:r>
            <w:r>
              <w:rPr>
                <w:rFonts w:hint="default"/>
                <w:color w:val="auto"/>
                <w:lang w:val="en-US" w:eastAsia="zh-CN"/>
              </w:rPr>
              <w:t>《排放源统计调查产污核算方法和系数手册》</w:t>
            </w:r>
            <w:r>
              <w:rPr>
                <w:rFonts w:hint="eastAsia"/>
                <w:color w:val="auto"/>
                <w:lang w:val="en-US" w:eastAsia="zh-CN"/>
              </w:rPr>
              <w:t>“</w:t>
            </w:r>
            <w:r>
              <w:rPr>
                <w:rFonts w:hint="default"/>
                <w:color w:val="auto"/>
                <w:lang w:val="en-US" w:eastAsia="zh-CN"/>
              </w:rPr>
              <w:t>3021水泥制品制造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产污系数计算，详见表4.2-2。</w:t>
            </w:r>
          </w:p>
          <w:p>
            <w:pPr>
              <w:pStyle w:val="33"/>
              <w:bidi w:val="0"/>
              <w:rPr>
                <w:rFonts w:hint="eastAsia"/>
                <w:color w:val="auto"/>
                <w:sz w:val="24"/>
                <w:szCs w:val="24"/>
                <w:lang w:val="en-US" w:eastAsia="zh-CN"/>
              </w:rPr>
            </w:pPr>
            <w:r>
              <w:rPr>
                <w:rFonts w:hint="eastAsia"/>
                <w:color w:val="auto"/>
                <w:sz w:val="24"/>
                <w:szCs w:val="24"/>
              </w:rPr>
              <w:t>表4.2-</w:t>
            </w:r>
            <w:r>
              <w:rPr>
                <w:rFonts w:hint="eastAsia"/>
                <w:color w:val="auto"/>
                <w:sz w:val="24"/>
                <w:szCs w:val="24"/>
                <w:lang w:val="en-US" w:eastAsia="zh-CN"/>
              </w:rPr>
              <w:t>2</w:t>
            </w:r>
            <w:r>
              <w:rPr>
                <w:rFonts w:hint="eastAsia"/>
                <w:color w:val="auto"/>
                <w:sz w:val="24"/>
                <w:szCs w:val="24"/>
              </w:rPr>
              <w:t xml:space="preserve"> </w:t>
            </w:r>
            <w:r>
              <w:rPr>
                <w:rFonts w:hint="eastAsia"/>
                <w:color w:val="auto"/>
                <w:sz w:val="24"/>
                <w:szCs w:val="24"/>
                <w:lang w:val="en-US" w:eastAsia="zh-CN"/>
              </w:rPr>
              <w:t>3021 水泥制品制造（含3022砼结构构件、3029其他水泥类似制品制造）行业产污系数</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56"/>
              <w:gridCol w:w="898"/>
              <w:gridCol w:w="896"/>
              <w:gridCol w:w="707"/>
              <w:gridCol w:w="426"/>
              <w:gridCol w:w="1112"/>
              <w:gridCol w:w="1349"/>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工段</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859"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产品</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900"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原料</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900"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工艺</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709"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规模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等级</w:t>
                  </w:r>
                </w:p>
              </w:tc>
              <w:tc>
                <w:tcPr>
                  <w:tcW w:w="1514" w:type="dxa"/>
                  <w:gridSpan w:val="2"/>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污染物指标</w:t>
                  </w:r>
                </w:p>
              </w:tc>
              <w:tc>
                <w:tcPr>
                  <w:tcW w:w="1356"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单位</w:t>
                  </w:r>
                </w:p>
              </w:tc>
              <w:tc>
                <w:tcPr>
                  <w:tcW w:w="992"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tc>
              <w:tc>
                <w:tcPr>
                  <w:tcW w:w="859"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混凝土制品</w:t>
                  </w:r>
                </w:p>
              </w:tc>
              <w:tc>
                <w:tcPr>
                  <w:tcW w:w="900"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水泥、矿粉、粉煤灰等</w:t>
                  </w:r>
                </w:p>
              </w:tc>
              <w:tc>
                <w:tcPr>
                  <w:tcW w:w="900"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储存</w:t>
                  </w:r>
                </w:p>
              </w:tc>
              <w:tc>
                <w:tcPr>
                  <w:tcW w:w="709"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所有规模</w:t>
                  </w:r>
                </w:p>
              </w:tc>
              <w:tc>
                <w:tcPr>
                  <w:tcW w:w="396"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8"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56"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标立方米/吨-产品</w:t>
                  </w:r>
                </w:p>
              </w:tc>
              <w:tc>
                <w:tcPr>
                  <w:tcW w:w="992"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8"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56"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92"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85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混合</w:t>
                  </w:r>
                </w:p>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70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restart"/>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8"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56"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标立方米/吨-产品</w:t>
                  </w:r>
                </w:p>
              </w:tc>
              <w:tc>
                <w:tcPr>
                  <w:tcW w:w="992"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9"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continue"/>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8"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56"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92" w:type="dxa"/>
                  <w:tcBorders>
                    <w:tl2br w:val="nil"/>
                    <w:tr2bl w:val="nil"/>
                  </w:tcBorders>
                  <w:noWrap w:val="0"/>
                  <w:vAlign w:val="center"/>
                </w:tcPr>
                <w:p>
                  <w:pPr>
                    <w:pStyle w:val="31"/>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0.13</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参考上表4.2-2物料输送储存环节产污系数，</w:t>
            </w:r>
            <w:r>
              <w:rPr>
                <w:rFonts w:hint="default"/>
                <w:color w:val="auto"/>
                <w:lang w:val="en-US" w:eastAsia="zh-CN"/>
              </w:rPr>
              <w:t>项目</w:t>
            </w:r>
            <w:r>
              <w:rPr>
                <w:rFonts w:hint="eastAsia"/>
                <w:color w:val="auto"/>
                <w:lang w:val="en-US" w:eastAsia="zh-CN"/>
              </w:rPr>
              <w:t>预拌商品混凝土所使用的粉料的量为48万吨（水泥、粉煤灰、矿粉），各粉料仓进出料时间按2640h/a计（330d/a，8h/d），则项目粉料仓的废气产生量约为1056万m</w:t>
            </w:r>
            <w:r>
              <w:rPr>
                <w:rFonts w:hint="eastAsia"/>
                <w:color w:val="auto"/>
                <w:vertAlign w:val="superscript"/>
                <w:lang w:val="en-US" w:eastAsia="zh-CN"/>
              </w:rPr>
              <w:t>3</w:t>
            </w:r>
            <w:r>
              <w:rPr>
                <w:rFonts w:hint="eastAsia"/>
                <w:color w:val="auto"/>
                <w:lang w:val="en-US" w:eastAsia="zh-CN"/>
              </w:rPr>
              <w:t>/a（4000m</w:t>
            </w:r>
            <w:r>
              <w:rPr>
                <w:rFonts w:hint="eastAsia"/>
                <w:color w:val="auto"/>
                <w:vertAlign w:val="superscript"/>
                <w:lang w:val="en-US" w:eastAsia="zh-CN"/>
              </w:rPr>
              <w:t>3</w:t>
            </w:r>
            <w:r>
              <w:rPr>
                <w:rFonts w:hint="eastAsia"/>
                <w:color w:val="auto"/>
                <w:lang w:val="en-US" w:eastAsia="zh-CN"/>
              </w:rPr>
              <w:t>/h），粉尘产生量约为57.6t/a。</w:t>
            </w:r>
          </w:p>
          <w:p>
            <w:pPr>
              <w:bidi w:val="0"/>
              <w:rPr>
                <w:rFonts w:hint="default"/>
                <w:color w:val="auto"/>
                <w:lang w:val="en-US" w:eastAsia="zh-CN"/>
              </w:rPr>
            </w:pPr>
            <w:r>
              <w:rPr>
                <w:rFonts w:hint="eastAsia"/>
                <w:color w:val="auto"/>
                <w:lang w:val="en-US" w:eastAsia="zh-CN"/>
              </w:rPr>
              <w:t>根据建设方提供资料，HZS270VD混凝土搅拌机</w:t>
            </w:r>
            <w:r>
              <w:rPr>
                <w:rFonts w:hint="default"/>
                <w:color w:val="auto"/>
                <w:lang w:val="en-US" w:eastAsia="zh-CN"/>
              </w:rPr>
              <w:t>各</w:t>
            </w:r>
            <w:r>
              <w:rPr>
                <w:rFonts w:hint="eastAsia"/>
                <w:color w:val="auto"/>
                <w:lang w:val="en-US" w:eastAsia="zh-CN"/>
              </w:rPr>
              <w:t>粉料</w:t>
            </w:r>
            <w:r>
              <w:rPr>
                <w:rFonts w:hint="default"/>
                <w:color w:val="auto"/>
                <w:lang w:val="en-US" w:eastAsia="zh-CN"/>
              </w:rPr>
              <w:t>仓</w:t>
            </w:r>
            <w:r>
              <w:rPr>
                <w:rFonts w:hint="eastAsia"/>
                <w:color w:val="auto"/>
                <w:lang w:val="en-US" w:eastAsia="zh-CN"/>
              </w:rPr>
              <w:t>均</w:t>
            </w:r>
            <w:r>
              <w:rPr>
                <w:rFonts w:hint="default"/>
                <w:color w:val="auto"/>
                <w:lang w:val="en-US" w:eastAsia="zh-CN"/>
              </w:rPr>
              <w:t>配套集成式‌脉冲布袋除尘装置（除尘效率≥99.</w:t>
            </w:r>
            <w:r>
              <w:rPr>
                <w:rFonts w:hint="eastAsia"/>
                <w:color w:val="auto"/>
                <w:lang w:val="en-US" w:eastAsia="zh-CN"/>
              </w:rPr>
              <w:t>7</w:t>
            </w:r>
            <w:r>
              <w:rPr>
                <w:rFonts w:hint="default"/>
                <w:color w:val="auto"/>
                <w:lang w:val="en-US" w:eastAsia="zh-CN"/>
              </w:rPr>
              <w:t>%）‌，呼吸尘直接通过呼吸口进入除尘器处理后</w:t>
            </w:r>
            <w:r>
              <w:rPr>
                <w:rFonts w:hint="eastAsia"/>
                <w:color w:val="auto"/>
                <w:lang w:val="en-US" w:eastAsia="zh-CN"/>
              </w:rPr>
              <w:t>，在搅拌楼内部无组织排放。车间配备有喷淋降尘装置，参考《工业源固体物料堆场颗粒物核算系数手册》附录4控制措施的控制效率，洒水粉尘控制效率74%，项目粉料仓为全部密闭，粉料仓除尘器的收集效率按100%计算，则项目粉料仓的排放粉尘排放量约为0.045t/a，粉料仓进出料时长按2640h/a计（330d/a，8h/d），则项目粉料仓进出料粉尘排放速率约为0.017kg/h。具体产排核算情况详见表4.2-4。</w:t>
            </w:r>
          </w:p>
          <w:p>
            <w:pPr>
              <w:bidi w:val="0"/>
              <w:rPr>
                <w:rFonts w:hint="eastAsia"/>
                <w:b/>
                <w:bCs/>
                <w:color w:val="auto"/>
                <w:lang w:val="en-US" w:eastAsia="zh-CN"/>
              </w:rPr>
            </w:pPr>
            <w:r>
              <w:rPr>
                <w:rFonts w:hint="eastAsia"/>
                <w:b/>
                <w:bCs/>
                <w:color w:val="auto"/>
                <w:lang w:val="en-US" w:eastAsia="zh-CN"/>
              </w:rPr>
              <w:t>（4）砂石计量配料粉尘</w:t>
            </w:r>
          </w:p>
          <w:p>
            <w:pPr>
              <w:bidi w:val="0"/>
              <w:rPr>
                <w:rFonts w:hint="default"/>
                <w:color w:val="auto"/>
                <w:lang w:val="en-US" w:eastAsia="zh-CN"/>
              </w:rPr>
            </w:pPr>
            <w:r>
              <w:rPr>
                <w:rFonts w:hint="eastAsia"/>
                <w:color w:val="auto"/>
                <w:lang w:val="en-US" w:eastAsia="zh-CN"/>
              </w:rPr>
              <w:t>项目生产时，由铲车将堆场的细砂、碎石等物料从堆仓运至计量配料处，下落至下方配料斗进行称量，再下落至皮带运输至后续搅拌机内。项目砂石输送带廊道密闭，输送带进出口配套喷淋装置，粉尘逸散量较小，因此主要计量配料粉尘来自细砂、碎石下落至料斗和输送皮带时，由于高度落差产生的粉尘。参考《逸散性工业粉尘控制技术》中粒料加工厂砂和砾石卸料排污系数为0.01kg/t原料，项目砂、石总用量约为152万t/a，则计算得项目砂石计量配料粉尘产生量约为15.2t/a。</w:t>
            </w:r>
          </w:p>
          <w:p>
            <w:pPr>
              <w:bidi w:val="0"/>
              <w:rPr>
                <w:rFonts w:hint="eastAsia"/>
                <w:color w:val="auto"/>
                <w:lang w:val="en-US" w:eastAsia="zh-CN"/>
              </w:rPr>
            </w:pPr>
            <w:r>
              <w:rPr>
                <w:rFonts w:hint="eastAsia"/>
                <w:color w:val="auto"/>
                <w:lang w:val="en-US" w:eastAsia="zh-CN"/>
              </w:rPr>
              <w:t>项目砂石进料区配套喷淋装置抑尘，参考《固体物料堆存颗粒物产排污核算系数手册》附录4控制措施的控制效率，洒水粉尘控制效率74%，则项目砂石计量配料粉尘排放量约为3.952t/a，砂石计量配料时长按2640h/a计（330d/a，8h/d），则项目砂石计量配料粉尘排放速率约为1.497kg/h。</w:t>
            </w:r>
          </w:p>
          <w:p>
            <w:pPr>
              <w:bidi w:val="0"/>
              <w:rPr>
                <w:rFonts w:hint="eastAsia"/>
                <w:b/>
                <w:bCs/>
                <w:color w:val="auto"/>
                <w:lang w:val="en-US" w:eastAsia="zh-CN"/>
              </w:rPr>
            </w:pPr>
            <w:r>
              <w:rPr>
                <w:rFonts w:hint="eastAsia"/>
                <w:b/>
                <w:bCs/>
                <w:color w:val="auto"/>
                <w:lang w:val="en-US" w:eastAsia="zh-CN"/>
              </w:rPr>
              <w:t>（5）搅拌粉尘</w:t>
            </w:r>
          </w:p>
          <w:p>
            <w:pPr>
              <w:bidi w:val="0"/>
              <w:rPr>
                <w:rFonts w:hint="eastAsia"/>
                <w:color w:val="auto"/>
                <w:lang w:val="en-US" w:eastAsia="zh-CN"/>
              </w:rPr>
            </w:pPr>
            <w:r>
              <w:rPr>
                <w:rFonts w:hint="eastAsia"/>
                <w:color w:val="auto"/>
                <w:lang w:val="en-US" w:eastAsia="zh-CN"/>
              </w:rPr>
              <w:t>搅拌过程主要为将水泥、石、砂、矿粉、粉煤灰、外加剂剂、水等搅制为预拌混凝土后进行后续工序，对粉料的扰动将会产生粉尘。</w:t>
            </w:r>
          </w:p>
          <w:p>
            <w:pPr>
              <w:bidi w:val="0"/>
              <w:rPr>
                <w:rFonts w:hint="default"/>
                <w:color w:val="auto"/>
                <w:lang w:val="en-US" w:eastAsia="zh-CN"/>
              </w:rPr>
            </w:pPr>
            <w:r>
              <w:rPr>
                <w:rFonts w:hint="eastAsia"/>
                <w:color w:val="auto"/>
                <w:lang w:val="en-US" w:eastAsia="zh-CN"/>
              </w:rPr>
              <w:t>参考</w:t>
            </w:r>
            <w:r>
              <w:rPr>
                <w:rFonts w:hint="default"/>
                <w:color w:val="auto"/>
                <w:lang w:val="en-US" w:eastAsia="zh-CN"/>
              </w:rPr>
              <w:t>《排放源统计调查产污核算方法和系数手册》“3021 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产污系数，详见表4.2-2。项目搅拌后产生的预拌混凝土量约为230万t/a（主要原料+结合水），颗粒物产污系数为0.13千克/吨-产品，则项目搅拌过程中颗粒物产生量约为299t/a。</w:t>
            </w:r>
          </w:p>
          <w:p>
            <w:pPr>
              <w:bidi w:val="0"/>
              <w:rPr>
                <w:rFonts w:hint="default"/>
                <w:color w:val="auto"/>
                <w:lang w:val="en-US" w:eastAsia="zh-CN"/>
              </w:rPr>
            </w:pPr>
            <w:r>
              <w:rPr>
                <w:rFonts w:hint="eastAsia"/>
                <w:color w:val="auto"/>
                <w:lang w:val="en-US" w:eastAsia="zh-CN"/>
              </w:rPr>
              <w:t>项目在搅拌前配料工序添加了水，可有效降低粉状原料搅拌过程中起尘，同时搅拌楼封闭建设，搅拌机运行时密闭，搅拌楼加设喷淋装置抑尘，综合抑尘效率按99.74%计（密闭运行抑尘效率99%以上，喷淋降尘74%），则项目搅拌工序粉尘排放量约为0.777t/a，搅拌工作时长按8h/d（2640h/a）计，则搅拌粉尘排放速率约为0.294kg/h。</w:t>
            </w:r>
          </w:p>
          <w:p>
            <w:pPr>
              <w:bidi w:val="0"/>
              <w:rPr>
                <w:rFonts w:hint="eastAsia"/>
                <w:b/>
                <w:bCs/>
                <w:color w:val="auto"/>
                <w:lang w:val="en-US" w:eastAsia="zh-CN"/>
              </w:rPr>
            </w:pPr>
            <w:r>
              <w:rPr>
                <w:rFonts w:hint="eastAsia"/>
                <w:b/>
                <w:bCs/>
                <w:color w:val="auto"/>
                <w:lang w:val="en-US" w:eastAsia="zh-CN"/>
              </w:rPr>
              <w:t>（6）焊接烟尘</w:t>
            </w:r>
          </w:p>
          <w:p>
            <w:pPr>
              <w:bidi w:val="0"/>
              <w:rPr>
                <w:rFonts w:hint="eastAsia"/>
                <w:color w:val="auto"/>
                <w:lang w:val="en-US" w:eastAsia="zh-CN"/>
              </w:rPr>
            </w:pPr>
            <w:r>
              <w:rPr>
                <w:rFonts w:hint="eastAsia"/>
                <w:color w:val="auto"/>
                <w:lang w:val="en-US" w:eastAsia="zh-CN"/>
              </w:rPr>
              <w:t>本项目钢筋笼制作时需采用手工电弧焊和智能机器人焊接，需使用无铅焊材，不使用焊剂。参考《排放源统计调查产排污核算方法和系数手册》中33-37机械行业系数手册09焊接产污系数表，手工电弧焊颗粒物产污系数为20.2kg/t-原料（焊条），项目焊条使用量约为0.12t/a，则项目焊接烟尘颗粒物产生量约为0.00242t/a。由于项目所需焊接部位需要根据部件焊接需求而定，非固定工位，因此拟采用车间无组织排放，则项目焊接烟尘无组织排放量约为0.00242t/a，焊接工作时长按330h/a（1h/d）计，焊接烟尘无组织排放速率为0.0073kg/d。</w:t>
            </w:r>
          </w:p>
          <w:p>
            <w:pPr>
              <w:adjustRightInd w:val="0"/>
              <w:snapToGrid w:val="0"/>
              <w:spacing w:line="360" w:lineRule="auto"/>
              <w:ind w:firstLine="480" w:firstLineChars="200"/>
              <w:rPr>
                <w:rFonts w:hint="default"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rPr>
              <w:t>相关</w:t>
            </w:r>
            <w:r>
              <w:rPr>
                <w:rFonts w:hint="default" w:ascii="Times New Roman" w:hAnsi="Times New Roman" w:eastAsia="宋体" w:cs="Times New Roman"/>
                <w:color w:val="auto"/>
                <w:kern w:val="0"/>
                <w:sz w:val="24"/>
                <w:szCs w:val="24"/>
                <w:lang w:val="en-US" w:eastAsia="zh-CN"/>
              </w:rPr>
              <w:t>废气污染源源强核算结果</w:t>
            </w:r>
            <w:r>
              <w:rPr>
                <w:rFonts w:hint="default" w:ascii="Times New Roman" w:hAnsi="Times New Roman" w:eastAsia="宋体" w:cs="Times New Roman"/>
                <w:color w:val="auto"/>
                <w:kern w:val="0"/>
                <w:sz w:val="24"/>
                <w:szCs w:val="24"/>
                <w:lang w:val="en-US" w:eastAsia="zh-CN" w:bidi="ar-SA"/>
              </w:rPr>
              <w:t>及相关参数一览表4.</w:t>
            </w:r>
            <w:r>
              <w:rPr>
                <w:rFonts w:hint="eastAsia" w:ascii="Times New Roman" w:hAnsi="Times New Roman" w:eastAsia="宋体"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4</w:t>
            </w:r>
            <w:r>
              <w:rPr>
                <w:rFonts w:hint="default" w:ascii="Times New Roman" w:hAnsi="Times New Roman" w:eastAsia="宋体" w:cs="Times New Roman"/>
                <w:color w:val="auto"/>
                <w:kern w:val="0"/>
                <w:sz w:val="24"/>
                <w:szCs w:val="24"/>
                <w:lang w:val="en-US" w:eastAsia="zh-CN" w:bidi="ar-SA"/>
              </w:rPr>
              <w:t>。</w:t>
            </w:r>
          </w:p>
        </w:tc>
      </w:tr>
    </w:tbl>
    <w:p>
      <w:pPr>
        <w:pStyle w:val="17"/>
        <w:numPr>
          <w:ilvl w:val="0"/>
          <w:numId w:val="0"/>
        </w:numPr>
        <w:jc w:val="both"/>
        <w:outlineLvl w:val="9"/>
        <w:rPr>
          <w:rFonts w:hint="default" w:ascii="Times New Roman" w:hAnsi="Times New Roman" w:eastAsia="宋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0" w:hRule="atLeast"/>
          <w:jc w:val="center"/>
        </w:trPr>
        <w:tc>
          <w:tcPr>
            <w:tcW w:w="571" w:type="dxa"/>
            <w:noWrap w:val="0"/>
            <w:vAlign w:val="center"/>
          </w:tcPr>
          <w:p>
            <w:pPr>
              <w:pStyle w:val="31"/>
              <w:bidi w:val="0"/>
              <w:rPr>
                <w:rFonts w:hint="default" w:ascii="Times New Roman" w:hAnsi="Times New Roman" w:eastAsia="宋体" w:cs="Times New Roman"/>
                <w:color w:val="auto"/>
                <w:szCs w:val="24"/>
                <w:vertAlign w:val="baseline"/>
                <w:lang w:eastAsia="zh-CN"/>
              </w:rPr>
            </w:pPr>
            <w:r>
              <w:rPr>
                <w:rFonts w:hint="default"/>
                <w:color w:val="auto"/>
              </w:rPr>
              <w:t>运营期环境影响和保护措施</w:t>
            </w:r>
          </w:p>
        </w:tc>
        <w:tc>
          <w:tcPr>
            <w:tcW w:w="133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项目</w:t>
            </w:r>
            <w:r>
              <w:rPr>
                <w:rFonts w:hint="default" w:ascii="Times New Roman" w:hAnsi="Times New Roman" w:eastAsia="宋体" w:cs="Times New Roman"/>
                <w:b/>
                <w:bCs/>
                <w:color w:val="auto"/>
                <w:sz w:val="24"/>
                <w:szCs w:val="24"/>
                <w:lang w:eastAsia="zh-CN"/>
              </w:rPr>
              <w:t>废气污染源源强核算结果及相关参数一览表</w:t>
            </w:r>
          </w:p>
          <w:tbl>
            <w:tblPr>
              <w:tblStyle w:val="20"/>
              <w:tblW w:w="132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2"/>
              <w:gridCol w:w="362"/>
              <w:gridCol w:w="330"/>
              <w:gridCol w:w="435"/>
              <w:gridCol w:w="465"/>
              <w:gridCol w:w="510"/>
              <w:gridCol w:w="585"/>
              <w:gridCol w:w="585"/>
              <w:gridCol w:w="660"/>
              <w:gridCol w:w="480"/>
              <w:gridCol w:w="870"/>
              <w:gridCol w:w="480"/>
              <w:gridCol w:w="660"/>
              <w:gridCol w:w="480"/>
              <w:gridCol w:w="600"/>
              <w:gridCol w:w="570"/>
              <w:gridCol w:w="570"/>
              <w:gridCol w:w="570"/>
              <w:gridCol w:w="750"/>
              <w:gridCol w:w="705"/>
              <w:gridCol w:w="675"/>
              <w:gridCol w:w="645"/>
              <w:gridCol w:w="570"/>
              <w:gridCol w:w="4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vMerge w:val="restart"/>
                  <w:tcBorders>
                    <w:tl2br w:val="nil"/>
                    <w:tr2bl w:val="nil"/>
                  </w:tcBorders>
                  <w:noWrap w:val="0"/>
                  <w:vAlign w:val="center"/>
                </w:tcPr>
                <w:p>
                  <w:pPr>
                    <w:pStyle w:val="31"/>
                    <w:bidi w:val="0"/>
                    <w:rPr>
                      <w:rFonts w:hint="default"/>
                      <w:color w:val="auto"/>
                      <w:sz w:val="18"/>
                      <w:szCs w:val="18"/>
                    </w:rPr>
                  </w:pPr>
                  <w:r>
                    <w:rPr>
                      <w:rFonts w:hint="default"/>
                      <w:color w:val="auto"/>
                      <w:sz w:val="18"/>
                      <w:szCs w:val="18"/>
                    </w:rPr>
                    <w:t>产排污环节</w:t>
                  </w:r>
                </w:p>
              </w:tc>
              <w:tc>
                <w:tcPr>
                  <w:tcW w:w="330" w:type="dxa"/>
                  <w:vMerge w:val="restart"/>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污染源</w:t>
                  </w:r>
                </w:p>
              </w:tc>
              <w:tc>
                <w:tcPr>
                  <w:tcW w:w="435" w:type="dxa"/>
                  <w:vMerge w:val="restart"/>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污染物</w:t>
                  </w:r>
                </w:p>
                <w:p>
                  <w:pPr>
                    <w:pStyle w:val="31"/>
                    <w:bidi w:val="0"/>
                    <w:rPr>
                      <w:rFonts w:hint="default"/>
                      <w:color w:val="auto"/>
                      <w:sz w:val="18"/>
                      <w:szCs w:val="18"/>
                    </w:rPr>
                  </w:pPr>
                  <w:r>
                    <w:rPr>
                      <w:rFonts w:hint="default"/>
                      <w:color w:val="auto"/>
                      <w:sz w:val="18"/>
                      <w:szCs w:val="18"/>
                    </w:rPr>
                    <w:t>种类</w:t>
                  </w:r>
                </w:p>
              </w:tc>
              <w:tc>
                <w:tcPr>
                  <w:tcW w:w="2805" w:type="dxa"/>
                  <w:gridSpan w:val="5"/>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污染源产生</w:t>
                  </w:r>
                </w:p>
              </w:tc>
              <w:tc>
                <w:tcPr>
                  <w:tcW w:w="480" w:type="dxa"/>
                  <w:vMerge w:val="restart"/>
                  <w:tcBorders>
                    <w:tl2br w:val="nil"/>
                    <w:tr2bl w:val="nil"/>
                  </w:tcBorders>
                  <w:noWrap w:val="0"/>
                  <w:vAlign w:val="center"/>
                </w:tcPr>
                <w:p>
                  <w:pPr>
                    <w:pStyle w:val="31"/>
                    <w:bidi w:val="0"/>
                    <w:rPr>
                      <w:rFonts w:hint="default"/>
                      <w:color w:val="auto"/>
                      <w:sz w:val="18"/>
                      <w:szCs w:val="18"/>
                      <w:lang w:eastAsia="zh-CN"/>
                    </w:rPr>
                  </w:pPr>
                  <w:r>
                    <w:rPr>
                      <w:rFonts w:hint="default"/>
                      <w:color w:val="auto"/>
                      <w:sz w:val="18"/>
                      <w:szCs w:val="18"/>
                      <w:lang w:eastAsia="zh-CN"/>
                    </w:rPr>
                    <w:t>排放</w:t>
                  </w:r>
                </w:p>
                <w:p>
                  <w:pPr>
                    <w:pStyle w:val="31"/>
                    <w:bidi w:val="0"/>
                    <w:rPr>
                      <w:rFonts w:hint="default"/>
                      <w:color w:val="auto"/>
                      <w:sz w:val="18"/>
                      <w:szCs w:val="18"/>
                      <w:lang w:eastAsia="zh-CN"/>
                    </w:rPr>
                  </w:pPr>
                  <w:r>
                    <w:rPr>
                      <w:rFonts w:hint="default"/>
                      <w:color w:val="auto"/>
                      <w:sz w:val="18"/>
                      <w:szCs w:val="18"/>
                      <w:lang w:eastAsia="zh-CN"/>
                    </w:rPr>
                    <w:t>方式</w:t>
                  </w:r>
                </w:p>
              </w:tc>
              <w:tc>
                <w:tcPr>
                  <w:tcW w:w="2490" w:type="dxa"/>
                  <w:gridSpan w:val="4"/>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治理措施</w:t>
                  </w:r>
                </w:p>
              </w:tc>
              <w:tc>
                <w:tcPr>
                  <w:tcW w:w="2310" w:type="dxa"/>
                  <w:gridSpan w:val="4"/>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污染物排放</w:t>
                  </w:r>
                </w:p>
              </w:tc>
              <w:tc>
                <w:tcPr>
                  <w:tcW w:w="2130" w:type="dxa"/>
                  <w:gridSpan w:val="3"/>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排放口基本信息</w:t>
                  </w:r>
                </w:p>
              </w:tc>
              <w:tc>
                <w:tcPr>
                  <w:tcW w:w="645" w:type="dxa"/>
                  <w:vMerge w:val="restart"/>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排放</w:t>
                  </w:r>
                </w:p>
                <w:p>
                  <w:pPr>
                    <w:pStyle w:val="31"/>
                    <w:bidi w:val="0"/>
                    <w:rPr>
                      <w:rFonts w:hint="default"/>
                      <w:color w:val="auto"/>
                      <w:sz w:val="18"/>
                      <w:szCs w:val="18"/>
                    </w:rPr>
                  </w:pPr>
                  <w:r>
                    <w:rPr>
                      <w:rFonts w:hint="default"/>
                      <w:color w:val="auto"/>
                      <w:sz w:val="18"/>
                      <w:szCs w:val="18"/>
                    </w:rPr>
                    <w:t>时间</w:t>
                  </w:r>
                </w:p>
                <w:p>
                  <w:pPr>
                    <w:pStyle w:val="31"/>
                    <w:bidi w:val="0"/>
                    <w:rPr>
                      <w:rFonts w:hint="default"/>
                      <w:color w:val="auto"/>
                      <w:sz w:val="18"/>
                      <w:szCs w:val="18"/>
                    </w:rPr>
                  </w:pPr>
                  <w:r>
                    <w:rPr>
                      <w:rFonts w:hint="default"/>
                      <w:color w:val="auto"/>
                      <w:sz w:val="18"/>
                      <w:szCs w:val="18"/>
                    </w:rPr>
                    <w:t>h</w:t>
                  </w:r>
                </w:p>
              </w:tc>
              <w:tc>
                <w:tcPr>
                  <w:tcW w:w="973" w:type="dxa"/>
                  <w:gridSpan w:val="2"/>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vMerge w:val="continue"/>
                  <w:tcBorders>
                    <w:tl2br w:val="nil"/>
                    <w:tr2bl w:val="nil"/>
                  </w:tcBorders>
                  <w:noWrap w:val="0"/>
                  <w:vAlign w:val="center"/>
                </w:tcPr>
                <w:p>
                  <w:pPr>
                    <w:pStyle w:val="31"/>
                    <w:bidi w:val="0"/>
                    <w:rPr>
                      <w:rFonts w:hint="default"/>
                      <w:color w:val="auto"/>
                      <w:sz w:val="18"/>
                      <w:szCs w:val="18"/>
                    </w:rPr>
                  </w:pPr>
                </w:p>
              </w:tc>
              <w:tc>
                <w:tcPr>
                  <w:tcW w:w="330" w:type="dxa"/>
                  <w:vMerge w:val="continue"/>
                  <w:tcBorders>
                    <w:tl2br w:val="nil"/>
                    <w:tr2bl w:val="nil"/>
                  </w:tcBorders>
                  <w:noWrap w:val="0"/>
                  <w:vAlign w:val="center"/>
                </w:tcPr>
                <w:p>
                  <w:pPr>
                    <w:pStyle w:val="31"/>
                    <w:bidi w:val="0"/>
                    <w:rPr>
                      <w:rFonts w:hint="default"/>
                      <w:color w:val="auto"/>
                      <w:sz w:val="18"/>
                      <w:szCs w:val="18"/>
                    </w:rPr>
                  </w:pPr>
                </w:p>
              </w:tc>
              <w:tc>
                <w:tcPr>
                  <w:tcW w:w="435" w:type="dxa"/>
                  <w:vMerge w:val="continue"/>
                  <w:tcBorders>
                    <w:tl2br w:val="nil"/>
                    <w:tr2bl w:val="nil"/>
                  </w:tcBorders>
                  <w:noWrap w:val="0"/>
                  <w:vAlign w:val="center"/>
                </w:tcPr>
                <w:p>
                  <w:pPr>
                    <w:pStyle w:val="31"/>
                    <w:bidi w:val="0"/>
                    <w:rPr>
                      <w:rFonts w:hint="default"/>
                      <w:color w:val="auto"/>
                      <w:sz w:val="18"/>
                      <w:szCs w:val="18"/>
                    </w:rPr>
                  </w:pPr>
                </w:p>
              </w:tc>
              <w:tc>
                <w:tcPr>
                  <w:tcW w:w="465"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核算</w:t>
                  </w:r>
                </w:p>
                <w:p>
                  <w:pPr>
                    <w:pStyle w:val="31"/>
                    <w:bidi w:val="0"/>
                    <w:rPr>
                      <w:rFonts w:hint="default"/>
                      <w:color w:val="auto"/>
                      <w:sz w:val="18"/>
                      <w:szCs w:val="18"/>
                    </w:rPr>
                  </w:pPr>
                  <w:r>
                    <w:rPr>
                      <w:rFonts w:hint="default"/>
                      <w:color w:val="auto"/>
                      <w:sz w:val="18"/>
                      <w:szCs w:val="18"/>
                    </w:rPr>
                    <w:t>方法</w:t>
                  </w:r>
                </w:p>
              </w:tc>
              <w:tc>
                <w:tcPr>
                  <w:tcW w:w="51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废气量</w:t>
                  </w:r>
                  <w:r>
                    <w:rPr>
                      <w:rFonts w:hint="default"/>
                      <w:color w:val="auto"/>
                      <w:sz w:val="18"/>
                      <w:szCs w:val="18"/>
                      <w:lang w:val="en-US" w:eastAsia="zh-CN"/>
                    </w:rPr>
                    <w:t>/</w:t>
                  </w:r>
                  <w:r>
                    <w:rPr>
                      <w:rFonts w:hint="default"/>
                      <w:color w:val="auto"/>
                      <w:sz w:val="18"/>
                      <w:szCs w:val="18"/>
                    </w:rPr>
                    <w:t>m</w:t>
                  </w:r>
                  <w:r>
                    <w:rPr>
                      <w:rFonts w:hint="default"/>
                      <w:color w:val="auto"/>
                      <w:sz w:val="18"/>
                      <w:szCs w:val="18"/>
                      <w:vertAlign w:val="superscript"/>
                    </w:rPr>
                    <w:t>3</w:t>
                  </w:r>
                  <w:r>
                    <w:rPr>
                      <w:rFonts w:hint="default"/>
                      <w:color w:val="auto"/>
                      <w:sz w:val="18"/>
                      <w:szCs w:val="18"/>
                    </w:rPr>
                    <w:t>/h</w:t>
                  </w:r>
                </w:p>
              </w:tc>
              <w:tc>
                <w:tcPr>
                  <w:tcW w:w="585"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产生</w:t>
                  </w:r>
                </w:p>
                <w:p>
                  <w:pPr>
                    <w:pStyle w:val="31"/>
                    <w:bidi w:val="0"/>
                    <w:rPr>
                      <w:rFonts w:hint="default"/>
                      <w:color w:val="auto"/>
                      <w:sz w:val="18"/>
                      <w:szCs w:val="18"/>
                    </w:rPr>
                  </w:pPr>
                  <w:r>
                    <w:rPr>
                      <w:rFonts w:hint="default"/>
                      <w:color w:val="auto"/>
                      <w:sz w:val="18"/>
                      <w:szCs w:val="18"/>
                    </w:rPr>
                    <w:t>浓度/</w:t>
                  </w:r>
                </w:p>
                <w:p>
                  <w:pPr>
                    <w:pStyle w:val="31"/>
                    <w:bidi w:val="0"/>
                    <w:rPr>
                      <w:rFonts w:hint="default"/>
                      <w:color w:val="auto"/>
                      <w:sz w:val="18"/>
                      <w:szCs w:val="18"/>
                      <w:lang w:eastAsia="zh-CN"/>
                    </w:rPr>
                  </w:pPr>
                  <w:r>
                    <w:rPr>
                      <w:rFonts w:hint="default"/>
                      <w:color w:val="auto"/>
                      <w:sz w:val="18"/>
                      <w:szCs w:val="18"/>
                    </w:rPr>
                    <w:t>mg/m</w:t>
                  </w:r>
                  <w:r>
                    <w:rPr>
                      <w:rFonts w:hint="default"/>
                      <w:color w:val="auto"/>
                      <w:sz w:val="18"/>
                      <w:szCs w:val="18"/>
                      <w:vertAlign w:val="superscript"/>
                    </w:rPr>
                    <w:t>3</w:t>
                  </w:r>
                </w:p>
              </w:tc>
              <w:tc>
                <w:tcPr>
                  <w:tcW w:w="585"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产生速率</w:t>
                  </w:r>
                  <w:r>
                    <w:rPr>
                      <w:rFonts w:hint="default"/>
                      <w:color w:val="auto"/>
                      <w:sz w:val="18"/>
                      <w:szCs w:val="18"/>
                      <w:lang w:val="en-US" w:eastAsia="zh-CN"/>
                    </w:rPr>
                    <w:t>/</w:t>
                  </w:r>
                </w:p>
                <w:p>
                  <w:pPr>
                    <w:pStyle w:val="31"/>
                    <w:bidi w:val="0"/>
                    <w:rPr>
                      <w:rFonts w:hint="default"/>
                      <w:color w:val="auto"/>
                      <w:sz w:val="18"/>
                      <w:szCs w:val="18"/>
                      <w:lang w:val="en-US" w:eastAsia="zh-CN"/>
                    </w:rPr>
                  </w:pPr>
                  <w:r>
                    <w:rPr>
                      <w:rFonts w:hint="default"/>
                      <w:color w:val="auto"/>
                      <w:sz w:val="18"/>
                      <w:szCs w:val="18"/>
                    </w:rPr>
                    <w:t>kg/h</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产生量</w:t>
                  </w:r>
                  <w:r>
                    <w:rPr>
                      <w:rFonts w:hint="default"/>
                      <w:color w:val="auto"/>
                      <w:sz w:val="18"/>
                      <w:szCs w:val="18"/>
                      <w:lang w:val="en-US" w:eastAsia="zh-CN"/>
                    </w:rPr>
                    <w:t>/</w:t>
                  </w:r>
                  <w:r>
                    <w:rPr>
                      <w:rFonts w:hint="default"/>
                      <w:color w:val="auto"/>
                      <w:sz w:val="18"/>
                      <w:szCs w:val="18"/>
                    </w:rPr>
                    <w:t>t/a</w:t>
                  </w:r>
                </w:p>
              </w:tc>
              <w:tc>
                <w:tcPr>
                  <w:tcW w:w="480" w:type="dxa"/>
                  <w:vMerge w:val="continue"/>
                  <w:tcBorders>
                    <w:tl2br w:val="nil"/>
                    <w:tr2bl w:val="nil"/>
                  </w:tcBorders>
                  <w:noWrap w:val="0"/>
                  <w:vAlign w:val="center"/>
                </w:tcPr>
                <w:p>
                  <w:pPr>
                    <w:pStyle w:val="31"/>
                    <w:bidi w:val="0"/>
                    <w:rPr>
                      <w:rFonts w:hint="default"/>
                      <w:color w:val="auto"/>
                      <w:sz w:val="18"/>
                      <w:szCs w:val="18"/>
                    </w:rPr>
                  </w:pPr>
                </w:p>
              </w:tc>
              <w:tc>
                <w:tcPr>
                  <w:tcW w:w="870" w:type="dxa"/>
                  <w:tcBorders>
                    <w:tl2br w:val="nil"/>
                    <w:tr2bl w:val="nil"/>
                  </w:tcBorders>
                  <w:noWrap w:val="0"/>
                  <w:vAlign w:val="center"/>
                </w:tcPr>
                <w:p>
                  <w:pPr>
                    <w:pStyle w:val="31"/>
                    <w:bidi w:val="0"/>
                    <w:rPr>
                      <w:rFonts w:hint="default"/>
                      <w:color w:val="auto"/>
                      <w:sz w:val="18"/>
                      <w:szCs w:val="18"/>
                      <w:lang w:eastAsia="zh-CN"/>
                    </w:rPr>
                  </w:pPr>
                  <w:r>
                    <w:rPr>
                      <w:rFonts w:hint="default"/>
                      <w:color w:val="auto"/>
                      <w:sz w:val="18"/>
                      <w:szCs w:val="18"/>
                    </w:rPr>
                    <w:t>处理能力</w:t>
                  </w:r>
                  <w:r>
                    <w:rPr>
                      <w:rFonts w:hint="default"/>
                      <w:color w:val="auto"/>
                      <w:sz w:val="18"/>
                      <w:szCs w:val="18"/>
                      <w:lang w:eastAsia="zh-CN"/>
                    </w:rPr>
                    <w:t>及工艺</w:t>
                  </w:r>
                </w:p>
              </w:tc>
              <w:tc>
                <w:tcPr>
                  <w:tcW w:w="48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收集效率</w:t>
                  </w:r>
                </w:p>
              </w:tc>
              <w:tc>
                <w:tcPr>
                  <w:tcW w:w="66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工艺去除率</w:t>
                  </w:r>
                </w:p>
              </w:tc>
              <w:tc>
                <w:tcPr>
                  <w:tcW w:w="48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是否可行技术</w:t>
                  </w:r>
                </w:p>
              </w:tc>
              <w:tc>
                <w:tcPr>
                  <w:tcW w:w="600" w:type="dxa"/>
                  <w:tcBorders>
                    <w:tl2br w:val="nil"/>
                    <w:tr2bl w:val="nil"/>
                  </w:tcBorders>
                  <w:noWrap w:val="0"/>
                  <w:vAlign w:val="center"/>
                </w:tcPr>
                <w:p>
                  <w:pPr>
                    <w:pStyle w:val="31"/>
                    <w:bidi w:val="0"/>
                    <w:rPr>
                      <w:rFonts w:hint="default"/>
                      <w:color w:val="auto"/>
                      <w:sz w:val="18"/>
                      <w:szCs w:val="18"/>
                      <w:lang w:eastAsia="zh-CN"/>
                    </w:rPr>
                  </w:pPr>
                  <w:r>
                    <w:rPr>
                      <w:rFonts w:hint="default"/>
                      <w:color w:val="auto"/>
                      <w:sz w:val="18"/>
                      <w:szCs w:val="18"/>
                    </w:rPr>
                    <w:t>废气量/ m</w:t>
                  </w:r>
                  <w:r>
                    <w:rPr>
                      <w:rFonts w:hint="default"/>
                      <w:color w:val="auto"/>
                      <w:sz w:val="18"/>
                      <w:szCs w:val="18"/>
                      <w:vertAlign w:val="superscript"/>
                    </w:rPr>
                    <w:t>3</w:t>
                  </w:r>
                  <w:r>
                    <w:rPr>
                      <w:rFonts w:hint="default"/>
                      <w:color w:val="auto"/>
                      <w:sz w:val="18"/>
                      <w:szCs w:val="18"/>
                    </w:rPr>
                    <w:t>/h</w:t>
                  </w:r>
                </w:p>
              </w:tc>
              <w:tc>
                <w:tcPr>
                  <w:tcW w:w="57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排放</w:t>
                  </w:r>
                </w:p>
                <w:p>
                  <w:pPr>
                    <w:pStyle w:val="31"/>
                    <w:bidi w:val="0"/>
                    <w:rPr>
                      <w:rFonts w:hint="default"/>
                      <w:color w:val="auto"/>
                      <w:sz w:val="18"/>
                      <w:szCs w:val="18"/>
                      <w:lang w:val="en-US" w:eastAsia="zh-CN"/>
                    </w:rPr>
                  </w:pPr>
                  <w:r>
                    <w:rPr>
                      <w:rFonts w:hint="default"/>
                      <w:color w:val="auto"/>
                      <w:sz w:val="18"/>
                      <w:szCs w:val="18"/>
                    </w:rPr>
                    <w:t>浓度</w:t>
                  </w:r>
                  <w:r>
                    <w:rPr>
                      <w:rFonts w:hint="default"/>
                      <w:color w:val="auto"/>
                      <w:sz w:val="18"/>
                      <w:szCs w:val="18"/>
                      <w:lang w:val="en-US" w:eastAsia="zh-CN"/>
                    </w:rPr>
                    <w:t>/</w:t>
                  </w:r>
                </w:p>
                <w:p>
                  <w:pPr>
                    <w:pStyle w:val="31"/>
                    <w:bidi w:val="0"/>
                    <w:rPr>
                      <w:rFonts w:hint="default"/>
                      <w:color w:val="auto"/>
                      <w:sz w:val="18"/>
                      <w:szCs w:val="18"/>
                    </w:rPr>
                  </w:pPr>
                  <w:r>
                    <w:rPr>
                      <w:rFonts w:hint="default"/>
                      <w:color w:val="auto"/>
                      <w:sz w:val="18"/>
                      <w:szCs w:val="18"/>
                    </w:rPr>
                    <w:t>mg/m</w:t>
                  </w:r>
                  <w:r>
                    <w:rPr>
                      <w:rFonts w:hint="default"/>
                      <w:color w:val="auto"/>
                      <w:sz w:val="18"/>
                      <w:szCs w:val="18"/>
                      <w:vertAlign w:val="superscript"/>
                    </w:rPr>
                    <w:t>3</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排放速率</w:t>
                  </w:r>
                  <w:r>
                    <w:rPr>
                      <w:rFonts w:hint="default"/>
                      <w:color w:val="auto"/>
                      <w:sz w:val="18"/>
                      <w:szCs w:val="18"/>
                      <w:lang w:val="en-US" w:eastAsia="zh-CN"/>
                    </w:rPr>
                    <w:t>/</w:t>
                  </w:r>
                </w:p>
                <w:p>
                  <w:pPr>
                    <w:pStyle w:val="31"/>
                    <w:bidi w:val="0"/>
                    <w:rPr>
                      <w:rFonts w:hint="default"/>
                      <w:color w:val="auto"/>
                      <w:sz w:val="18"/>
                      <w:szCs w:val="18"/>
                    </w:rPr>
                  </w:pPr>
                  <w:r>
                    <w:rPr>
                      <w:rFonts w:hint="default"/>
                      <w:color w:val="auto"/>
                      <w:sz w:val="18"/>
                      <w:szCs w:val="18"/>
                    </w:rPr>
                    <w:t>kg/h</w:t>
                  </w:r>
                </w:p>
              </w:tc>
              <w:tc>
                <w:tcPr>
                  <w:tcW w:w="57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排放量</w:t>
                  </w:r>
                  <w:r>
                    <w:rPr>
                      <w:rFonts w:hint="default"/>
                      <w:color w:val="auto"/>
                      <w:sz w:val="18"/>
                      <w:szCs w:val="18"/>
                      <w:lang w:val="en-US" w:eastAsia="zh-CN"/>
                    </w:rPr>
                    <w:t>/</w:t>
                  </w:r>
                  <w:r>
                    <w:rPr>
                      <w:rFonts w:hint="default"/>
                      <w:color w:val="auto"/>
                      <w:sz w:val="18"/>
                      <w:szCs w:val="18"/>
                    </w:rPr>
                    <w:t>t/a</w:t>
                  </w:r>
                </w:p>
              </w:tc>
              <w:tc>
                <w:tcPr>
                  <w:tcW w:w="75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排气筒内径、高度、温度</w:t>
                  </w:r>
                </w:p>
              </w:tc>
              <w:tc>
                <w:tcPr>
                  <w:tcW w:w="705"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编号及名称、类型</w:t>
                  </w:r>
                </w:p>
              </w:tc>
              <w:tc>
                <w:tcPr>
                  <w:tcW w:w="675"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地理</w:t>
                  </w:r>
                </w:p>
                <w:p>
                  <w:pPr>
                    <w:pStyle w:val="31"/>
                    <w:bidi w:val="0"/>
                    <w:rPr>
                      <w:rFonts w:hint="default"/>
                      <w:color w:val="auto"/>
                      <w:sz w:val="18"/>
                      <w:szCs w:val="18"/>
                    </w:rPr>
                  </w:pPr>
                  <w:r>
                    <w:rPr>
                      <w:rFonts w:hint="default"/>
                      <w:color w:val="auto"/>
                      <w:sz w:val="18"/>
                      <w:szCs w:val="18"/>
                    </w:rPr>
                    <w:t>坐标</w:t>
                  </w:r>
                </w:p>
              </w:tc>
              <w:tc>
                <w:tcPr>
                  <w:tcW w:w="645" w:type="dxa"/>
                  <w:vMerge w:val="continue"/>
                  <w:tcBorders>
                    <w:tl2br w:val="nil"/>
                    <w:tr2bl w:val="nil"/>
                  </w:tcBorders>
                  <w:noWrap w:val="0"/>
                  <w:vAlign w:val="center"/>
                </w:tcPr>
                <w:p>
                  <w:pPr>
                    <w:pStyle w:val="31"/>
                    <w:bidi w:val="0"/>
                    <w:rPr>
                      <w:rFonts w:hint="default"/>
                      <w:color w:val="auto"/>
                      <w:sz w:val="18"/>
                      <w:szCs w:val="18"/>
                    </w:rPr>
                  </w:pP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lang w:eastAsia="zh-CN"/>
                    </w:rPr>
                    <w:t>浓度</w:t>
                  </w:r>
                  <w:r>
                    <w:rPr>
                      <w:rFonts w:hint="default"/>
                      <w:color w:val="auto"/>
                      <w:sz w:val="18"/>
                      <w:szCs w:val="18"/>
                      <w:lang w:val="en-US" w:eastAsia="zh-CN"/>
                    </w:rPr>
                    <w:t>/</w:t>
                  </w:r>
                </w:p>
                <w:p>
                  <w:pPr>
                    <w:pStyle w:val="31"/>
                    <w:bidi w:val="0"/>
                    <w:rPr>
                      <w:rFonts w:hint="default"/>
                      <w:color w:val="auto"/>
                      <w:sz w:val="18"/>
                      <w:szCs w:val="18"/>
                      <w:lang w:val="en-US" w:eastAsia="zh-CN"/>
                    </w:rPr>
                  </w:pPr>
                  <w:r>
                    <w:rPr>
                      <w:rFonts w:hint="default"/>
                      <w:color w:val="auto"/>
                      <w:sz w:val="18"/>
                      <w:szCs w:val="18"/>
                    </w:rPr>
                    <w:t>mg/m</w:t>
                  </w:r>
                  <w:r>
                    <w:rPr>
                      <w:rFonts w:hint="default"/>
                      <w:color w:val="auto"/>
                      <w:sz w:val="18"/>
                      <w:szCs w:val="18"/>
                      <w:vertAlign w:val="superscript"/>
                      <w:lang w:val="en-US" w:eastAsia="zh-CN"/>
                    </w:rPr>
                    <w:t>3</w:t>
                  </w:r>
                </w:p>
              </w:tc>
              <w:tc>
                <w:tcPr>
                  <w:tcW w:w="403" w:type="dxa"/>
                  <w:tcBorders>
                    <w:tl2br w:val="nil"/>
                    <w:tr2bl w:val="nil"/>
                  </w:tcBorders>
                  <w:noWrap w:val="0"/>
                  <w:vAlign w:val="center"/>
                </w:tcPr>
                <w:p>
                  <w:pPr>
                    <w:pStyle w:val="31"/>
                    <w:bidi w:val="0"/>
                    <w:rPr>
                      <w:rFonts w:hint="default"/>
                      <w:color w:val="auto"/>
                      <w:sz w:val="18"/>
                      <w:szCs w:val="18"/>
                      <w:lang w:eastAsia="zh-CN"/>
                    </w:rPr>
                  </w:pPr>
                  <w:r>
                    <w:rPr>
                      <w:rFonts w:hint="default"/>
                      <w:color w:val="auto"/>
                      <w:sz w:val="18"/>
                      <w:szCs w:val="18"/>
                      <w:lang w:eastAsia="zh-CN"/>
                    </w:rPr>
                    <w:t>速率</w:t>
                  </w:r>
                  <w:r>
                    <w:rPr>
                      <w:rFonts w:hint="default"/>
                      <w:color w:val="auto"/>
                      <w:sz w:val="18"/>
                      <w:szCs w:val="18"/>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2#搅拌楼面源污染</w:t>
                  </w:r>
                </w:p>
              </w:tc>
              <w:tc>
                <w:tcPr>
                  <w:tcW w:w="330" w:type="dxa"/>
                  <w:tcBorders>
                    <w:tl2br w:val="nil"/>
                    <w:tr2bl w:val="nil"/>
                  </w:tcBorders>
                  <w:noWrap w:val="0"/>
                  <w:vAlign w:val="center"/>
                </w:tcPr>
                <w:p>
                  <w:pPr>
                    <w:pStyle w:val="31"/>
                    <w:bidi w:val="0"/>
                    <w:rPr>
                      <w:rFonts w:hint="default"/>
                      <w:color w:val="auto"/>
                      <w:sz w:val="18"/>
                      <w:szCs w:val="18"/>
                      <w:highlight w:val="none"/>
                      <w:lang w:val="en-US" w:eastAsia="zh-CN"/>
                    </w:rPr>
                  </w:pPr>
                  <w:r>
                    <w:rPr>
                      <w:rFonts w:hint="eastAsia"/>
                      <w:color w:val="auto"/>
                      <w:sz w:val="18"/>
                      <w:szCs w:val="18"/>
                      <w:highlight w:val="none"/>
                      <w:lang w:val="en-US" w:eastAsia="zh-CN"/>
                    </w:rPr>
                    <w:t>合计</w:t>
                  </w:r>
                </w:p>
              </w:tc>
              <w:tc>
                <w:tcPr>
                  <w:tcW w:w="43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135.08</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356.6</w:t>
                  </w:r>
                </w:p>
              </w:tc>
              <w:tc>
                <w:tcPr>
                  <w:tcW w:w="48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eastAsia="zh-CN"/>
                    </w:rPr>
                    <w:t>是</w:t>
                  </w:r>
                </w:p>
              </w:tc>
              <w:tc>
                <w:tcPr>
                  <w:tcW w:w="60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0.311</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0.822</w:t>
                  </w:r>
                </w:p>
              </w:tc>
              <w:tc>
                <w:tcPr>
                  <w:tcW w:w="750"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rPr>
                      <w:rFonts w:hint="eastAsia"/>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restart"/>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其中</w:t>
                  </w:r>
                </w:p>
              </w:tc>
              <w:tc>
                <w:tcPr>
                  <w:tcW w:w="362"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搅拌</w:t>
                  </w:r>
                </w:p>
              </w:tc>
              <w:tc>
                <w:tcPr>
                  <w:tcW w:w="330" w:type="dxa"/>
                  <w:tcBorders>
                    <w:tl2br w:val="nil"/>
                    <w:tr2bl w:val="nil"/>
                  </w:tcBorders>
                  <w:noWrap w:val="0"/>
                  <w:vAlign w:val="center"/>
                </w:tcPr>
                <w:p>
                  <w:pPr>
                    <w:pStyle w:val="31"/>
                    <w:bidi w:val="0"/>
                    <w:ind w:left="0" w:leftChars="0" w:firstLine="0" w:firstLineChars="0"/>
                    <w:rPr>
                      <w:rFonts w:hint="eastAsia"/>
                      <w:color w:val="auto"/>
                      <w:sz w:val="18"/>
                      <w:szCs w:val="18"/>
                      <w:highlight w:val="none"/>
                      <w:lang w:val="en-US" w:eastAsia="zh-CN"/>
                    </w:rPr>
                  </w:pPr>
                  <w:r>
                    <w:rPr>
                      <w:rFonts w:hint="eastAsia"/>
                      <w:color w:val="auto"/>
                      <w:sz w:val="18"/>
                      <w:szCs w:val="18"/>
                      <w:highlight w:val="none"/>
                      <w:lang w:val="en-US" w:eastAsia="zh-CN"/>
                    </w:rPr>
                    <w:t>搅拌粉尘</w:t>
                  </w:r>
                </w:p>
              </w:tc>
              <w:tc>
                <w:tcPr>
                  <w:tcW w:w="43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113.26</w:t>
                  </w:r>
                </w:p>
              </w:tc>
              <w:tc>
                <w:tcPr>
                  <w:tcW w:w="66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299</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31"/>
                    <w:bidi w:val="0"/>
                    <w:ind w:left="0" w:leftChars="0" w:firstLine="0" w:firstLineChars="0"/>
                    <w:rPr>
                      <w:rFonts w:hint="default"/>
                      <w:color w:val="auto"/>
                      <w:sz w:val="18"/>
                      <w:szCs w:val="18"/>
                    </w:rPr>
                  </w:pPr>
                  <w:r>
                    <w:rPr>
                      <w:rFonts w:hint="eastAsia"/>
                      <w:color w:val="auto"/>
                      <w:sz w:val="18"/>
                      <w:szCs w:val="18"/>
                      <w:lang w:val="en-US" w:eastAsia="zh-CN"/>
                    </w:rPr>
                    <w:t>密闭运行、喷淋抑尘</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31"/>
                    <w:bidi w:val="0"/>
                    <w:ind w:left="0" w:leftChars="0" w:firstLine="0" w:firstLineChars="0"/>
                    <w:rPr>
                      <w:rFonts w:hint="default"/>
                      <w:color w:val="auto"/>
                      <w:sz w:val="18"/>
                      <w:szCs w:val="18"/>
                    </w:rPr>
                  </w:pPr>
                  <w:r>
                    <w:rPr>
                      <w:rFonts w:hint="eastAsia"/>
                      <w:color w:val="auto"/>
                      <w:sz w:val="18"/>
                      <w:szCs w:val="18"/>
                      <w:lang w:val="en-US" w:eastAsia="zh-CN"/>
                    </w:rPr>
                    <w:t>密闭运行抑尘效率99%、喷淋降尘74%</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eastAsia="zh-CN"/>
                    </w:rPr>
                    <w:t>是</w:t>
                  </w:r>
                </w:p>
              </w:tc>
              <w:tc>
                <w:tcPr>
                  <w:tcW w:w="60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0.294</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0.777</w:t>
                  </w:r>
                </w:p>
              </w:tc>
              <w:tc>
                <w:tcPr>
                  <w:tcW w:w="75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continue"/>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p>
              </w:tc>
              <w:tc>
                <w:tcPr>
                  <w:tcW w:w="362"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水泥、矿粉进出料仓</w:t>
                  </w:r>
                </w:p>
              </w:tc>
              <w:tc>
                <w:tcPr>
                  <w:tcW w:w="330" w:type="dxa"/>
                  <w:tcBorders>
                    <w:tl2br w:val="nil"/>
                    <w:tr2bl w:val="nil"/>
                  </w:tcBorders>
                  <w:noWrap w:val="0"/>
                  <w:vAlign w:val="center"/>
                </w:tcPr>
                <w:p>
                  <w:pPr>
                    <w:pStyle w:val="31"/>
                    <w:bidi w:val="0"/>
                    <w:ind w:left="0" w:leftChars="0" w:firstLine="0" w:firstLineChars="0"/>
                    <w:rPr>
                      <w:rFonts w:hint="eastAsia"/>
                      <w:color w:val="auto"/>
                      <w:sz w:val="18"/>
                      <w:szCs w:val="18"/>
                      <w:highlight w:val="none"/>
                      <w:lang w:val="en-US" w:eastAsia="zh-CN"/>
                    </w:rPr>
                  </w:pPr>
                  <w:r>
                    <w:rPr>
                      <w:rFonts w:hint="eastAsia"/>
                      <w:color w:val="auto"/>
                      <w:sz w:val="18"/>
                      <w:szCs w:val="18"/>
                      <w:highlight w:val="none"/>
                      <w:lang w:val="en-US" w:eastAsia="zh-CN"/>
                    </w:rPr>
                    <w:t>粉料仓呼吸尘</w:t>
                  </w:r>
                </w:p>
              </w:tc>
              <w:tc>
                <w:tcPr>
                  <w:tcW w:w="43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21.82</w:t>
                  </w:r>
                </w:p>
              </w:tc>
              <w:tc>
                <w:tcPr>
                  <w:tcW w:w="66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57.6</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无</w:t>
                  </w:r>
                  <w:r>
                    <w:rPr>
                      <w:rFonts w:hint="eastAsia"/>
                      <w:color w:val="auto"/>
                      <w:sz w:val="18"/>
                      <w:szCs w:val="18"/>
                      <w:lang w:eastAsia="zh-CN"/>
                    </w:rPr>
                    <w:t>组织</w:t>
                  </w:r>
                </w:p>
              </w:tc>
              <w:tc>
                <w:tcPr>
                  <w:tcW w:w="870" w:type="dxa"/>
                  <w:tcBorders>
                    <w:tl2br w:val="nil"/>
                    <w:tr2bl w:val="nil"/>
                  </w:tcBorders>
                  <w:noWrap w:val="0"/>
                  <w:vAlign w:val="center"/>
                </w:tcPr>
                <w:p>
                  <w:pPr>
                    <w:pStyle w:val="31"/>
                    <w:bidi w:val="0"/>
                    <w:ind w:left="0" w:leftChars="0" w:firstLine="0" w:firstLineChars="0"/>
                    <w:rPr>
                      <w:rFonts w:hint="default"/>
                      <w:color w:val="auto"/>
                      <w:sz w:val="18"/>
                      <w:szCs w:val="18"/>
                    </w:rPr>
                  </w:pPr>
                  <w:r>
                    <w:rPr>
                      <w:rFonts w:hint="eastAsia"/>
                      <w:color w:val="auto"/>
                      <w:sz w:val="18"/>
                      <w:szCs w:val="18"/>
                      <w:lang w:val="en-US" w:eastAsia="zh-CN"/>
                    </w:rPr>
                    <w:t>粉料仓顶自带</w:t>
                  </w:r>
                  <w:r>
                    <w:rPr>
                      <w:rFonts w:hint="default"/>
                      <w:color w:val="auto"/>
                      <w:sz w:val="18"/>
                      <w:szCs w:val="18"/>
                      <w:lang w:val="en-US" w:eastAsia="zh-CN"/>
                    </w:rPr>
                    <w:t>‌脉冲布袋除尘装置‌</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color w:val="auto"/>
                      <w:sz w:val="18"/>
                      <w:szCs w:val="18"/>
                    </w:rPr>
                    <w:t>100</w:t>
                  </w:r>
                </w:p>
              </w:tc>
              <w:tc>
                <w:tcPr>
                  <w:tcW w:w="660" w:type="dxa"/>
                  <w:tcBorders>
                    <w:tl2br w:val="nil"/>
                    <w:tr2bl w:val="nil"/>
                  </w:tcBorders>
                  <w:noWrap w:val="0"/>
                  <w:vAlign w:val="center"/>
                </w:tcPr>
                <w:p>
                  <w:pPr>
                    <w:pStyle w:val="31"/>
                    <w:bidi w:val="0"/>
                    <w:ind w:left="0" w:leftChars="0" w:firstLine="0" w:firstLineChars="0"/>
                    <w:rPr>
                      <w:rFonts w:hint="default"/>
                      <w:color w:val="auto"/>
                      <w:sz w:val="18"/>
                      <w:szCs w:val="18"/>
                    </w:rPr>
                  </w:pPr>
                  <w:r>
                    <w:rPr>
                      <w:rFonts w:hint="eastAsia"/>
                      <w:color w:val="auto"/>
                      <w:sz w:val="18"/>
                      <w:szCs w:val="18"/>
                      <w:lang w:val="en-US" w:eastAsia="zh-CN"/>
                    </w:rPr>
                    <w:t>顶置脉冲布袋除尘器</w:t>
                  </w:r>
                  <w:r>
                    <w:rPr>
                      <w:color w:val="auto"/>
                      <w:sz w:val="18"/>
                      <w:szCs w:val="18"/>
                    </w:rPr>
                    <w:t>99.</w:t>
                  </w:r>
                  <w:r>
                    <w:rPr>
                      <w:rFonts w:hint="eastAsia"/>
                      <w:color w:val="auto"/>
                      <w:sz w:val="18"/>
                      <w:szCs w:val="18"/>
                      <w:lang w:val="en-US" w:eastAsia="zh-CN"/>
                    </w:rPr>
                    <w:t>7%、洒水抑尘74%</w:t>
                  </w:r>
                </w:p>
              </w:tc>
              <w:tc>
                <w:tcPr>
                  <w:tcW w:w="48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default"/>
                      <w:color w:val="auto"/>
                      <w:sz w:val="18"/>
                      <w:szCs w:val="18"/>
                    </w:rPr>
                    <w:t>是</w:t>
                  </w:r>
                </w:p>
              </w:tc>
              <w:tc>
                <w:tcPr>
                  <w:tcW w:w="60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0.017</w:t>
                  </w:r>
                </w:p>
              </w:tc>
              <w:tc>
                <w:tcPr>
                  <w:tcW w:w="570" w:type="dxa"/>
                  <w:tcBorders>
                    <w:tl2br w:val="nil"/>
                    <w:tr2bl w:val="nil"/>
                  </w:tcBorders>
                  <w:noWrap w:val="0"/>
                  <w:vAlign w:val="center"/>
                </w:tcPr>
                <w:p>
                  <w:pPr>
                    <w:pStyle w:val="31"/>
                    <w:bidi w:val="0"/>
                    <w:ind w:left="0" w:leftChars="0" w:firstLine="0" w:firstLineChars="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0.045</w:t>
                  </w:r>
                </w:p>
              </w:tc>
              <w:tc>
                <w:tcPr>
                  <w:tcW w:w="75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3#物料库面源污染</w:t>
                  </w:r>
                </w:p>
              </w:tc>
              <w:tc>
                <w:tcPr>
                  <w:tcW w:w="330" w:type="dxa"/>
                  <w:tcBorders>
                    <w:tl2br w:val="nil"/>
                    <w:tr2bl w:val="nil"/>
                  </w:tcBorders>
                  <w:noWrap w:val="0"/>
                  <w:vAlign w:val="center"/>
                </w:tcPr>
                <w:p>
                  <w:pPr>
                    <w:pStyle w:val="31"/>
                    <w:bidi w:val="0"/>
                    <w:rPr>
                      <w:rFonts w:hint="eastAsia"/>
                      <w:color w:val="auto"/>
                      <w:sz w:val="18"/>
                      <w:szCs w:val="18"/>
                      <w:highlight w:val="none"/>
                      <w:lang w:val="en-US" w:eastAsia="zh-CN"/>
                    </w:rPr>
                  </w:pPr>
                  <w:r>
                    <w:rPr>
                      <w:rFonts w:hint="eastAsia"/>
                      <w:color w:val="auto"/>
                      <w:sz w:val="18"/>
                      <w:szCs w:val="18"/>
                      <w:highlight w:val="none"/>
                      <w:lang w:val="en-US" w:eastAsia="zh-CN"/>
                    </w:rPr>
                    <w:t xml:space="preserve">合计 </w:t>
                  </w:r>
                </w:p>
              </w:tc>
              <w:tc>
                <w:tcPr>
                  <w:tcW w:w="43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102.65</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355.19</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无</w:t>
                  </w:r>
                  <w:r>
                    <w:rPr>
                      <w:rFonts w:hint="eastAsia"/>
                      <w:color w:val="auto"/>
                      <w:sz w:val="18"/>
                      <w:szCs w:val="18"/>
                      <w:lang w:eastAsia="zh-CN"/>
                    </w:rPr>
                    <w:t>组织</w:t>
                  </w:r>
                  <w:r>
                    <w:rPr>
                      <w:rFonts w:hint="eastAsia"/>
                      <w:color w:val="auto"/>
                      <w:sz w:val="18"/>
                      <w:szCs w:val="18"/>
                      <w:lang w:val="en-US" w:eastAsia="zh-CN"/>
                    </w:rPr>
                    <w:t xml:space="preserve"> </w:t>
                  </w:r>
                </w:p>
              </w:tc>
              <w:tc>
                <w:tcPr>
                  <w:tcW w:w="870" w:type="dxa"/>
                  <w:tcBorders>
                    <w:tl2br w:val="nil"/>
                    <w:tr2bl w:val="nil"/>
                  </w:tcBorders>
                  <w:noWrap w:val="0"/>
                  <w:vAlign w:val="center"/>
                </w:tcPr>
                <w:p>
                  <w:pPr>
                    <w:pStyle w:val="31"/>
                    <w:bidi w:val="0"/>
                    <w:rPr>
                      <w:rFonts w:hint="default"/>
                      <w:color w:val="auto"/>
                      <w:sz w:val="18"/>
                      <w:szCs w:val="18"/>
                    </w:rPr>
                  </w:pPr>
                  <w:r>
                    <w:rPr>
                      <w:rFonts w:hint="default"/>
                      <w:color w:val="auto"/>
                      <w:sz w:val="18"/>
                      <w:szCs w:val="18"/>
                    </w:rPr>
                    <w:t>喷淋抑尘、出入车辆冲洗、封闭式堆场</w:t>
                  </w:r>
                  <w:r>
                    <w:rPr>
                      <w:rFonts w:hint="eastAsia"/>
                      <w:color w:val="auto"/>
                      <w:sz w:val="18"/>
                      <w:szCs w:val="18"/>
                      <w:lang w:eastAsia="zh-CN"/>
                    </w:rPr>
                    <w:t>（保留进出口）、</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是</w:t>
                  </w:r>
                </w:p>
              </w:tc>
              <w:tc>
                <w:tcPr>
                  <w:tcW w:w="60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1.522</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4.146</w:t>
                  </w:r>
                </w:p>
              </w:tc>
              <w:tc>
                <w:tcPr>
                  <w:tcW w:w="75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2640（砂石料装卸）/7920（砂石料堆场）</w:t>
                  </w:r>
                </w:p>
              </w:tc>
              <w:tc>
                <w:tcPr>
                  <w:tcW w:w="5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restar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其中</w:t>
                  </w:r>
                </w:p>
              </w:tc>
              <w:tc>
                <w:tcPr>
                  <w:tcW w:w="362"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外来砂石料装卸及砂石堆场</w:t>
                  </w:r>
                </w:p>
              </w:tc>
              <w:tc>
                <w:tcPr>
                  <w:tcW w:w="33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砂石料装卸及堆场风蚀扬尘</w:t>
                  </w:r>
                </w:p>
              </w:tc>
              <w:tc>
                <w:tcPr>
                  <w:tcW w:w="43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96.89</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339.99</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无组织</w:t>
                  </w:r>
                </w:p>
              </w:tc>
              <w:tc>
                <w:tcPr>
                  <w:tcW w:w="87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喷淋抑尘、出入车辆冲洗、封闭式堆场</w:t>
                  </w:r>
                  <w:r>
                    <w:rPr>
                      <w:rFonts w:hint="eastAsia"/>
                      <w:color w:val="auto"/>
                      <w:sz w:val="18"/>
                      <w:szCs w:val="18"/>
                      <w:lang w:eastAsia="zh-CN"/>
                    </w:rPr>
                    <w:t>（保留进出口）</w:t>
                  </w:r>
                  <w:r>
                    <w:rPr>
                      <w:rFonts w:hint="default"/>
                      <w:color w:val="auto"/>
                      <w:sz w:val="18"/>
                      <w:szCs w:val="18"/>
                    </w:rPr>
                    <w:t>等</w:t>
                  </w:r>
                </w:p>
              </w:tc>
              <w:tc>
                <w:tcPr>
                  <w:tcW w:w="480" w:type="dxa"/>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rPr>
                    <w:t>喷淋抑尘</w:t>
                  </w:r>
                  <w:r>
                    <w:rPr>
                      <w:color w:val="auto"/>
                      <w:sz w:val="18"/>
                      <w:szCs w:val="18"/>
                    </w:rPr>
                    <w:t>74</w:t>
                  </w:r>
                  <w:r>
                    <w:rPr>
                      <w:rFonts w:hint="eastAsia"/>
                      <w:color w:val="auto"/>
                      <w:sz w:val="18"/>
                      <w:szCs w:val="18"/>
                      <w:lang w:val="en-US" w:eastAsia="zh-CN"/>
                    </w:rPr>
                    <w:t>%</w:t>
                  </w:r>
                  <w:r>
                    <w:rPr>
                      <w:rFonts w:hint="default"/>
                      <w:color w:val="auto"/>
                      <w:sz w:val="18"/>
                      <w:szCs w:val="18"/>
                    </w:rPr>
                    <w:t>、出入车辆冲洗</w:t>
                  </w:r>
                  <w:r>
                    <w:rPr>
                      <w:color w:val="auto"/>
                      <w:sz w:val="18"/>
                      <w:szCs w:val="18"/>
                    </w:rPr>
                    <w:t>78</w:t>
                  </w:r>
                  <w:r>
                    <w:rPr>
                      <w:rFonts w:hint="eastAsia"/>
                      <w:color w:val="auto"/>
                      <w:sz w:val="18"/>
                      <w:szCs w:val="18"/>
                      <w:lang w:val="en-US" w:eastAsia="zh-CN"/>
                    </w:rPr>
                    <w:t>%</w:t>
                  </w:r>
                  <w:r>
                    <w:rPr>
                      <w:rFonts w:hint="default"/>
                      <w:color w:val="auto"/>
                      <w:sz w:val="18"/>
                      <w:szCs w:val="18"/>
                    </w:rPr>
                    <w:t>，堆场</w:t>
                  </w:r>
                  <w:r>
                    <w:rPr>
                      <w:rFonts w:hint="eastAsia"/>
                      <w:color w:val="auto"/>
                      <w:sz w:val="18"/>
                      <w:szCs w:val="18"/>
                      <w:lang w:eastAsia="zh-CN"/>
                    </w:rPr>
                    <w:t>围挡</w:t>
                  </w:r>
                  <w:r>
                    <w:rPr>
                      <w:rFonts w:hint="eastAsia"/>
                      <w:color w:val="auto"/>
                      <w:sz w:val="18"/>
                      <w:szCs w:val="18"/>
                      <w:lang w:val="en-US" w:eastAsia="zh-CN"/>
                    </w:rPr>
                    <w:t>99%</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是</w:t>
                  </w:r>
                </w:p>
              </w:tc>
              <w:tc>
                <w:tcPr>
                  <w:tcW w:w="60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0.025</w:t>
                  </w:r>
                </w:p>
              </w:tc>
              <w:tc>
                <w:tcPr>
                  <w:tcW w:w="570" w:type="dxa"/>
                  <w:tcBorders>
                    <w:tl2br w:val="nil"/>
                    <w:tr2bl w:val="nil"/>
                  </w:tcBorders>
                  <w:noWrap w:val="0"/>
                  <w:vAlign w:val="center"/>
                </w:tcPr>
                <w:p>
                  <w:pPr>
                    <w:pStyle w:val="31"/>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0.194</w:t>
                  </w:r>
                </w:p>
              </w:tc>
              <w:tc>
                <w:tcPr>
                  <w:tcW w:w="75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2640（砂石料装卸）/7920（砂石料堆场）</w:t>
                  </w:r>
                </w:p>
              </w:tc>
              <w:tc>
                <w:tcPr>
                  <w:tcW w:w="57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continue"/>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p>
              </w:tc>
              <w:tc>
                <w:tcPr>
                  <w:tcW w:w="362" w:type="dxa"/>
                  <w:tcBorders>
                    <w:tl2br w:val="nil"/>
                    <w:tr2bl w:val="nil"/>
                  </w:tcBorders>
                  <w:shd w:val="clear" w:color="auto" w:fill="auto"/>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lang w:val="en-US" w:eastAsia="zh-CN"/>
                    </w:rPr>
                    <w:t>砂石计量配料</w:t>
                  </w:r>
                </w:p>
              </w:tc>
              <w:tc>
                <w:tcPr>
                  <w:tcW w:w="33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砂石计量配料粉尘</w:t>
                  </w:r>
                </w:p>
              </w:tc>
              <w:tc>
                <w:tcPr>
                  <w:tcW w:w="43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46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产污系数法</w:t>
                  </w:r>
                </w:p>
              </w:tc>
              <w:tc>
                <w:tcPr>
                  <w:tcW w:w="51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5.76</w:t>
                  </w:r>
                </w:p>
              </w:tc>
              <w:tc>
                <w:tcPr>
                  <w:tcW w:w="66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15.2</w:t>
                  </w:r>
                </w:p>
              </w:tc>
              <w:tc>
                <w:tcPr>
                  <w:tcW w:w="48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eastAsia="zh-CN"/>
                    </w:rPr>
                    <w:t>无组织</w:t>
                  </w:r>
                </w:p>
              </w:tc>
              <w:tc>
                <w:tcPr>
                  <w:tcW w:w="8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喷淋</w:t>
                  </w:r>
                  <w:r>
                    <w:rPr>
                      <w:rFonts w:hint="default"/>
                      <w:color w:val="auto"/>
                      <w:sz w:val="18"/>
                      <w:szCs w:val="18"/>
                    </w:rPr>
                    <w:t>抑尘</w:t>
                  </w:r>
                </w:p>
              </w:tc>
              <w:tc>
                <w:tcPr>
                  <w:tcW w:w="48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66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喷淋</w:t>
                  </w:r>
                  <w:r>
                    <w:rPr>
                      <w:rFonts w:hint="default"/>
                      <w:color w:val="auto"/>
                      <w:sz w:val="18"/>
                      <w:szCs w:val="18"/>
                    </w:rPr>
                    <w:t>抑尘</w:t>
                  </w:r>
                  <w:r>
                    <w:rPr>
                      <w:color w:val="auto"/>
                      <w:sz w:val="18"/>
                      <w:szCs w:val="18"/>
                    </w:rPr>
                    <w:t>74</w:t>
                  </w:r>
                  <w:r>
                    <w:rPr>
                      <w:rFonts w:hint="eastAsia"/>
                      <w:color w:val="auto"/>
                      <w:sz w:val="18"/>
                      <w:szCs w:val="18"/>
                      <w:lang w:val="en-US" w:eastAsia="zh-CN"/>
                    </w:rPr>
                    <w:t>%</w:t>
                  </w:r>
                </w:p>
              </w:tc>
              <w:tc>
                <w:tcPr>
                  <w:tcW w:w="48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是</w:t>
                  </w:r>
                </w:p>
              </w:tc>
              <w:tc>
                <w:tcPr>
                  <w:tcW w:w="60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1.497</w:t>
                  </w:r>
                </w:p>
              </w:tc>
              <w:tc>
                <w:tcPr>
                  <w:tcW w:w="5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3.952</w:t>
                  </w:r>
                </w:p>
              </w:tc>
              <w:tc>
                <w:tcPr>
                  <w:tcW w:w="75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70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7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w:t>
                  </w:r>
                </w:p>
              </w:tc>
              <w:tc>
                <w:tcPr>
                  <w:tcW w:w="570"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运输车辆行驶</w:t>
                  </w:r>
                </w:p>
              </w:tc>
              <w:tc>
                <w:tcPr>
                  <w:tcW w:w="33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运输车辆扬尘</w:t>
                  </w:r>
                </w:p>
              </w:tc>
              <w:tc>
                <w:tcPr>
                  <w:tcW w:w="43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46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产污系数法</w:t>
                  </w:r>
                </w:p>
              </w:tc>
              <w:tc>
                <w:tcPr>
                  <w:tcW w:w="51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2.16</w:t>
                  </w:r>
                </w:p>
              </w:tc>
              <w:tc>
                <w:tcPr>
                  <w:tcW w:w="66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5.71</w:t>
                  </w:r>
                </w:p>
              </w:tc>
              <w:tc>
                <w:tcPr>
                  <w:tcW w:w="48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无组织</w:t>
                  </w:r>
                </w:p>
              </w:tc>
              <w:tc>
                <w:tcPr>
                  <w:tcW w:w="87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洒水抑尘、</w:t>
                  </w:r>
                  <w:r>
                    <w:rPr>
                      <w:rFonts w:hint="default"/>
                      <w:color w:val="auto"/>
                      <w:sz w:val="18"/>
                      <w:szCs w:val="18"/>
                    </w:rPr>
                    <w:t>出入车辆冲洗</w:t>
                  </w:r>
                </w:p>
              </w:tc>
              <w:tc>
                <w:tcPr>
                  <w:tcW w:w="48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color w:val="auto"/>
                      <w:sz w:val="18"/>
                      <w:szCs w:val="18"/>
                    </w:rPr>
                    <w:t>/</w:t>
                  </w:r>
                </w:p>
              </w:tc>
              <w:tc>
                <w:tcPr>
                  <w:tcW w:w="66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洒水抑尘</w:t>
                  </w:r>
                  <w:r>
                    <w:rPr>
                      <w:color w:val="auto"/>
                      <w:sz w:val="18"/>
                      <w:szCs w:val="18"/>
                    </w:rPr>
                    <w:t>74</w:t>
                  </w:r>
                  <w:r>
                    <w:rPr>
                      <w:rFonts w:hint="eastAsia"/>
                      <w:color w:val="auto"/>
                      <w:sz w:val="18"/>
                      <w:szCs w:val="18"/>
                      <w:lang w:val="en-US" w:eastAsia="zh-CN"/>
                    </w:rPr>
                    <w:t>%</w:t>
                  </w:r>
                  <w:r>
                    <w:rPr>
                      <w:rFonts w:hint="default"/>
                      <w:color w:val="auto"/>
                      <w:sz w:val="18"/>
                      <w:szCs w:val="18"/>
                    </w:rPr>
                    <w:t>、出入车辆冲洗</w:t>
                  </w:r>
                  <w:r>
                    <w:rPr>
                      <w:color w:val="auto"/>
                      <w:sz w:val="18"/>
                      <w:szCs w:val="18"/>
                    </w:rPr>
                    <w:t>78</w:t>
                  </w:r>
                  <w:r>
                    <w:rPr>
                      <w:rFonts w:hint="eastAsia"/>
                      <w:color w:val="auto"/>
                      <w:sz w:val="18"/>
                      <w:szCs w:val="18"/>
                      <w:lang w:val="en-US" w:eastAsia="zh-CN"/>
                    </w:rPr>
                    <w:t>%</w:t>
                  </w:r>
                </w:p>
              </w:tc>
              <w:tc>
                <w:tcPr>
                  <w:tcW w:w="48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是</w:t>
                  </w:r>
                </w:p>
              </w:tc>
              <w:tc>
                <w:tcPr>
                  <w:tcW w:w="60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0.124</w:t>
                  </w:r>
                </w:p>
              </w:tc>
              <w:tc>
                <w:tcPr>
                  <w:tcW w:w="57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0.327</w:t>
                  </w:r>
                </w:p>
              </w:tc>
              <w:tc>
                <w:tcPr>
                  <w:tcW w:w="75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70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7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w:t>
                  </w:r>
                </w:p>
              </w:tc>
              <w:tc>
                <w:tcPr>
                  <w:tcW w:w="570"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焊接</w:t>
                  </w:r>
                </w:p>
              </w:tc>
              <w:tc>
                <w:tcPr>
                  <w:tcW w:w="33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焊接烟尘</w:t>
                  </w:r>
                </w:p>
              </w:tc>
              <w:tc>
                <w:tcPr>
                  <w:tcW w:w="43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0.0074</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0.00242</w:t>
                  </w:r>
                </w:p>
              </w:tc>
              <w:tc>
                <w:tcPr>
                  <w:tcW w:w="480" w:type="dxa"/>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是</w:t>
                  </w:r>
                </w:p>
              </w:tc>
              <w:tc>
                <w:tcPr>
                  <w:tcW w:w="60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0.0074</w:t>
                  </w:r>
                </w:p>
              </w:tc>
              <w:tc>
                <w:tcPr>
                  <w:tcW w:w="570" w:type="dxa"/>
                  <w:tcBorders>
                    <w:tl2br w:val="nil"/>
                    <w:tr2bl w:val="nil"/>
                  </w:tcBorders>
                  <w:noWrap w:val="0"/>
                  <w:vAlign w:val="center"/>
                </w:tcPr>
                <w:p>
                  <w:pPr>
                    <w:pStyle w:val="31"/>
                    <w:bidi w:val="0"/>
                    <w:ind w:left="0" w:leftChars="0" w:firstLine="0" w:firstLineChars="0"/>
                    <w:rPr>
                      <w:rFonts w:hint="default"/>
                      <w:color w:val="auto"/>
                      <w:sz w:val="18"/>
                      <w:szCs w:val="18"/>
                      <w:lang w:val="en-US" w:eastAsia="zh-CN"/>
                    </w:rPr>
                  </w:pPr>
                  <w:r>
                    <w:rPr>
                      <w:rFonts w:hint="eastAsia"/>
                      <w:color w:val="auto"/>
                      <w:sz w:val="18"/>
                      <w:szCs w:val="18"/>
                      <w:lang w:val="en-US" w:eastAsia="zh-CN"/>
                    </w:rPr>
                    <w:t>0.00242</w:t>
                  </w:r>
                </w:p>
              </w:tc>
              <w:tc>
                <w:tcPr>
                  <w:tcW w:w="75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330</w:t>
                  </w:r>
                </w:p>
              </w:tc>
              <w:tc>
                <w:tcPr>
                  <w:tcW w:w="570"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w:t>
                  </w:r>
                </w:p>
              </w:tc>
            </w:tr>
          </w:tbl>
          <w:p>
            <w:pPr>
              <w:adjustRightInd w:val="0"/>
              <w:snapToGrid w:val="0"/>
              <w:spacing w:line="320" w:lineRule="exact"/>
              <w:ind w:firstLine="720" w:firstLineChars="300"/>
              <w:jc w:val="left"/>
              <w:rPr>
                <w:rFonts w:hint="default" w:ascii="Times New Roman" w:hAnsi="Times New Roman" w:eastAsia="宋体" w:cs="Times New Roman"/>
                <w:color w:val="auto"/>
                <w:sz w:val="24"/>
                <w:szCs w:val="24"/>
                <w:vertAlign w:val="baseline"/>
                <w:lang w:eastAsia="zh-CN"/>
              </w:rPr>
            </w:pPr>
          </w:p>
        </w:tc>
      </w:tr>
    </w:tbl>
    <w:p>
      <w:pPr>
        <w:pStyle w:val="17"/>
        <w:numPr>
          <w:ilvl w:val="0"/>
          <w:numId w:val="0"/>
        </w:numPr>
        <w:jc w:val="both"/>
        <w:outlineLvl w:val="9"/>
        <w:rPr>
          <w:rFonts w:hint="default" w:ascii="Times New Roman" w:hAnsi="Times New Roman" w:eastAsia="宋体" w:cs="Times New Roman"/>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74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Cs w:val="21"/>
              </w:rPr>
              <w:t>措施</w:t>
            </w:r>
          </w:p>
        </w:tc>
        <w:tc>
          <w:tcPr>
            <w:tcW w:w="8134" w:type="dxa"/>
            <w:noWrap w:val="0"/>
            <w:vAlign w:val="center"/>
          </w:tcPr>
          <w:p>
            <w:pPr>
              <w:pStyle w:val="4"/>
              <w:rPr>
                <w:rFonts w:hint="eastAsia"/>
                <w:color w:val="auto"/>
                <w:lang w:val="en-US" w:eastAsia="zh-CN"/>
              </w:rPr>
            </w:pPr>
            <w:r>
              <w:rPr>
                <w:rFonts w:hint="eastAsia"/>
                <w:color w:val="auto"/>
                <w:lang w:val="en-US" w:eastAsia="zh-CN"/>
              </w:rPr>
              <w:t>4.2.2废气污染源汇总</w:t>
            </w:r>
          </w:p>
          <w:p>
            <w:pPr>
              <w:rPr>
                <w:rFonts w:hint="eastAsia"/>
                <w:color w:val="auto"/>
                <w:lang w:val="en-US" w:eastAsia="zh-CN"/>
              </w:rPr>
            </w:pPr>
            <w:r>
              <w:rPr>
                <w:rFonts w:hint="eastAsia"/>
                <w:color w:val="auto"/>
                <w:lang w:val="en-US" w:eastAsia="zh-CN"/>
              </w:rPr>
              <w:t>根据前小节计算结果，主要污染源为2#搅拌楼的搅拌粉尘、粉料仓呼吸尘，3#物料库的砂石料装卸粉尘、砂石料堆场风蚀扬尘和砂石计料粉尘，5#生产车间的焊接烟尘以及厂内的运输粉尘。</w:t>
            </w:r>
          </w:p>
          <w:p>
            <w:pPr>
              <w:rPr>
                <w:rFonts w:hint="default"/>
                <w:color w:val="auto"/>
                <w:lang w:val="en-US" w:eastAsia="zh-CN"/>
              </w:rPr>
            </w:pPr>
            <w:r>
              <w:rPr>
                <w:rFonts w:hint="eastAsia"/>
                <w:color w:val="auto"/>
                <w:lang w:val="en-US" w:eastAsia="zh-CN"/>
              </w:rPr>
              <w:t>其中</w:t>
            </w:r>
            <w:r>
              <w:rPr>
                <w:rFonts w:hint="eastAsia" w:cs="Times New Roman"/>
                <w:color w:val="auto"/>
                <w:kern w:val="0"/>
                <w:sz w:val="24"/>
                <w:szCs w:val="24"/>
                <w:lang w:val="en-US" w:eastAsia="zh-CN"/>
              </w:rPr>
              <w:t>2#搅拌楼的</w:t>
            </w:r>
            <w:r>
              <w:rPr>
                <w:rFonts w:hint="eastAsia"/>
                <w:color w:val="auto"/>
                <w:lang w:val="en-US" w:eastAsia="zh-CN"/>
              </w:rPr>
              <w:t>搅拌粉尘、粉料仓呼吸尘均为无组织排放，排放总量为0.822t/a，最大排放速率为0.311kg/h。3#物料库的砂石料装卸及堆场风蚀扬尘、砂石计料粉尘等无组织合计排放总量为4.146t/a，最大排放速率为1.522kg/h。5#生产车间的焊接烟尘排放总量0.00242t/a，最大排放速率为0.0074kg/h，厂内运输粉尘排放总量</w:t>
            </w:r>
            <w:r>
              <w:rPr>
                <w:rFonts w:hint="eastAsia"/>
                <w:color w:val="auto"/>
              </w:rPr>
              <w:t>0.327</w:t>
            </w:r>
            <w:r>
              <w:rPr>
                <w:rFonts w:hint="eastAsia"/>
                <w:color w:val="auto"/>
                <w:lang w:val="en-US" w:eastAsia="zh-CN"/>
              </w:rPr>
              <w:t>t/a</w:t>
            </w:r>
            <w:r>
              <w:rPr>
                <w:rFonts w:hint="eastAsia"/>
                <w:color w:val="auto"/>
                <w:lang w:eastAsia="zh-CN"/>
              </w:rPr>
              <w:t>，</w:t>
            </w:r>
            <w:r>
              <w:rPr>
                <w:rFonts w:hint="eastAsia"/>
                <w:color w:val="auto"/>
                <w:lang w:val="en-US" w:eastAsia="zh-CN"/>
              </w:rPr>
              <w:t>排放速率</w:t>
            </w:r>
            <w:r>
              <w:rPr>
                <w:rFonts w:hint="eastAsia"/>
                <w:color w:val="auto"/>
              </w:rPr>
              <w:t>0.124</w:t>
            </w:r>
            <w:r>
              <w:rPr>
                <w:rFonts w:hint="eastAsia"/>
                <w:color w:val="auto"/>
                <w:lang w:val="en-US" w:eastAsia="zh-CN"/>
              </w:rPr>
              <w:t>kg/h。全厂粉尘排放量合计5.29742t/a。</w:t>
            </w:r>
          </w:p>
          <w:p>
            <w:pPr>
              <w:pStyle w:val="4"/>
              <w:bidi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3</w:t>
            </w:r>
            <w:r>
              <w:rPr>
                <w:color w:val="auto"/>
              </w:rPr>
              <w:t xml:space="preserve"> </w:t>
            </w:r>
            <w:r>
              <w:rPr>
                <w:rFonts w:hint="eastAsia"/>
                <w:color w:val="auto"/>
              </w:rPr>
              <w:t>非正常排放</w:t>
            </w:r>
          </w:p>
          <w:p>
            <w:pPr>
              <w:bidi w:val="0"/>
              <w:rPr>
                <w:rFonts w:hint="eastAsia"/>
                <w:color w:val="auto"/>
                <w:lang w:val="en-US" w:eastAsia="zh-CN"/>
              </w:rPr>
            </w:pPr>
            <w:r>
              <w:rPr>
                <w:rFonts w:hint="eastAsia"/>
                <w:color w:val="auto"/>
                <w:lang w:val="en-US" w:eastAsia="zh-CN"/>
              </w:rPr>
              <w:t>项目正常情况为常年生产状态，年工作日330天，实行昼间单制，8h/d，夜间不生产，本次非正常排放情况考虑2#搅拌楼粉料仓顶自带‌脉冲布袋除尘装置发生故障，废气处理达不到设计效率。由于项目废气处理设施主要为过滤式，故障时主要为滤材局部破损等，基本不会完全失效，本次非正常工况按废气处理设施处理效率下降至按50%计，非正常排放时间1h计算，非正常排放量核算见4.2-5。</w:t>
            </w:r>
          </w:p>
          <w:p>
            <w:pPr>
              <w:pStyle w:val="33"/>
              <w:bidi w:val="0"/>
              <w:rPr>
                <w:rFonts w:hint="default"/>
                <w:color w:val="auto"/>
                <w:sz w:val="24"/>
                <w:szCs w:val="24"/>
              </w:rPr>
            </w:pPr>
            <w:r>
              <w:rPr>
                <w:rFonts w:hint="default"/>
                <w:color w:val="auto"/>
                <w:sz w:val="24"/>
                <w:szCs w:val="24"/>
              </w:rPr>
              <w:t>表4.</w:t>
            </w:r>
            <w:r>
              <w:rPr>
                <w:rFonts w:hint="eastAsia"/>
                <w:color w:val="auto"/>
                <w:sz w:val="24"/>
                <w:szCs w:val="24"/>
                <w:lang w:val="en-US" w:eastAsia="zh-CN"/>
              </w:rPr>
              <w:t>2-5</w:t>
            </w:r>
            <w:r>
              <w:rPr>
                <w:rFonts w:hint="default"/>
                <w:color w:val="auto"/>
                <w:sz w:val="24"/>
                <w:szCs w:val="24"/>
              </w:rPr>
              <w:t xml:space="preserve"> 项目废气污染物非正常排放核算表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74"/>
              <w:gridCol w:w="1032"/>
              <w:gridCol w:w="664"/>
              <w:gridCol w:w="1022"/>
              <w:gridCol w:w="952"/>
              <w:gridCol w:w="798"/>
              <w:gridCol w:w="806"/>
              <w:gridCol w:w="65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noWrap w:val="0"/>
                  <w:vAlign w:val="center"/>
                </w:tcPr>
                <w:p>
                  <w:pPr>
                    <w:pStyle w:val="31"/>
                    <w:bidi w:val="0"/>
                    <w:rPr>
                      <w:rFonts w:hint="default"/>
                      <w:color w:val="auto"/>
                    </w:rPr>
                  </w:pPr>
                  <w:r>
                    <w:rPr>
                      <w:rFonts w:hint="default"/>
                      <w:color w:val="auto"/>
                    </w:rPr>
                    <w:t>序号</w:t>
                  </w:r>
                </w:p>
              </w:tc>
              <w:tc>
                <w:tcPr>
                  <w:tcW w:w="551" w:type="pct"/>
                  <w:noWrap w:val="0"/>
                  <w:vAlign w:val="center"/>
                </w:tcPr>
                <w:p>
                  <w:pPr>
                    <w:pStyle w:val="31"/>
                    <w:bidi w:val="0"/>
                    <w:rPr>
                      <w:rFonts w:hint="default"/>
                      <w:color w:val="auto"/>
                    </w:rPr>
                  </w:pPr>
                  <w:r>
                    <w:rPr>
                      <w:rFonts w:hint="default"/>
                      <w:color w:val="auto"/>
                    </w:rPr>
                    <w:t>污染源</w:t>
                  </w:r>
                </w:p>
              </w:tc>
              <w:tc>
                <w:tcPr>
                  <w:tcW w:w="651" w:type="pct"/>
                  <w:noWrap w:val="0"/>
                  <w:vAlign w:val="center"/>
                </w:tcPr>
                <w:p>
                  <w:pPr>
                    <w:pStyle w:val="31"/>
                    <w:bidi w:val="0"/>
                    <w:rPr>
                      <w:rFonts w:hint="default"/>
                      <w:color w:val="auto"/>
                    </w:rPr>
                  </w:pPr>
                  <w:r>
                    <w:rPr>
                      <w:rFonts w:hint="default"/>
                      <w:color w:val="auto"/>
                    </w:rPr>
                    <w:t>非正常排放原因</w:t>
                  </w:r>
                </w:p>
              </w:tc>
              <w:tc>
                <w:tcPr>
                  <w:tcW w:w="419" w:type="pct"/>
                  <w:noWrap w:val="0"/>
                  <w:vAlign w:val="center"/>
                </w:tcPr>
                <w:p>
                  <w:pPr>
                    <w:pStyle w:val="31"/>
                    <w:bidi w:val="0"/>
                    <w:rPr>
                      <w:rFonts w:hint="default"/>
                      <w:color w:val="auto"/>
                    </w:rPr>
                  </w:pPr>
                  <w:r>
                    <w:rPr>
                      <w:rFonts w:hint="default"/>
                      <w:color w:val="auto"/>
                    </w:rPr>
                    <w:t>污染物</w:t>
                  </w:r>
                </w:p>
              </w:tc>
              <w:tc>
                <w:tcPr>
                  <w:tcW w:w="645" w:type="pct"/>
                  <w:noWrap w:val="0"/>
                  <w:vAlign w:val="center"/>
                </w:tcPr>
                <w:p>
                  <w:pPr>
                    <w:pStyle w:val="31"/>
                    <w:bidi w:val="0"/>
                    <w:rPr>
                      <w:rFonts w:hint="default"/>
                      <w:color w:val="auto"/>
                    </w:rPr>
                  </w:pPr>
                  <w:r>
                    <w:rPr>
                      <w:rFonts w:hint="default"/>
                      <w:color w:val="auto"/>
                    </w:rPr>
                    <w:t>非正常排放浓度(mg/m</w:t>
                  </w:r>
                  <w:r>
                    <w:rPr>
                      <w:rFonts w:hint="default"/>
                      <w:color w:val="auto"/>
                      <w:vertAlign w:val="superscript"/>
                    </w:rPr>
                    <w:t>3</w:t>
                  </w:r>
                  <w:r>
                    <w:rPr>
                      <w:rFonts w:hint="default"/>
                      <w:color w:val="auto"/>
                    </w:rPr>
                    <w:t>)</w:t>
                  </w:r>
                </w:p>
              </w:tc>
              <w:tc>
                <w:tcPr>
                  <w:tcW w:w="601" w:type="pct"/>
                  <w:noWrap w:val="0"/>
                  <w:vAlign w:val="center"/>
                </w:tcPr>
                <w:p>
                  <w:pPr>
                    <w:pStyle w:val="31"/>
                    <w:bidi w:val="0"/>
                    <w:rPr>
                      <w:rFonts w:hint="default"/>
                      <w:color w:val="auto"/>
                    </w:rPr>
                  </w:pPr>
                  <w:r>
                    <w:rPr>
                      <w:rFonts w:hint="default"/>
                      <w:color w:val="auto"/>
                    </w:rPr>
                    <w:t>非正常排放速率(kg/h)</w:t>
                  </w:r>
                </w:p>
              </w:tc>
              <w:tc>
                <w:tcPr>
                  <w:tcW w:w="503" w:type="pct"/>
                  <w:noWrap w:val="0"/>
                  <w:vAlign w:val="center"/>
                </w:tcPr>
                <w:p>
                  <w:pPr>
                    <w:pStyle w:val="31"/>
                    <w:bidi w:val="0"/>
                    <w:rPr>
                      <w:rFonts w:hint="default"/>
                      <w:color w:val="auto"/>
                    </w:rPr>
                  </w:pPr>
                  <w:r>
                    <w:rPr>
                      <w:rFonts w:hint="default"/>
                      <w:color w:val="auto"/>
                    </w:rPr>
                    <w:t>单次持续时间/h</w:t>
                  </w:r>
                </w:p>
              </w:tc>
              <w:tc>
                <w:tcPr>
                  <w:tcW w:w="508" w:type="pct"/>
                  <w:noWrap w:val="0"/>
                  <w:vAlign w:val="center"/>
                </w:tcPr>
                <w:p>
                  <w:pPr>
                    <w:pStyle w:val="31"/>
                    <w:bidi w:val="0"/>
                    <w:rPr>
                      <w:rFonts w:hint="default"/>
                      <w:color w:val="auto"/>
                    </w:rPr>
                  </w:pPr>
                  <w:r>
                    <w:rPr>
                      <w:rFonts w:hint="default"/>
                      <w:color w:val="auto"/>
                    </w:rPr>
                    <w:t>排放量kg</w:t>
                  </w:r>
                </w:p>
              </w:tc>
              <w:tc>
                <w:tcPr>
                  <w:tcW w:w="415" w:type="pct"/>
                  <w:noWrap w:val="0"/>
                  <w:vAlign w:val="center"/>
                </w:tcPr>
                <w:p>
                  <w:pPr>
                    <w:pStyle w:val="31"/>
                    <w:bidi w:val="0"/>
                    <w:rPr>
                      <w:rFonts w:hint="default"/>
                      <w:color w:val="auto"/>
                    </w:rPr>
                  </w:pPr>
                  <w:r>
                    <w:rPr>
                      <w:rFonts w:hint="default"/>
                      <w:color w:val="auto"/>
                    </w:rPr>
                    <w:t>年发生频次/次</w:t>
                  </w:r>
                </w:p>
              </w:tc>
              <w:tc>
                <w:tcPr>
                  <w:tcW w:w="437" w:type="pct"/>
                  <w:noWrap w:val="0"/>
                  <w:vAlign w:val="center"/>
                </w:tcPr>
                <w:p>
                  <w:pPr>
                    <w:pStyle w:val="31"/>
                    <w:bidi w:val="0"/>
                    <w:rPr>
                      <w:rFonts w:hint="default"/>
                      <w:color w:val="auto"/>
                    </w:rPr>
                  </w:pPr>
                  <w:r>
                    <w:rPr>
                      <w:rFonts w:hint="default"/>
                      <w:color w:val="auto"/>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noWrap w:val="0"/>
                  <w:vAlign w:val="center"/>
                </w:tcPr>
                <w:p>
                  <w:pPr>
                    <w:pStyle w:val="31"/>
                    <w:bidi w:val="0"/>
                    <w:rPr>
                      <w:rFonts w:hint="default"/>
                      <w:color w:val="auto"/>
                    </w:rPr>
                  </w:pPr>
                  <w:r>
                    <w:rPr>
                      <w:rFonts w:hint="default"/>
                      <w:color w:val="auto"/>
                    </w:rPr>
                    <w:t>1</w:t>
                  </w:r>
                </w:p>
              </w:tc>
              <w:tc>
                <w:tcPr>
                  <w:tcW w:w="551" w:type="pct"/>
                  <w:noWrap w:val="0"/>
                  <w:vAlign w:val="center"/>
                </w:tcPr>
                <w:p>
                  <w:pPr>
                    <w:pStyle w:val="31"/>
                    <w:bidi w:val="0"/>
                    <w:rPr>
                      <w:rFonts w:hint="default"/>
                      <w:color w:val="auto"/>
                      <w:lang w:val="en-US" w:eastAsia="zh-CN"/>
                    </w:rPr>
                  </w:pPr>
                  <w:r>
                    <w:rPr>
                      <w:rFonts w:hint="eastAsia"/>
                      <w:color w:val="auto"/>
                      <w:lang w:val="en-US" w:eastAsia="zh-CN"/>
                    </w:rPr>
                    <w:t>搅拌站呼吸粉尘</w:t>
                  </w:r>
                </w:p>
              </w:tc>
              <w:tc>
                <w:tcPr>
                  <w:tcW w:w="651" w:type="pct"/>
                  <w:noWrap w:val="0"/>
                  <w:vAlign w:val="center"/>
                </w:tcPr>
                <w:p>
                  <w:pPr>
                    <w:pStyle w:val="31"/>
                    <w:bidi w:val="0"/>
                    <w:rPr>
                      <w:rFonts w:hint="default"/>
                      <w:color w:val="auto"/>
                      <w:lang w:val="en-US" w:eastAsia="zh-CN"/>
                    </w:rPr>
                  </w:pPr>
                  <w:r>
                    <w:rPr>
                      <w:rFonts w:hint="eastAsia"/>
                      <w:color w:val="auto"/>
                      <w:lang w:val="en-US" w:eastAsia="zh-CN"/>
                    </w:rPr>
                    <w:t>袋式除尘器发生故障</w:t>
                  </w:r>
                </w:p>
              </w:tc>
              <w:tc>
                <w:tcPr>
                  <w:tcW w:w="419" w:type="pct"/>
                  <w:noWrap w:val="0"/>
                  <w:vAlign w:val="center"/>
                </w:tcPr>
                <w:p>
                  <w:pPr>
                    <w:pStyle w:val="31"/>
                    <w:bidi w:val="0"/>
                    <w:rPr>
                      <w:rFonts w:hint="default"/>
                      <w:color w:val="auto"/>
                      <w:lang w:val="en-US" w:eastAsia="zh-CN"/>
                    </w:rPr>
                  </w:pPr>
                  <w:r>
                    <w:rPr>
                      <w:rFonts w:hint="eastAsia"/>
                      <w:color w:val="auto"/>
                      <w:lang w:val="en-US" w:eastAsia="zh-CN"/>
                    </w:rPr>
                    <w:t>颗粒物</w:t>
                  </w:r>
                </w:p>
              </w:tc>
              <w:tc>
                <w:tcPr>
                  <w:tcW w:w="645" w:type="pct"/>
                  <w:noWrap w:val="0"/>
                  <w:vAlign w:val="center"/>
                </w:tcPr>
                <w:p>
                  <w:pPr>
                    <w:pStyle w:val="31"/>
                    <w:bidi w:val="0"/>
                    <w:rPr>
                      <w:rFonts w:hint="default"/>
                      <w:color w:val="auto"/>
                      <w:lang w:val="en-US" w:eastAsia="zh-CN"/>
                    </w:rPr>
                  </w:pPr>
                  <w:r>
                    <w:rPr>
                      <w:rFonts w:hint="eastAsia"/>
                      <w:color w:val="auto"/>
                      <w:lang w:val="en-US" w:eastAsia="zh-CN"/>
                    </w:rPr>
                    <w:t>/</w:t>
                  </w:r>
                </w:p>
              </w:tc>
              <w:tc>
                <w:tcPr>
                  <w:tcW w:w="601" w:type="pct"/>
                  <w:noWrap w:val="0"/>
                  <w:vAlign w:val="center"/>
                </w:tcPr>
                <w:p>
                  <w:pPr>
                    <w:pStyle w:val="31"/>
                    <w:bidi w:val="0"/>
                    <w:rPr>
                      <w:rFonts w:hint="default"/>
                      <w:color w:val="auto"/>
                      <w:lang w:val="en-US" w:eastAsia="zh-CN"/>
                    </w:rPr>
                  </w:pPr>
                  <w:r>
                    <w:rPr>
                      <w:rFonts w:hint="eastAsia"/>
                      <w:color w:val="auto"/>
                      <w:lang w:val="en-US" w:eastAsia="zh-CN"/>
                    </w:rPr>
                    <w:t>2.8366</w:t>
                  </w:r>
                </w:p>
              </w:tc>
              <w:tc>
                <w:tcPr>
                  <w:tcW w:w="503" w:type="pct"/>
                  <w:noWrap w:val="0"/>
                  <w:vAlign w:val="center"/>
                </w:tcPr>
                <w:p>
                  <w:pPr>
                    <w:pStyle w:val="31"/>
                    <w:bidi w:val="0"/>
                    <w:rPr>
                      <w:rFonts w:hint="default"/>
                      <w:color w:val="auto"/>
                      <w:lang w:val="en-US" w:eastAsia="zh-CN"/>
                    </w:rPr>
                  </w:pPr>
                  <w:r>
                    <w:rPr>
                      <w:rFonts w:hint="eastAsia"/>
                      <w:color w:val="auto"/>
                      <w:lang w:val="en-US" w:eastAsia="zh-CN"/>
                    </w:rPr>
                    <w:t>1</w:t>
                  </w:r>
                </w:p>
              </w:tc>
              <w:tc>
                <w:tcPr>
                  <w:tcW w:w="508" w:type="pct"/>
                  <w:noWrap w:val="0"/>
                  <w:vAlign w:val="center"/>
                </w:tcPr>
                <w:p>
                  <w:pPr>
                    <w:pStyle w:val="31"/>
                    <w:bidi w:val="0"/>
                    <w:rPr>
                      <w:rFonts w:hint="default"/>
                      <w:color w:val="auto"/>
                      <w:lang w:val="en-US" w:eastAsia="zh-CN"/>
                    </w:rPr>
                  </w:pPr>
                  <w:r>
                    <w:rPr>
                      <w:rFonts w:hint="eastAsia"/>
                      <w:color w:val="auto"/>
                      <w:lang w:val="en-US" w:eastAsia="zh-CN"/>
                    </w:rPr>
                    <w:t>2.8366</w:t>
                  </w:r>
                </w:p>
              </w:tc>
              <w:tc>
                <w:tcPr>
                  <w:tcW w:w="415" w:type="pct"/>
                  <w:noWrap w:val="0"/>
                  <w:vAlign w:val="center"/>
                </w:tcPr>
                <w:p>
                  <w:pPr>
                    <w:pStyle w:val="31"/>
                    <w:bidi w:val="0"/>
                    <w:rPr>
                      <w:rFonts w:hint="default"/>
                      <w:color w:val="auto"/>
                    </w:rPr>
                  </w:pPr>
                  <w:r>
                    <w:rPr>
                      <w:rFonts w:hint="eastAsia"/>
                      <w:color w:val="auto"/>
                      <w:lang w:val="en-US" w:eastAsia="zh-CN"/>
                    </w:rPr>
                    <w:t>1</w:t>
                  </w:r>
                </w:p>
              </w:tc>
              <w:tc>
                <w:tcPr>
                  <w:tcW w:w="437" w:type="pct"/>
                  <w:noWrap w:val="0"/>
                  <w:vAlign w:val="center"/>
                </w:tcPr>
                <w:p>
                  <w:pPr>
                    <w:pStyle w:val="31"/>
                    <w:bidi w:val="0"/>
                    <w:rPr>
                      <w:rFonts w:hint="default"/>
                      <w:color w:val="auto"/>
                    </w:rPr>
                  </w:pPr>
                  <w:r>
                    <w:rPr>
                      <w:rFonts w:hint="default"/>
                      <w:color w:val="auto"/>
                    </w:rPr>
                    <w:t>立即停止作业</w:t>
                  </w:r>
                </w:p>
              </w:tc>
            </w:tr>
          </w:tbl>
          <w:p>
            <w:pPr>
              <w:bidi w:val="0"/>
              <w:rPr>
                <w:rFonts w:hint="eastAsia"/>
                <w:color w:val="auto"/>
                <w:lang w:val="en-US" w:eastAsia="zh-CN"/>
              </w:rPr>
            </w:pPr>
            <w:r>
              <w:rPr>
                <w:rFonts w:hint="eastAsia"/>
                <w:color w:val="auto"/>
                <w:lang w:val="en-US" w:eastAsia="zh-CN"/>
              </w:rPr>
              <w:t>由表4.2-5可知，本项目废气设施在故障等情况发生时，非正常事故源搅拌站粉料仓呼吸尘的排放将形成超标排放，其余废气污染源排放源强也有所增加，对周边大气环境不利影响程度有较大增加。因此，发生事故时，建设单位应立即停止相应生产工序作业，待设备修复正常后再重新投产，采取以上应对措施后，非正常排放对周边影响是短暂的，但是建设单位依然要尽量避免，日常落实设备维护，定期更换清理过滤材料，保证处理效率。</w:t>
            </w: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2</w:t>
            </w:r>
            <w:r>
              <w:rPr>
                <w:rFonts w:hint="default"/>
                <w:color w:val="auto"/>
                <w:lang w:val="en-US" w:eastAsia="zh-CN"/>
              </w:rPr>
              <w:t>.</w:t>
            </w:r>
            <w:r>
              <w:rPr>
                <w:rFonts w:hint="eastAsia"/>
                <w:color w:val="auto"/>
                <w:lang w:val="en-US" w:eastAsia="zh-CN"/>
              </w:rPr>
              <w:t>4</w:t>
            </w:r>
            <w:r>
              <w:rPr>
                <w:rFonts w:hint="default"/>
                <w:color w:val="auto"/>
              </w:rPr>
              <w:t>运营期大气影响和污染防治措施</w:t>
            </w:r>
            <w:r>
              <w:rPr>
                <w:rFonts w:hint="eastAsia"/>
                <w:color w:val="auto"/>
                <w:lang w:eastAsia="zh-CN"/>
              </w:rPr>
              <w:t>可行性</w:t>
            </w:r>
            <w:r>
              <w:rPr>
                <w:rFonts w:hint="default"/>
                <w:color w:val="auto"/>
              </w:rPr>
              <w:t>分析</w:t>
            </w:r>
          </w:p>
          <w:p>
            <w:pPr>
              <w:bidi w:val="0"/>
              <w:rPr>
                <w:b/>
                <w:bCs/>
                <w:color w:val="auto"/>
              </w:rPr>
            </w:pPr>
            <w:r>
              <w:rPr>
                <w:rFonts w:hint="eastAsia"/>
                <w:b/>
                <w:bCs/>
                <w:color w:val="auto"/>
                <w:lang w:val="en-US" w:eastAsia="zh-CN"/>
              </w:rPr>
              <w:t>（1）粉尘无组织废气</w:t>
            </w:r>
            <w:r>
              <w:rPr>
                <w:rFonts w:hint="eastAsia"/>
                <w:b/>
                <w:bCs/>
                <w:color w:val="auto"/>
              </w:rPr>
              <w:t>排放控制要求</w:t>
            </w:r>
          </w:p>
          <w:p>
            <w:pPr>
              <w:bidi w:val="0"/>
              <w:rPr>
                <w:rFonts w:hint="eastAsia"/>
                <w:color w:val="auto"/>
                <w:lang w:val="en-US" w:eastAsia="zh-CN"/>
              </w:rPr>
            </w:pPr>
            <w:r>
              <w:rPr>
                <w:rFonts w:hint="eastAsia"/>
                <w:color w:val="auto"/>
                <w:lang w:eastAsia="zh-CN"/>
              </w:rPr>
              <w:t>参考</w:t>
            </w:r>
            <w:r>
              <w:rPr>
                <w:rFonts w:hint="default"/>
                <w:color w:val="auto"/>
              </w:rPr>
              <w:t xml:space="preserve">《排污许可证申请与核发技术规范 </w:t>
            </w:r>
            <w:r>
              <w:rPr>
                <w:rFonts w:hint="eastAsia"/>
                <w:color w:val="auto"/>
                <w:lang w:eastAsia="zh-CN"/>
              </w:rPr>
              <w:t>水泥工业</w:t>
            </w:r>
            <w:r>
              <w:rPr>
                <w:rFonts w:hint="default"/>
                <w:color w:val="auto"/>
              </w:rPr>
              <w:t>》</w:t>
            </w:r>
            <w:r>
              <w:rPr>
                <w:rFonts w:hint="eastAsia"/>
                <w:color w:val="auto"/>
                <w:lang w:val="en-US" w:eastAsia="zh-CN"/>
              </w:rPr>
              <w:t>（HJ847-2017）表4水泥工业排污单位无组织控制要求，本项目粉尘无组织控制措施如下：</w:t>
            </w:r>
          </w:p>
          <w:p>
            <w:pPr>
              <w:bidi w:val="0"/>
              <w:rPr>
                <w:rFonts w:hint="eastAsia"/>
                <w:color w:val="auto"/>
                <w:lang w:val="en-US" w:eastAsia="zh-CN"/>
              </w:rPr>
            </w:pPr>
            <w:r>
              <w:rPr>
                <w:rFonts w:hint="eastAsia"/>
                <w:color w:val="auto"/>
                <w:lang w:val="en-US" w:eastAsia="zh-CN"/>
              </w:rPr>
              <w:t>①砂石储存骨料仓采取三面及顶部围蔽防尘，仅保留进出料面敞开，配套喷淋装置喷淋抑尘；</w:t>
            </w:r>
          </w:p>
          <w:p>
            <w:pPr>
              <w:bidi w:val="0"/>
              <w:rPr>
                <w:rFonts w:hint="eastAsia"/>
                <w:color w:val="auto"/>
                <w:lang w:val="en-US" w:eastAsia="zh-CN"/>
              </w:rPr>
            </w:pPr>
            <w:r>
              <w:rPr>
                <w:rFonts w:hint="eastAsia"/>
                <w:color w:val="auto"/>
                <w:lang w:val="en-US" w:eastAsia="zh-CN"/>
              </w:rPr>
              <w:t>②搅拌站整体封闭设置，搅拌机搅拌密闭运行，对称量进料层、搅拌层、装车层加设喷淋装置抑尘；</w:t>
            </w:r>
          </w:p>
          <w:p>
            <w:pPr>
              <w:bidi w:val="0"/>
              <w:rPr>
                <w:rFonts w:hint="eastAsia"/>
                <w:color w:val="auto"/>
                <w:lang w:val="en-US" w:eastAsia="zh-CN"/>
              </w:rPr>
            </w:pPr>
            <w:r>
              <w:rPr>
                <w:rFonts w:hint="eastAsia"/>
                <w:color w:val="auto"/>
                <w:lang w:val="en-US" w:eastAsia="zh-CN"/>
              </w:rPr>
              <w:t>③物料厂内运输环节扬尘通过严格控制车辆运载量、低速行驶，厂区路面硬化并定期人工洒水抑尘和清扫降尘，对于砂石料、水泥等易产尘材料采用密闭运输车进行运输，运输前砂石表面加湿，在厂区出入口设置洗车台进行车辆冲洗，降低运输扬尘；</w:t>
            </w:r>
          </w:p>
          <w:p>
            <w:pPr>
              <w:bidi w:val="0"/>
              <w:rPr>
                <w:rFonts w:hint="eastAsia"/>
                <w:color w:val="auto"/>
                <w:lang w:val="en-US" w:eastAsia="zh-CN"/>
              </w:rPr>
            </w:pPr>
            <w:r>
              <w:rPr>
                <w:rFonts w:hint="eastAsia"/>
                <w:color w:val="auto"/>
                <w:lang w:val="en-US" w:eastAsia="zh-CN"/>
              </w:rPr>
              <w:t>③厂内砂石料输送带仅保留进卸料口，廊道封闭，在输送带进出口、砂石进料区配套喷淋装置喷淋抑尘；</w:t>
            </w:r>
          </w:p>
          <w:p>
            <w:pPr>
              <w:bidi w:val="0"/>
              <w:rPr>
                <w:rFonts w:hint="eastAsia"/>
                <w:color w:val="auto"/>
                <w:lang w:val="en-US" w:eastAsia="zh-CN"/>
              </w:rPr>
            </w:pPr>
            <w:r>
              <w:rPr>
                <w:rFonts w:hint="eastAsia"/>
                <w:color w:val="auto"/>
                <w:lang w:val="en-US" w:eastAsia="zh-CN"/>
              </w:rPr>
              <w:t>④厂内配置1台雾炮机，在装卸作业时喷雾降尘；在遇到风力4级及以上天气时，停止装卸物料作业；</w:t>
            </w:r>
          </w:p>
          <w:p>
            <w:pPr>
              <w:bidi w:val="0"/>
              <w:rPr>
                <w:rFonts w:hint="default"/>
                <w:color w:val="auto"/>
                <w:lang w:val="en-US" w:eastAsia="zh-CN"/>
              </w:rPr>
            </w:pPr>
            <w:r>
              <w:rPr>
                <w:rFonts w:hint="eastAsia"/>
                <w:color w:val="auto"/>
                <w:lang w:val="en-US" w:eastAsia="zh-CN"/>
              </w:rPr>
              <w:t>⑤厂内位于2#搅拌楼内的粉料仓顶部均自带一套脉冲布袋除尘器，粉料仓呼吸尘经自带除尘器处理后在封闭的搅拌楼内排放，搅拌楼内加设喷淋装置抑尘；</w:t>
            </w:r>
          </w:p>
          <w:p>
            <w:pPr>
              <w:bidi w:val="0"/>
              <w:rPr>
                <w:rFonts w:hint="eastAsia"/>
                <w:color w:val="auto"/>
                <w:lang w:val="en-US" w:eastAsia="zh-CN"/>
              </w:rPr>
            </w:pPr>
            <w:r>
              <w:rPr>
                <w:rFonts w:hint="eastAsia"/>
                <w:color w:val="auto"/>
                <w:lang w:val="en-US" w:eastAsia="zh-CN"/>
              </w:rPr>
              <w:t>⑥</w:t>
            </w:r>
            <w:r>
              <w:rPr>
                <w:rFonts w:hint="eastAsia"/>
                <w:color w:val="auto"/>
                <w:highlight w:val="none"/>
                <w:lang w:val="en-US" w:eastAsia="zh-CN"/>
              </w:rPr>
              <w:t>焊接烟尘采用车间无组织排放；</w:t>
            </w:r>
            <w:r>
              <w:rPr>
                <w:rFonts w:hint="eastAsia"/>
                <w:color w:val="auto"/>
                <w:lang w:val="en-US" w:eastAsia="zh-CN"/>
              </w:rPr>
              <w:t>加强日常作业管理，及时清扫重力沉降在地面的积尘；</w:t>
            </w:r>
          </w:p>
          <w:p>
            <w:pPr>
              <w:bidi w:val="0"/>
              <w:rPr>
                <w:rFonts w:hint="eastAsia"/>
                <w:color w:val="auto"/>
                <w:lang w:val="en-US" w:eastAsia="zh-CN"/>
              </w:rPr>
            </w:pPr>
            <w:r>
              <w:rPr>
                <w:rFonts w:hint="eastAsia"/>
                <w:color w:val="auto"/>
                <w:lang w:val="en-US" w:eastAsia="zh-CN"/>
              </w:rPr>
              <w:t>⑦加强对废气收集处理系统的维护保养，保证收集处理系统稳定正常运行；</w:t>
            </w:r>
          </w:p>
          <w:p>
            <w:pPr>
              <w:bidi w:val="0"/>
              <w:rPr>
                <w:rFonts w:hint="eastAsia"/>
                <w:color w:val="auto"/>
                <w:lang w:val="en-US" w:eastAsia="zh-CN"/>
              </w:rPr>
            </w:pPr>
            <w:r>
              <w:rPr>
                <w:rFonts w:hint="eastAsia"/>
                <w:color w:val="auto"/>
                <w:lang w:val="en-US" w:eastAsia="zh-CN"/>
              </w:rPr>
              <w:t>⑧靠近生产区的西侧、西南侧与南侧围墙设置喷淋装置，进一步降尘。</w:t>
            </w:r>
          </w:p>
          <w:p>
            <w:pPr>
              <w:bidi w:val="0"/>
              <w:rPr>
                <w:rFonts w:hint="eastAsia"/>
                <w:color w:val="auto"/>
                <w:lang w:val="en-US" w:eastAsia="zh-CN"/>
              </w:rPr>
            </w:pPr>
            <w:r>
              <w:rPr>
                <w:rFonts w:hint="eastAsia"/>
                <w:color w:val="auto"/>
                <w:lang w:val="en-US" w:eastAsia="zh-CN"/>
              </w:rPr>
              <w:t>经采取以上废气排放管控措施后，可有效降低项目生产过程中无组织排放粉尘对周边环境空气的影响。项目最近敏感目标为西北侧约260m的石溪村，距离较远且位于项目所在区域主导风向的侧风向，因此建设单位在切实落实本项目提出废气环保措施，并确保项目废气设施正常运转的情况下，项目粉尘对周边大气环境及敏感目标影响较小，采取的措施合理可行。</w:t>
            </w:r>
          </w:p>
          <w:p>
            <w:pPr>
              <w:pStyle w:val="4"/>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4.2.5环境防护距离分析</w:t>
            </w:r>
          </w:p>
          <w:p>
            <w:pPr>
              <w:bidi w:val="0"/>
              <w:rPr>
                <w:color w:val="auto"/>
              </w:rPr>
            </w:pPr>
            <w:r>
              <w:rPr>
                <w:rFonts w:hint="eastAsia"/>
                <w:color w:val="auto"/>
              </w:rPr>
              <w:t>根据《建设项目环境影响报告表编制技术指南(污染影响类)(试行)》(</w:t>
            </w:r>
            <w:r>
              <w:rPr>
                <w:color w:val="auto"/>
                <w:lang w:val="zh-CN"/>
              </w:rPr>
              <w:t>环办环评〔2020〕33号</w:t>
            </w:r>
            <w:r>
              <w:rPr>
                <w:rFonts w:hint="eastAsia"/>
                <w:color w:val="auto"/>
              </w:rPr>
              <w:t>)要求可知，目前不对项目</w:t>
            </w:r>
            <w:r>
              <w:rPr>
                <w:color w:val="auto"/>
              </w:rPr>
              <w:t>大气环境防护距离及卫生防护</w:t>
            </w:r>
            <w:r>
              <w:rPr>
                <w:rFonts w:hint="eastAsia"/>
                <w:color w:val="auto"/>
              </w:rPr>
              <w:t>距离进行要求。</w:t>
            </w:r>
            <w:r>
              <w:rPr>
                <w:b/>
                <w:bCs/>
                <w:color w:val="auto"/>
              </w:rPr>
              <w:t>根据环境影响评价网(</w:t>
            </w:r>
            <w:r>
              <w:rPr>
                <w:b/>
                <w:bCs/>
                <w:color w:val="auto"/>
                <w:lang w:val="zh-CN"/>
              </w:rPr>
              <w:t>生态环境部环境工程评估中心</w:t>
            </w:r>
            <w:r>
              <w:rPr>
                <w:b/>
                <w:bCs/>
                <w:color w:val="auto"/>
              </w:rPr>
              <w:t>)关于</w:t>
            </w:r>
            <w:r>
              <w:rPr>
                <w:b/>
                <w:bCs/>
                <w:color w:val="auto"/>
                <w:lang w:val="zh-CN"/>
              </w:rPr>
              <w:t>《建设项目环境影响报告表》内容、格式及编制技术指南常见问题解答</w:t>
            </w:r>
            <w:r>
              <w:rPr>
                <w:color w:val="auto"/>
                <w:lang w:val="zh-CN"/>
              </w:rPr>
              <w:t>：“</w:t>
            </w:r>
            <w:r>
              <w:rPr>
                <w:color w:val="auto"/>
              </w:rPr>
              <w:t>《建设项目环境影响评价技术导则 总纲》(HJ2.1-2016)未对卫生防护距离提出评价要求，建设项目环境影响报告表编制技术指南(以下简称技术指南)不</w:t>
            </w:r>
            <w:r>
              <w:rPr>
                <w:rFonts w:hint="eastAsia"/>
                <w:color w:val="auto"/>
                <w:lang w:eastAsia="zh-CN"/>
              </w:rPr>
              <w:t>作要求</w:t>
            </w:r>
            <w:r>
              <w:rPr>
                <w:color w:val="auto"/>
              </w:rPr>
              <w:t>。对于判定为需要开展大气专项评价的建设项目，根据《环境影响评价技术导则 大气环境》(HJ2.2-2018)需要计算大气环境防护距离的，应按要求计算</w:t>
            </w:r>
            <w:r>
              <w:rPr>
                <w:rFonts w:hint="eastAsia"/>
                <w:color w:val="auto"/>
                <w:lang w:eastAsia="zh-CN"/>
              </w:rPr>
              <w:t>”</w:t>
            </w:r>
            <w:r>
              <w:rPr>
                <w:color w:val="auto"/>
              </w:rPr>
              <w:t>。本项目不涉及大气专项评价，因此，在企业落实有效的废气收集、处理措施的前提下，可不设置</w:t>
            </w:r>
            <w:r>
              <w:rPr>
                <w:rFonts w:hint="eastAsia"/>
                <w:color w:val="auto"/>
                <w:lang w:val="en-US" w:eastAsia="zh-CN"/>
              </w:rPr>
              <w:t>大气</w:t>
            </w:r>
            <w:r>
              <w:rPr>
                <w:color w:val="auto"/>
              </w:rPr>
              <w:t>环境防护距离。</w:t>
            </w:r>
          </w:p>
          <w:p>
            <w:pPr>
              <w:pStyle w:val="4"/>
              <w:adjustRightInd w:val="0"/>
              <w:snapToGrid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6</w:t>
            </w:r>
            <w:r>
              <w:rPr>
                <w:color w:val="auto"/>
              </w:rPr>
              <w:t>自行监测计划</w:t>
            </w:r>
          </w:p>
          <w:p>
            <w:pPr>
              <w:bidi w:val="0"/>
              <w:rPr>
                <w:color w:val="auto"/>
              </w:rPr>
            </w:pPr>
            <w:r>
              <w:rPr>
                <w:rFonts w:hint="eastAsia"/>
                <w:color w:val="auto"/>
                <w:lang w:val="en-US" w:eastAsia="zh-CN"/>
              </w:rPr>
              <w:t>根据</w:t>
            </w:r>
            <w:r>
              <w:rPr>
                <w:rFonts w:hint="eastAsia"/>
                <w:color w:val="auto"/>
              </w:rPr>
              <w:t>《排污单位自行监测技术指南 总则》(HJ 819-2017)</w:t>
            </w:r>
            <w:r>
              <w:rPr>
                <w:rFonts w:hint="eastAsia"/>
                <w:color w:val="auto"/>
                <w:lang w:eastAsia="zh-CN"/>
              </w:rPr>
              <w:t>、</w:t>
            </w:r>
            <w:r>
              <w:rPr>
                <w:rFonts w:hint="default"/>
                <w:color w:val="auto"/>
              </w:rPr>
              <w:t>《排污单位自行监测技术指南</w:t>
            </w:r>
            <w:r>
              <w:rPr>
                <w:rFonts w:hint="default"/>
                <w:color w:val="auto"/>
                <w:highlight w:val="none"/>
              </w:rPr>
              <w:t xml:space="preserve"> </w:t>
            </w:r>
            <w:r>
              <w:rPr>
                <w:rFonts w:hint="eastAsia"/>
                <w:color w:val="auto"/>
                <w:highlight w:val="none"/>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等要求，提出项目运营期废气自行监测计划，具体详见表4.</w:t>
            </w:r>
            <w:r>
              <w:rPr>
                <w:rFonts w:hint="eastAsia"/>
                <w:color w:val="auto"/>
                <w:lang w:val="en-US" w:eastAsia="zh-CN"/>
              </w:rPr>
              <w:t>2</w:t>
            </w:r>
            <w:r>
              <w:rPr>
                <w:rFonts w:hint="eastAsia"/>
                <w:color w:val="auto"/>
              </w:rPr>
              <w:t>-</w:t>
            </w:r>
            <w:r>
              <w:rPr>
                <w:rFonts w:hint="eastAsia"/>
                <w:color w:val="auto"/>
                <w:lang w:val="en-US" w:eastAsia="zh-CN"/>
              </w:rPr>
              <w:t>6</w:t>
            </w:r>
            <w:r>
              <w:rPr>
                <w:rFonts w:hint="eastAsia"/>
                <w:color w:val="auto"/>
              </w:rPr>
              <w:t>。</w:t>
            </w:r>
          </w:p>
          <w:p>
            <w:pPr>
              <w:pStyle w:val="33"/>
              <w:bidi w:val="0"/>
              <w:rPr>
                <w:rFonts w:hint="default"/>
                <w:color w:val="auto"/>
                <w:sz w:val="24"/>
                <w:szCs w:val="24"/>
                <w:lang w:val="en-US" w:eastAsia="zh-CN"/>
              </w:rPr>
            </w:pPr>
            <w:r>
              <w:rPr>
                <w:color w:val="auto"/>
                <w:sz w:val="24"/>
                <w:szCs w:val="24"/>
              </w:rPr>
              <w:t>表4.</w:t>
            </w:r>
            <w:r>
              <w:rPr>
                <w:rFonts w:hint="eastAsia"/>
                <w:color w:val="auto"/>
                <w:sz w:val="24"/>
                <w:szCs w:val="24"/>
                <w:lang w:val="en-US" w:eastAsia="zh-CN"/>
              </w:rPr>
              <w:t>2-6</w:t>
            </w:r>
            <w:r>
              <w:rPr>
                <w:rFonts w:hint="eastAsia"/>
                <w:color w:val="auto"/>
                <w:sz w:val="24"/>
                <w:szCs w:val="24"/>
              </w:rPr>
              <w:t xml:space="preserve"> </w:t>
            </w:r>
            <w:r>
              <w:rPr>
                <w:color w:val="auto"/>
                <w:sz w:val="24"/>
                <w:szCs w:val="24"/>
              </w:rPr>
              <w:t>项目废气自行监测计划</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300"/>
              <w:gridCol w:w="1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31"/>
                    <w:bidi w:val="0"/>
                    <w:rPr>
                      <w:b/>
                      <w:bCs/>
                      <w:color w:val="auto"/>
                    </w:rPr>
                  </w:pPr>
                  <w:r>
                    <w:rPr>
                      <w:b/>
                      <w:bCs/>
                      <w:color w:val="auto"/>
                    </w:rPr>
                    <w:t>监测点位</w:t>
                  </w:r>
                </w:p>
              </w:tc>
              <w:tc>
                <w:tcPr>
                  <w:tcW w:w="2084" w:type="pct"/>
                  <w:noWrap w:val="0"/>
                  <w:vAlign w:val="center"/>
                </w:tcPr>
                <w:p>
                  <w:pPr>
                    <w:pStyle w:val="31"/>
                    <w:bidi w:val="0"/>
                    <w:rPr>
                      <w:rFonts w:hint="eastAsia"/>
                      <w:b/>
                      <w:bCs/>
                      <w:color w:val="auto"/>
                      <w:lang w:val="en-US" w:eastAsia="zh-CN"/>
                    </w:rPr>
                  </w:pPr>
                  <w:r>
                    <w:rPr>
                      <w:b/>
                      <w:bCs/>
                      <w:color w:val="auto"/>
                    </w:rPr>
                    <w:t>监测</w:t>
                  </w:r>
                  <w:r>
                    <w:rPr>
                      <w:rFonts w:hint="eastAsia"/>
                      <w:b/>
                      <w:bCs/>
                      <w:color w:val="auto"/>
                      <w:lang w:val="en-US" w:eastAsia="zh-CN"/>
                    </w:rPr>
                    <w:t>指标</w:t>
                  </w:r>
                </w:p>
              </w:tc>
              <w:tc>
                <w:tcPr>
                  <w:tcW w:w="966" w:type="pct"/>
                  <w:noWrap w:val="0"/>
                  <w:vAlign w:val="center"/>
                </w:tcPr>
                <w:p>
                  <w:pPr>
                    <w:pStyle w:val="31"/>
                    <w:bidi w:val="0"/>
                    <w:rPr>
                      <w:b/>
                      <w:bCs/>
                      <w:color w:val="auto"/>
                    </w:rPr>
                  </w:pPr>
                  <w:r>
                    <w:rPr>
                      <w:rFonts w:hint="eastAsia"/>
                      <w:b/>
                      <w:bCs/>
                      <w:color w:val="auto"/>
                    </w:rPr>
                    <w:t>监测</w:t>
                  </w:r>
                  <w:r>
                    <w:rPr>
                      <w:b/>
                      <w:bCs/>
                      <w:color w:val="auto"/>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31"/>
                    <w:bidi w:val="0"/>
                    <w:rPr>
                      <w:rFonts w:hint="eastAsia"/>
                      <w:color w:val="auto"/>
                      <w:lang w:val="en-US" w:eastAsia="zh-CN"/>
                    </w:rPr>
                  </w:pPr>
                  <w:r>
                    <w:rPr>
                      <w:rFonts w:hint="eastAsia"/>
                      <w:color w:val="auto"/>
                      <w:lang w:val="en-US" w:eastAsia="zh-CN"/>
                    </w:rPr>
                    <w:t>厂界(上风向1个点位、</w:t>
                  </w:r>
                </w:p>
                <w:p>
                  <w:pPr>
                    <w:pStyle w:val="31"/>
                    <w:bidi w:val="0"/>
                    <w:rPr>
                      <w:rFonts w:hint="eastAsia"/>
                      <w:color w:val="auto"/>
                      <w:lang w:val="en-US" w:eastAsia="zh-CN"/>
                    </w:rPr>
                  </w:pPr>
                  <w:r>
                    <w:rPr>
                      <w:rFonts w:hint="eastAsia"/>
                      <w:color w:val="auto"/>
                      <w:lang w:val="en-US" w:eastAsia="zh-CN"/>
                    </w:rPr>
                    <w:t>下风向3个点位)</w:t>
                  </w:r>
                </w:p>
              </w:tc>
              <w:tc>
                <w:tcPr>
                  <w:tcW w:w="2084" w:type="pct"/>
                  <w:noWrap w:val="0"/>
                  <w:vAlign w:val="center"/>
                </w:tcPr>
                <w:p>
                  <w:pPr>
                    <w:pStyle w:val="31"/>
                    <w:bidi w:val="0"/>
                    <w:rPr>
                      <w:rFonts w:hint="eastAsia"/>
                      <w:color w:val="auto"/>
                      <w:lang w:val="en-US" w:eastAsia="zh-CN"/>
                    </w:rPr>
                  </w:pPr>
                  <w:r>
                    <w:rPr>
                      <w:rFonts w:hint="eastAsia"/>
                      <w:color w:val="auto"/>
                      <w:lang w:val="en-US" w:eastAsia="zh-CN"/>
                    </w:rPr>
                    <w:t>颗粒物</w:t>
                  </w:r>
                </w:p>
              </w:tc>
              <w:tc>
                <w:tcPr>
                  <w:tcW w:w="966" w:type="pct"/>
                  <w:noWrap w:val="0"/>
                  <w:vAlign w:val="center"/>
                </w:tcPr>
                <w:p>
                  <w:pPr>
                    <w:pStyle w:val="31"/>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31"/>
                    <w:bidi w:val="0"/>
                    <w:rPr>
                      <w:rFonts w:hint="eastAsia"/>
                      <w:color w:val="auto"/>
                      <w:lang w:val="en-US" w:eastAsia="zh-CN"/>
                    </w:rPr>
                  </w:pPr>
                  <w:r>
                    <w:rPr>
                      <w:rFonts w:hint="eastAsia" w:ascii="Times New Roman" w:hAnsi="Times New Roman" w:eastAsia="宋体" w:cs="Times New Roman"/>
                      <w:color w:val="auto"/>
                      <w:lang w:val="en-US" w:eastAsia="zh-CN"/>
                    </w:rPr>
                    <w:t>石溪村</w:t>
                  </w:r>
                </w:p>
              </w:tc>
              <w:tc>
                <w:tcPr>
                  <w:tcW w:w="2084" w:type="pct"/>
                  <w:noWrap w:val="0"/>
                  <w:vAlign w:val="center"/>
                </w:tcPr>
                <w:p>
                  <w:pPr>
                    <w:pStyle w:val="31"/>
                    <w:bidi w:val="0"/>
                    <w:rPr>
                      <w:rFonts w:hint="eastAsia"/>
                      <w:color w:val="auto"/>
                      <w:lang w:val="en-US" w:eastAsia="zh-CN"/>
                    </w:rPr>
                  </w:pPr>
                  <w:r>
                    <w:rPr>
                      <w:rFonts w:hint="eastAsia"/>
                      <w:color w:val="auto"/>
                      <w:lang w:val="en-US" w:eastAsia="zh-CN"/>
                    </w:rPr>
                    <w:t>颗粒物</w:t>
                  </w:r>
                </w:p>
              </w:tc>
              <w:tc>
                <w:tcPr>
                  <w:tcW w:w="966" w:type="pct"/>
                  <w:noWrap w:val="0"/>
                  <w:vAlign w:val="center"/>
                </w:tcPr>
                <w:p>
                  <w:pPr>
                    <w:pStyle w:val="31"/>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年</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另外建议企业在生产期间，对石溪村每年开展一次环境质量监测，若该区域TSP环境质量监测结果较现状监测结果有较大提升，本项目建设单位需进一步采取抑尘措施，加强厂区密闭和生产管理，增加喷淋频次和道路地面清扫频次，对厂区</w:t>
            </w:r>
            <w:r>
              <w:rPr>
                <w:color w:val="auto"/>
              </w:rPr>
              <w:t>产生粉尘排放的设备设施</w:t>
            </w:r>
            <w:r>
              <w:rPr>
                <w:rFonts w:hint="eastAsia"/>
                <w:color w:val="auto"/>
                <w:lang w:val="en-US" w:eastAsia="zh-CN"/>
              </w:rPr>
              <w:t>进行排查，避免非正常粉尘的排放</w:t>
            </w:r>
            <w:r>
              <w:rPr>
                <w:rFonts w:hint="eastAsia" w:ascii="Times New Roman" w:hAnsi="Times New Roman" w:eastAsia="宋体" w:cs="Times New Roman"/>
                <w:color w:val="auto"/>
                <w:lang w:val="en-US" w:eastAsia="zh-CN"/>
              </w:rPr>
              <w:t>。</w:t>
            </w:r>
          </w:p>
          <w:p>
            <w:pPr>
              <w:pStyle w:val="3"/>
              <w:bidi w:val="0"/>
              <w:rPr>
                <w:rFonts w:hint="default"/>
                <w:color w:val="auto"/>
              </w:rPr>
            </w:pPr>
            <w:r>
              <w:rPr>
                <w:rFonts w:hint="default"/>
                <w:color w:val="auto"/>
              </w:rPr>
              <w:t>4.</w:t>
            </w:r>
            <w:r>
              <w:rPr>
                <w:rFonts w:hint="eastAsia"/>
                <w:color w:val="auto"/>
                <w:lang w:val="en-US" w:eastAsia="zh-CN"/>
              </w:rPr>
              <w:t>3</w:t>
            </w:r>
            <w:r>
              <w:rPr>
                <w:rFonts w:hint="default"/>
                <w:color w:val="auto"/>
              </w:rPr>
              <w:t>运营期</w:t>
            </w:r>
            <w:r>
              <w:rPr>
                <w:rFonts w:hint="default"/>
                <w:color w:val="auto"/>
                <w:lang w:eastAsia="zh-CN"/>
              </w:rPr>
              <w:t>水</w:t>
            </w:r>
            <w:r>
              <w:rPr>
                <w:rFonts w:hint="default"/>
                <w:color w:val="auto"/>
              </w:rPr>
              <w:t>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3</w:t>
            </w:r>
            <w:r>
              <w:rPr>
                <w:rFonts w:hint="default"/>
                <w:color w:val="auto"/>
                <w:lang w:val="en-US" w:eastAsia="zh-CN"/>
              </w:rPr>
              <w:t>.1</w:t>
            </w:r>
            <w:r>
              <w:rPr>
                <w:rFonts w:hint="default"/>
                <w:color w:val="auto"/>
              </w:rPr>
              <w:t>运营期</w:t>
            </w:r>
            <w:r>
              <w:rPr>
                <w:rFonts w:hint="eastAsia"/>
                <w:color w:val="auto"/>
                <w:lang w:eastAsia="zh-CN"/>
              </w:rPr>
              <w:t>废水</w:t>
            </w:r>
            <w:r>
              <w:rPr>
                <w:rFonts w:hint="default"/>
                <w:color w:val="auto"/>
              </w:rPr>
              <w:t>源强核算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项目运营期生产废水主要为设备清洗废水、</w:t>
            </w:r>
            <w:r>
              <w:rPr>
                <w:rFonts w:hint="eastAsia" w:cs="Times New Roman"/>
                <w:color w:val="auto"/>
                <w:sz w:val="24"/>
                <w:szCs w:val="24"/>
                <w:highlight w:val="none"/>
                <w:lang w:val="en-US" w:eastAsia="zh-CN"/>
              </w:rPr>
              <w:t>生产区</w:t>
            </w:r>
            <w:r>
              <w:rPr>
                <w:rFonts w:hint="eastAsia" w:ascii="Times New Roman" w:hAnsi="Times New Roman" w:eastAsia="宋体" w:cs="Times New Roman"/>
                <w:color w:val="auto"/>
                <w:sz w:val="24"/>
                <w:szCs w:val="24"/>
                <w:highlight w:val="none"/>
                <w:lang w:val="en-US" w:eastAsia="zh-CN"/>
              </w:rPr>
              <w:t>地面冲洗废水</w:t>
            </w:r>
            <w:r>
              <w:rPr>
                <w:rFonts w:hint="eastAsia" w:cs="Times New Roman"/>
                <w:color w:val="auto"/>
                <w:sz w:val="24"/>
                <w:szCs w:val="24"/>
                <w:highlight w:val="none"/>
                <w:lang w:val="en-US" w:eastAsia="zh-CN"/>
              </w:rPr>
              <w:t>、试验清洗废水</w:t>
            </w:r>
            <w:r>
              <w:rPr>
                <w:rFonts w:hint="eastAsia" w:ascii="Times New Roman" w:hAnsi="Times New Roman" w:eastAsia="宋体" w:cs="Times New Roman"/>
                <w:color w:val="auto"/>
                <w:sz w:val="24"/>
                <w:szCs w:val="24"/>
                <w:highlight w:val="none"/>
                <w:lang w:val="en-US" w:eastAsia="zh-CN"/>
              </w:rPr>
              <w:t>经生产废水处理系统（斜坡沉淀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）处理后全部回用于生产搅拌，无外排。</w:t>
            </w:r>
            <w:r>
              <w:rPr>
                <w:rFonts w:hint="eastAsia" w:cs="Times New Roman"/>
                <w:color w:val="auto"/>
                <w:sz w:val="24"/>
                <w:szCs w:val="24"/>
                <w:highlight w:val="none"/>
                <w:lang w:val="en-US" w:eastAsia="zh-CN"/>
              </w:rPr>
              <w:t>洗车废水经洗车台配套沉淀池处理后回用于车辆冲洗，不外排；经收集的生产区初期雨水在雨水收集池中暂存，分批引至</w:t>
            </w:r>
            <w:r>
              <w:rPr>
                <w:rFonts w:hint="eastAsia" w:ascii="Times New Roman" w:hAnsi="Times New Roman" w:eastAsia="宋体" w:cs="Times New Roman"/>
                <w:color w:val="auto"/>
                <w:sz w:val="24"/>
                <w:szCs w:val="24"/>
                <w:highlight w:val="none"/>
                <w:lang w:val="en-US" w:eastAsia="zh-CN"/>
              </w:rPr>
              <w:t>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w:t>
            </w:r>
            <w:r>
              <w:rPr>
                <w:rFonts w:hint="eastAsia" w:cs="Times New Roman"/>
                <w:color w:val="auto"/>
                <w:sz w:val="24"/>
                <w:szCs w:val="24"/>
                <w:highlight w:val="none"/>
                <w:lang w:val="en-US" w:eastAsia="zh-CN"/>
              </w:rPr>
              <w:t>搅拌用水</w:t>
            </w:r>
            <w:r>
              <w:rPr>
                <w:rFonts w:hint="eastAsia" w:ascii="Times New Roman" w:hAnsi="Times New Roman" w:eastAsia="宋体" w:cs="Times New Roman"/>
                <w:color w:val="auto"/>
                <w:sz w:val="24"/>
                <w:szCs w:val="24"/>
                <w:highlight w:val="none"/>
                <w:lang w:val="en-US" w:eastAsia="zh-CN"/>
              </w:rPr>
              <w:t>，不外排。项目</w:t>
            </w:r>
            <w:r>
              <w:rPr>
                <w:rFonts w:hint="eastAsia" w:cs="Times New Roman"/>
                <w:color w:val="auto"/>
                <w:sz w:val="24"/>
                <w:szCs w:val="24"/>
                <w:highlight w:val="none"/>
                <w:lang w:val="en-US" w:eastAsia="zh-CN"/>
              </w:rPr>
              <w:t>运营期</w:t>
            </w:r>
            <w:r>
              <w:rPr>
                <w:rFonts w:hint="eastAsia"/>
                <w:color w:val="auto"/>
                <w:sz w:val="24"/>
              </w:rPr>
              <w:t>生活用水</w:t>
            </w:r>
            <w:r>
              <w:rPr>
                <w:rFonts w:hint="eastAsia"/>
                <w:color w:val="auto"/>
                <w:sz w:val="24"/>
                <w:lang w:val="en-US" w:eastAsia="zh-CN"/>
              </w:rPr>
              <w:t>将由周边市政管网</w:t>
            </w:r>
            <w:r>
              <w:rPr>
                <w:rFonts w:hint="eastAsia"/>
                <w:color w:val="auto"/>
                <w:sz w:val="24"/>
              </w:rPr>
              <w:t>生活给水系统直接供给。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前文</w:t>
            </w:r>
            <w:r>
              <w:rPr>
                <w:rFonts w:hint="eastAsia" w:ascii="Times New Roman" w:hAnsi="Times New Roman" w:eastAsia="宋体" w:cs="Times New Roman"/>
                <w:color w:val="auto"/>
                <w:sz w:val="24"/>
                <w:szCs w:val="24"/>
                <w:highlight w:val="none"/>
                <w:lang w:val="en-US" w:eastAsia="zh-CN"/>
              </w:rPr>
              <w:t>水平衡分析可知，项目职工日常生活污水产生量约为</w:t>
            </w:r>
            <w:r>
              <w:rPr>
                <w:rFonts w:hint="eastAsia" w:cs="Times New Roman"/>
                <w:color w:val="auto"/>
                <w:sz w:val="24"/>
                <w:szCs w:val="24"/>
                <w:highlight w:val="none"/>
                <w:lang w:val="en-US" w:eastAsia="zh-CN"/>
              </w:rPr>
              <w:t>19.58</w:t>
            </w:r>
            <w:r>
              <w:rPr>
                <w:rFonts w:hint="eastAsia" w:ascii="Times New Roman" w:hAnsi="Times New Roman" w:eastAsia="宋体" w:cs="Times New Roman"/>
                <w:color w:val="auto"/>
                <w:sz w:val="24"/>
                <w:szCs w:val="24"/>
                <w:highlight w:val="none"/>
                <w:lang w:val="en-US" w:eastAsia="zh-CN"/>
              </w:rPr>
              <w:t>t/d(</w:t>
            </w:r>
            <w:r>
              <w:rPr>
                <w:rFonts w:hint="eastAsia" w:cs="Times New Roman"/>
                <w:color w:val="auto"/>
                <w:sz w:val="24"/>
                <w:szCs w:val="24"/>
                <w:highlight w:val="none"/>
                <w:lang w:val="en-US" w:eastAsia="zh-CN"/>
              </w:rPr>
              <w:t>6459.75</w:t>
            </w:r>
            <w:r>
              <w:rPr>
                <w:rFonts w:hint="eastAsia" w:ascii="Times New Roman" w:hAnsi="Times New Roman" w:eastAsia="宋体" w:cs="Times New Roman"/>
                <w:color w:val="auto"/>
                <w:sz w:val="24"/>
                <w:szCs w:val="24"/>
                <w:highlight w:val="none"/>
                <w:lang w:val="en-US" w:eastAsia="zh-CN"/>
              </w:rPr>
              <w:t>t/a)。参考《给排水设计手册》(第五册城镇排水)</w:t>
            </w:r>
            <w:r>
              <w:rPr>
                <w:rFonts w:hint="eastAsia" w:cs="Times New Roman"/>
                <w:color w:val="auto"/>
                <w:sz w:val="24"/>
                <w:szCs w:val="24"/>
                <w:highlight w:val="none"/>
                <w:lang w:val="en-US" w:eastAsia="zh-CN"/>
              </w:rPr>
              <w:t>中4.2城镇污水水质</w:t>
            </w:r>
            <w:r>
              <w:rPr>
                <w:rFonts w:hint="eastAsia" w:ascii="Times New Roman" w:hAnsi="Times New Roman" w:eastAsia="宋体" w:cs="Times New Roman"/>
                <w:color w:val="auto"/>
                <w:sz w:val="24"/>
                <w:szCs w:val="24"/>
                <w:highlight w:val="none"/>
                <w:lang w:val="en-US" w:eastAsia="zh-CN"/>
              </w:rPr>
              <w:t>，项目职工产生的日常生活污水中各主要污染物浓度按COD：</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val="en-US" w:eastAsia="zh-CN"/>
              </w:rPr>
              <w:t>mg/L，BOD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150</w:t>
            </w:r>
            <w:r>
              <w:rPr>
                <w:rFonts w:hint="eastAsia" w:ascii="Times New Roman" w:hAnsi="Times New Roman" w:eastAsia="宋体" w:cs="Times New Roman"/>
                <w:color w:val="auto"/>
                <w:sz w:val="24"/>
                <w:szCs w:val="24"/>
                <w:highlight w:val="none"/>
                <w:lang w:val="en-US" w:eastAsia="zh-CN"/>
              </w:rPr>
              <w:t>mg/L，SS：2</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0mg/L，NH</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-N：</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mg/L计算。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职工日常生活污水</w:t>
            </w:r>
            <w:r>
              <w:rPr>
                <w:rFonts w:hint="eastAsia" w:cs="Times New Roman"/>
                <w:color w:val="auto"/>
                <w:sz w:val="24"/>
                <w:szCs w:val="24"/>
                <w:highlight w:val="none"/>
                <w:lang w:val="en-US" w:eastAsia="zh-CN"/>
              </w:rPr>
              <w:t>经厂区内部管线收集后</w:t>
            </w:r>
            <w:r>
              <w:rPr>
                <w:rFonts w:hint="eastAsia" w:ascii="Times New Roman" w:hAnsi="Times New Roman" w:eastAsia="宋体" w:cs="Times New Roman"/>
                <w:color w:val="auto"/>
                <w:sz w:val="24"/>
                <w:szCs w:val="24"/>
                <w:highlight w:val="none"/>
                <w:lang w:val="en-US" w:eastAsia="zh-CN"/>
              </w:rPr>
              <w:t>进入化粪池</w:t>
            </w:r>
            <w:r>
              <w:rPr>
                <w:rFonts w:hint="eastAsia" w:cs="Times New Roman"/>
                <w:color w:val="auto"/>
                <w:sz w:val="24"/>
                <w:szCs w:val="24"/>
                <w:highlight w:val="none"/>
                <w:lang w:val="en-US" w:eastAsia="zh-CN"/>
              </w:rPr>
              <w:t>处理后</w:t>
            </w:r>
            <w:r>
              <w:rPr>
                <w:rFonts w:hint="eastAsia" w:ascii="Times New Roman" w:hAnsi="Times New Roman" w:eastAsia="宋体" w:cs="Times New Roman"/>
                <w:color w:val="auto"/>
                <w:sz w:val="24"/>
                <w:szCs w:val="24"/>
                <w:highlight w:val="none"/>
                <w:lang w:val="en-US" w:eastAsia="zh-CN"/>
              </w:rPr>
              <w:t>，排入</w:t>
            </w:r>
            <w:r>
              <w:rPr>
                <w:rFonts w:hint="eastAsia" w:cs="Times New Roman"/>
                <w:color w:val="auto"/>
                <w:sz w:val="24"/>
                <w:szCs w:val="24"/>
                <w:highlight w:val="none"/>
                <w:lang w:val="en-US" w:eastAsia="zh-CN"/>
              </w:rPr>
              <w:t>拟建设的一体化污水处理设施，尾水水质达到</w:t>
            </w:r>
            <w:r>
              <w:rPr>
                <w:rFonts w:hint="eastAsia"/>
                <w:color w:val="auto"/>
                <w:sz w:val="24"/>
                <w:szCs w:val="20"/>
              </w:rPr>
              <w:t xml:space="preserve">《城市污水再生利用 </w:t>
            </w:r>
            <w:r>
              <w:rPr>
                <w:rFonts w:hint="eastAsia"/>
                <w:color w:val="auto"/>
                <w:sz w:val="24"/>
                <w:szCs w:val="20"/>
                <w:lang w:val="en-US" w:eastAsia="zh-CN"/>
              </w:rPr>
              <w:t>绿地灌溉水质</w:t>
            </w:r>
            <w:r>
              <w:rPr>
                <w:rFonts w:hint="eastAsia"/>
                <w:color w:val="auto"/>
                <w:sz w:val="24"/>
                <w:szCs w:val="20"/>
              </w:rPr>
              <w:t>》（G</w:t>
            </w:r>
            <w:r>
              <w:rPr>
                <w:color w:val="auto"/>
                <w:sz w:val="24"/>
                <w:szCs w:val="20"/>
              </w:rPr>
              <w:t>B/T</w:t>
            </w:r>
            <w:r>
              <w:rPr>
                <w:rFonts w:hint="eastAsia"/>
                <w:color w:val="auto"/>
                <w:sz w:val="24"/>
                <w:szCs w:val="20"/>
                <w:lang w:val="en-US" w:eastAsia="zh-CN"/>
              </w:rPr>
              <w:t>25499</w:t>
            </w:r>
            <w:r>
              <w:rPr>
                <w:color w:val="auto"/>
                <w:sz w:val="24"/>
                <w:szCs w:val="20"/>
              </w:rPr>
              <w:t>-20</w:t>
            </w:r>
            <w:r>
              <w:rPr>
                <w:rFonts w:hint="eastAsia"/>
                <w:color w:val="auto"/>
                <w:sz w:val="24"/>
                <w:szCs w:val="20"/>
                <w:lang w:val="en-US" w:eastAsia="zh-CN"/>
              </w:rPr>
              <w:t>10</w:t>
            </w:r>
            <w:r>
              <w:rPr>
                <w:rFonts w:hint="eastAsia"/>
                <w:color w:val="auto"/>
                <w:sz w:val="24"/>
                <w:szCs w:val="20"/>
              </w:rPr>
              <w:t>）表1</w:t>
            </w:r>
            <w:r>
              <w:rPr>
                <w:rFonts w:hint="eastAsia"/>
                <w:color w:val="auto"/>
                <w:sz w:val="24"/>
                <w:szCs w:val="20"/>
                <w:lang w:val="en-US" w:eastAsia="zh-CN"/>
              </w:rPr>
              <w:t>相关标准限值</w:t>
            </w:r>
            <w:r>
              <w:rPr>
                <w:rFonts w:hint="eastAsia"/>
                <w:color w:val="auto"/>
                <w:sz w:val="24"/>
                <w:szCs w:val="20"/>
              </w:rPr>
              <w:t>后</w:t>
            </w:r>
            <w:r>
              <w:rPr>
                <w:rFonts w:hint="eastAsia"/>
                <w:color w:val="auto"/>
                <w:sz w:val="24"/>
                <w:szCs w:val="20"/>
                <w:lang w:eastAsia="zh-CN"/>
              </w:rPr>
              <w:t>，</w:t>
            </w:r>
            <w:r>
              <w:rPr>
                <w:rFonts w:hint="eastAsia"/>
                <w:color w:val="auto"/>
                <w:sz w:val="24"/>
                <w:szCs w:val="20"/>
                <w:lang w:val="en-US" w:eastAsia="zh-CN"/>
              </w:rPr>
              <w:t>优先</w:t>
            </w:r>
            <w:r>
              <w:rPr>
                <w:rFonts w:hint="eastAsia" w:cs="Times New Roman"/>
                <w:color w:val="auto"/>
                <w:sz w:val="24"/>
                <w:szCs w:val="24"/>
                <w:highlight w:val="none"/>
                <w:lang w:val="en-US" w:eastAsia="zh-CN"/>
              </w:rPr>
              <w:t>回用于绿化浇灌用水</w:t>
            </w:r>
            <w:r>
              <w:rPr>
                <w:rFonts w:hint="eastAsia"/>
                <w:color w:val="auto"/>
                <w:lang w:val="en-US" w:eastAsia="zh-CN"/>
              </w:rPr>
              <w:t>，剩余用于混凝土搅拌</w:t>
            </w:r>
            <w:r>
              <w:rPr>
                <w:rFonts w:hint="eastAsia" w:cs="Times New Roman"/>
                <w:color w:val="auto"/>
                <w:sz w:val="24"/>
                <w:szCs w:val="24"/>
                <w:highlight w:val="none"/>
                <w:lang w:val="en-US" w:eastAsia="zh-CN"/>
              </w:rPr>
              <w:t>，不外排</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化粪池对COD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排放系数(化粪池预处理后)去除效率分别为19.3%、12.7%、0%，SS参照原环境保护局发布的文件《村镇生活污染防治最佳可行技术指南(试行)》(HJ-BAT-9)中化粪池对SS的去除率为60%～70%，本评价按60%计算。</w:t>
            </w:r>
          </w:p>
          <w:p>
            <w:pPr>
              <w:pStyle w:val="26"/>
              <w:rPr>
                <w:rFonts w:hint="default"/>
                <w:color w:val="auto"/>
                <w:lang w:val="en-US" w:eastAsia="zh-CN"/>
              </w:rPr>
            </w:pPr>
            <w:r>
              <w:rPr>
                <w:rFonts w:hint="eastAsia"/>
                <w:color w:val="auto"/>
                <w:lang w:val="en-US" w:eastAsia="zh-CN"/>
              </w:rPr>
              <w:t>本项目拟采用的一体化生物滤池式污水处理设施对</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和SS的去除效率参照《生物滤池法污水处理工程技术规范》（HJ2014-2012）中“表1 生物滤池污水处理工艺污染物一般去除率”，经一体化</w:t>
            </w:r>
            <w:r>
              <w:rPr>
                <w:rFonts w:hint="eastAsia"/>
                <w:color w:val="auto"/>
                <w:lang w:val="en-US" w:eastAsia="zh-CN"/>
              </w:rPr>
              <w:t>生物滤池式污水处理设施处理的</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和SS的去除率取中间值分别为：85%、87.5%、87.5%、86.5%。</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4"/>
                <w:szCs w:val="24"/>
              </w:rPr>
            </w:pPr>
            <w:r>
              <w:rPr>
                <w:rFonts w:hint="default"/>
                <w:color w:val="auto"/>
                <w:sz w:val="24"/>
                <w:szCs w:val="24"/>
              </w:rPr>
              <w:t>项目生活污水各污染物</w:t>
            </w:r>
            <w:r>
              <w:rPr>
                <w:rFonts w:hint="eastAsia"/>
                <w:color w:val="auto"/>
                <w:sz w:val="24"/>
                <w:szCs w:val="24"/>
                <w:lang w:eastAsia="zh-CN"/>
              </w:rPr>
              <w:t>产生及排放</w:t>
            </w:r>
            <w:r>
              <w:rPr>
                <w:rFonts w:hint="default"/>
                <w:color w:val="auto"/>
                <w:sz w:val="24"/>
                <w:szCs w:val="24"/>
              </w:rPr>
              <w:t>源强情况见表</w:t>
            </w:r>
            <w:r>
              <w:rPr>
                <w:rFonts w:hint="eastAsia"/>
                <w:color w:val="auto"/>
                <w:sz w:val="24"/>
                <w:szCs w:val="24"/>
                <w:lang w:val="en-US" w:eastAsia="zh-CN"/>
              </w:rPr>
              <w:t>4.3-1</w:t>
            </w:r>
            <w:r>
              <w:rPr>
                <w:rFonts w:hint="default"/>
                <w:color w:val="auto"/>
                <w:sz w:val="24"/>
                <w:szCs w:val="24"/>
              </w:rPr>
              <w:t>。</w:t>
            </w:r>
          </w:p>
          <w:p>
            <w:pPr>
              <w:pStyle w:val="33"/>
              <w:bidi w:val="0"/>
              <w:rPr>
                <w:color w:val="auto"/>
                <w:sz w:val="24"/>
                <w:szCs w:val="24"/>
              </w:rPr>
            </w:pPr>
            <w:r>
              <w:rPr>
                <w:color w:val="auto"/>
                <w:sz w:val="24"/>
                <w:szCs w:val="24"/>
              </w:rPr>
              <w:t>表</w:t>
            </w:r>
            <w:r>
              <w:rPr>
                <w:rFonts w:hint="eastAsia"/>
                <w:color w:val="auto"/>
                <w:sz w:val="24"/>
                <w:szCs w:val="24"/>
                <w:lang w:val="en-US" w:eastAsia="zh-CN"/>
              </w:rPr>
              <w:t xml:space="preserve">4.3-1 </w:t>
            </w:r>
            <w:r>
              <w:rPr>
                <w:rFonts w:hint="eastAsia"/>
                <w:color w:val="auto"/>
                <w:sz w:val="24"/>
                <w:szCs w:val="24"/>
              </w:rPr>
              <w:t>项目生活污水产排</w:t>
            </w:r>
            <w:r>
              <w:rPr>
                <w:color w:val="auto"/>
                <w:sz w:val="24"/>
                <w:szCs w:val="24"/>
              </w:rPr>
              <w:t>情况表</w:t>
            </w:r>
          </w:p>
          <w:tbl>
            <w:tblPr>
              <w:tblStyle w:val="20"/>
              <w:tblW w:w="80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633"/>
              <w:gridCol w:w="1058"/>
              <w:gridCol w:w="1002"/>
              <w:gridCol w:w="966"/>
              <w:gridCol w:w="966"/>
              <w:gridCol w:w="966"/>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4" w:type="dxa"/>
                  <w:gridSpan w:val="3"/>
                  <w:noWrap w:val="0"/>
                  <w:vAlign w:val="center"/>
                </w:tcPr>
                <w:p>
                  <w:pPr>
                    <w:pStyle w:val="31"/>
                    <w:bidi w:val="0"/>
                    <w:rPr>
                      <w:b/>
                      <w:bCs/>
                      <w:color w:val="auto"/>
                      <w:lang w:val="en-GB"/>
                    </w:rPr>
                  </w:pPr>
                  <w:r>
                    <w:rPr>
                      <w:b/>
                      <w:bCs/>
                      <w:color w:val="auto"/>
                      <w:lang w:val="en-GB"/>
                    </w:rPr>
                    <w:t>项目</w:t>
                  </w:r>
                </w:p>
              </w:tc>
              <w:tc>
                <w:tcPr>
                  <w:tcW w:w="1002" w:type="dxa"/>
                  <w:noWrap w:val="0"/>
                  <w:vAlign w:val="center"/>
                </w:tcPr>
                <w:p>
                  <w:pPr>
                    <w:pStyle w:val="31"/>
                    <w:bidi w:val="0"/>
                    <w:rPr>
                      <w:b/>
                      <w:bCs/>
                      <w:color w:val="auto"/>
                      <w:lang w:val="en-GB"/>
                    </w:rPr>
                  </w:pPr>
                  <w:r>
                    <w:rPr>
                      <w:b/>
                      <w:bCs/>
                      <w:color w:val="auto"/>
                      <w:lang w:val="en-GB"/>
                    </w:rPr>
                    <w:t>废水量（m</w:t>
                  </w:r>
                  <w:r>
                    <w:rPr>
                      <w:b/>
                      <w:bCs/>
                      <w:color w:val="auto"/>
                      <w:vertAlign w:val="superscript"/>
                      <w:lang w:val="en-GB"/>
                    </w:rPr>
                    <w:t>3</w:t>
                  </w:r>
                  <w:r>
                    <w:rPr>
                      <w:b/>
                      <w:bCs/>
                      <w:color w:val="auto"/>
                      <w:lang w:val="en-GB"/>
                    </w:rPr>
                    <w:t>/a）</w:t>
                  </w:r>
                </w:p>
              </w:tc>
              <w:tc>
                <w:tcPr>
                  <w:tcW w:w="966" w:type="dxa"/>
                  <w:noWrap w:val="0"/>
                  <w:vAlign w:val="center"/>
                </w:tcPr>
                <w:p>
                  <w:pPr>
                    <w:pStyle w:val="31"/>
                    <w:bidi w:val="0"/>
                    <w:rPr>
                      <w:b/>
                      <w:bCs/>
                      <w:color w:val="auto"/>
                      <w:lang w:val="en-GB"/>
                    </w:rPr>
                  </w:pPr>
                  <w:r>
                    <w:rPr>
                      <w:b/>
                      <w:bCs/>
                      <w:color w:val="auto"/>
                      <w:lang w:val="en-GB"/>
                    </w:rPr>
                    <w:t>COD</w:t>
                  </w:r>
                </w:p>
              </w:tc>
              <w:tc>
                <w:tcPr>
                  <w:tcW w:w="966" w:type="dxa"/>
                  <w:noWrap w:val="0"/>
                  <w:vAlign w:val="center"/>
                </w:tcPr>
                <w:p>
                  <w:pPr>
                    <w:pStyle w:val="31"/>
                    <w:bidi w:val="0"/>
                    <w:rPr>
                      <w:b/>
                      <w:bCs/>
                      <w:color w:val="auto"/>
                      <w:lang w:val="en-GB"/>
                    </w:rPr>
                  </w:pPr>
                  <w:r>
                    <w:rPr>
                      <w:b/>
                      <w:bCs/>
                      <w:color w:val="auto"/>
                      <w:lang w:val="en-GB"/>
                    </w:rPr>
                    <w:t>BOD</w:t>
                  </w:r>
                  <w:r>
                    <w:rPr>
                      <w:b/>
                      <w:bCs/>
                      <w:color w:val="auto"/>
                      <w:vertAlign w:val="subscript"/>
                      <w:lang w:val="en-GB"/>
                    </w:rPr>
                    <w:t>5</w:t>
                  </w:r>
                </w:p>
              </w:tc>
              <w:tc>
                <w:tcPr>
                  <w:tcW w:w="966" w:type="dxa"/>
                  <w:noWrap w:val="0"/>
                  <w:vAlign w:val="center"/>
                </w:tcPr>
                <w:p>
                  <w:pPr>
                    <w:pStyle w:val="31"/>
                    <w:bidi w:val="0"/>
                    <w:rPr>
                      <w:b/>
                      <w:bCs/>
                      <w:color w:val="auto"/>
                      <w:lang w:val="en-GB"/>
                    </w:rPr>
                  </w:pPr>
                  <w:r>
                    <w:rPr>
                      <w:b/>
                      <w:bCs/>
                      <w:color w:val="auto"/>
                      <w:lang w:val="en-GB"/>
                    </w:rPr>
                    <w:t>SS</w:t>
                  </w:r>
                </w:p>
              </w:tc>
              <w:tc>
                <w:tcPr>
                  <w:tcW w:w="969" w:type="dxa"/>
                  <w:noWrap w:val="0"/>
                  <w:vAlign w:val="center"/>
                </w:tcPr>
                <w:p>
                  <w:pPr>
                    <w:pStyle w:val="31"/>
                    <w:bidi w:val="0"/>
                    <w:rPr>
                      <w:b/>
                      <w:bCs/>
                      <w:color w:val="auto"/>
                      <w:lang w:val="en-GB"/>
                    </w:rPr>
                  </w:pPr>
                  <w:r>
                    <w:rPr>
                      <w:b/>
                      <w:bCs/>
                      <w:color w:val="auto"/>
                      <w:lang w:val="en-GB"/>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aps w:val="0"/>
                      <w:smallCaps w:val="0"/>
                      <w:color w:val="auto"/>
                      <w:sz w:val="21"/>
                      <w:szCs w:val="21"/>
                      <w:lang w:val="en-US" w:eastAsia="zh-CN"/>
                    </w:rPr>
                  </w:pPr>
                  <w:r>
                    <w:rPr>
                      <w:rFonts w:hint="eastAsia"/>
                      <w:caps w:val="0"/>
                      <w:smallCaps w:val="0"/>
                      <w:color w:val="auto"/>
                      <w:sz w:val="21"/>
                      <w:szCs w:val="21"/>
                      <w:lang w:val="en-US" w:eastAsia="zh-CN"/>
                    </w:rPr>
                    <w:t>处理前</w:t>
                  </w:r>
                </w:p>
              </w:tc>
              <w:tc>
                <w:tcPr>
                  <w:tcW w:w="1633" w:type="dxa"/>
                  <w:vMerge w:val="restart"/>
                  <w:noWrap w:val="0"/>
                  <w:vAlign w:val="center"/>
                </w:tcPr>
                <w:p>
                  <w:pPr>
                    <w:pStyle w:val="31"/>
                    <w:bidi w:val="0"/>
                    <w:rPr>
                      <w:rFonts w:hint="eastAsia"/>
                      <w:color w:val="auto"/>
                      <w:lang w:val="en-GB" w:eastAsia="zh-CN"/>
                    </w:rPr>
                  </w:pPr>
                  <w:r>
                    <w:rPr>
                      <w:rFonts w:hint="eastAsia"/>
                      <w:color w:val="auto"/>
                      <w:lang w:val="en-GB" w:eastAsia="zh-CN"/>
                    </w:rPr>
                    <w:t>日常职工</w:t>
                  </w:r>
                  <w:r>
                    <w:rPr>
                      <w:color w:val="auto"/>
                      <w:lang w:val="en-GB"/>
                    </w:rPr>
                    <w:t>生活污水</w:t>
                  </w:r>
                  <w:r>
                    <w:rPr>
                      <w:rFonts w:hint="eastAsia"/>
                      <w:color w:val="auto"/>
                      <w:lang w:val="en-GB" w:eastAsia="zh-CN"/>
                    </w:rPr>
                    <w:t>产生情况</w:t>
                  </w:r>
                </w:p>
              </w:tc>
              <w:tc>
                <w:tcPr>
                  <w:tcW w:w="1058" w:type="dxa"/>
                  <w:noWrap w:val="0"/>
                  <w:vAlign w:val="center"/>
                </w:tcPr>
                <w:p>
                  <w:pPr>
                    <w:pStyle w:val="31"/>
                    <w:bidi w:val="0"/>
                    <w:rPr>
                      <w:color w:val="auto"/>
                      <w:lang w:val="en-GB"/>
                    </w:rPr>
                  </w:pPr>
                  <w:r>
                    <w:rPr>
                      <w:color w:val="auto"/>
                      <w:lang w:val="en-GB"/>
                    </w:rPr>
                    <w:t>产生浓度（mg/L）</w:t>
                  </w:r>
                </w:p>
              </w:tc>
              <w:tc>
                <w:tcPr>
                  <w:tcW w:w="1002" w:type="dxa"/>
                  <w:vMerge w:val="restart"/>
                  <w:noWrap w:val="0"/>
                  <w:vAlign w:val="center"/>
                </w:tcPr>
                <w:p>
                  <w:pPr>
                    <w:pStyle w:val="31"/>
                    <w:bidi w:val="0"/>
                    <w:rPr>
                      <w:rFonts w:hint="default"/>
                      <w:color w:val="auto"/>
                      <w:lang w:val="en-US" w:eastAsia="zh-CN"/>
                    </w:rPr>
                  </w:pPr>
                  <w:r>
                    <w:rPr>
                      <w:rFonts w:hint="eastAsia"/>
                      <w:color w:val="auto"/>
                      <w:lang w:val="en-US" w:eastAsia="zh-CN"/>
                    </w:rPr>
                    <w:t>6459.75</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300</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150</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200</w:t>
                  </w:r>
                </w:p>
              </w:tc>
              <w:tc>
                <w:tcPr>
                  <w:tcW w:w="969" w:type="dxa"/>
                  <w:noWrap w:val="0"/>
                  <w:vAlign w:val="center"/>
                </w:tcPr>
                <w:p>
                  <w:pPr>
                    <w:pStyle w:val="31"/>
                    <w:bidi w:val="0"/>
                    <w:rPr>
                      <w:rFonts w:hint="default"/>
                      <w:color w:val="auto"/>
                      <w:lang w:val="en-US" w:eastAsia="zh-CN"/>
                    </w:rPr>
                  </w:pPr>
                  <w:r>
                    <w:rPr>
                      <w:rFonts w:hint="eastAsia"/>
                      <w:color w:val="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aps w:val="0"/>
                      <w:smallCaps w:val="0"/>
                      <w:color w:val="auto"/>
                      <w:kern w:val="0"/>
                      <w:sz w:val="21"/>
                      <w:szCs w:val="21"/>
                      <w:lang w:val="en-GB"/>
                    </w:rPr>
                  </w:pPr>
                </w:p>
              </w:tc>
              <w:tc>
                <w:tcPr>
                  <w:tcW w:w="1633" w:type="dxa"/>
                  <w:vMerge w:val="continue"/>
                  <w:noWrap w:val="0"/>
                  <w:vAlign w:val="center"/>
                </w:tcPr>
                <w:p>
                  <w:pPr>
                    <w:pStyle w:val="31"/>
                    <w:bidi w:val="0"/>
                    <w:rPr>
                      <w:color w:val="auto"/>
                      <w:lang w:val="en-GB"/>
                    </w:rPr>
                  </w:pPr>
                </w:p>
              </w:tc>
              <w:tc>
                <w:tcPr>
                  <w:tcW w:w="1058" w:type="dxa"/>
                  <w:noWrap w:val="0"/>
                  <w:vAlign w:val="center"/>
                </w:tcPr>
                <w:p>
                  <w:pPr>
                    <w:pStyle w:val="31"/>
                    <w:bidi w:val="0"/>
                    <w:rPr>
                      <w:color w:val="auto"/>
                      <w:lang w:val="en-GB"/>
                    </w:rPr>
                  </w:pPr>
                  <w:r>
                    <w:rPr>
                      <w:color w:val="auto"/>
                      <w:lang w:val="en-GB"/>
                    </w:rPr>
                    <w:t>产生量（t/a）</w:t>
                  </w:r>
                </w:p>
              </w:tc>
              <w:tc>
                <w:tcPr>
                  <w:tcW w:w="1002" w:type="dxa"/>
                  <w:vMerge w:val="continue"/>
                  <w:noWrap w:val="0"/>
                  <w:vAlign w:val="center"/>
                </w:tcPr>
                <w:p>
                  <w:pPr>
                    <w:pStyle w:val="31"/>
                    <w:bidi w:val="0"/>
                    <w:rPr>
                      <w:color w:val="auto"/>
                      <w:lang w:val="en-GB"/>
                    </w:rPr>
                  </w:pPr>
                </w:p>
              </w:tc>
              <w:tc>
                <w:tcPr>
                  <w:tcW w:w="966" w:type="dxa"/>
                  <w:noWrap w:val="0"/>
                  <w:vAlign w:val="center"/>
                </w:tcPr>
                <w:p>
                  <w:pPr>
                    <w:pStyle w:val="31"/>
                    <w:bidi w:val="0"/>
                    <w:jc w:val="center"/>
                    <w:rPr>
                      <w:rFonts w:hint="default"/>
                      <w:color w:val="auto"/>
                      <w:lang w:val="en-US" w:eastAsia="zh-CN"/>
                    </w:rPr>
                  </w:pPr>
                  <w:r>
                    <w:rPr>
                      <w:rFonts w:hint="default"/>
                      <w:color w:val="auto"/>
                      <w:lang w:val="en-US" w:eastAsia="zh-CN"/>
                    </w:rPr>
                    <w:t>1.938</w:t>
                  </w:r>
                </w:p>
              </w:tc>
              <w:tc>
                <w:tcPr>
                  <w:tcW w:w="966" w:type="dxa"/>
                  <w:noWrap w:val="0"/>
                  <w:vAlign w:val="center"/>
                </w:tcPr>
                <w:p>
                  <w:pPr>
                    <w:pStyle w:val="31"/>
                    <w:bidi w:val="0"/>
                    <w:jc w:val="center"/>
                    <w:rPr>
                      <w:rFonts w:hint="default"/>
                      <w:color w:val="auto"/>
                      <w:lang w:val="en-US" w:eastAsia="zh-CN"/>
                    </w:rPr>
                  </w:pPr>
                  <w:r>
                    <w:rPr>
                      <w:rFonts w:hint="default"/>
                      <w:color w:val="auto"/>
                      <w:lang w:val="en-US" w:eastAsia="zh-CN"/>
                    </w:rPr>
                    <w:t>0.969</w:t>
                  </w:r>
                </w:p>
              </w:tc>
              <w:tc>
                <w:tcPr>
                  <w:tcW w:w="966" w:type="dxa"/>
                  <w:noWrap w:val="0"/>
                  <w:vAlign w:val="center"/>
                </w:tcPr>
                <w:p>
                  <w:pPr>
                    <w:pStyle w:val="31"/>
                    <w:bidi w:val="0"/>
                    <w:jc w:val="center"/>
                    <w:rPr>
                      <w:rFonts w:hint="default"/>
                      <w:color w:val="auto"/>
                      <w:lang w:val="en-US" w:eastAsia="zh-CN"/>
                    </w:rPr>
                  </w:pPr>
                  <w:r>
                    <w:rPr>
                      <w:rFonts w:hint="default"/>
                      <w:color w:val="auto"/>
                      <w:lang w:val="en-US" w:eastAsia="zh-CN"/>
                    </w:rPr>
                    <w:t>1.292</w:t>
                  </w:r>
                </w:p>
              </w:tc>
              <w:tc>
                <w:tcPr>
                  <w:tcW w:w="969" w:type="dxa"/>
                  <w:noWrap w:val="0"/>
                  <w:vAlign w:val="center"/>
                </w:tcPr>
                <w:p>
                  <w:pPr>
                    <w:pStyle w:val="31"/>
                    <w:bidi w:val="0"/>
                    <w:jc w:val="center"/>
                    <w:rPr>
                      <w:rFonts w:hint="default"/>
                      <w:color w:val="auto"/>
                      <w:lang w:val="en-US" w:eastAsia="zh-CN"/>
                    </w:rPr>
                  </w:pPr>
                  <w:r>
                    <w:rPr>
                      <w:rFonts w:hint="default"/>
                      <w:color w:val="auto"/>
                      <w:lang w:val="en-US" w:eastAsia="zh-CN"/>
                    </w:rPr>
                    <w:t>0.161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096" w:type="dxa"/>
                  <w:gridSpan w:val="2"/>
                  <w:noWrap w:val="0"/>
                  <w:vAlign w:val="center"/>
                </w:tcPr>
                <w:p>
                  <w:pPr>
                    <w:pStyle w:val="31"/>
                    <w:bidi w:val="0"/>
                    <w:rPr>
                      <w:rFonts w:hint="eastAsia"/>
                      <w:color w:val="auto"/>
                      <w:lang w:val="en-GB" w:eastAsia="zh-CN"/>
                    </w:rPr>
                  </w:pPr>
                  <w:r>
                    <w:rPr>
                      <w:rFonts w:hint="eastAsia"/>
                      <w:color w:val="auto"/>
                      <w:lang w:val="en-GB" w:eastAsia="zh-CN"/>
                    </w:rPr>
                    <w:t>化粪池处理</w:t>
                  </w:r>
                </w:p>
              </w:tc>
              <w:tc>
                <w:tcPr>
                  <w:tcW w:w="1058" w:type="dxa"/>
                  <w:vMerge w:val="restart"/>
                  <w:noWrap w:val="0"/>
                  <w:vAlign w:val="center"/>
                </w:tcPr>
                <w:p>
                  <w:pPr>
                    <w:pStyle w:val="31"/>
                    <w:bidi w:val="0"/>
                    <w:rPr>
                      <w:rFonts w:hint="eastAsia"/>
                      <w:color w:val="auto"/>
                      <w:lang w:val="en-GB" w:eastAsia="zh-CN"/>
                    </w:rPr>
                  </w:pPr>
                  <w:r>
                    <w:rPr>
                      <w:rFonts w:hint="eastAsia"/>
                      <w:color w:val="auto"/>
                      <w:lang w:val="en-GB" w:eastAsia="zh-CN"/>
                    </w:rPr>
                    <w:t>处理效率</w:t>
                  </w:r>
                </w:p>
              </w:tc>
              <w:tc>
                <w:tcPr>
                  <w:tcW w:w="1002" w:type="dxa"/>
                  <w:noWrap w:val="0"/>
                  <w:vAlign w:val="center"/>
                </w:tcPr>
                <w:p>
                  <w:pPr>
                    <w:pStyle w:val="31"/>
                    <w:bidi w:val="0"/>
                    <w:rPr>
                      <w:rFonts w:hint="eastAsia"/>
                      <w:color w:val="auto"/>
                      <w:lang w:val="en-US" w:eastAsia="zh-CN"/>
                    </w:rPr>
                  </w:pPr>
                  <w:r>
                    <w:rPr>
                      <w:rFonts w:hint="eastAsia"/>
                      <w:color w:val="auto"/>
                      <w:lang w:val="en-US" w:eastAsia="zh-CN"/>
                    </w:rPr>
                    <w:t>/</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19.3%</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12.7%</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60%</w:t>
                  </w:r>
                </w:p>
              </w:tc>
              <w:tc>
                <w:tcPr>
                  <w:tcW w:w="969" w:type="dxa"/>
                  <w:noWrap w:val="0"/>
                  <w:vAlign w:val="center"/>
                </w:tcPr>
                <w:p>
                  <w:pPr>
                    <w:pStyle w:val="31"/>
                    <w:bidi w:val="0"/>
                    <w:rPr>
                      <w:rFonts w:hint="default"/>
                      <w:color w:val="auto"/>
                      <w:lang w:val="en-US" w:eastAsia="zh-CN"/>
                    </w:rPr>
                  </w:pPr>
                  <w:r>
                    <w:rPr>
                      <w:rFonts w:hint="eastAsia"/>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6" w:type="dxa"/>
                  <w:gridSpan w:val="2"/>
                  <w:noWrap w:val="0"/>
                  <w:vAlign w:val="center"/>
                </w:tcPr>
                <w:p>
                  <w:pPr>
                    <w:pStyle w:val="31"/>
                    <w:bidi w:val="0"/>
                    <w:rPr>
                      <w:rFonts w:hint="eastAsia"/>
                      <w:color w:val="auto"/>
                      <w:lang w:val="en-GB" w:eastAsia="zh-CN"/>
                    </w:rPr>
                  </w:pPr>
                  <w:r>
                    <w:rPr>
                      <w:rFonts w:hint="eastAsia"/>
                      <w:color w:val="auto"/>
                      <w:lang w:val="en-US" w:eastAsia="zh-CN"/>
                    </w:rPr>
                    <w:t>一体化生物滤池式污水处理设施</w:t>
                  </w:r>
                </w:p>
              </w:tc>
              <w:tc>
                <w:tcPr>
                  <w:tcW w:w="1058" w:type="dxa"/>
                  <w:vMerge w:val="continue"/>
                  <w:noWrap w:val="0"/>
                  <w:vAlign w:val="center"/>
                </w:tcPr>
                <w:p>
                  <w:pPr>
                    <w:pStyle w:val="31"/>
                    <w:bidi w:val="0"/>
                    <w:rPr>
                      <w:rFonts w:hint="eastAsia"/>
                      <w:color w:val="auto"/>
                      <w:lang w:val="en-GB" w:eastAsia="zh-CN"/>
                    </w:rPr>
                  </w:pPr>
                </w:p>
              </w:tc>
              <w:tc>
                <w:tcPr>
                  <w:tcW w:w="1002" w:type="dxa"/>
                  <w:noWrap w:val="0"/>
                  <w:vAlign w:val="center"/>
                </w:tcPr>
                <w:p>
                  <w:pPr>
                    <w:pStyle w:val="31"/>
                    <w:bidi w:val="0"/>
                    <w:rPr>
                      <w:rFonts w:hint="default"/>
                      <w:color w:val="auto"/>
                      <w:lang w:val="en-US" w:eastAsia="zh-CN"/>
                    </w:rPr>
                  </w:pPr>
                  <w:r>
                    <w:rPr>
                      <w:rFonts w:hint="eastAsia"/>
                      <w:color w:val="auto"/>
                      <w:lang w:val="en-US" w:eastAsia="zh-CN"/>
                    </w:rPr>
                    <w:t>/</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85%</w:t>
                  </w:r>
                </w:p>
              </w:tc>
              <w:tc>
                <w:tcPr>
                  <w:tcW w:w="966" w:type="dxa"/>
                  <w:noWrap w:val="0"/>
                  <w:vAlign w:val="center"/>
                </w:tcPr>
                <w:p>
                  <w:pPr>
                    <w:pStyle w:val="31"/>
                    <w:bidi w:val="0"/>
                    <w:rPr>
                      <w:rFonts w:hint="eastAsia"/>
                      <w:color w:val="auto"/>
                      <w:lang w:val="en-US" w:eastAsia="zh-CN"/>
                    </w:rPr>
                  </w:pPr>
                  <w:r>
                    <w:rPr>
                      <w:rFonts w:hint="eastAsia"/>
                      <w:color w:val="auto"/>
                      <w:lang w:val="en-US" w:eastAsia="zh-CN"/>
                    </w:rPr>
                    <w:t>87.5%</w:t>
                  </w:r>
                </w:p>
              </w:tc>
              <w:tc>
                <w:tcPr>
                  <w:tcW w:w="966" w:type="dxa"/>
                  <w:noWrap w:val="0"/>
                  <w:vAlign w:val="center"/>
                </w:tcPr>
                <w:p>
                  <w:pPr>
                    <w:pStyle w:val="31"/>
                    <w:bidi w:val="0"/>
                    <w:rPr>
                      <w:rFonts w:hint="eastAsia"/>
                      <w:color w:val="auto"/>
                      <w:lang w:val="en-US" w:eastAsia="zh-CN"/>
                    </w:rPr>
                  </w:pPr>
                  <w:r>
                    <w:rPr>
                      <w:rFonts w:hint="eastAsia"/>
                      <w:color w:val="auto"/>
                      <w:lang w:val="en-US" w:eastAsia="zh-CN"/>
                    </w:rPr>
                    <w:t>86.5%</w:t>
                  </w:r>
                </w:p>
              </w:tc>
              <w:tc>
                <w:tcPr>
                  <w:tcW w:w="969" w:type="dxa"/>
                  <w:noWrap w:val="0"/>
                  <w:vAlign w:val="center"/>
                </w:tcPr>
                <w:p>
                  <w:pPr>
                    <w:pStyle w:val="31"/>
                    <w:bidi w:val="0"/>
                    <w:rPr>
                      <w:rFonts w:hint="eastAsia"/>
                      <w:color w:val="auto"/>
                      <w:lang w:val="en-US" w:eastAsia="zh-CN"/>
                    </w:rPr>
                  </w:pPr>
                  <w:r>
                    <w:rPr>
                      <w:rFonts w:hint="eastAsia"/>
                      <w:color w:val="auto"/>
                      <w:lang w:val="en-US" w:eastAsia="zh-CN"/>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noWrap w:val="0"/>
                  <w:vAlign w:val="center"/>
                </w:tcPr>
                <w:p>
                  <w:pPr>
                    <w:pStyle w:val="31"/>
                    <w:bidi w:val="0"/>
                    <w:rPr>
                      <w:rFonts w:hint="eastAsia"/>
                      <w:color w:val="auto"/>
                      <w:lang w:val="en-GB" w:eastAsia="zh-CN"/>
                    </w:rPr>
                  </w:pPr>
                  <w:r>
                    <w:rPr>
                      <w:rFonts w:hint="eastAsia"/>
                      <w:color w:val="auto"/>
                      <w:lang w:val="en-GB" w:eastAsia="zh-CN"/>
                    </w:rPr>
                    <w:t>处理后</w:t>
                  </w:r>
                </w:p>
              </w:tc>
              <w:tc>
                <w:tcPr>
                  <w:tcW w:w="1633" w:type="dxa"/>
                  <w:vMerge w:val="restart"/>
                  <w:noWrap w:val="0"/>
                  <w:vAlign w:val="center"/>
                </w:tcPr>
                <w:p>
                  <w:pPr>
                    <w:pStyle w:val="31"/>
                    <w:bidi w:val="0"/>
                    <w:rPr>
                      <w:rFonts w:hint="eastAsia"/>
                      <w:color w:val="auto"/>
                      <w:lang w:val="en-GB" w:eastAsia="zh-CN"/>
                    </w:rPr>
                  </w:pPr>
                  <w:r>
                    <w:rPr>
                      <w:rFonts w:hint="eastAsia"/>
                      <w:color w:val="auto"/>
                      <w:lang w:val="en-GB" w:eastAsia="zh-CN"/>
                    </w:rPr>
                    <w:t>化粪池</w:t>
                  </w:r>
                  <w:r>
                    <w:rPr>
                      <w:rFonts w:hint="eastAsia"/>
                      <w:color w:val="auto"/>
                      <w:lang w:val="en-US" w:eastAsia="zh-CN"/>
                    </w:rPr>
                    <w:t>+一体化设施</w:t>
                  </w:r>
                  <w:r>
                    <w:rPr>
                      <w:rFonts w:hint="eastAsia"/>
                      <w:color w:val="auto"/>
                      <w:lang w:val="en-GB" w:eastAsia="zh-CN"/>
                    </w:rPr>
                    <w:t>处理后出水情况</w:t>
                  </w:r>
                </w:p>
              </w:tc>
              <w:tc>
                <w:tcPr>
                  <w:tcW w:w="1058" w:type="dxa"/>
                  <w:noWrap w:val="0"/>
                  <w:vAlign w:val="center"/>
                </w:tcPr>
                <w:p>
                  <w:pPr>
                    <w:pStyle w:val="31"/>
                    <w:bidi w:val="0"/>
                    <w:rPr>
                      <w:color w:val="auto"/>
                      <w:lang w:val="en-GB"/>
                    </w:rPr>
                  </w:pPr>
                  <w:r>
                    <w:rPr>
                      <w:rFonts w:hint="eastAsia"/>
                      <w:color w:val="auto"/>
                      <w:lang w:val="en-US" w:eastAsia="zh-CN"/>
                    </w:rPr>
                    <w:t>回用</w:t>
                  </w:r>
                  <w:r>
                    <w:rPr>
                      <w:color w:val="auto"/>
                      <w:lang w:val="en-GB"/>
                    </w:rPr>
                    <w:t>浓度（mg/L）</w:t>
                  </w:r>
                </w:p>
              </w:tc>
              <w:tc>
                <w:tcPr>
                  <w:tcW w:w="1002" w:type="dxa"/>
                  <w:vMerge w:val="restart"/>
                  <w:noWrap w:val="0"/>
                  <w:vAlign w:val="center"/>
                </w:tcPr>
                <w:p>
                  <w:pPr>
                    <w:pStyle w:val="31"/>
                    <w:bidi w:val="0"/>
                    <w:rPr>
                      <w:rFonts w:hint="default"/>
                      <w:color w:val="auto"/>
                      <w:lang w:val="en-US" w:eastAsia="zh-CN"/>
                    </w:rPr>
                  </w:pPr>
                  <w:r>
                    <w:rPr>
                      <w:rFonts w:hint="eastAsia"/>
                      <w:color w:val="auto"/>
                      <w:lang w:val="en-US" w:eastAsia="zh-CN"/>
                    </w:rPr>
                    <w:t>6459.75</w:t>
                  </w: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36.32 </w:t>
                  </w: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16.37 </w:t>
                  </w: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10.80 </w:t>
                  </w:r>
                </w:p>
              </w:tc>
              <w:tc>
                <w:tcPr>
                  <w:tcW w:w="969"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3.13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pPr>
                    <w:pStyle w:val="31"/>
                    <w:bidi w:val="0"/>
                    <w:rPr>
                      <w:color w:val="auto"/>
                      <w:lang w:val="en-GB"/>
                    </w:rPr>
                  </w:pPr>
                </w:p>
              </w:tc>
              <w:tc>
                <w:tcPr>
                  <w:tcW w:w="1633" w:type="dxa"/>
                  <w:vMerge w:val="continue"/>
                  <w:noWrap w:val="0"/>
                  <w:vAlign w:val="center"/>
                </w:tcPr>
                <w:p>
                  <w:pPr>
                    <w:pStyle w:val="31"/>
                    <w:bidi w:val="0"/>
                    <w:rPr>
                      <w:color w:val="auto"/>
                      <w:lang w:val="en-GB"/>
                    </w:rPr>
                  </w:pPr>
                </w:p>
              </w:tc>
              <w:tc>
                <w:tcPr>
                  <w:tcW w:w="1058" w:type="dxa"/>
                  <w:noWrap w:val="0"/>
                  <w:vAlign w:val="center"/>
                </w:tcPr>
                <w:p>
                  <w:pPr>
                    <w:pStyle w:val="31"/>
                    <w:bidi w:val="0"/>
                    <w:rPr>
                      <w:color w:val="auto"/>
                      <w:lang w:val="en-GB"/>
                    </w:rPr>
                  </w:pPr>
                  <w:r>
                    <w:rPr>
                      <w:rFonts w:hint="eastAsia"/>
                      <w:color w:val="auto"/>
                      <w:lang w:val="en-US" w:eastAsia="zh-CN"/>
                    </w:rPr>
                    <w:t>回用</w:t>
                  </w:r>
                  <w:r>
                    <w:rPr>
                      <w:color w:val="auto"/>
                      <w:lang w:val="en-GB"/>
                    </w:rPr>
                    <w:t>量（t/a）</w:t>
                  </w:r>
                </w:p>
              </w:tc>
              <w:tc>
                <w:tcPr>
                  <w:tcW w:w="1002" w:type="dxa"/>
                  <w:vMerge w:val="continue"/>
                  <w:noWrap w:val="0"/>
                  <w:vAlign w:val="center"/>
                </w:tcPr>
                <w:p>
                  <w:pPr>
                    <w:pStyle w:val="31"/>
                    <w:bidi w:val="0"/>
                    <w:rPr>
                      <w:rFonts w:hint="default"/>
                      <w:color w:val="auto"/>
                      <w:lang w:val="en-GB" w:eastAsia="zh-CN"/>
                    </w:rPr>
                  </w:pP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0.235 </w:t>
                  </w: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0.106 </w:t>
                  </w:r>
                </w:p>
              </w:tc>
              <w:tc>
                <w:tcPr>
                  <w:tcW w:w="966"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0.070 </w:t>
                  </w:r>
                </w:p>
              </w:tc>
              <w:tc>
                <w:tcPr>
                  <w:tcW w:w="969"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096" w:type="dxa"/>
                  <w:gridSpan w:val="2"/>
                  <w:noWrap w:val="0"/>
                  <w:vAlign w:val="center"/>
                </w:tcPr>
                <w:p>
                  <w:pPr>
                    <w:pStyle w:val="31"/>
                    <w:bidi w:val="0"/>
                    <w:rPr>
                      <w:rFonts w:hint="eastAsia"/>
                      <w:color w:val="auto"/>
                      <w:lang w:val="en-GB" w:eastAsia="zh-CN"/>
                    </w:rPr>
                  </w:pPr>
                  <w:r>
                    <w:rPr>
                      <w:rFonts w:hint="eastAsia"/>
                      <w:color w:val="auto"/>
                      <w:lang w:val="en-GB" w:eastAsia="zh-CN"/>
                    </w:rPr>
                    <w:t>《城市污水再生利用 绿地灌溉水质》（GB/T25499-2010）</w:t>
                  </w:r>
                </w:p>
              </w:tc>
              <w:tc>
                <w:tcPr>
                  <w:tcW w:w="1058" w:type="dxa"/>
                  <w:noWrap w:val="0"/>
                  <w:vAlign w:val="center"/>
                </w:tcPr>
                <w:p>
                  <w:pPr>
                    <w:pStyle w:val="31"/>
                    <w:bidi w:val="0"/>
                    <w:rPr>
                      <w:rFonts w:hint="eastAsia" w:eastAsia="宋体"/>
                      <w:color w:val="auto"/>
                      <w:lang w:val="en-US" w:eastAsia="zh-CN"/>
                    </w:rPr>
                  </w:pPr>
                  <w:r>
                    <w:rPr>
                      <w:color w:val="auto"/>
                      <w:lang w:val="en-GB"/>
                    </w:rPr>
                    <w:t>浓度</w:t>
                  </w:r>
                  <w:r>
                    <w:rPr>
                      <w:rFonts w:hint="eastAsia"/>
                      <w:color w:val="auto"/>
                      <w:lang w:val="en-US" w:eastAsia="zh-CN"/>
                    </w:rPr>
                    <w:t>限值</w:t>
                  </w:r>
                </w:p>
                <w:p>
                  <w:pPr>
                    <w:pStyle w:val="31"/>
                    <w:bidi w:val="0"/>
                    <w:rPr>
                      <w:rFonts w:hint="default"/>
                      <w:color w:val="auto"/>
                      <w:lang w:val="en-US" w:eastAsia="zh-CN"/>
                    </w:rPr>
                  </w:pPr>
                  <w:r>
                    <w:rPr>
                      <w:color w:val="auto"/>
                      <w:szCs w:val="21"/>
                    </w:rPr>
                    <w:t>mg/L</w:t>
                  </w:r>
                </w:p>
              </w:tc>
              <w:tc>
                <w:tcPr>
                  <w:tcW w:w="1002" w:type="dxa"/>
                  <w:noWrap w:val="0"/>
                  <w:vAlign w:val="center"/>
                </w:tcPr>
                <w:p>
                  <w:pPr>
                    <w:pStyle w:val="31"/>
                    <w:bidi w:val="0"/>
                    <w:rPr>
                      <w:rFonts w:hint="default"/>
                      <w:color w:val="auto"/>
                      <w:lang w:val="en-US" w:eastAsia="zh-CN"/>
                    </w:rPr>
                  </w:pPr>
                  <w:r>
                    <w:rPr>
                      <w:rFonts w:hint="eastAsia"/>
                      <w:color w:val="auto"/>
                      <w:lang w:val="en-US" w:eastAsia="zh-CN"/>
                    </w:rPr>
                    <w:t>/</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20</w:t>
                  </w:r>
                </w:p>
              </w:tc>
              <w:tc>
                <w:tcPr>
                  <w:tcW w:w="966" w:type="dxa"/>
                  <w:noWrap w:val="0"/>
                  <w:vAlign w:val="center"/>
                </w:tcPr>
                <w:p>
                  <w:pPr>
                    <w:pStyle w:val="31"/>
                    <w:bidi w:val="0"/>
                    <w:rPr>
                      <w:rFonts w:hint="default"/>
                      <w:color w:val="auto"/>
                      <w:lang w:val="en-US" w:eastAsia="zh-CN"/>
                    </w:rPr>
                  </w:pPr>
                  <w:r>
                    <w:rPr>
                      <w:rFonts w:hint="eastAsia"/>
                      <w:color w:val="auto"/>
                      <w:lang w:val="en-US" w:eastAsia="zh-CN"/>
                    </w:rPr>
                    <w:t>/</w:t>
                  </w:r>
                </w:p>
              </w:tc>
              <w:tc>
                <w:tcPr>
                  <w:tcW w:w="969" w:type="dxa"/>
                  <w:noWrap w:val="0"/>
                  <w:vAlign w:val="center"/>
                </w:tcPr>
                <w:p>
                  <w:pPr>
                    <w:pStyle w:val="31"/>
                    <w:bidi w:val="0"/>
                    <w:rPr>
                      <w:rFonts w:hint="default"/>
                      <w:color w:val="auto"/>
                      <w:lang w:val="en-US" w:eastAsia="zh-CN"/>
                    </w:rPr>
                  </w:pPr>
                  <w:r>
                    <w:rPr>
                      <w:rFonts w:hint="eastAsia"/>
                      <w:color w:val="auto"/>
                      <w:lang w:val="en-US" w:eastAsia="zh-CN"/>
                    </w:rPr>
                    <w:t>20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根据上表可知，项目职工日常生活污水进入</w:t>
            </w:r>
            <w:r>
              <w:rPr>
                <w:rFonts w:hint="eastAsia"/>
                <w:color w:val="auto"/>
                <w:highlight w:val="none"/>
                <w:lang w:val="en-US" w:eastAsia="zh-CN"/>
              </w:rPr>
              <w:t>厂区拟建化粪池+一体化污水设施处理后</w:t>
            </w:r>
            <w:r>
              <w:rPr>
                <w:rFonts w:hint="eastAsia"/>
                <w:color w:val="auto"/>
                <w:lang w:val="en-US" w:eastAsia="zh-CN"/>
              </w:rPr>
              <w:t>，尾水水质可符合</w:t>
            </w:r>
            <w:r>
              <w:rPr>
                <w:rFonts w:hint="eastAsia"/>
                <w:color w:val="auto"/>
                <w:lang w:val="en-GB" w:eastAsia="zh-CN"/>
              </w:rPr>
              <w:t>《城市污水再生利用 绿地灌溉水质》（GB/T25499-2010）</w:t>
            </w:r>
            <w:r>
              <w:rPr>
                <w:rFonts w:hint="eastAsia"/>
                <w:color w:val="auto"/>
                <w:lang w:val="en-US" w:eastAsia="zh-CN"/>
              </w:rPr>
              <w:t>相关水质要求。</w:t>
            </w:r>
          </w:p>
          <w:p>
            <w:pPr>
              <w:pStyle w:val="4"/>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lang w:val="en-US" w:eastAsia="zh-CN"/>
              </w:rPr>
              <w:t>.2运营期水环境影响及污染防治措施可行性分析</w:t>
            </w:r>
          </w:p>
          <w:p>
            <w:pPr>
              <w:pStyle w:val="4"/>
              <w:keepNext w:val="0"/>
              <w:keepLines w:val="0"/>
              <w:spacing w:line="360" w:lineRule="auto"/>
              <w:rPr>
                <w:rFonts w:hint="default" w:ascii="Times New Roman" w:hAnsi="Times New Roman" w:eastAsia="宋体"/>
                <w:b/>
                <w:bCs/>
                <w:color w:val="auto"/>
                <w:sz w:val="24"/>
                <w:szCs w:val="24"/>
                <w:lang w:val="en-US" w:eastAsia="zh-CN"/>
              </w:rPr>
            </w:pPr>
            <w:r>
              <w:rPr>
                <w:rFonts w:hint="eastAsia"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rPr>
              <w:t>.2.</w:t>
            </w:r>
            <w:r>
              <w:rPr>
                <w:rFonts w:hint="eastAsia" w:cs="Times New Roman"/>
                <w:b/>
                <w:color w:val="auto"/>
                <w:sz w:val="24"/>
                <w:lang w:val="en-US" w:eastAsia="zh-CN"/>
              </w:rPr>
              <w:t>1</w:t>
            </w:r>
            <w:r>
              <w:rPr>
                <w:rFonts w:hint="eastAsia" w:ascii="Times New Roman" w:hAnsi="Times New Roman" w:eastAsia="宋体" w:cs="Times New Roman"/>
                <w:b/>
                <w:color w:val="auto"/>
                <w:sz w:val="24"/>
                <w:lang w:val="en-US" w:eastAsia="zh-CN"/>
              </w:rPr>
              <w:t xml:space="preserve"> 生活污水</w:t>
            </w:r>
            <w:r>
              <w:rPr>
                <w:rFonts w:hint="eastAsia" w:cs="Times New Roman"/>
                <w:b/>
                <w:color w:val="auto"/>
                <w:sz w:val="24"/>
                <w:lang w:val="en-US" w:eastAsia="zh-CN"/>
              </w:rPr>
              <w:t>处理</w:t>
            </w:r>
            <w:r>
              <w:rPr>
                <w:rFonts w:hint="eastAsia" w:ascii="Times New Roman" w:hAnsi="Times New Roman" w:eastAsia="宋体" w:cs="Times New Roman"/>
                <w:b/>
                <w:color w:val="auto"/>
                <w:sz w:val="24"/>
                <w:lang w:val="en-US" w:eastAsia="zh-CN"/>
              </w:rPr>
              <w:t>可行性分析</w:t>
            </w:r>
          </w:p>
          <w:p>
            <w:pPr>
              <w:bidi w:val="0"/>
              <w:rPr>
                <w:rFonts w:hint="eastAsia"/>
                <w:color w:val="auto"/>
                <w:sz w:val="24"/>
                <w:szCs w:val="24"/>
                <w:lang w:val="en-US" w:eastAsia="zh-CN"/>
              </w:rPr>
            </w:pPr>
            <w:r>
              <w:rPr>
                <w:rFonts w:hint="eastAsia"/>
                <w:color w:val="auto"/>
                <w:sz w:val="24"/>
                <w:szCs w:val="24"/>
                <w:lang w:val="en-US" w:eastAsia="zh-CN"/>
              </w:rPr>
              <w:t>据了解，项目周围现状尚未铺设市政污水管网，企业拟自建生活污水处理设施处理生活污水，工艺采用化粪池+一体化生活污水处理设施（</w:t>
            </w:r>
            <w:r>
              <w:rPr>
                <w:rFonts w:hint="eastAsia" w:ascii="Times New Roman" w:hAnsi="Times New Roman" w:cs="Times New Roman"/>
                <w:color w:val="auto"/>
                <w:sz w:val="24"/>
                <w:szCs w:val="24"/>
                <w:highlight w:val="none"/>
                <w:lang w:val="en-US" w:eastAsia="zh-CN"/>
              </w:rPr>
              <w:t>生物滤池法</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，一体化污水处理设施处理能力30t/d。下述针对项目生活污水作为厂区绿化浇灌消纳和工艺回用的可行性进行简要分析。</w:t>
            </w:r>
          </w:p>
          <w:p>
            <w:pPr>
              <w:bidi w:val="0"/>
              <w:rPr>
                <w:rFonts w:hint="eastAsia"/>
                <w:color w:val="auto"/>
                <w:lang w:val="en-US" w:eastAsia="zh-CN"/>
              </w:rPr>
            </w:pPr>
            <w:r>
              <w:rPr>
                <w:rFonts w:hint="eastAsia"/>
                <w:color w:val="auto"/>
                <w:lang w:val="en-US" w:eastAsia="zh-CN"/>
              </w:rPr>
              <w:t>①水质的可行性分析</w:t>
            </w:r>
          </w:p>
          <w:p>
            <w:pPr>
              <w:bidi w:val="0"/>
              <w:rPr>
                <w:rFonts w:hint="eastAsia"/>
                <w:color w:val="auto"/>
                <w:lang w:val="en-US" w:eastAsia="zh-CN"/>
              </w:rPr>
            </w:pPr>
            <w:r>
              <w:rPr>
                <w:rFonts w:hint="eastAsia"/>
                <w:color w:val="auto"/>
                <w:lang w:val="en-US" w:eastAsia="zh-CN"/>
              </w:rPr>
              <w:t>根据上述分析，项目职工生活污水处理后排放量为19.58t/d（6459.75t/a），职工生活污水经化粪池+地埋式一体化污水处理设施处理后，主要污染物浓度为CODcr：36.32mg/L、BOD</w:t>
            </w:r>
            <w:r>
              <w:rPr>
                <w:rFonts w:hint="eastAsia"/>
                <w:color w:val="auto"/>
                <w:vertAlign w:val="subscript"/>
                <w:lang w:val="en-US" w:eastAsia="zh-CN"/>
              </w:rPr>
              <w:t>5</w:t>
            </w:r>
            <w:r>
              <w:rPr>
                <w:rFonts w:hint="eastAsia"/>
                <w:color w:val="auto"/>
                <w:lang w:val="en-US" w:eastAsia="zh-CN"/>
              </w:rPr>
              <w:t>：16.37mg/L、SS：10.8mg/L、氨氮：3.125mg/L，可满足</w:t>
            </w:r>
            <w:r>
              <w:rPr>
                <w:rFonts w:hint="eastAsia"/>
                <w:color w:val="auto"/>
                <w:lang w:val="en-GB" w:eastAsia="zh-CN"/>
              </w:rPr>
              <w:t>《城市污水再生利用 绿地灌溉水质》（GB/T25499-2010）</w:t>
            </w:r>
            <w:r>
              <w:rPr>
                <w:rFonts w:hint="eastAsia"/>
                <w:color w:val="auto"/>
                <w:lang w:val="en-US" w:eastAsia="zh-CN"/>
              </w:rPr>
              <w:t>相关水质要求，因此，生活污水用于厂区绿化可行。</w:t>
            </w:r>
          </w:p>
          <w:p>
            <w:pPr>
              <w:bidi w:val="0"/>
              <w:rPr>
                <w:rFonts w:hint="eastAsia"/>
                <w:color w:val="auto"/>
                <w:lang w:val="en-US" w:eastAsia="zh-CN"/>
              </w:rPr>
            </w:pPr>
            <w:r>
              <w:rPr>
                <w:rFonts w:hint="eastAsia" w:ascii="Times New Roman" w:hAnsi="Times New Roman" w:eastAsia="宋体" w:cs="Times New Roman"/>
                <w:color w:val="auto"/>
                <w:lang w:val="en-US" w:eastAsia="zh-CN"/>
              </w:rPr>
              <w:t>项目作为水泥制品生产项目，混凝土搅拌用水对水质要求较低，生活污水经处理后各污染物浓度已较低，可以满足混凝土搅拌用水要求，对产品品质无影响。因此对于厂区绿化消纳不完的生活污水，可排入斜坡沉淀池，回用于混凝土搅拌。</w:t>
            </w:r>
          </w:p>
          <w:p>
            <w:pPr>
              <w:bidi w:val="0"/>
              <w:rPr>
                <w:rFonts w:hint="eastAsia"/>
                <w:color w:val="auto"/>
                <w:lang w:val="en-US" w:eastAsia="zh-CN"/>
              </w:rPr>
            </w:pPr>
            <w:r>
              <w:rPr>
                <w:rFonts w:hint="eastAsia"/>
                <w:color w:val="auto"/>
                <w:lang w:val="en-US" w:eastAsia="zh-CN"/>
              </w:rPr>
              <w:t>②水量的可行性分析</w:t>
            </w:r>
          </w:p>
          <w:p>
            <w:pPr>
              <w:bidi w:val="0"/>
              <w:rPr>
                <w:rFonts w:hint="eastAsia"/>
                <w:color w:val="auto"/>
                <w:lang w:val="en-US" w:eastAsia="zh-CN"/>
              </w:rPr>
            </w:pPr>
            <w:r>
              <w:rPr>
                <w:rFonts w:hint="eastAsia"/>
                <w:color w:val="auto"/>
                <w:lang w:val="en-US" w:eastAsia="zh-CN"/>
              </w:rPr>
              <w:t>根据企业提供资料，项目的绿地面积为3666m</w:t>
            </w:r>
            <w:r>
              <w:rPr>
                <w:rFonts w:hint="eastAsia"/>
                <w:color w:val="auto"/>
                <w:vertAlign w:val="superscript"/>
                <w:lang w:val="en-US" w:eastAsia="zh-CN"/>
              </w:rPr>
              <w:t>2</w:t>
            </w:r>
            <w:r>
              <w:rPr>
                <w:rFonts w:hint="eastAsia"/>
                <w:color w:val="auto"/>
                <w:lang w:val="en-US" w:eastAsia="zh-CN"/>
              </w:rPr>
              <w:t>，根据前文水平衡相关章节的计算，本项目绿化用水量为1539.72m</w:t>
            </w:r>
            <w:r>
              <w:rPr>
                <w:rFonts w:hint="eastAsia"/>
                <w:color w:val="auto"/>
                <w:vertAlign w:val="superscript"/>
                <w:lang w:val="en-US" w:eastAsia="zh-CN"/>
              </w:rPr>
              <w:t>3</w:t>
            </w:r>
            <w:r>
              <w:rPr>
                <w:rFonts w:hint="eastAsia"/>
                <w:color w:val="auto"/>
                <w:lang w:val="en-US" w:eastAsia="zh-CN"/>
              </w:rPr>
              <w:t>/a。由上述可知，项目生活污水的产生量为6459.75m</w:t>
            </w:r>
            <w:r>
              <w:rPr>
                <w:rFonts w:hint="eastAsia"/>
                <w:color w:val="auto"/>
                <w:vertAlign w:val="superscript"/>
                <w:lang w:val="en-US" w:eastAsia="zh-CN"/>
              </w:rPr>
              <w:t>3</w:t>
            </w:r>
            <w:r>
              <w:rPr>
                <w:rFonts w:hint="eastAsia"/>
                <w:color w:val="auto"/>
                <w:lang w:val="en-US" w:eastAsia="zh-CN"/>
              </w:rPr>
              <w:t>/a，因此项目生活污水部分由厂区绿化消纳，剩余4920.03m</w:t>
            </w:r>
            <w:r>
              <w:rPr>
                <w:rFonts w:hint="eastAsia"/>
                <w:color w:val="auto"/>
                <w:vertAlign w:val="superscript"/>
                <w:lang w:val="en-US" w:eastAsia="zh-CN"/>
              </w:rPr>
              <w:t>3</w:t>
            </w:r>
            <w:r>
              <w:rPr>
                <w:rFonts w:hint="eastAsia"/>
                <w:color w:val="auto"/>
                <w:lang w:val="en-US" w:eastAsia="zh-CN"/>
              </w:rPr>
              <w:t>/a尾水则</w:t>
            </w:r>
            <w:r>
              <w:rPr>
                <w:rFonts w:hint="eastAsia" w:ascii="Times New Roman" w:hAnsi="Times New Roman" w:eastAsia="宋体" w:cs="Times New Roman"/>
                <w:color w:val="auto"/>
                <w:lang w:val="en-US" w:eastAsia="zh-CN"/>
              </w:rPr>
              <w:t>排入斜坡沉淀池，回用于混凝土搅拌</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③降雨期间废水储存的可行性分析</w:t>
            </w:r>
          </w:p>
          <w:p>
            <w:pPr>
              <w:bidi w:val="0"/>
              <w:rPr>
                <w:rFonts w:hint="eastAsia"/>
                <w:color w:val="auto"/>
                <w:lang w:val="en-US" w:eastAsia="zh-CN"/>
              </w:rPr>
            </w:pPr>
            <w:r>
              <w:rPr>
                <w:rFonts w:hint="eastAsia"/>
                <w:color w:val="auto"/>
                <w:lang w:val="en-US" w:eastAsia="zh-CN"/>
              </w:rPr>
              <w:t>若碰到梅雨季，厂区内的绿化灌溉次数减少，根据多年气象资料显示，福清地区4月～5月为梅雨季，基本上5天需要灌溉一次；因此项目需要建设一个大于36.65m</w:t>
            </w:r>
            <w:r>
              <w:rPr>
                <w:rFonts w:hint="eastAsia"/>
                <w:color w:val="auto"/>
                <w:vertAlign w:val="superscript"/>
                <w:lang w:val="en-US" w:eastAsia="zh-CN"/>
              </w:rPr>
              <w:t>3</w:t>
            </w:r>
            <w:r>
              <w:rPr>
                <w:rFonts w:hint="eastAsia"/>
                <w:color w:val="auto"/>
                <w:lang w:val="en-US" w:eastAsia="zh-CN"/>
              </w:rPr>
              <w:t>的储存池。根据企业提供资料可知，项目拟设置</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，可满足雨季的生活污水储存，另外</w:t>
            </w:r>
            <w:r>
              <w:rPr>
                <w:rFonts w:hint="eastAsia"/>
                <w:color w:val="auto"/>
                <w:lang w:val="en-US" w:eastAsia="zh-CN"/>
              </w:rPr>
              <w:t>雨季过程中绿化灌溉无法处理消纳的生活污水可全部用于预拌混凝土工序生产使用。</w:t>
            </w:r>
          </w:p>
          <w:p>
            <w:pPr>
              <w:bidi w:val="0"/>
              <w:rPr>
                <w:rFonts w:hint="eastAsia"/>
                <w:color w:val="auto"/>
                <w:lang w:val="en-US" w:eastAsia="zh-CN"/>
              </w:rPr>
            </w:pPr>
            <w:r>
              <w:rPr>
                <w:rFonts w:hint="eastAsia"/>
                <w:color w:val="auto"/>
                <w:lang w:val="en-US" w:eastAsia="zh-CN"/>
              </w:rPr>
              <w:t>项目拟设置化粪池+一体化污水处理设施用于生活污水的处理，一体化污水处理设施采用工艺为生物接触氧化工艺。该设备埋设于地表以下，设备上面的地表可作为绿化或其他用地，不需要建房及采暖、保温。处理工艺采用推流式二级生物接触氧化，其处理效果优于完全混合式或二级串联完全混合式生物接触氧化池。并比活性污泥池体积小，对水质的适应性强，耐冲击负荷性能好，出水水质稳定，不会产生污泥膨胀。池中采用新型弹性立体填料，比表面积大，微生物易挂膜，脱膜，在同样有机物负荷条件下，对有机物去除率高，能提高空气中的氧在水中溶解度。生化池采用生物接触氧化法，其填料的体积负荷比较低，微生物处于自身氧化阶段，产泥量少，仅需三个月（90天）以上排一次泥。整个设备处理系统配有全自动电气控制系统和设备故障报警系统，运行安全可靠，平时一般不需要专人管理，只需适时地对设备进行维护和保养。地埋式生活污水处理设备集去除BOD</w:t>
            </w:r>
            <w:r>
              <w:rPr>
                <w:rFonts w:hint="eastAsia"/>
                <w:color w:val="auto"/>
                <w:vertAlign w:val="subscript"/>
                <w:lang w:val="en-US" w:eastAsia="zh-CN"/>
              </w:rPr>
              <w:t>5</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-N于一身，具有技术性能稳定可靠，处理效果好，投资省，占地少，维护方便等优点，已经是很成熟的定型产品；生活污水经地埋式生活污水处理设备处理后，出水水质可满足</w:t>
            </w:r>
            <w:r>
              <w:rPr>
                <w:rFonts w:hint="eastAsia"/>
                <w:color w:val="auto"/>
                <w:lang w:val="en-GB" w:eastAsia="zh-CN"/>
              </w:rPr>
              <w:t>《城市污水再生利用 绿地灌溉水质》（GB/T25499-2010）</w:t>
            </w:r>
            <w:r>
              <w:rPr>
                <w:rFonts w:hint="eastAsia"/>
                <w:color w:val="auto"/>
                <w:lang w:val="en-US" w:eastAsia="zh-CN"/>
              </w:rPr>
              <w:t>相关水质要求。</w:t>
            </w:r>
          </w:p>
          <w:p>
            <w:pPr>
              <w:bidi w:val="0"/>
              <w:ind w:left="0" w:leftChars="0" w:firstLine="0" w:firstLineChars="0"/>
              <w:rPr>
                <w:rFonts w:hint="eastAsia"/>
                <w:b/>
                <w:bCs/>
                <w:color w:val="auto"/>
                <w:lang w:val="en-US" w:eastAsia="zh-CN"/>
              </w:rPr>
            </w:pPr>
            <w:r>
              <w:rPr>
                <w:rFonts w:hint="eastAsia"/>
                <w:b/>
                <w:bCs/>
                <w:color w:val="auto"/>
                <w:lang w:val="en-US" w:eastAsia="zh-CN"/>
              </w:rPr>
              <w:t>4.3.2.2生产废水循环回用可行性分析</w:t>
            </w:r>
          </w:p>
          <w:p>
            <w:pPr>
              <w:bidi w:val="0"/>
              <w:rPr>
                <w:rFonts w:hint="default" w:eastAsia="宋体"/>
                <w:color w:val="auto"/>
                <w:lang w:val="en-US" w:eastAsia="zh-CN"/>
              </w:rPr>
            </w:pPr>
            <w:r>
              <w:rPr>
                <w:rFonts w:hint="eastAsia"/>
                <w:color w:val="auto"/>
                <w:lang w:val="en-US" w:eastAsia="zh-CN"/>
              </w:rPr>
              <w:t>项目设备清洗用水、地面冲洗用水、试验清洗用水均通过收集后排入项目拟建设的</w:t>
            </w:r>
            <w:r>
              <w:rPr>
                <w:rFonts w:hint="eastAsia" w:ascii="Times New Roman" w:hAnsi="Times New Roman" w:eastAsia="宋体" w:cs="Times New Roman"/>
                <w:color w:val="auto"/>
                <w:sz w:val="24"/>
                <w:highlight w:val="none"/>
                <w:lang w:val="en-US" w:eastAsia="zh-CN"/>
              </w:rPr>
              <w:t>斜坡沉淀池</w:t>
            </w:r>
            <w:r>
              <w:rPr>
                <w:rFonts w:hint="eastAsia"/>
                <w:color w:val="auto"/>
                <w:lang w:val="en-US" w:eastAsia="zh-CN"/>
              </w:rPr>
              <w:t>，</w:t>
            </w:r>
            <w:r>
              <w:rPr>
                <w:rFonts w:hint="eastAsia" w:cs="Times New Roman"/>
                <w:color w:val="auto"/>
                <w:sz w:val="24"/>
                <w:highlight w:val="none"/>
                <w:lang w:val="en-US" w:eastAsia="zh-CN"/>
              </w:rPr>
              <w:t>经收集的生产区初期雨水在300m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雨水收集池中暂存，分批引至</w:t>
            </w:r>
            <w:r>
              <w:rPr>
                <w:rFonts w:hint="eastAsia" w:ascii="Times New Roman" w:hAnsi="Times New Roman" w:eastAsia="宋体" w:cs="Times New Roman"/>
                <w:color w:val="auto"/>
                <w:sz w:val="24"/>
                <w:highlight w:val="none"/>
                <w:lang w:val="en-US" w:eastAsia="zh-CN"/>
              </w:rPr>
              <w:t>斜坡沉淀池处理后，全部回用于混凝土搅拌，不外排。项目拟建设的</w:t>
            </w:r>
            <w:r>
              <w:rPr>
                <w:rFonts w:hint="eastAsia"/>
                <w:color w:val="auto"/>
                <w:vertAlign w:val="baseline"/>
                <w:lang w:val="en-US" w:eastAsia="zh-CN"/>
              </w:rPr>
              <w:t>斜坡沉淀池容积约216m</w:t>
            </w:r>
            <w:r>
              <w:rPr>
                <w:rFonts w:hint="eastAsia"/>
                <w:color w:val="auto"/>
                <w:vertAlign w:val="superscript"/>
                <w:lang w:val="en-US" w:eastAsia="zh-CN"/>
              </w:rPr>
              <w:t>3</w:t>
            </w:r>
            <w:r>
              <w:rPr>
                <w:rFonts w:hint="eastAsia"/>
                <w:color w:val="auto"/>
                <w:lang w:eastAsia="zh-CN"/>
              </w:rPr>
              <w:t>，</w:t>
            </w:r>
            <w:r>
              <w:rPr>
                <w:color w:val="auto"/>
              </w:rPr>
              <w:t>斜</w:t>
            </w:r>
            <w:r>
              <w:rPr>
                <w:rFonts w:hint="eastAsia"/>
                <w:color w:val="auto"/>
                <w:lang w:val="en-US" w:eastAsia="zh-CN"/>
              </w:rPr>
              <w:t>坡</w:t>
            </w:r>
            <w:r>
              <w:rPr>
                <w:color w:val="auto"/>
              </w:rPr>
              <w:t>沉淀池的水力停留时间通常为‌</w:t>
            </w:r>
            <w:r>
              <w:rPr>
                <w:rFonts w:hint="default"/>
                <w:color w:val="auto"/>
              </w:rPr>
              <w:t>1-2小时</w:t>
            </w:r>
            <w:r>
              <w:rPr>
                <w:rFonts w:hint="eastAsia"/>
                <w:color w:val="auto"/>
                <w:lang w:eastAsia="zh-CN"/>
              </w:rPr>
              <w:t>，</w:t>
            </w:r>
            <w:r>
              <w:rPr>
                <w:rFonts w:hint="eastAsia"/>
                <w:color w:val="auto"/>
                <w:lang w:val="en-US" w:eastAsia="zh-CN"/>
              </w:rPr>
              <w:t>本方案保守取值2小时，则每日可循环4倍容积水量，即864t/d。根据前文水平衡计算，项目设备清洗用水、地面冲洗用水、试验清洗用水以及初期雨水排入斜坡沉淀池的单日最大总量为295.70t/d（36784.14t/a），仅占用斜坡沉淀池每日有效循环容积的34.22%，因此项目拟配套的斜坡沉淀池可以满足循环水的使用。</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（3）小结</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根据上述分析，项目</w:t>
            </w:r>
            <w:r>
              <w:rPr>
                <w:rFonts w:hint="eastAsia" w:cs="Times New Roman"/>
                <w:color w:val="auto"/>
                <w:sz w:val="24"/>
                <w:szCs w:val="24"/>
                <w:lang w:val="en-US" w:eastAsia="zh-CN"/>
              </w:rPr>
              <w:t>所有生产废水和生活废水均回用，不单独外排</w:t>
            </w:r>
            <w:r>
              <w:rPr>
                <w:rFonts w:hint="eastAsia" w:ascii="Times New Roman" w:hAnsi="Times New Roman" w:eastAsia="宋体" w:cs="Times New Roman"/>
                <w:color w:val="auto"/>
                <w:sz w:val="24"/>
                <w:szCs w:val="24"/>
                <w:lang w:val="en-US" w:eastAsia="zh-CN"/>
              </w:rPr>
              <w:t>，项目污水不直接排入地表水体，因此几乎不会对区域地表水环境产生直接不利影响。</w:t>
            </w:r>
          </w:p>
          <w:p>
            <w:pPr>
              <w:pStyle w:val="4"/>
              <w:bidi w:val="0"/>
              <w:rPr>
                <w:rFonts w:hint="default"/>
                <w:color w:val="auto"/>
                <w:lang w:eastAsia="zh-CN"/>
              </w:rPr>
            </w:pPr>
            <w:r>
              <w:rPr>
                <w:rFonts w:hint="default"/>
                <w:color w:val="auto"/>
                <w:lang w:eastAsia="zh-CN"/>
              </w:rPr>
              <w:t>4.</w:t>
            </w:r>
            <w:r>
              <w:rPr>
                <w:rFonts w:hint="eastAsia"/>
                <w:color w:val="auto"/>
                <w:lang w:val="en-US" w:eastAsia="zh-CN"/>
              </w:rPr>
              <w:t>3</w:t>
            </w:r>
            <w:r>
              <w:rPr>
                <w:rFonts w:hint="default"/>
                <w:color w:val="auto"/>
                <w:lang w:eastAsia="zh-CN"/>
              </w:rPr>
              <w:t>.</w:t>
            </w:r>
            <w:r>
              <w:rPr>
                <w:rFonts w:hint="eastAsia"/>
                <w:color w:val="auto"/>
                <w:lang w:val="en-US" w:eastAsia="zh-CN"/>
              </w:rPr>
              <w:t>4</w:t>
            </w:r>
            <w:r>
              <w:rPr>
                <w:rFonts w:hint="default"/>
                <w:color w:val="auto"/>
                <w:lang w:eastAsia="zh-CN"/>
              </w:rPr>
              <w:t xml:space="preserve"> </w:t>
            </w:r>
            <w:r>
              <w:rPr>
                <w:rFonts w:hint="default"/>
                <w:color w:val="auto"/>
                <w:lang w:val="en-US" w:eastAsia="zh-CN"/>
              </w:rPr>
              <w:t>自行监测计划</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szCs w:val="24"/>
                <w:lang w:val="en-US" w:eastAsia="zh-CN"/>
              </w:rPr>
              <w:t>项目无生产废水</w:t>
            </w:r>
            <w:r>
              <w:rPr>
                <w:rFonts w:hint="eastAsia" w:cs="Times New Roman"/>
                <w:color w:val="auto"/>
                <w:sz w:val="24"/>
                <w:szCs w:val="24"/>
                <w:lang w:val="en-US" w:eastAsia="zh-CN"/>
              </w:rPr>
              <w:t>和生活废水</w:t>
            </w:r>
            <w:r>
              <w:rPr>
                <w:rFonts w:hint="eastAsia" w:ascii="Times New Roman" w:hAnsi="Times New Roman" w:eastAsia="宋体" w:cs="Times New Roman"/>
                <w:color w:val="auto"/>
                <w:sz w:val="24"/>
                <w:szCs w:val="24"/>
                <w:lang w:val="en-US" w:eastAsia="zh-CN"/>
              </w:rPr>
              <w:t>外排</w:t>
            </w:r>
            <w:r>
              <w:rPr>
                <w:rFonts w:hint="eastAsia" w:cs="Times New Roman"/>
                <w:color w:val="auto"/>
                <w:sz w:val="24"/>
                <w:szCs w:val="24"/>
                <w:lang w:val="en-US" w:eastAsia="zh-CN"/>
              </w:rPr>
              <w:t>，因此无需指定自行监测计划。</w:t>
            </w:r>
          </w:p>
          <w:p>
            <w:pPr>
              <w:pStyle w:val="3"/>
              <w:bidi w:val="0"/>
              <w:rPr>
                <w:rFonts w:hint="default"/>
                <w:color w:val="auto"/>
              </w:rPr>
            </w:pPr>
            <w:r>
              <w:rPr>
                <w:rFonts w:hint="default"/>
                <w:color w:val="auto"/>
              </w:rPr>
              <w:t>4.</w:t>
            </w:r>
            <w:r>
              <w:rPr>
                <w:rFonts w:hint="eastAsia"/>
                <w:color w:val="auto"/>
                <w:lang w:val="en-US" w:eastAsia="zh-CN"/>
              </w:rPr>
              <w:t>4</w:t>
            </w:r>
            <w:r>
              <w:rPr>
                <w:rFonts w:hint="default"/>
                <w:color w:val="auto"/>
              </w:rPr>
              <w:t>运营期声环境影响分析和污染防治措施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4</w:t>
            </w:r>
            <w:r>
              <w:rPr>
                <w:rFonts w:hint="default"/>
                <w:color w:val="auto"/>
                <w:lang w:val="en-US" w:eastAsia="zh-CN"/>
              </w:rPr>
              <w:t>.1</w:t>
            </w:r>
            <w:r>
              <w:rPr>
                <w:rFonts w:hint="default"/>
                <w:color w:val="auto"/>
              </w:rPr>
              <w:t xml:space="preserve"> </w:t>
            </w:r>
            <w:r>
              <w:rPr>
                <w:rFonts w:hint="default"/>
                <w:color w:val="auto"/>
                <w:lang w:val="en-US" w:eastAsia="zh-CN"/>
              </w:rPr>
              <w:t>运营期噪声源强核算</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eastAsia" w:ascii="Times New Roman" w:hAnsi="Times New Roman" w:eastAsia="宋体"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eastAsia" w:ascii="Times New Roman" w:hAnsi="Times New Roman" w:eastAsia="宋体"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w:t>
            </w:r>
            <w:r>
              <w:rPr>
                <w:rFonts w:hint="eastAsia" w:ascii="Times New Roman" w:hAnsi="Times New Roman" w:eastAsia="宋体"/>
                <w:color w:val="auto"/>
                <w:sz w:val="24"/>
                <w:szCs w:val="24"/>
              </w:rPr>
              <w:t>本项目室内噪声源强调查清单详见表4.4-1</w:t>
            </w:r>
            <w:r>
              <w:rPr>
                <w:rFonts w:hint="default" w:ascii="Times New Roman" w:hAnsi="Times New Roman" w:eastAsia="宋体" w:cs="Times New Roman"/>
                <w:color w:val="auto"/>
                <w:sz w:val="24"/>
                <w:szCs w:val="24"/>
                <w:highlight w:val="none"/>
              </w:rPr>
              <w:t>。</w:t>
            </w:r>
          </w:p>
          <w:p>
            <w:pPr>
              <w:pStyle w:val="33"/>
              <w:bidi w:val="0"/>
              <w:rPr>
                <w:color w:val="auto"/>
                <w:sz w:val="24"/>
                <w:szCs w:val="24"/>
                <w:lang w:val="zh-CN"/>
              </w:rPr>
            </w:pPr>
            <w:r>
              <w:rPr>
                <w:color w:val="auto"/>
                <w:sz w:val="24"/>
                <w:szCs w:val="24"/>
              </w:rPr>
              <w:t>表</w:t>
            </w:r>
            <w:r>
              <w:rPr>
                <w:rFonts w:hint="eastAsia"/>
                <w:color w:val="auto"/>
                <w:sz w:val="24"/>
                <w:szCs w:val="24"/>
              </w:rPr>
              <w:t>4.</w:t>
            </w:r>
            <w:r>
              <w:rPr>
                <w:rFonts w:hint="eastAsia"/>
                <w:color w:val="auto"/>
                <w:sz w:val="24"/>
                <w:szCs w:val="24"/>
                <w:lang w:val="en-US" w:eastAsia="zh-CN"/>
              </w:rPr>
              <w:t>4</w:t>
            </w:r>
            <w:r>
              <w:rPr>
                <w:rFonts w:hint="eastAsia"/>
                <w:color w:val="auto"/>
                <w:sz w:val="24"/>
                <w:szCs w:val="24"/>
              </w:rPr>
              <w:t xml:space="preserve">-1 </w:t>
            </w:r>
            <w:r>
              <w:rPr>
                <w:rFonts w:hint="eastAsia"/>
                <w:color w:val="auto"/>
                <w:sz w:val="24"/>
                <w:szCs w:val="24"/>
                <w:lang w:val="en-US" w:eastAsia="zh-CN"/>
              </w:rPr>
              <w:t>项目噪声源强调查清单（室内声源）</w:t>
            </w:r>
          </w:p>
          <w:tbl>
            <w:tblPr>
              <w:tblStyle w:val="20"/>
              <w:tblW w:w="5023" w:type="pct"/>
              <w:tblInd w:w="-4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
              <w:gridCol w:w="354"/>
              <w:gridCol w:w="807"/>
              <w:gridCol w:w="427"/>
              <w:gridCol w:w="611"/>
              <w:gridCol w:w="508"/>
              <w:gridCol w:w="461"/>
              <w:gridCol w:w="543"/>
              <w:gridCol w:w="519"/>
              <w:gridCol w:w="554"/>
              <w:gridCol w:w="542"/>
              <w:gridCol w:w="623"/>
              <w:gridCol w:w="472"/>
              <w:gridCol w:w="576"/>
              <w:gridCol w:w="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240" w:type="pct"/>
                  <w:vMerge w:val="restart"/>
                  <w:tcBorders>
                    <w:tl2br w:val="nil"/>
                    <w:tr2bl w:val="nil"/>
                  </w:tcBorders>
                  <w:noWrap w:val="0"/>
                  <w:vAlign w:val="center"/>
                </w:tcPr>
                <w:p>
                  <w:pPr>
                    <w:pStyle w:val="31"/>
                    <w:bidi w:val="0"/>
                    <w:rPr>
                      <w:color w:val="auto"/>
                      <w:sz w:val="18"/>
                      <w:szCs w:val="18"/>
                    </w:rPr>
                  </w:pPr>
                  <w:r>
                    <w:rPr>
                      <w:color w:val="auto"/>
                      <w:sz w:val="18"/>
                      <w:szCs w:val="18"/>
                    </w:rPr>
                    <w:t>建筑物名称</w:t>
                  </w:r>
                </w:p>
              </w:tc>
              <w:tc>
                <w:tcPr>
                  <w:tcW w:w="222" w:type="pct"/>
                  <w:vMerge w:val="restart"/>
                  <w:tcBorders>
                    <w:tl2br w:val="nil"/>
                    <w:tr2bl w:val="nil"/>
                  </w:tcBorders>
                  <w:noWrap w:val="0"/>
                  <w:vAlign w:val="center"/>
                </w:tcPr>
                <w:p>
                  <w:pPr>
                    <w:pStyle w:val="31"/>
                    <w:bidi w:val="0"/>
                    <w:rPr>
                      <w:color w:val="auto"/>
                      <w:sz w:val="18"/>
                      <w:szCs w:val="18"/>
                    </w:rPr>
                  </w:pPr>
                  <w:r>
                    <w:rPr>
                      <w:color w:val="auto"/>
                      <w:sz w:val="18"/>
                      <w:szCs w:val="18"/>
                    </w:rPr>
                    <w:t>序号</w:t>
                  </w:r>
                </w:p>
              </w:tc>
              <w:tc>
                <w:tcPr>
                  <w:tcW w:w="507" w:type="pct"/>
                  <w:vMerge w:val="restart"/>
                  <w:tcBorders>
                    <w:tl2br w:val="nil"/>
                    <w:tr2bl w:val="nil"/>
                  </w:tcBorders>
                  <w:noWrap w:val="0"/>
                  <w:vAlign w:val="center"/>
                </w:tcPr>
                <w:p>
                  <w:pPr>
                    <w:pStyle w:val="31"/>
                    <w:bidi w:val="0"/>
                    <w:rPr>
                      <w:color w:val="auto"/>
                      <w:sz w:val="18"/>
                      <w:szCs w:val="18"/>
                    </w:rPr>
                  </w:pPr>
                  <w:r>
                    <w:rPr>
                      <w:color w:val="auto"/>
                      <w:sz w:val="18"/>
                      <w:szCs w:val="18"/>
                    </w:rPr>
                    <w:t>声源名称</w:t>
                  </w:r>
                </w:p>
              </w:tc>
              <w:tc>
                <w:tcPr>
                  <w:tcW w:w="268" w:type="pct"/>
                  <w:vMerge w:val="restart"/>
                  <w:tcBorders>
                    <w:tl2br w:val="nil"/>
                    <w:tr2bl w:val="nil"/>
                  </w:tcBorders>
                  <w:noWrap w:val="0"/>
                  <w:vAlign w:val="center"/>
                </w:tcPr>
                <w:p>
                  <w:pPr>
                    <w:pStyle w:val="31"/>
                    <w:bidi w:val="0"/>
                    <w:rPr>
                      <w:color w:val="auto"/>
                      <w:sz w:val="18"/>
                      <w:szCs w:val="18"/>
                    </w:rPr>
                  </w:pPr>
                  <w:r>
                    <w:rPr>
                      <w:color w:val="auto"/>
                      <w:sz w:val="18"/>
                      <w:szCs w:val="18"/>
                    </w:rPr>
                    <w:t>数量</w:t>
                  </w:r>
                </w:p>
              </w:tc>
              <w:tc>
                <w:tcPr>
                  <w:tcW w:w="384" w:type="pct"/>
                  <w:vMerge w:val="restart"/>
                  <w:tcBorders>
                    <w:tl2br w:val="nil"/>
                    <w:tr2bl w:val="nil"/>
                  </w:tcBorders>
                  <w:noWrap w:val="0"/>
                  <w:vAlign w:val="center"/>
                </w:tcPr>
                <w:p>
                  <w:pPr>
                    <w:pStyle w:val="31"/>
                    <w:bidi w:val="0"/>
                    <w:rPr>
                      <w:color w:val="auto"/>
                      <w:sz w:val="18"/>
                      <w:szCs w:val="18"/>
                    </w:rPr>
                  </w:pPr>
                  <w:r>
                    <w:rPr>
                      <w:color w:val="auto"/>
                      <w:sz w:val="18"/>
                      <w:szCs w:val="18"/>
                    </w:rPr>
                    <w:t>声源</w:t>
                  </w:r>
                </w:p>
                <w:p>
                  <w:pPr>
                    <w:pStyle w:val="31"/>
                    <w:bidi w:val="0"/>
                    <w:rPr>
                      <w:color w:val="auto"/>
                      <w:sz w:val="18"/>
                      <w:szCs w:val="18"/>
                    </w:rPr>
                  </w:pPr>
                  <w:r>
                    <w:rPr>
                      <w:color w:val="auto"/>
                      <w:sz w:val="18"/>
                      <w:szCs w:val="18"/>
                    </w:rPr>
                    <w:t>源强</w:t>
                  </w:r>
                </w:p>
                <w:p>
                  <w:pPr>
                    <w:pStyle w:val="31"/>
                    <w:bidi w:val="0"/>
                    <w:rPr>
                      <w:rFonts w:hint="default"/>
                      <w:color w:val="auto"/>
                      <w:sz w:val="18"/>
                      <w:szCs w:val="18"/>
                      <w:lang w:val="en-US" w:eastAsia="zh-CN"/>
                    </w:rPr>
                  </w:pPr>
                  <w:r>
                    <w:rPr>
                      <w:rFonts w:hint="eastAsia"/>
                      <w:color w:val="auto"/>
                      <w:sz w:val="18"/>
                      <w:szCs w:val="18"/>
                      <w:lang w:val="en-US" w:eastAsia="zh-CN"/>
                    </w:rPr>
                    <w:t>距声源1m/</w:t>
                  </w:r>
                  <w:r>
                    <w:rPr>
                      <w:color w:val="auto"/>
                      <w:sz w:val="18"/>
                      <w:szCs w:val="18"/>
                    </w:rPr>
                    <w:t>dB(A)</w:t>
                  </w:r>
                </w:p>
              </w:tc>
              <w:tc>
                <w:tcPr>
                  <w:tcW w:w="319" w:type="pct"/>
                  <w:vMerge w:val="restart"/>
                  <w:tcBorders>
                    <w:tl2br w:val="nil"/>
                    <w:tr2bl w:val="nil"/>
                  </w:tcBorders>
                  <w:noWrap w:val="0"/>
                  <w:vAlign w:val="center"/>
                </w:tcPr>
                <w:p>
                  <w:pPr>
                    <w:pStyle w:val="31"/>
                    <w:bidi w:val="0"/>
                    <w:rPr>
                      <w:color w:val="auto"/>
                      <w:sz w:val="18"/>
                      <w:szCs w:val="18"/>
                    </w:rPr>
                  </w:pPr>
                  <w:r>
                    <w:rPr>
                      <w:color w:val="auto"/>
                      <w:sz w:val="18"/>
                      <w:szCs w:val="18"/>
                    </w:rPr>
                    <w:t>声源控制措施</w:t>
                  </w:r>
                </w:p>
              </w:tc>
              <w:tc>
                <w:tcPr>
                  <w:tcW w:w="957" w:type="pct"/>
                  <w:gridSpan w:val="3"/>
                  <w:tcBorders>
                    <w:tl2br w:val="nil"/>
                    <w:tr2bl w:val="nil"/>
                  </w:tcBorders>
                  <w:noWrap w:val="0"/>
                  <w:vAlign w:val="center"/>
                </w:tcPr>
                <w:p>
                  <w:pPr>
                    <w:pStyle w:val="31"/>
                    <w:bidi w:val="0"/>
                    <w:rPr>
                      <w:color w:val="auto"/>
                      <w:sz w:val="18"/>
                      <w:szCs w:val="18"/>
                    </w:rPr>
                  </w:pPr>
                  <w:r>
                    <w:rPr>
                      <w:color w:val="auto"/>
                      <w:sz w:val="18"/>
                      <w:szCs w:val="18"/>
                    </w:rPr>
                    <w:t>空间相对位置/m</w:t>
                  </w:r>
                </w:p>
              </w:tc>
              <w:tc>
                <w:tcPr>
                  <w:tcW w:w="348" w:type="pct"/>
                  <w:vMerge w:val="restart"/>
                  <w:tcBorders>
                    <w:tl2br w:val="nil"/>
                    <w:tr2bl w:val="nil"/>
                  </w:tcBorders>
                  <w:noWrap w:val="0"/>
                  <w:vAlign w:val="center"/>
                </w:tcPr>
                <w:p>
                  <w:pPr>
                    <w:pStyle w:val="31"/>
                    <w:bidi w:val="0"/>
                    <w:rPr>
                      <w:color w:val="auto"/>
                      <w:sz w:val="18"/>
                      <w:szCs w:val="18"/>
                    </w:rPr>
                  </w:pPr>
                  <w:r>
                    <w:rPr>
                      <w:color w:val="auto"/>
                      <w:sz w:val="18"/>
                      <w:szCs w:val="18"/>
                    </w:rPr>
                    <w:t>距室内边界距离m</w:t>
                  </w:r>
                </w:p>
              </w:tc>
              <w:tc>
                <w:tcPr>
                  <w:tcW w:w="340" w:type="pct"/>
                  <w:vMerge w:val="restart"/>
                  <w:tcBorders>
                    <w:tl2br w:val="nil"/>
                    <w:tr2bl w:val="nil"/>
                  </w:tcBorders>
                  <w:noWrap w:val="0"/>
                  <w:vAlign w:val="center"/>
                </w:tcPr>
                <w:p>
                  <w:pPr>
                    <w:pStyle w:val="31"/>
                    <w:bidi w:val="0"/>
                    <w:rPr>
                      <w:color w:val="auto"/>
                      <w:sz w:val="18"/>
                      <w:szCs w:val="18"/>
                    </w:rPr>
                  </w:pPr>
                  <w:r>
                    <w:rPr>
                      <w:color w:val="auto"/>
                      <w:sz w:val="18"/>
                      <w:szCs w:val="18"/>
                    </w:rPr>
                    <w:t>室内边界</w:t>
                  </w:r>
                </w:p>
                <w:p>
                  <w:pPr>
                    <w:pStyle w:val="31"/>
                    <w:bidi w:val="0"/>
                    <w:rPr>
                      <w:color w:val="auto"/>
                      <w:sz w:val="18"/>
                      <w:szCs w:val="18"/>
                    </w:rPr>
                  </w:pPr>
                  <w:r>
                    <w:rPr>
                      <w:color w:val="auto"/>
                      <w:sz w:val="18"/>
                      <w:szCs w:val="18"/>
                    </w:rPr>
                    <w:t>声</w:t>
                  </w:r>
                  <w:r>
                    <w:rPr>
                      <w:rFonts w:hint="eastAsia"/>
                      <w:color w:val="auto"/>
                      <w:sz w:val="18"/>
                      <w:szCs w:val="18"/>
                    </w:rPr>
                    <w:t>压</w:t>
                  </w:r>
                  <w:r>
                    <w:rPr>
                      <w:color w:val="auto"/>
                      <w:sz w:val="18"/>
                      <w:szCs w:val="18"/>
                    </w:rPr>
                    <w:t>级dB(A)</w:t>
                  </w:r>
                </w:p>
              </w:tc>
              <w:tc>
                <w:tcPr>
                  <w:tcW w:w="391" w:type="pct"/>
                  <w:vMerge w:val="restart"/>
                  <w:tcBorders>
                    <w:tl2br w:val="nil"/>
                    <w:tr2bl w:val="nil"/>
                  </w:tcBorders>
                  <w:noWrap w:val="0"/>
                  <w:vAlign w:val="center"/>
                </w:tcPr>
                <w:p>
                  <w:pPr>
                    <w:pStyle w:val="31"/>
                    <w:bidi w:val="0"/>
                    <w:rPr>
                      <w:color w:val="auto"/>
                      <w:sz w:val="18"/>
                      <w:szCs w:val="18"/>
                    </w:rPr>
                  </w:pPr>
                  <w:r>
                    <w:rPr>
                      <w:color w:val="auto"/>
                      <w:sz w:val="18"/>
                      <w:szCs w:val="18"/>
                    </w:rPr>
                    <w:t>运行时段</w:t>
                  </w:r>
                </w:p>
                <w:p>
                  <w:pPr>
                    <w:pStyle w:val="31"/>
                    <w:bidi w:val="0"/>
                    <w:rPr>
                      <w:color w:val="auto"/>
                      <w:sz w:val="18"/>
                      <w:szCs w:val="18"/>
                    </w:rPr>
                  </w:pPr>
                  <w:r>
                    <w:rPr>
                      <w:color w:val="auto"/>
                      <w:sz w:val="18"/>
                      <w:szCs w:val="18"/>
                    </w:rPr>
                    <w:t>h/a</w:t>
                  </w:r>
                </w:p>
              </w:tc>
              <w:tc>
                <w:tcPr>
                  <w:tcW w:w="296" w:type="pct"/>
                  <w:vMerge w:val="restart"/>
                  <w:tcBorders>
                    <w:tl2br w:val="nil"/>
                    <w:tr2bl w:val="nil"/>
                  </w:tcBorders>
                  <w:noWrap w:val="0"/>
                  <w:vAlign w:val="center"/>
                </w:tcPr>
                <w:p>
                  <w:pPr>
                    <w:pStyle w:val="31"/>
                    <w:bidi w:val="0"/>
                    <w:rPr>
                      <w:color w:val="auto"/>
                      <w:sz w:val="18"/>
                      <w:szCs w:val="18"/>
                    </w:rPr>
                  </w:pPr>
                  <w:r>
                    <w:rPr>
                      <w:rFonts w:hint="eastAsia"/>
                      <w:color w:val="auto"/>
                      <w:sz w:val="18"/>
                      <w:szCs w:val="18"/>
                    </w:rPr>
                    <w:t>建筑物插入损失</w:t>
                  </w:r>
                  <w:r>
                    <w:rPr>
                      <w:color w:val="auto"/>
                      <w:sz w:val="18"/>
                      <w:szCs w:val="18"/>
                    </w:rPr>
                    <w:t>dB(A)</w:t>
                  </w:r>
                </w:p>
              </w:tc>
              <w:tc>
                <w:tcPr>
                  <w:tcW w:w="724" w:type="pct"/>
                  <w:gridSpan w:val="2"/>
                  <w:tcBorders>
                    <w:tl2br w:val="nil"/>
                    <w:tr2bl w:val="nil"/>
                  </w:tcBorders>
                  <w:noWrap w:val="0"/>
                  <w:vAlign w:val="center"/>
                </w:tcPr>
                <w:p>
                  <w:pPr>
                    <w:pStyle w:val="31"/>
                    <w:bidi w:val="0"/>
                    <w:rPr>
                      <w:color w:val="auto"/>
                      <w:sz w:val="18"/>
                      <w:szCs w:val="18"/>
                    </w:rPr>
                  </w:pPr>
                  <w:r>
                    <w:rPr>
                      <w:rFonts w:hint="eastAsia"/>
                      <w:color w:val="auto"/>
                      <w:sz w:val="18"/>
                      <w:szCs w:val="18"/>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240" w:type="pct"/>
                  <w:vMerge w:val="continue"/>
                  <w:tcBorders>
                    <w:tl2br w:val="nil"/>
                    <w:tr2bl w:val="nil"/>
                  </w:tcBorders>
                  <w:noWrap w:val="0"/>
                  <w:vAlign w:val="center"/>
                </w:tcPr>
                <w:p>
                  <w:pPr>
                    <w:pStyle w:val="31"/>
                    <w:bidi w:val="0"/>
                    <w:rPr>
                      <w:color w:val="auto"/>
                      <w:sz w:val="18"/>
                      <w:szCs w:val="18"/>
                    </w:rPr>
                  </w:pPr>
                </w:p>
              </w:tc>
              <w:tc>
                <w:tcPr>
                  <w:tcW w:w="222" w:type="pct"/>
                  <w:vMerge w:val="continue"/>
                  <w:tcBorders>
                    <w:tl2br w:val="nil"/>
                    <w:tr2bl w:val="nil"/>
                  </w:tcBorders>
                  <w:noWrap w:val="0"/>
                  <w:vAlign w:val="center"/>
                </w:tcPr>
                <w:p>
                  <w:pPr>
                    <w:pStyle w:val="31"/>
                    <w:bidi w:val="0"/>
                    <w:rPr>
                      <w:color w:val="auto"/>
                      <w:sz w:val="18"/>
                      <w:szCs w:val="18"/>
                    </w:rPr>
                  </w:pPr>
                </w:p>
              </w:tc>
              <w:tc>
                <w:tcPr>
                  <w:tcW w:w="507" w:type="pct"/>
                  <w:vMerge w:val="continue"/>
                  <w:tcBorders>
                    <w:tl2br w:val="nil"/>
                    <w:tr2bl w:val="nil"/>
                  </w:tcBorders>
                  <w:noWrap w:val="0"/>
                  <w:vAlign w:val="center"/>
                </w:tcPr>
                <w:p>
                  <w:pPr>
                    <w:pStyle w:val="31"/>
                    <w:bidi w:val="0"/>
                    <w:rPr>
                      <w:color w:val="auto"/>
                      <w:sz w:val="18"/>
                      <w:szCs w:val="18"/>
                    </w:rPr>
                  </w:pPr>
                </w:p>
              </w:tc>
              <w:tc>
                <w:tcPr>
                  <w:tcW w:w="268" w:type="pct"/>
                  <w:vMerge w:val="continue"/>
                  <w:tcBorders>
                    <w:tl2br w:val="nil"/>
                    <w:tr2bl w:val="nil"/>
                  </w:tcBorders>
                  <w:noWrap w:val="0"/>
                  <w:vAlign w:val="center"/>
                </w:tcPr>
                <w:p>
                  <w:pPr>
                    <w:pStyle w:val="31"/>
                    <w:bidi w:val="0"/>
                    <w:rPr>
                      <w:color w:val="auto"/>
                      <w:sz w:val="18"/>
                      <w:szCs w:val="18"/>
                    </w:rPr>
                  </w:pPr>
                </w:p>
              </w:tc>
              <w:tc>
                <w:tcPr>
                  <w:tcW w:w="384" w:type="pct"/>
                  <w:vMerge w:val="continue"/>
                  <w:tcBorders>
                    <w:tl2br w:val="nil"/>
                    <w:tr2bl w:val="nil"/>
                  </w:tcBorders>
                  <w:noWrap w:val="0"/>
                  <w:vAlign w:val="center"/>
                </w:tcPr>
                <w:p>
                  <w:pPr>
                    <w:pStyle w:val="31"/>
                    <w:bidi w:val="0"/>
                    <w:rPr>
                      <w:color w:val="auto"/>
                      <w:sz w:val="18"/>
                      <w:szCs w:val="18"/>
                    </w:rPr>
                  </w:pP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rPr>
                      <w:color w:val="auto"/>
                      <w:sz w:val="18"/>
                      <w:szCs w:val="18"/>
                    </w:rPr>
                  </w:pPr>
                  <w:r>
                    <w:rPr>
                      <w:color w:val="auto"/>
                      <w:sz w:val="18"/>
                      <w:szCs w:val="18"/>
                    </w:rPr>
                    <w:t>X</w:t>
                  </w:r>
                </w:p>
              </w:tc>
              <w:tc>
                <w:tcPr>
                  <w:tcW w:w="341" w:type="pct"/>
                  <w:tcBorders>
                    <w:tl2br w:val="nil"/>
                    <w:tr2bl w:val="nil"/>
                  </w:tcBorders>
                  <w:noWrap w:val="0"/>
                  <w:vAlign w:val="center"/>
                </w:tcPr>
                <w:p>
                  <w:pPr>
                    <w:pStyle w:val="31"/>
                    <w:bidi w:val="0"/>
                    <w:rPr>
                      <w:color w:val="auto"/>
                      <w:sz w:val="18"/>
                      <w:szCs w:val="18"/>
                    </w:rPr>
                  </w:pPr>
                  <w:r>
                    <w:rPr>
                      <w:color w:val="auto"/>
                      <w:sz w:val="18"/>
                      <w:szCs w:val="18"/>
                    </w:rPr>
                    <w:t>Y</w:t>
                  </w:r>
                </w:p>
              </w:tc>
              <w:tc>
                <w:tcPr>
                  <w:tcW w:w="326" w:type="pct"/>
                  <w:tcBorders>
                    <w:tl2br w:val="nil"/>
                    <w:tr2bl w:val="nil"/>
                  </w:tcBorders>
                  <w:noWrap w:val="0"/>
                  <w:vAlign w:val="center"/>
                </w:tcPr>
                <w:p>
                  <w:pPr>
                    <w:pStyle w:val="31"/>
                    <w:bidi w:val="0"/>
                    <w:rPr>
                      <w:color w:val="auto"/>
                      <w:sz w:val="18"/>
                      <w:szCs w:val="18"/>
                    </w:rPr>
                  </w:pPr>
                  <w:r>
                    <w:rPr>
                      <w:color w:val="auto"/>
                      <w:sz w:val="18"/>
                      <w:szCs w:val="18"/>
                    </w:rPr>
                    <w:t>Z</w:t>
                  </w:r>
                </w:p>
              </w:tc>
              <w:tc>
                <w:tcPr>
                  <w:tcW w:w="348" w:type="pct"/>
                  <w:vMerge w:val="continue"/>
                  <w:tcBorders>
                    <w:tl2br w:val="nil"/>
                    <w:tr2bl w:val="nil"/>
                  </w:tcBorders>
                  <w:noWrap w:val="0"/>
                  <w:vAlign w:val="center"/>
                </w:tcPr>
                <w:p>
                  <w:pPr>
                    <w:pStyle w:val="31"/>
                    <w:bidi w:val="0"/>
                    <w:rPr>
                      <w:color w:val="auto"/>
                      <w:sz w:val="18"/>
                      <w:szCs w:val="18"/>
                    </w:rPr>
                  </w:pPr>
                </w:p>
              </w:tc>
              <w:tc>
                <w:tcPr>
                  <w:tcW w:w="340" w:type="pct"/>
                  <w:vMerge w:val="continue"/>
                  <w:tcBorders>
                    <w:tl2br w:val="nil"/>
                    <w:tr2bl w:val="nil"/>
                  </w:tcBorders>
                  <w:noWrap w:val="0"/>
                  <w:vAlign w:val="center"/>
                </w:tcPr>
                <w:p>
                  <w:pPr>
                    <w:pStyle w:val="31"/>
                    <w:bidi w:val="0"/>
                    <w:rPr>
                      <w:color w:val="auto"/>
                      <w:sz w:val="18"/>
                      <w:szCs w:val="18"/>
                    </w:rPr>
                  </w:pPr>
                </w:p>
              </w:tc>
              <w:tc>
                <w:tcPr>
                  <w:tcW w:w="391" w:type="pct"/>
                  <w:vMerge w:val="continue"/>
                  <w:tcBorders>
                    <w:tl2br w:val="nil"/>
                    <w:tr2bl w:val="nil"/>
                  </w:tcBorders>
                  <w:noWrap w:val="0"/>
                  <w:vAlign w:val="center"/>
                </w:tcPr>
                <w:p>
                  <w:pPr>
                    <w:pStyle w:val="31"/>
                    <w:bidi w:val="0"/>
                    <w:rPr>
                      <w:color w:val="auto"/>
                      <w:sz w:val="18"/>
                      <w:szCs w:val="18"/>
                    </w:rPr>
                  </w:pPr>
                </w:p>
              </w:tc>
              <w:tc>
                <w:tcPr>
                  <w:tcW w:w="296" w:type="pct"/>
                  <w:vMerge w:val="continue"/>
                  <w:tcBorders>
                    <w:tl2br w:val="nil"/>
                    <w:tr2bl w:val="nil"/>
                  </w:tcBorders>
                  <w:noWrap w:val="0"/>
                  <w:vAlign w:val="center"/>
                </w:tcPr>
                <w:p>
                  <w:pPr>
                    <w:pStyle w:val="31"/>
                    <w:bidi w:val="0"/>
                    <w:rPr>
                      <w:color w:val="auto"/>
                      <w:sz w:val="18"/>
                      <w:szCs w:val="18"/>
                    </w:rPr>
                  </w:pPr>
                </w:p>
              </w:tc>
              <w:tc>
                <w:tcPr>
                  <w:tcW w:w="362" w:type="pct"/>
                  <w:tcBorders>
                    <w:tl2br w:val="nil"/>
                    <w:tr2bl w:val="nil"/>
                  </w:tcBorders>
                  <w:noWrap w:val="0"/>
                  <w:vAlign w:val="center"/>
                </w:tcPr>
                <w:p>
                  <w:pPr>
                    <w:pStyle w:val="31"/>
                    <w:bidi w:val="0"/>
                    <w:rPr>
                      <w:color w:val="auto"/>
                      <w:sz w:val="18"/>
                      <w:szCs w:val="18"/>
                    </w:rPr>
                  </w:pPr>
                  <w:r>
                    <w:rPr>
                      <w:rFonts w:hint="eastAsia"/>
                      <w:color w:val="auto"/>
                      <w:sz w:val="18"/>
                      <w:szCs w:val="18"/>
                    </w:rPr>
                    <w:t>声压级dB(A)</w:t>
                  </w:r>
                </w:p>
              </w:tc>
              <w:tc>
                <w:tcPr>
                  <w:tcW w:w="362" w:type="pct"/>
                  <w:tcBorders>
                    <w:tl2br w:val="nil"/>
                    <w:tr2bl w:val="nil"/>
                  </w:tcBorders>
                  <w:noWrap w:val="0"/>
                  <w:vAlign w:val="center"/>
                </w:tcPr>
                <w:p>
                  <w:pPr>
                    <w:pStyle w:val="31"/>
                    <w:bidi w:val="0"/>
                    <w:rPr>
                      <w:color w:val="auto"/>
                      <w:sz w:val="18"/>
                      <w:szCs w:val="18"/>
                    </w:rPr>
                  </w:pPr>
                  <w:r>
                    <w:rPr>
                      <w:rFonts w:hint="eastAsia"/>
                      <w:color w:val="auto"/>
                      <w:sz w:val="18"/>
                      <w:szCs w:val="18"/>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restart"/>
                  <w:tcBorders>
                    <w:tl2br w:val="nil"/>
                    <w:tr2bl w:val="nil"/>
                  </w:tcBorders>
                  <w:noWrap/>
                  <w:vAlign w:val="center"/>
                </w:tcPr>
                <w:p>
                  <w:pPr>
                    <w:pStyle w:val="31"/>
                    <w:bidi w:val="0"/>
                    <w:rPr>
                      <w:rFonts w:hint="eastAsia"/>
                      <w:color w:val="auto"/>
                      <w:sz w:val="18"/>
                      <w:szCs w:val="18"/>
                      <w:lang w:eastAsia="zh-CN"/>
                    </w:rPr>
                  </w:pPr>
                  <w:r>
                    <w:rPr>
                      <w:rFonts w:hint="eastAsia"/>
                      <w:color w:val="auto"/>
                      <w:sz w:val="18"/>
                      <w:szCs w:val="18"/>
                      <w:lang w:val="en-US" w:eastAsia="zh-CN"/>
                    </w:rPr>
                    <w:t>5#</w:t>
                  </w:r>
                  <w:r>
                    <w:rPr>
                      <w:rFonts w:hint="eastAsia"/>
                      <w:color w:val="auto"/>
                      <w:sz w:val="18"/>
                      <w:szCs w:val="18"/>
                      <w:lang w:eastAsia="zh-CN"/>
                    </w:rPr>
                    <w:t>车间</w:t>
                  </w:r>
                </w:p>
              </w:tc>
              <w:tc>
                <w:tcPr>
                  <w:tcW w:w="222" w:type="pct"/>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1</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val="en-US" w:eastAsia="zh-CN"/>
                    </w:rPr>
                    <w:t>钢筋</w:t>
                  </w:r>
                  <w:r>
                    <w:rPr>
                      <w:rFonts w:hint="eastAsia"/>
                      <w:color w:val="auto"/>
                      <w:sz w:val="18"/>
                      <w:szCs w:val="18"/>
                      <w:lang w:eastAsia="zh-CN"/>
                    </w:rPr>
                    <w:t>切</w:t>
                  </w:r>
                  <w:r>
                    <w:rPr>
                      <w:rFonts w:hint="eastAsia"/>
                      <w:color w:val="auto"/>
                      <w:sz w:val="18"/>
                      <w:szCs w:val="18"/>
                      <w:lang w:val="en-US" w:eastAsia="zh-CN"/>
                    </w:rPr>
                    <w:t>断</w:t>
                  </w:r>
                  <w:r>
                    <w:rPr>
                      <w:rFonts w:hint="eastAsia"/>
                      <w:color w:val="auto"/>
                      <w:sz w:val="18"/>
                      <w:szCs w:val="18"/>
                      <w:lang w:eastAsia="zh-CN"/>
                    </w:rPr>
                    <w:t>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restart"/>
                  <w:tcBorders>
                    <w:tl2br w:val="nil"/>
                    <w:tr2bl w:val="nil"/>
                  </w:tcBorders>
                  <w:noWrap w:val="0"/>
                  <w:vAlign w:val="center"/>
                </w:tcPr>
                <w:p>
                  <w:pPr>
                    <w:pStyle w:val="31"/>
                    <w:bidi w:val="0"/>
                    <w:rPr>
                      <w:color w:val="auto"/>
                      <w:sz w:val="18"/>
                      <w:szCs w:val="18"/>
                    </w:rPr>
                  </w:pPr>
                  <w:r>
                    <w:rPr>
                      <w:rFonts w:hint="eastAsia"/>
                      <w:color w:val="auto"/>
                      <w:sz w:val="18"/>
                      <w:szCs w:val="18"/>
                      <w:lang w:eastAsia="zh-CN"/>
                    </w:rPr>
                    <w:t>车间</w:t>
                  </w:r>
                  <w:r>
                    <w:rPr>
                      <w:color w:val="auto"/>
                      <w:sz w:val="18"/>
                      <w:szCs w:val="18"/>
                    </w:rPr>
                    <w:t>隔声，设备隔声减振</w:t>
                  </w: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38</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156</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60.9</w:t>
                  </w:r>
                </w:p>
              </w:tc>
              <w:tc>
                <w:tcPr>
                  <w:tcW w:w="391" w:type="pct"/>
                  <w:vMerge w:val="restar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2640</w:t>
                  </w: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50.9</w:t>
                  </w:r>
                </w:p>
              </w:tc>
              <w:tc>
                <w:tcPr>
                  <w:tcW w:w="362" w:type="pct"/>
                  <w:tcBorders>
                    <w:tl2br w:val="nil"/>
                    <w:tr2bl w:val="nil"/>
                  </w:tcBorders>
                  <w:noWrap w:val="0"/>
                  <w:vAlign w:val="center"/>
                </w:tcPr>
                <w:p>
                  <w:pPr>
                    <w:pStyle w:val="31"/>
                    <w:bidi w:val="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2</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val="en-US" w:eastAsia="zh-CN"/>
                    </w:rPr>
                    <w:t>钢筋调直</w:t>
                  </w:r>
                  <w:r>
                    <w:rPr>
                      <w:rFonts w:hint="eastAsia"/>
                      <w:color w:val="auto"/>
                      <w:sz w:val="18"/>
                      <w:szCs w:val="18"/>
                      <w:lang w:eastAsia="zh-CN"/>
                    </w:rPr>
                    <w:t>切断机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5</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26</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149</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60.9</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50.9</w:t>
                  </w:r>
                </w:p>
              </w:tc>
              <w:tc>
                <w:tcPr>
                  <w:tcW w:w="362" w:type="pct"/>
                  <w:tcBorders>
                    <w:tl2br w:val="nil"/>
                    <w:tr2bl w:val="nil"/>
                  </w:tcBorders>
                  <w:noWrap w:val="0"/>
                  <w:vAlign w:val="center"/>
                </w:tcPr>
                <w:p>
                  <w:pPr>
                    <w:pStyle w:val="31"/>
                    <w:bidi w:val="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w:t>
                  </w:r>
                </w:p>
              </w:tc>
              <w:tc>
                <w:tcPr>
                  <w:tcW w:w="507"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钢筋直螺纹剥肋滚丝机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29</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143</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60.9</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50.9</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4</w:t>
                  </w:r>
                </w:p>
              </w:tc>
              <w:tc>
                <w:tcPr>
                  <w:tcW w:w="507"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钢筋箍弯机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4</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41</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149</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60.9</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50.9</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5</w:t>
                  </w:r>
                </w:p>
              </w:tc>
              <w:tc>
                <w:tcPr>
                  <w:tcW w:w="507"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钢筋专用气动对焊机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49</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134</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55.9</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45.9</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6</w:t>
                  </w:r>
                </w:p>
              </w:tc>
              <w:tc>
                <w:tcPr>
                  <w:tcW w:w="507"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智能钢筋桁架焊接机器人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37</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129</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55.9</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45.9</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7</w:t>
                  </w:r>
                </w:p>
              </w:tc>
              <w:tc>
                <w:tcPr>
                  <w:tcW w:w="507"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螺杆空压机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57</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148</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1.2</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78.4</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68.4</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restart"/>
                  <w:tcBorders>
                    <w:tl2br w:val="nil"/>
                    <w:tr2bl w:val="nil"/>
                  </w:tcBorders>
                  <w:noWrap/>
                  <w:vAlign w:val="center"/>
                </w:tcPr>
                <w:p>
                  <w:pPr>
                    <w:pStyle w:val="31"/>
                    <w:bidi w:val="0"/>
                    <w:rPr>
                      <w:rFonts w:hint="eastAsia"/>
                      <w:color w:val="auto"/>
                      <w:sz w:val="18"/>
                      <w:szCs w:val="18"/>
                      <w:lang w:eastAsia="zh-CN"/>
                    </w:rPr>
                  </w:pPr>
                  <w:r>
                    <w:rPr>
                      <w:rFonts w:hint="eastAsia"/>
                      <w:color w:val="auto"/>
                      <w:sz w:val="18"/>
                      <w:szCs w:val="18"/>
                      <w:lang w:val="en-US" w:eastAsia="zh-CN"/>
                    </w:rPr>
                    <w:t>6#车间</w:t>
                  </w:r>
                </w:p>
              </w:tc>
              <w:tc>
                <w:tcPr>
                  <w:tcW w:w="222" w:type="pct"/>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8</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运输系统</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80</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-27</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231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74.0</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64.0</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eastAsia" w:eastAsia="宋体"/>
                      <w:color w:val="auto"/>
                      <w:sz w:val="18"/>
                      <w:szCs w:val="18"/>
                      <w:lang w:val="en-US" w:eastAsia="zh-CN"/>
                    </w:rPr>
                  </w:pPr>
                  <w:r>
                    <w:rPr>
                      <w:rFonts w:hint="eastAsia"/>
                      <w:color w:val="auto"/>
                      <w:sz w:val="18"/>
                      <w:szCs w:val="18"/>
                      <w:lang w:val="en-US" w:eastAsia="zh-CN"/>
                    </w:rPr>
                    <w:t>9</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振动赶平机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3</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83</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241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69.0</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59.0</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10</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模台清理机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-9</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255</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61.0</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51.0</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11</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val="en-US" w:eastAsia="zh-CN"/>
                    </w:rPr>
                    <w:t>养护风机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233</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3</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65.5</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55.5</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12</w:t>
                  </w:r>
                </w:p>
              </w:tc>
              <w:tc>
                <w:tcPr>
                  <w:tcW w:w="507"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脱模剂喷涂机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241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61.0</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51.0</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13</w:t>
                  </w:r>
                </w:p>
              </w:tc>
              <w:tc>
                <w:tcPr>
                  <w:tcW w:w="507"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混凝土抹平机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241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61.0</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51.0</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 w:type="pct"/>
                  <w:vMerge w:val="restart"/>
                  <w:tcBorders>
                    <w:tl2br w:val="nil"/>
                    <w:tr2bl w:val="nil"/>
                  </w:tcBorders>
                  <w:noWrap/>
                  <w:vAlign w:val="center"/>
                </w:tcPr>
                <w:p>
                  <w:pPr>
                    <w:pStyle w:val="31"/>
                    <w:bidi w:val="0"/>
                    <w:rPr>
                      <w:rFonts w:hint="default"/>
                      <w:color w:val="auto"/>
                      <w:sz w:val="18"/>
                      <w:szCs w:val="18"/>
                      <w:lang w:val="en-US" w:eastAsia="zh-CN"/>
                    </w:rPr>
                  </w:pPr>
                  <w:r>
                    <w:rPr>
                      <w:rFonts w:hint="eastAsia"/>
                      <w:color w:val="auto"/>
                      <w:sz w:val="18"/>
                      <w:szCs w:val="18"/>
                      <w:lang w:val="en-US" w:eastAsia="zh-CN"/>
                    </w:rPr>
                    <w:t>2#搅拌楼</w:t>
                  </w:r>
                </w:p>
              </w:tc>
              <w:tc>
                <w:tcPr>
                  <w:tcW w:w="222" w:type="pct"/>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14</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val="en-US" w:eastAsia="zh-CN"/>
                    </w:rPr>
                    <w:t>搅拌机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2</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-51</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147</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81.5</w:t>
                  </w:r>
                </w:p>
              </w:tc>
              <w:tc>
                <w:tcPr>
                  <w:tcW w:w="391" w:type="pct"/>
                  <w:vMerge w:val="continue"/>
                  <w:tcBorders>
                    <w:tl2br w:val="nil"/>
                    <w:tr2bl w:val="nil"/>
                  </w:tcBorders>
                  <w:noWrap w:val="0"/>
                  <w:vAlign w:val="center"/>
                </w:tcPr>
                <w:p>
                  <w:pPr>
                    <w:pStyle w:val="31"/>
                    <w:bidi w:val="0"/>
                    <w:rPr>
                      <w:rFonts w:hint="eastAsia"/>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71.5</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noWrap w:val="0"/>
                  <w:vAlign w:val="center"/>
                </w:tcPr>
                <w:p>
                  <w:pPr>
                    <w:pStyle w:val="31"/>
                    <w:bidi w:val="0"/>
                    <w:rPr>
                      <w:rFonts w:hint="default" w:eastAsia="宋体"/>
                      <w:color w:val="auto"/>
                      <w:sz w:val="18"/>
                      <w:szCs w:val="18"/>
                      <w:lang w:val="en-US" w:eastAsia="zh-CN"/>
                    </w:rPr>
                  </w:pPr>
                  <w:r>
                    <w:rPr>
                      <w:rFonts w:hint="eastAsia"/>
                      <w:color w:val="auto"/>
                      <w:sz w:val="18"/>
                      <w:szCs w:val="18"/>
                      <w:lang w:val="en-US" w:eastAsia="zh-CN"/>
                    </w:rPr>
                    <w:t>15</w:t>
                  </w:r>
                </w:p>
              </w:tc>
              <w:tc>
                <w:tcPr>
                  <w:tcW w:w="507" w:type="pct"/>
                  <w:tcBorders>
                    <w:tl2br w:val="nil"/>
                    <w:tr2bl w:val="nil"/>
                  </w:tcBorders>
                  <w:noWrap w:val="0"/>
                  <w:vAlign w:val="center"/>
                </w:tcPr>
                <w:p>
                  <w:pPr>
                    <w:pStyle w:val="31"/>
                    <w:bidi w:val="0"/>
                    <w:rPr>
                      <w:rFonts w:hint="eastAsia"/>
                      <w:color w:val="auto"/>
                      <w:sz w:val="18"/>
                      <w:szCs w:val="18"/>
                      <w:lang w:eastAsia="zh-CN"/>
                    </w:rPr>
                  </w:pPr>
                  <w:r>
                    <w:rPr>
                      <w:rFonts w:hint="eastAsia"/>
                      <w:color w:val="auto"/>
                      <w:sz w:val="18"/>
                      <w:szCs w:val="18"/>
                      <w:lang w:eastAsia="zh-CN"/>
                    </w:rPr>
                    <w:t>空压机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-42</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161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0"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81.5</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71.5</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40" w:type="pct"/>
                  <w:vMerge w:val="continue"/>
                  <w:tcBorders>
                    <w:tl2br w:val="nil"/>
                    <w:tr2bl w:val="nil"/>
                  </w:tcBorders>
                  <w:noWrap/>
                  <w:vAlign w:val="center"/>
                </w:tcPr>
                <w:p>
                  <w:pPr>
                    <w:pStyle w:val="31"/>
                    <w:bidi w:val="0"/>
                    <w:rPr>
                      <w:rFonts w:hint="eastAsia"/>
                      <w:color w:val="auto"/>
                      <w:sz w:val="18"/>
                      <w:szCs w:val="18"/>
                      <w:lang w:eastAsia="zh-CN"/>
                    </w:rPr>
                  </w:pPr>
                </w:p>
              </w:tc>
              <w:tc>
                <w:tcPr>
                  <w:tcW w:w="222" w:type="pct"/>
                  <w:tcBorders>
                    <w:tl2br w:val="nil"/>
                    <w:tr2bl w:val="nil"/>
                  </w:tcBorders>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16</w:t>
                  </w:r>
                </w:p>
              </w:tc>
              <w:tc>
                <w:tcPr>
                  <w:tcW w:w="507" w:type="pct"/>
                  <w:tcBorders>
                    <w:tl2br w:val="nil"/>
                    <w:tr2bl w:val="nil"/>
                  </w:tcBorders>
                  <w:noWrap w:val="0"/>
                  <w:vAlign w:val="center"/>
                </w:tcPr>
                <w:p>
                  <w:pPr>
                    <w:pStyle w:val="31"/>
                    <w:bidi w:val="0"/>
                    <w:rPr>
                      <w:rFonts w:hint="default"/>
                      <w:color w:val="auto"/>
                      <w:sz w:val="18"/>
                      <w:szCs w:val="18"/>
                      <w:lang w:val="en-US" w:eastAsia="zh-CN"/>
                    </w:rPr>
                  </w:pPr>
                  <w:r>
                    <w:rPr>
                      <w:rFonts w:hint="eastAsia"/>
                      <w:color w:val="auto"/>
                      <w:sz w:val="18"/>
                      <w:szCs w:val="18"/>
                      <w:lang w:val="en-US" w:eastAsia="zh-CN"/>
                    </w:rPr>
                    <w:t>粉料仓呼吸风机</w:t>
                  </w:r>
                </w:p>
              </w:tc>
              <w:tc>
                <w:tcPr>
                  <w:tcW w:w="268" w:type="pct"/>
                  <w:tcBorders>
                    <w:tl2br w:val="nil"/>
                    <w:tr2bl w:val="nil"/>
                  </w:tcBorders>
                  <w:noWrap w:val="0"/>
                  <w:vAlign w:val="center"/>
                </w:tcPr>
                <w:p>
                  <w:pPr>
                    <w:pStyle w:val="31"/>
                    <w:bidi w:val="0"/>
                    <w:rPr>
                      <w:rFonts w:hint="default"/>
                      <w:color w:val="auto"/>
                      <w:sz w:val="18"/>
                      <w:szCs w:val="18"/>
                      <w:lang w:val="en-US" w:eastAsia="zh-CN"/>
                    </w:rPr>
                  </w:pPr>
                  <w:r>
                    <w:rPr>
                      <w:rFonts w:hint="default"/>
                      <w:color w:val="auto"/>
                      <w:sz w:val="18"/>
                      <w:szCs w:val="18"/>
                      <w:lang w:val="en-US" w:eastAsia="zh-CN"/>
                    </w:rPr>
                    <w:t>12</w:t>
                  </w:r>
                </w:p>
              </w:tc>
              <w:tc>
                <w:tcPr>
                  <w:tcW w:w="384" w:type="pct"/>
                  <w:tcBorders>
                    <w:tl2br w:val="nil"/>
                    <w:tr2bl w:val="nil"/>
                  </w:tcBorders>
                  <w:noWrap w:val="0"/>
                  <w:vAlign w:val="center"/>
                </w:tcPr>
                <w:p>
                  <w:pPr>
                    <w:pStyle w:val="31"/>
                    <w:bidi w:val="0"/>
                    <w:jc w:val="center"/>
                    <w:rPr>
                      <w:rFonts w:hint="default"/>
                      <w:color w:val="auto"/>
                      <w:sz w:val="18"/>
                      <w:szCs w:val="18"/>
                      <w:lang w:val="en-US" w:eastAsia="zh-CN"/>
                    </w:rPr>
                  </w:pPr>
                  <w:r>
                    <w:rPr>
                      <w:rFonts w:hint="default"/>
                      <w:color w:val="auto"/>
                      <w:sz w:val="18"/>
                      <w:szCs w:val="18"/>
                      <w:lang w:val="en-US" w:eastAsia="zh-CN"/>
                    </w:rPr>
                    <w:t>75</w:t>
                  </w:r>
                </w:p>
              </w:tc>
              <w:tc>
                <w:tcPr>
                  <w:tcW w:w="319" w:type="pct"/>
                  <w:vMerge w:val="continue"/>
                  <w:tcBorders>
                    <w:tl2br w:val="nil"/>
                    <w:tr2bl w:val="nil"/>
                  </w:tcBorders>
                  <w:noWrap w:val="0"/>
                  <w:vAlign w:val="center"/>
                </w:tcPr>
                <w:p>
                  <w:pPr>
                    <w:pStyle w:val="31"/>
                    <w:bidi w:val="0"/>
                    <w:rPr>
                      <w:color w:val="auto"/>
                      <w:sz w:val="18"/>
                      <w:szCs w:val="18"/>
                    </w:rPr>
                  </w:pPr>
                </w:p>
              </w:tc>
              <w:tc>
                <w:tcPr>
                  <w:tcW w:w="289"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-42</w:t>
                  </w:r>
                </w:p>
              </w:tc>
              <w:tc>
                <w:tcPr>
                  <w:tcW w:w="341"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161</w:t>
                  </w:r>
                </w:p>
              </w:tc>
              <w:tc>
                <w:tcPr>
                  <w:tcW w:w="326"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31</w:t>
                  </w:r>
                </w:p>
              </w:tc>
              <w:tc>
                <w:tcPr>
                  <w:tcW w:w="348" w:type="pct"/>
                  <w:tcBorders>
                    <w:tl2br w:val="nil"/>
                    <w:tr2bl w:val="nil"/>
                  </w:tcBorders>
                  <w:noWrap w:val="0"/>
                  <w:vAlign w:val="center"/>
                </w:tcPr>
                <w:p>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340"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71.5</w:t>
                  </w:r>
                </w:p>
              </w:tc>
              <w:tc>
                <w:tcPr>
                  <w:tcW w:w="391" w:type="pct"/>
                  <w:vMerge w:val="continue"/>
                  <w:tcBorders>
                    <w:tl2br w:val="nil"/>
                    <w:tr2bl w:val="nil"/>
                  </w:tcBorders>
                  <w:noWrap w:val="0"/>
                  <w:vAlign w:val="center"/>
                </w:tcPr>
                <w:p>
                  <w:pPr>
                    <w:pStyle w:val="31"/>
                    <w:bidi w:val="0"/>
                    <w:rPr>
                      <w:rFonts w:hint="default"/>
                      <w:color w:val="auto"/>
                      <w:sz w:val="18"/>
                      <w:szCs w:val="18"/>
                      <w:lang w:val="en-US" w:eastAsia="zh-CN"/>
                    </w:rPr>
                  </w:pPr>
                </w:p>
              </w:tc>
              <w:tc>
                <w:tcPr>
                  <w:tcW w:w="296" w:type="pct"/>
                  <w:tcBorders>
                    <w:tl2br w:val="nil"/>
                    <w:tr2bl w:val="nil"/>
                  </w:tcBorders>
                  <w:noWrap w:val="0"/>
                  <w:vAlign w:val="center"/>
                </w:tcPr>
                <w:p>
                  <w:pPr>
                    <w:pStyle w:val="31"/>
                    <w:bidi w:val="0"/>
                    <w:rPr>
                      <w:rFonts w:hint="eastAsia"/>
                      <w:color w:val="auto"/>
                      <w:sz w:val="18"/>
                      <w:szCs w:val="18"/>
                      <w:lang w:val="en-US" w:eastAsia="zh-CN"/>
                    </w:rPr>
                  </w:pPr>
                  <w:r>
                    <w:rPr>
                      <w:rFonts w:hint="eastAsia"/>
                      <w:color w:val="auto"/>
                      <w:sz w:val="18"/>
                      <w:szCs w:val="18"/>
                      <w:lang w:val="en-US" w:eastAsia="zh-CN"/>
                    </w:rPr>
                    <w:t>10</w:t>
                  </w:r>
                </w:p>
              </w:tc>
              <w:tc>
                <w:tcPr>
                  <w:tcW w:w="362" w:type="pct"/>
                  <w:tcBorders>
                    <w:tl2br w:val="nil"/>
                    <w:tr2bl w:val="nil"/>
                  </w:tcBorders>
                  <w:noWrap w:val="0"/>
                  <w:vAlign w:val="center"/>
                </w:tcPr>
                <w:p>
                  <w:pPr>
                    <w:pStyle w:val="31"/>
                    <w:bidi w:val="0"/>
                    <w:jc w:val="center"/>
                    <w:rPr>
                      <w:rFonts w:hint="eastAsia"/>
                      <w:color w:val="auto"/>
                      <w:sz w:val="18"/>
                      <w:szCs w:val="18"/>
                      <w:lang w:val="en-US" w:eastAsia="zh-CN"/>
                    </w:rPr>
                  </w:pPr>
                  <w:r>
                    <w:rPr>
                      <w:rFonts w:hint="eastAsia"/>
                      <w:color w:val="auto"/>
                      <w:sz w:val="18"/>
                      <w:szCs w:val="18"/>
                      <w:lang w:val="en-US" w:eastAsia="zh-CN"/>
                    </w:rPr>
                    <w:t>61.5</w:t>
                  </w:r>
                </w:p>
              </w:tc>
              <w:tc>
                <w:tcPr>
                  <w:tcW w:w="362" w:type="pct"/>
                  <w:tcBorders>
                    <w:tl2br w:val="nil"/>
                    <w:tr2bl w:val="nil"/>
                  </w:tcBorders>
                  <w:noWrap w:val="0"/>
                  <w:vAlign w:val="center"/>
                </w:tcPr>
                <w:p>
                  <w:pPr>
                    <w:pStyle w:val="31"/>
                    <w:bidi w:val="0"/>
                    <w:ind w:left="0" w:leftChars="0" w:firstLine="0" w:firstLineChars="0"/>
                    <w:rPr>
                      <w:rFonts w:hint="eastAsia"/>
                      <w:color w:val="auto"/>
                      <w:sz w:val="18"/>
                      <w:szCs w:val="18"/>
                      <w:lang w:val="en-US" w:eastAsia="zh-CN"/>
                    </w:rPr>
                  </w:pPr>
                  <w:r>
                    <w:rPr>
                      <w:rFonts w:hint="eastAsia"/>
                      <w:color w:val="auto"/>
                      <w:sz w:val="18"/>
                      <w:szCs w:val="18"/>
                    </w:rPr>
                    <w:t>1</w:t>
                  </w:r>
                </w:p>
              </w:tc>
            </w:tr>
          </w:tbl>
          <w:p>
            <w:pPr>
              <w:pStyle w:val="1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eastAsia="zh-CN"/>
              </w:rPr>
              <w:t>注：项目</w:t>
            </w:r>
            <w:r>
              <w:rPr>
                <w:rFonts w:hint="eastAsia"/>
                <w:b w:val="0"/>
                <w:bCs w:val="0"/>
                <w:color w:val="auto"/>
                <w:lang w:val="en-US" w:eastAsia="zh-CN"/>
              </w:rPr>
              <w:t>以厂区正南角</w:t>
            </w:r>
            <w:r>
              <w:rPr>
                <w:rFonts w:hint="eastAsia" w:ascii="Times New Roman" w:hAnsi="Times New Roman" w:eastAsia="宋体"/>
                <w:b w:val="0"/>
                <w:bCs w:val="0"/>
                <w:color w:val="auto"/>
                <w:lang w:eastAsia="zh-CN"/>
              </w:rPr>
              <w:t>为原点（</w:t>
            </w:r>
            <w:r>
              <w:rPr>
                <w:rFonts w:hint="eastAsia" w:ascii="Times New Roman" w:hAnsi="Times New Roman" w:eastAsia="宋体"/>
                <w:b w:val="0"/>
                <w:bCs w:val="0"/>
                <w:color w:val="auto"/>
                <w:lang w:val="en-US" w:eastAsia="zh-CN"/>
              </w:rPr>
              <w:t>0,0,0</w:t>
            </w:r>
            <w:r>
              <w:rPr>
                <w:rFonts w:hint="eastAsia" w:ascii="Times New Roman" w:hAnsi="Times New Roman" w:eastAsia="宋体"/>
                <w:b w:val="0"/>
                <w:bCs w:val="0"/>
                <w:color w:val="auto"/>
                <w:lang w:eastAsia="zh-CN"/>
              </w:rPr>
              <w:t>）</w:t>
            </w:r>
            <w:r>
              <w:rPr>
                <w:rFonts w:hint="eastAsia"/>
                <w:b w:val="0"/>
                <w:bCs w:val="0"/>
                <w:color w:val="auto"/>
                <w:lang w:eastAsia="zh-CN"/>
              </w:rPr>
              <w:t>，</w:t>
            </w:r>
            <w:r>
              <w:rPr>
                <w:rFonts w:hint="eastAsia"/>
                <w:b w:val="0"/>
                <w:bCs w:val="0"/>
                <w:color w:val="auto"/>
                <w:lang w:val="en-US" w:eastAsia="zh-CN"/>
              </w:rPr>
              <w:t>各车间</w:t>
            </w:r>
            <w:r>
              <w:rPr>
                <w:rFonts w:hint="eastAsia" w:ascii="Times New Roman" w:hAnsi="Times New Roman" w:eastAsia="宋体"/>
                <w:b w:val="0"/>
                <w:bCs w:val="0"/>
                <w:color w:val="auto"/>
                <w:lang w:eastAsia="zh-CN"/>
              </w:rPr>
              <w:t>正东方向为</w:t>
            </w:r>
            <w:r>
              <w:rPr>
                <w:rFonts w:hint="eastAsia" w:ascii="Times New Roman" w:hAnsi="Times New Roman" w:eastAsia="宋体"/>
                <w:b w:val="0"/>
                <w:bCs w:val="0"/>
                <w:color w:val="auto"/>
                <w:lang w:val="en-US" w:eastAsia="zh-CN"/>
              </w:rPr>
              <w:t>X轴正方向，正北方向为Y轴正方向。</w:t>
            </w:r>
          </w:p>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firstLine="360" w:firstLineChars="200"/>
              <w:textAlignment w:val="auto"/>
              <w:rPr>
                <w:rFonts w:hint="eastAsia" w:ascii="Times New Roman" w:hAnsi="Times New Roman" w:eastAsia="宋体"/>
                <w:b w:val="0"/>
                <w:bCs w:val="0"/>
                <w:color w:val="auto"/>
              </w:rPr>
            </w:pPr>
            <w:r>
              <w:rPr>
                <w:rFonts w:hint="eastAsia" w:ascii="Times New Roman" w:hAnsi="Times New Roman" w:eastAsia="宋体"/>
                <w:b w:val="0"/>
                <w:bCs w:val="0"/>
                <w:color w:val="auto"/>
              </w:rPr>
              <w:t>因本项目将同类型设备位置相对集中，单独列出表格较累赘，且意义不大，故视为一个点源分析，其声功率级为叠加声压级。</w:t>
            </w:r>
          </w:p>
          <w:p>
            <w:pPr>
              <w:pStyle w:val="4"/>
              <w:bidi w:val="0"/>
              <w:rPr>
                <w:rFonts w:hint="eastAsia"/>
                <w:color w:val="auto"/>
                <w:lang w:val="en-US" w:eastAsia="zh-CN"/>
              </w:rPr>
            </w:pPr>
            <w:r>
              <w:rPr>
                <w:rFonts w:hint="eastAsia"/>
                <w:color w:val="auto"/>
                <w:lang w:val="en-US" w:eastAsia="zh-CN"/>
              </w:rPr>
              <w:t>4.4.2</w:t>
            </w:r>
            <w:r>
              <w:rPr>
                <w:color w:val="auto"/>
              </w:rPr>
              <w:t>运营期声环境影响分析</w:t>
            </w:r>
          </w:p>
          <w:p>
            <w:pPr>
              <w:spacing w:line="360" w:lineRule="auto"/>
              <w:ind w:firstLine="555"/>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项目噪声预测模式采用《环境影响评价技术导则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)中附录A户外声传播的衰减</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附录B典型行业噪声预测模型</w:t>
            </w:r>
            <w:r>
              <w:rPr>
                <w:rFonts w:hint="eastAsia" w:ascii="Times New Roman" w:hAnsi="Times New Roman" w:eastAsia="宋体" w:cs="Times New Roman"/>
                <w:color w:val="auto"/>
                <w:sz w:val="24"/>
                <w:szCs w:val="24"/>
                <w:highlight w:val="none"/>
                <w:lang w:val="en-US" w:eastAsia="zh-CN"/>
              </w:rPr>
              <w:t>进行分析。</w:t>
            </w:r>
          </w:p>
          <w:p>
            <w:pPr>
              <w:adjustRightInd w:val="0"/>
              <w:snapToGrid w:val="0"/>
              <w:spacing w:line="360" w:lineRule="auto"/>
              <w:ind w:firstLine="480"/>
              <w:rPr>
                <w:rFonts w:hint="eastAsia" w:ascii="Times New Roman" w:hAnsi="Times New Roman" w:eastAsia="宋体"/>
                <w:b/>
                <w:bCs w:val="0"/>
                <w:color w:val="auto"/>
                <w:sz w:val="24"/>
                <w:szCs w:val="24"/>
              </w:rPr>
            </w:pPr>
            <w:r>
              <w:rPr>
                <w:rFonts w:ascii="Times New Roman" w:hAnsi="Times New Roman" w:eastAsia="宋体"/>
                <w:b/>
                <w:bCs w:val="0"/>
                <w:color w:val="auto"/>
                <w:sz w:val="24"/>
                <w:szCs w:val="24"/>
              </w:rPr>
              <w:t>⑴室内声源</w:t>
            </w:r>
            <w:r>
              <w:rPr>
                <w:rFonts w:hint="eastAsia" w:ascii="Times New Roman" w:hAnsi="Times New Roman" w:eastAsia="宋体"/>
                <w:b/>
                <w:bCs w:val="0"/>
                <w:color w:val="auto"/>
                <w:sz w:val="24"/>
                <w:szCs w:val="24"/>
              </w:rPr>
              <w:t>等效室外声源声功率级计算方法</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①</w:t>
            </w:r>
            <w:r>
              <w:rPr>
                <w:rFonts w:ascii="Times New Roman" w:hAnsi="Times New Roman" w:eastAsia="宋体"/>
                <w:color w:val="auto"/>
                <w:sz w:val="24"/>
                <w:szCs w:val="24"/>
              </w:rPr>
              <w:t>如</w:t>
            </w:r>
            <w:r>
              <w:rPr>
                <w:rFonts w:hint="eastAsia" w:ascii="Times New Roman" w:hAnsi="Times New Roman" w:eastAsia="宋体"/>
                <w:color w:val="auto"/>
                <w:sz w:val="24"/>
                <w:szCs w:val="24"/>
              </w:rPr>
              <w:t>下</w:t>
            </w:r>
            <w:r>
              <w:rPr>
                <w:rFonts w:ascii="Times New Roman" w:hAnsi="Times New Roman" w:eastAsia="宋体"/>
                <w:color w:val="auto"/>
                <w:sz w:val="24"/>
                <w:szCs w:val="24"/>
              </w:rPr>
              <w:t>图所示，</w:t>
            </w:r>
            <w:r>
              <w:rPr>
                <w:rFonts w:hint="eastAsia" w:ascii="Times New Roman" w:hAnsi="Times New Roman" w:eastAsia="宋体"/>
                <w:color w:val="auto"/>
                <w:sz w:val="24"/>
                <w:szCs w:val="24"/>
              </w:rPr>
              <w:t>声源位于室内，室内声源可采用等效室外声源声功率级法进行计算。设靠近开口处(或窗户)室内、室外某倍频带的声压级</w:t>
            </w:r>
            <w:r>
              <w:rPr>
                <w:rFonts w:hint="eastAsia" w:ascii="Times New Roman" w:hAnsi="Times New Roman" w:eastAsia="宋体"/>
                <w:color w:val="auto"/>
                <w:sz w:val="24"/>
                <w:szCs w:val="24"/>
                <w:lang w:val="en-US" w:eastAsia="zh-CN"/>
              </w:rPr>
              <w:t>或A声级</w:t>
            </w:r>
            <w:r>
              <w:rPr>
                <w:rFonts w:hint="eastAsia" w:ascii="Times New Roman" w:hAnsi="Times New Roman" w:eastAsia="宋体"/>
                <w:color w:val="auto"/>
                <w:sz w:val="24"/>
                <w:szCs w:val="24"/>
              </w:rPr>
              <w:t>分别为Lp1和Lp2。若声源所在室内声场为近似扩散声场，则室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的倍频带声压级可按下式近似求出：</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244600" cy="241300"/>
                  <wp:effectExtent l="0" t="0" r="1270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1244600" cy="241300"/>
                          </a:xfrm>
                          <a:prstGeom prst="rect">
                            <a:avLst/>
                          </a:prstGeom>
                          <a:noFill/>
                          <a:ln>
                            <a:noFill/>
                          </a:ln>
                        </pic:spPr>
                      </pic:pic>
                    </a:graphicData>
                  </a:graphic>
                </wp:inline>
              </w:drawing>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jc w:val="both"/>
              <w:rPr>
                <w:rFonts w:hint="eastAsia" w:ascii="Times New Roman" w:hAnsi="Times New Roman" w:eastAsia="宋体" w:cs="Times New Roman"/>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室内某倍频带的声压级或A声级，dB；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2</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室外某倍频带的声压级或A声级，dB；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T</w:t>
            </w:r>
            <w:r>
              <w:rPr>
                <w:rFonts w:hint="eastAsia"/>
                <w:color w:val="auto"/>
                <w:sz w:val="24"/>
                <w:szCs w:val="24"/>
                <w:lang w:val="en-US" w:eastAsia="zh-CN"/>
              </w:rPr>
              <w:t>L</w:t>
            </w:r>
            <w:r>
              <w:rPr>
                <w:rFonts w:hint="eastAsia" w:ascii="Times New Roman" w:hAnsi="Times New Roman" w:eastAsia="宋体"/>
                <w:color w:val="auto"/>
                <w:sz w:val="24"/>
                <w:szCs w:val="24"/>
              </w:rPr>
              <w:t>—隔墙</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倍频带或A声级的隔声量，dB。</w:t>
            </w:r>
          </w:p>
          <w:p>
            <w:pPr>
              <w:adjustRightInd w:val="0"/>
              <w:snapToGrid w:val="0"/>
              <w:spacing w:line="360" w:lineRule="auto"/>
              <w:ind w:firstLine="480"/>
              <w:jc w:val="center"/>
              <w:rPr>
                <w:rFonts w:hint="eastAsia" w:ascii="Times New Roman" w:hAnsi="Times New Roman" w:eastAsia="宋体"/>
                <w:color w:val="auto"/>
                <w:sz w:val="21"/>
                <w:szCs w:val="21"/>
              </w:rPr>
            </w:pPr>
            <w:r>
              <w:rPr>
                <w:rFonts w:ascii="Times New Roman" w:hAnsi="Times New Roman" w:eastAsia="宋体"/>
                <w:color w:val="auto"/>
                <w:sz w:val="21"/>
                <w:szCs w:val="21"/>
              </w:rPr>
              <w:drawing>
                <wp:inline distT="0" distB="0" distL="114300" distR="114300">
                  <wp:extent cx="2320290" cy="1043305"/>
                  <wp:effectExtent l="0" t="0" r="3810"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2320290" cy="1043305"/>
                          </a:xfrm>
                          <a:prstGeom prst="rect">
                            <a:avLst/>
                          </a:prstGeom>
                          <a:noFill/>
                          <a:ln>
                            <a:noFill/>
                          </a:ln>
                        </pic:spPr>
                      </pic:pic>
                    </a:graphicData>
                  </a:graphic>
                </wp:inline>
              </w:drawing>
            </w:r>
          </w:p>
          <w:p>
            <w:pPr>
              <w:adjustRightInd w:val="0"/>
              <w:snapToGrid w:val="0"/>
              <w:spacing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室内声源等效室外声源图例</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②按下式计算某一室内声源靠近围护结构处产生的倍频带声压级或A声级：</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14500" cy="482600"/>
                  <wp:effectExtent l="0" t="0" r="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1714500"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式中：</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Lp</w:t>
            </w:r>
            <w:r>
              <w:rPr>
                <w:rFonts w:hint="eastAsia" w:ascii="Times New Roman" w:hAnsi="Times New Roman" w:eastAsia="宋体" w:cs="宋体"/>
                <w:color w:val="auto"/>
                <w:sz w:val="24"/>
                <w:szCs w:val="24"/>
                <w:vertAlign w:val="subscript"/>
                <w:lang w:val="en-US" w:eastAsia="zh-CN"/>
              </w:rPr>
              <w:t>1</w:t>
            </w:r>
            <w:r>
              <w:rPr>
                <w:rFonts w:hint="eastAsia" w:ascii="Times New Roman" w:hAnsi="Times New Roman" w:eastAsia="宋体" w:cs="宋体"/>
                <w:color w:val="auto"/>
                <w:sz w:val="24"/>
                <w:szCs w:val="24"/>
              </w:rPr>
              <w:t>—靠近开口处</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或窗户</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室内某倍频带的声压级或A声级，dB；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Lw—点声源声功率级</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A计权或倍频带</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—指向性因数；通常对无指向性声源，当声源放在房间中心时，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=1；当放在一面墙的中心时，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=2；当放在两面墙夹角处时，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=4；当放在三面墙夹角处时，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=8；</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R—房间常数；R=Sa/(1-a)，s为房间内表面面积，m</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；a为平均吸声系数；</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r</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声源到靠近围护结构某点处的距离，m。</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③按下式</w:t>
            </w:r>
            <w:r>
              <w:rPr>
                <w:rFonts w:ascii="Times New Roman" w:hAnsi="Times New Roman" w:eastAsia="宋体"/>
                <w:color w:val="auto"/>
                <w:sz w:val="24"/>
                <w:szCs w:val="24"/>
              </w:rPr>
              <w:t>计算出所有室内声源在靠近围护结构处产生的</w:t>
            </w:r>
            <w:r>
              <w:rPr>
                <w:rFonts w:hint="eastAsia" w:ascii="Times New Roman" w:hAnsi="Times New Roman" w:eastAsia="宋体"/>
                <w:color w:val="auto"/>
                <w:sz w:val="24"/>
                <w:szCs w:val="24"/>
              </w:rPr>
              <w:t>i</w:t>
            </w:r>
            <w:r>
              <w:rPr>
                <w:rFonts w:ascii="Times New Roman" w:hAnsi="Times New Roman" w:eastAsia="宋体"/>
                <w:color w:val="auto"/>
                <w:sz w:val="24"/>
                <w:szCs w:val="24"/>
              </w:rPr>
              <w:t>倍频带</w:t>
            </w:r>
            <w:r>
              <w:rPr>
                <w:rFonts w:hint="eastAsia" w:ascii="Times New Roman" w:hAnsi="Times New Roman" w:eastAsia="宋体"/>
                <w:color w:val="auto"/>
                <w:sz w:val="24"/>
                <w:szCs w:val="24"/>
              </w:rPr>
              <w:t>叠加</w:t>
            </w:r>
            <w:r>
              <w:rPr>
                <w:rFonts w:ascii="Times New Roman" w:hAnsi="Times New Roman" w:eastAsia="宋体"/>
                <w:color w:val="auto"/>
                <w:sz w:val="24"/>
                <w:szCs w:val="24"/>
              </w:rPr>
              <w:t>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688465" cy="482600"/>
                  <wp:effectExtent l="0" t="0" r="6985"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1688465"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p1ij</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室内j声源i倍频带的声压级，dB；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N</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室内</w:t>
            </w:r>
            <w:r>
              <w:rPr>
                <w:rFonts w:hint="eastAsia" w:ascii="Times New Roman" w:hAnsi="Times New Roman" w:eastAsia="宋体"/>
                <w:color w:val="auto"/>
                <w:sz w:val="24"/>
                <w:szCs w:val="24"/>
              </w:rPr>
              <w:t>声源总数。</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rPr>
              <w:t>在室内近似为扩散声场时，按</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式</w:t>
            </w:r>
            <w:r>
              <w:rPr>
                <w:rFonts w:hint="eastAsia" w:ascii="Times New Roman" w:hAnsi="Times New Roman" w:eastAsia="宋体" w:cs="Times New Roman"/>
                <w:color w:val="auto"/>
                <w:sz w:val="24"/>
                <w:szCs w:val="24"/>
              </w:rPr>
              <w:t>计算出室外靠近围护结构处的声压级：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77365" cy="241300"/>
                  <wp:effectExtent l="0" t="0" r="13335"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0"/>
                          <a:stretch>
                            <a:fillRect/>
                          </a:stretch>
                        </pic:blipFill>
                        <pic:spPr>
                          <a:xfrm>
                            <a:off x="0" y="0"/>
                            <a:ext cx="1777365"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p2i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1</w:t>
            </w:r>
            <w:r>
              <w:rPr>
                <w:rFonts w:hint="eastAsia" w:ascii="Times New Roman" w:hAnsi="Times New Roman" w:eastAsia="宋体"/>
                <w:color w:val="auto"/>
                <w:sz w:val="24"/>
                <w:szCs w:val="24"/>
                <w:vertAlign w:val="subscript"/>
              </w:rPr>
              <w:t>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TL</w:t>
            </w:r>
            <w:r>
              <w:rPr>
                <w:rFonts w:hint="eastAsia" w:ascii="Times New Roman" w:hAnsi="Times New Roman" w:eastAsia="宋体"/>
                <w:color w:val="auto"/>
                <w:sz w:val="24"/>
                <w:szCs w:val="24"/>
                <w:vertAlign w:val="subscript"/>
              </w:rPr>
              <w:t>i</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围护</w:t>
            </w:r>
            <w:r>
              <w:rPr>
                <w:rFonts w:hint="eastAsia" w:ascii="Times New Roman" w:hAnsi="Times New Roman" w:eastAsia="宋体"/>
                <w:color w:val="auto"/>
                <w:sz w:val="24"/>
                <w:szCs w:val="24"/>
              </w:rPr>
              <w:t>结构i倍频带的隔声量，dB。</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s="宋体"/>
                <w:color w:val="auto"/>
                <w:sz w:val="24"/>
                <w:szCs w:val="24"/>
              </w:rPr>
              <w:t>⑤</w:t>
            </w:r>
            <w:r>
              <w:rPr>
                <w:rFonts w:hint="eastAsia" w:ascii="Times New Roman" w:hAnsi="Times New Roman" w:eastAsia="宋体" w:cs="宋体"/>
                <w:color w:val="auto"/>
                <w:sz w:val="24"/>
                <w:szCs w:val="24"/>
                <w:lang w:val="en-US" w:eastAsia="zh-CN"/>
              </w:rPr>
              <w:t>按下式</w:t>
            </w:r>
            <w:r>
              <w:rPr>
                <w:rFonts w:ascii="Times New Roman" w:hAnsi="Times New Roman" w:eastAsia="宋体"/>
                <w:color w:val="auto"/>
                <w:sz w:val="24"/>
                <w:szCs w:val="24"/>
              </w:rPr>
              <w:t>将室外</w:t>
            </w:r>
            <w:r>
              <w:rPr>
                <w:rFonts w:hint="eastAsia" w:ascii="Times New Roman" w:hAnsi="Times New Roman" w:eastAsia="宋体"/>
                <w:color w:val="auto"/>
                <w:sz w:val="24"/>
                <w:szCs w:val="24"/>
              </w:rPr>
              <w:t>声源的声压级</w:t>
            </w:r>
            <w:r>
              <w:rPr>
                <w:rFonts w:ascii="Times New Roman" w:hAnsi="Times New Roman" w:eastAsia="宋体"/>
                <w:color w:val="auto"/>
                <w:sz w:val="24"/>
                <w:szCs w:val="24"/>
              </w:rPr>
              <w:t>和透声面积换算成等效的室外声源，计算出</w:t>
            </w:r>
            <w:r>
              <w:rPr>
                <w:rFonts w:hint="eastAsia" w:ascii="Times New Roman" w:hAnsi="Times New Roman" w:eastAsia="宋体"/>
                <w:color w:val="auto"/>
                <w:sz w:val="24"/>
                <w:szCs w:val="24"/>
              </w:rPr>
              <w:t>中心位置位于透声面积(S)处的</w:t>
            </w:r>
            <w:r>
              <w:rPr>
                <w:rFonts w:ascii="Times New Roman" w:hAnsi="Times New Roman" w:eastAsia="宋体"/>
                <w:color w:val="auto"/>
                <w:sz w:val="24"/>
                <w:szCs w:val="24"/>
              </w:rPr>
              <w:t>等效声源</w:t>
            </w:r>
            <w:r>
              <w:rPr>
                <w:rFonts w:hint="eastAsia" w:ascii="Times New Roman" w:hAnsi="Times New Roman" w:eastAsia="宋体"/>
                <w:color w:val="auto"/>
                <w:sz w:val="24"/>
                <w:szCs w:val="24"/>
              </w:rPr>
              <w:t>的</w:t>
            </w:r>
            <w:r>
              <w:rPr>
                <w:rFonts w:ascii="Times New Roman" w:hAnsi="Times New Roman" w:eastAsia="宋体"/>
                <w:color w:val="auto"/>
                <w:sz w:val="24"/>
                <w:szCs w:val="24"/>
              </w:rPr>
              <w:t>倍频带的声功率级</w:t>
            </w:r>
            <w:r>
              <w:rPr>
                <w:rFonts w:ascii="Times New Roman" w:hAnsi="Times New Roman" w:eastAsia="宋体"/>
                <w:color w:val="auto"/>
                <w:sz w:val="24"/>
                <w:szCs w:val="24"/>
              </w:rPr>
              <w:softHyphen/>
            </w:r>
            <w:r>
              <w:rPr>
                <w:rFonts w:ascii="Times New Roman" w:hAnsi="Times New Roman" w:eastAsia="宋体"/>
                <w:color w:val="auto"/>
                <w:sz w:val="24"/>
                <w:szCs w:val="24"/>
              </w:rPr>
              <w:softHyphen/>
            </w:r>
            <w:r>
              <w:rPr>
                <w:rFonts w:ascii="Times New Roman" w:hAnsi="Times New Roman" w:eastAsia="宋体"/>
                <w:color w:val="auto"/>
                <w:sz w:val="24"/>
                <w:szCs w:val="24"/>
              </w:rPr>
              <w:t>：</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333500" cy="241300"/>
                  <wp:effectExtent l="0" t="0" r="0"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1"/>
                          <a:stretch>
                            <a:fillRect/>
                          </a:stretch>
                        </pic:blipFill>
                        <pic:spPr>
                          <a:xfrm>
                            <a:off x="0" y="0"/>
                            <a:ext cx="1333500"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L</w:t>
            </w:r>
            <w:r>
              <w:rPr>
                <w:rFonts w:hint="eastAsia" w:ascii="Times New Roman" w:hAnsi="Times New Roman" w:eastAsia="宋体"/>
                <w:color w:val="auto"/>
                <w:sz w:val="24"/>
                <w:szCs w:val="24"/>
              </w:rPr>
              <w:t>w—中心位置位于透声面积</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S)处的等效声源的倍频带声功率级，dB；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Lp</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T</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—靠近围护结构处室外声源的声压级，dB；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S</w:t>
            </w:r>
            <w:r>
              <w:rPr>
                <w:rFonts w:hint="eastAsia" w:ascii="Times New Roman" w:hAnsi="Times New Roman" w:eastAsia="宋体"/>
                <w:color w:val="auto"/>
                <w:sz w:val="24"/>
                <w:szCs w:val="24"/>
              </w:rPr>
              <w:t>透声面积，m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户外声传播的衰减</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Adiv</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、大气吸收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Aatm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、地面效应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Agr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、障碍物屏蔽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Abar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、其他多方面效应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Amisc</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引起的衰减。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基本公式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某个声源在预测点处声压级的计算公式如下：</w:t>
            </w:r>
          </w:p>
          <w:p>
            <w:pPr>
              <w:adjustRightInd w:val="0"/>
              <w:snapToGrid w:val="0"/>
              <w:spacing w:line="360" w:lineRule="auto"/>
              <w:ind w:firstLine="480"/>
              <w:jc w:val="center"/>
              <w:rPr>
                <w:rFonts w:ascii="Times New Roman" w:hAnsi="Times New Roman" w:eastAsia="宋体"/>
                <w:color w:val="auto"/>
                <w:sz w:val="24"/>
                <w:szCs w:val="24"/>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Lw</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jc w:val="center"/>
              <w:rPr>
                <w:rFonts w:hint="eastAsia" w:ascii="Times New Roman" w:hAnsi="Times New Roman" w:eastAsia="宋体"/>
                <w:color w:val="auto"/>
                <w:sz w:val="24"/>
                <w:szCs w:val="24"/>
                <w:lang w:val="en-US" w:eastAsia="zh-CN"/>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0)+</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Lp(r)—预测点处声压级，dB；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t>w—由点声源产生的声功率级(A计权或倍频带)，dB；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Lp(r0)—</w:t>
            </w:r>
            <w:r>
              <w:rPr>
                <w:rFonts w:hint="default" w:ascii="Times New Roman" w:hAnsi="Times New Roman" w:eastAsia="宋体" w:cs="Times New Roman"/>
                <w:color w:val="auto"/>
                <w:sz w:val="24"/>
                <w:szCs w:val="24"/>
                <w:lang w:val="en-US" w:eastAsia="zh-CN"/>
              </w:rPr>
              <w:t>参考位置</w:t>
            </w:r>
            <w:r>
              <w:rPr>
                <w:rFonts w:hint="eastAsia" w:ascii="Times New Roman" w:hAnsi="Times New Roman" w:eastAsia="宋体" w:cs="Times New Roman"/>
                <w:color w:val="auto"/>
                <w:sz w:val="24"/>
                <w:szCs w:val="24"/>
                <w:lang w:val="en-US" w:eastAsia="zh-CN"/>
              </w:rPr>
              <w:t>r0</w:t>
            </w:r>
            <w:r>
              <w:rPr>
                <w:rFonts w:hint="default" w:ascii="Times New Roman" w:hAnsi="Times New Roman" w:eastAsia="宋体" w:cs="Times New Roman"/>
                <w:color w:val="auto"/>
                <w:sz w:val="24"/>
                <w:szCs w:val="24"/>
                <w:lang w:val="en-US" w:eastAsia="zh-CN"/>
              </w:rPr>
              <w:t>处的声压级，</w:t>
            </w:r>
            <w:r>
              <w:rPr>
                <w:rFonts w:hint="eastAsia"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lang w:val="en-US" w:eastAsia="zh-CN"/>
              </w:rPr>
              <w:t>；</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Dc—指向性校正，它描述点声源的等效连续声压级与产生声功率级Lw的全向点声源在规定方向的声级的偏差程度，dB；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Adiv—几何发散引起的衰减，dB；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Aatm—大气吸收引起的衰减，dB；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Agr—地面效应引起的衰减，dB；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Abar—障碍物屏蔽引起的衰减，dB；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Amisc—其他多方面效应引起的衰减，dB。</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olor w:val="auto"/>
                <w:sz w:val="24"/>
                <w:szCs w:val="24"/>
              </w:rPr>
              <w:t>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)可按</w:t>
            </w:r>
            <w:r>
              <w:rPr>
                <w:rFonts w:hint="eastAsia" w:ascii="Times New Roman" w:hAnsi="Times New Roman" w:eastAsia="宋体"/>
                <w:color w:val="auto"/>
                <w:sz w:val="24"/>
                <w:szCs w:val="24"/>
                <w:lang w:val="en-US" w:eastAsia="zh-CN"/>
              </w:rPr>
              <w:t>下式</w:t>
            </w:r>
            <w:r>
              <w:rPr>
                <w:rFonts w:hint="default" w:ascii="Times New Roman" w:hAnsi="Times New Roman" w:eastAsia="宋体"/>
                <w:color w:val="auto"/>
                <w:sz w:val="24"/>
                <w:szCs w:val="24"/>
              </w:rPr>
              <w:t>计算，即将8个倍频带声压级合成，计算出预测点的A声级[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p>
          <w:p>
            <w:pPr>
              <w:spacing w:line="360" w:lineRule="auto"/>
              <w:ind w:left="0" w:leftChars="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1935480" cy="419100"/>
                  <wp:effectExtent l="0" t="0" r="762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1935480" cy="4191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LA(r)</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距声源r处的A声级，dB(A)；</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Lpi(r)</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预测点(r)处，第i倍频带声压级，dB；</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△Li—i倍频带A计算网络修正值，dB(</w:t>
            </w: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rPr>
              <w:t>导则附录B</w:t>
            </w:r>
            <w:r>
              <w:rPr>
                <w:rFonts w:hint="eastAsia" w:ascii="Times New Roman" w:hAnsi="Times New Roman" w:eastAsia="宋体" w:cs="Times New Roman"/>
                <w:color w:val="auto"/>
                <w:sz w:val="24"/>
                <w:szCs w:val="24"/>
                <w:lang w:val="en-US" w:eastAsia="zh-CN"/>
              </w:rPr>
              <w:t>计算</w:t>
            </w:r>
            <w:r>
              <w:rPr>
                <w:rFonts w:hint="eastAsia" w:ascii="Times New Roman" w:hAnsi="Times New Roman" w:eastAsia="宋体" w:cs="Times New Roman"/>
                <w:color w:val="auto"/>
                <w:sz w:val="24"/>
                <w:szCs w:val="24"/>
              </w:rPr>
              <w:t>)。</w:t>
            </w:r>
          </w:p>
          <w:p>
            <w:pPr>
              <w:adjustRightInd w:val="0"/>
              <w:snapToGrid w:val="0"/>
              <w:spacing w:line="360" w:lineRule="auto"/>
              <w:ind w:firstLine="480"/>
              <w:rPr>
                <w:rFonts w:hint="eastAsia"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衰减项计算按导则</w:t>
            </w:r>
            <w:r>
              <w:rPr>
                <w:rFonts w:hint="eastAsia" w:ascii="Times New Roman" w:hAnsi="Times New Roman" w:eastAsia="宋体"/>
                <w:b w:val="0"/>
                <w:bCs w:val="0"/>
                <w:color w:val="auto"/>
                <w:sz w:val="24"/>
                <w:szCs w:val="24"/>
                <w:lang w:val="en-US" w:eastAsia="zh-CN"/>
              </w:rPr>
              <w:t>附录A中A.3</w:t>
            </w:r>
            <w:r>
              <w:rPr>
                <w:rFonts w:hint="eastAsia" w:ascii="Times New Roman" w:hAnsi="Times New Roman" w:eastAsia="宋体"/>
                <w:b w:val="0"/>
                <w:bCs w:val="0"/>
                <w:color w:val="auto"/>
                <w:sz w:val="24"/>
                <w:szCs w:val="24"/>
              </w:rPr>
              <w:t>相关模式计算。</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(3)噪声贡献值计算</w:t>
            </w:r>
          </w:p>
          <w:p>
            <w:pPr>
              <w:adjustRightInd w:val="0"/>
              <w:snapToGrid w:val="0"/>
              <w:spacing w:line="360" w:lineRule="auto"/>
              <w:ind w:firstLine="480"/>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设第</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个室外声源在预测点产生的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Ai</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；第</w:t>
            </w:r>
            <w:r>
              <w:rPr>
                <w:rFonts w:hint="default" w:ascii="Times New Roman" w:hAnsi="Times New Roman" w:eastAsia="宋体" w:cs="Times New Roman"/>
                <w:color w:val="auto"/>
                <w:sz w:val="24"/>
                <w:szCs w:val="24"/>
                <w:highlight w:val="none"/>
                <w:lang w:val="en-US" w:eastAsia="zh-CN"/>
              </w:rPr>
              <w:t>j</w:t>
            </w:r>
            <w:r>
              <w:rPr>
                <w:rFonts w:hint="eastAsia" w:ascii="Times New Roman" w:hAnsi="Times New Roman" w:eastAsia="宋体" w:cs="Times New Roman"/>
                <w:color w:val="auto"/>
                <w:sz w:val="24"/>
                <w:szCs w:val="24"/>
                <w:highlight w:val="none"/>
                <w:lang w:val="en-US" w:eastAsia="zh-CN"/>
              </w:rPr>
              <w:t>个等效室外声源在预测点产生的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Aj</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 xml:space="preserve"> j</w:t>
            </w:r>
            <w:r>
              <w:rPr>
                <w:rFonts w:hint="eastAsia" w:ascii="Times New Roman" w:hAnsi="Times New Roman" w:eastAsia="宋体" w:cs="Times New Roman"/>
                <w:color w:val="auto"/>
                <w:sz w:val="24"/>
                <w:szCs w:val="24"/>
                <w:highlight w:val="none"/>
                <w:lang w:val="en-US" w:eastAsia="zh-CN"/>
              </w:rPr>
              <w:t>，则拟建工程声源对预测点产生的贡献值(</w:t>
            </w:r>
            <w:r>
              <w:rPr>
                <w:rFonts w:hint="default" w:ascii="Times New Roman" w:hAnsi="Times New Roman" w:eastAsia="宋体" w:cs="Times New Roman"/>
                <w:color w:val="auto"/>
                <w:sz w:val="24"/>
                <w:szCs w:val="24"/>
                <w:highlight w:val="none"/>
                <w:lang w:val="en-US" w:eastAsia="zh-CN"/>
              </w:rPr>
              <w:t>Leqg</w:t>
            </w:r>
            <w:r>
              <w:rPr>
                <w:rFonts w:hint="eastAsia" w:ascii="Times New Roman" w:hAnsi="Times New Roman" w:eastAsia="宋体" w:cs="Times New Roman"/>
                <w:color w:val="auto"/>
                <w:sz w:val="24"/>
                <w:szCs w:val="24"/>
                <w:highlight w:val="none"/>
                <w:lang w:val="en-US" w:eastAsia="zh-CN"/>
              </w:rPr>
              <w:t>)为：</w:t>
            </w:r>
          </w:p>
          <w:p>
            <w:pPr>
              <w:spacing w:line="360" w:lineRule="auto"/>
              <w:ind w:left="0" w:leftChars="0" w:firstLine="0" w:firstLineChars="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2367280" cy="485775"/>
                  <wp:effectExtent l="0" t="0" r="1397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2367280" cy="485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式中：</w:t>
            </w:r>
            <w:r>
              <w:rPr>
                <w:rFonts w:hint="default" w:ascii="Times New Roman" w:hAnsi="Times New Roman" w:eastAsia="宋体" w:cs="Times New Roman"/>
                <w:color w:val="auto"/>
                <w:sz w:val="24"/>
                <w:szCs w:val="24"/>
                <w:lang w:val="en-US" w:eastAsia="zh-CN"/>
              </w:rPr>
              <w:t>Leqg——</w:t>
            </w:r>
            <w:r>
              <w:rPr>
                <w:rFonts w:hint="eastAsia" w:ascii="Times New Roman" w:hAnsi="Times New Roman" w:eastAsia="宋体" w:cs="Times New Roman"/>
                <w:color w:val="auto"/>
                <w:sz w:val="24"/>
                <w:szCs w:val="24"/>
                <w:lang w:val="en-US" w:eastAsia="zh-CN"/>
              </w:rPr>
              <w:t>建设项目声源在预测点产生的噪声贡献值，</w:t>
            </w:r>
            <w:r>
              <w:rPr>
                <w:rFonts w:hint="default"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用于计算等效声级的时间，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等效室外声源个数；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 xml:space="preserve">j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j</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lang w:val="en-US" w:eastAsia="zh-CN"/>
              </w:rPr>
              <w:t>噪声预测值计算</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预测点的贡献值和背景值按能量叠加方法计算得到的声级</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计算公式：</w:t>
            </w:r>
          </w:p>
          <w:p>
            <w:pPr>
              <w:spacing w:line="360" w:lineRule="auto"/>
              <w:ind w:firstLine="1680" w:firstLineChars="7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907540" cy="304165"/>
                  <wp:effectExtent l="0" t="0" r="16510" b="63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 xml:space="preserve">            (2)</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Leq</w:t>
            </w:r>
            <w:r>
              <w:rPr>
                <w:rFonts w:hint="default" w:ascii="Times New Roman" w:hAnsi="Times New Roman" w:eastAsia="宋体" w:cs="Times New Roman"/>
                <w:color w:val="auto"/>
                <w:sz w:val="24"/>
                <w:szCs w:val="24"/>
              </w:rPr>
              <w:t>—预测点的噪声预测值，dB；</w:t>
            </w:r>
          </w:p>
          <w:p>
            <w:pPr>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Leqg—建设项目声源在预测点产生的噪声贡献值，dB</w:t>
            </w:r>
            <w:r>
              <w:rPr>
                <w:rFonts w:hint="eastAsia" w:ascii="Times New Roman" w:hAnsi="Times New Roman" w:eastAsia="宋体" w:cs="Times New Roman"/>
                <w:color w:val="auto"/>
                <w:sz w:val="24"/>
                <w:szCs w:val="24"/>
                <w:lang w:eastAsia="zh-CN"/>
              </w:rPr>
              <w:t>；</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Leq</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—预测点的背景噪声值，dB。</w:t>
            </w:r>
          </w:p>
          <w:p>
            <w:pPr>
              <w:snapToGrid w:val="0"/>
              <w:spacing w:line="360" w:lineRule="auto"/>
              <w:ind w:right="11"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隔声量的确定</w:t>
            </w:r>
          </w:p>
          <w:p>
            <w:pPr>
              <w:snapToGrid w:val="0"/>
              <w:spacing w:line="360" w:lineRule="auto"/>
              <w:ind w:right="11"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项目主要噪声设备大多设置于各建构筑物内，设备噪声经</w:t>
            </w:r>
            <w:r>
              <w:rPr>
                <w:rFonts w:hint="eastAsia" w:ascii="Times New Roman" w:hAnsi="Times New Roman" w:eastAsia="宋体"/>
                <w:color w:val="auto"/>
                <w:sz w:val="24"/>
                <w:szCs w:val="24"/>
                <w:lang w:val="en-US" w:eastAsia="zh-CN"/>
              </w:rPr>
              <w:t>墙体隔声，设备基础减振后</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项目主要生产厂房为砖混结构，隔声、减振按20</w:t>
            </w:r>
            <w:r>
              <w:rPr>
                <w:rFonts w:hint="eastAsia" w:ascii="Times New Roman" w:hAnsi="Times New Roman" w:eastAsia="宋体"/>
                <w:color w:val="auto"/>
                <w:sz w:val="24"/>
                <w:szCs w:val="24"/>
              </w:rPr>
              <w:t>dB(A)</w:t>
            </w:r>
            <w:r>
              <w:rPr>
                <w:rFonts w:hint="eastAsia" w:ascii="Times New Roman" w:hAnsi="Times New Roman" w:eastAsia="宋体"/>
                <w:color w:val="auto"/>
                <w:sz w:val="24"/>
                <w:szCs w:val="24"/>
                <w:lang w:val="en-US" w:eastAsia="zh-CN"/>
              </w:rPr>
              <w:t>进行设计。</w:t>
            </w:r>
          </w:p>
          <w:p>
            <w:pPr>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w:t>
            </w:r>
            <w:r>
              <w:rPr>
                <w:rFonts w:hint="eastAsia" w:ascii="Times New Roman" w:hAnsi="Times New Roman" w:eastAsia="宋体"/>
                <w:color w:val="auto"/>
                <w:sz w:val="24"/>
                <w:szCs w:val="24"/>
              </w:rPr>
              <w:t>预测结果</w:t>
            </w:r>
          </w:p>
          <w:p>
            <w:pPr>
              <w:spacing w:line="360" w:lineRule="auto"/>
              <w:ind w:firstLine="48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zh-CN"/>
              </w:rPr>
              <w:t>①</w:t>
            </w:r>
            <w:r>
              <w:rPr>
                <w:rFonts w:hint="eastAsia" w:ascii="Times New Roman" w:hAnsi="Times New Roman" w:eastAsia="宋体"/>
                <w:color w:val="auto"/>
                <w:sz w:val="24"/>
                <w:szCs w:val="24"/>
                <w:lang w:val="en-US" w:eastAsia="zh-CN"/>
              </w:rPr>
              <w:t>厂界噪声预测结果</w:t>
            </w:r>
          </w:p>
          <w:p>
            <w:pPr>
              <w:spacing w:line="360" w:lineRule="auto"/>
              <w:ind w:firstLine="480"/>
              <w:rPr>
                <w:rFonts w:ascii="Times New Roman" w:hAnsi="Times New Roman" w:eastAsia="宋体"/>
                <w:color w:val="auto"/>
                <w:sz w:val="24"/>
                <w:szCs w:val="24"/>
                <w:lang w:val="zh-CN"/>
              </w:rPr>
            </w:pPr>
            <w:r>
              <w:rPr>
                <w:rFonts w:ascii="Times New Roman" w:hAnsi="Times New Roman" w:eastAsia="宋体"/>
                <w:color w:val="auto"/>
                <w:sz w:val="24"/>
                <w:szCs w:val="24"/>
                <w:lang w:val="zh-CN"/>
              </w:rPr>
              <w:t>利用上述模式计算本项目噪声源同时工作时，预测到厂界的噪声最大值及位置，具体预测结果见表</w:t>
            </w: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4-</w:t>
            </w:r>
            <w:r>
              <w:rPr>
                <w:rFonts w:hint="eastAsia"/>
                <w:color w:val="auto"/>
                <w:sz w:val="24"/>
                <w:szCs w:val="24"/>
                <w:lang w:val="en-US" w:eastAsia="zh-CN"/>
              </w:rPr>
              <w:t>2</w:t>
            </w:r>
            <w:r>
              <w:rPr>
                <w:rFonts w:ascii="Times New Roman" w:hAnsi="Times New Roman" w:eastAsia="宋体"/>
                <w:color w:val="auto"/>
                <w:sz w:val="24"/>
                <w:szCs w:val="24"/>
                <w:lang w:val="zh-CN"/>
              </w:rPr>
              <w:t>所示。</w:t>
            </w:r>
          </w:p>
          <w:p>
            <w:pPr>
              <w:pStyle w:val="2"/>
              <w:rPr>
                <w:color w:val="auto"/>
                <w:lang w:val="zh-CN"/>
              </w:rPr>
            </w:pPr>
          </w:p>
          <w:p>
            <w:pPr>
              <w:pStyle w:val="33"/>
              <w:bidi w:val="0"/>
              <w:rPr>
                <w:color w:val="auto"/>
                <w:sz w:val="24"/>
                <w:szCs w:val="24"/>
              </w:rPr>
            </w:pPr>
            <w:r>
              <w:rPr>
                <w:color w:val="auto"/>
                <w:sz w:val="24"/>
                <w:szCs w:val="24"/>
              </w:rPr>
              <w:t>表4.</w:t>
            </w:r>
            <w:r>
              <w:rPr>
                <w:rFonts w:hint="eastAsia"/>
                <w:color w:val="auto"/>
                <w:sz w:val="24"/>
                <w:szCs w:val="24"/>
                <w:lang w:val="en-US" w:eastAsia="zh-CN"/>
              </w:rPr>
              <w:t>4</w:t>
            </w:r>
            <w:r>
              <w:rPr>
                <w:color w:val="auto"/>
                <w:sz w:val="24"/>
                <w:szCs w:val="24"/>
              </w:rPr>
              <w:t>-</w:t>
            </w:r>
            <w:r>
              <w:rPr>
                <w:rFonts w:hint="eastAsia"/>
                <w:color w:val="auto"/>
                <w:sz w:val="24"/>
                <w:szCs w:val="24"/>
                <w:lang w:val="en-US" w:eastAsia="zh-CN"/>
              </w:rPr>
              <w:t>2</w:t>
            </w:r>
            <w:r>
              <w:rPr>
                <w:color w:val="auto"/>
                <w:sz w:val="24"/>
                <w:szCs w:val="24"/>
              </w:rPr>
              <w:t xml:space="preserve"> 厂界噪声预测结果 单位：dB(A)</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2"/>
              <w:gridCol w:w="1082"/>
              <w:gridCol w:w="1472"/>
              <w:gridCol w:w="2322"/>
              <w:gridCol w:w="1228"/>
              <w:gridCol w:w="1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5" w:type="pct"/>
                  <w:vMerge w:val="restart"/>
                  <w:noWrap w:val="0"/>
                  <w:vAlign w:val="center"/>
                </w:tcPr>
                <w:p>
                  <w:pPr>
                    <w:pStyle w:val="31"/>
                    <w:bidi w:val="0"/>
                    <w:rPr>
                      <w:color w:val="auto"/>
                    </w:rPr>
                  </w:pPr>
                  <w:r>
                    <w:rPr>
                      <w:color w:val="auto"/>
                    </w:rPr>
                    <w:t>编号</w:t>
                  </w:r>
                </w:p>
              </w:tc>
              <w:tc>
                <w:tcPr>
                  <w:tcW w:w="683" w:type="pct"/>
                  <w:vMerge w:val="restart"/>
                  <w:noWrap w:val="0"/>
                  <w:vAlign w:val="center"/>
                </w:tcPr>
                <w:p>
                  <w:pPr>
                    <w:pStyle w:val="31"/>
                    <w:bidi w:val="0"/>
                    <w:rPr>
                      <w:color w:val="auto"/>
                    </w:rPr>
                  </w:pPr>
                  <w:r>
                    <w:rPr>
                      <w:color w:val="auto"/>
                    </w:rPr>
                    <w:t>测点位置</w:t>
                  </w:r>
                </w:p>
              </w:tc>
              <w:tc>
                <w:tcPr>
                  <w:tcW w:w="930" w:type="pct"/>
                  <w:noWrap w:val="0"/>
                  <w:vAlign w:val="center"/>
                </w:tcPr>
                <w:p>
                  <w:pPr>
                    <w:pStyle w:val="31"/>
                    <w:bidi w:val="0"/>
                    <w:rPr>
                      <w:color w:val="auto"/>
                    </w:rPr>
                  </w:pPr>
                  <w:r>
                    <w:rPr>
                      <w:color w:val="auto"/>
                    </w:rPr>
                    <w:t>影响贡献值</w:t>
                  </w:r>
                </w:p>
              </w:tc>
              <w:tc>
                <w:tcPr>
                  <w:tcW w:w="1466" w:type="pct"/>
                  <w:noWrap w:val="0"/>
                  <w:vAlign w:val="center"/>
                </w:tcPr>
                <w:p>
                  <w:pPr>
                    <w:pStyle w:val="31"/>
                    <w:bidi w:val="0"/>
                    <w:rPr>
                      <w:color w:val="auto"/>
                    </w:rPr>
                  </w:pPr>
                  <w:r>
                    <w:rPr>
                      <w:color w:val="auto"/>
                    </w:rPr>
                    <w:t>厂界噪声最大值及位置</w:t>
                  </w:r>
                </w:p>
              </w:tc>
              <w:tc>
                <w:tcPr>
                  <w:tcW w:w="775" w:type="pct"/>
                  <w:noWrap w:val="0"/>
                  <w:vAlign w:val="center"/>
                </w:tcPr>
                <w:p>
                  <w:pPr>
                    <w:pStyle w:val="31"/>
                    <w:bidi w:val="0"/>
                    <w:rPr>
                      <w:color w:val="auto"/>
                    </w:rPr>
                  </w:pPr>
                  <w:r>
                    <w:rPr>
                      <w:color w:val="auto"/>
                    </w:rPr>
                    <w:t>标准值</w:t>
                  </w:r>
                </w:p>
              </w:tc>
              <w:tc>
                <w:tcPr>
                  <w:tcW w:w="688" w:type="pct"/>
                  <w:vMerge w:val="restart"/>
                  <w:noWrap w:val="0"/>
                  <w:vAlign w:val="center"/>
                </w:tcPr>
                <w:p>
                  <w:pPr>
                    <w:pStyle w:val="31"/>
                    <w:bidi w:val="0"/>
                    <w:rPr>
                      <w:color w:val="auto"/>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5" w:type="pct"/>
                  <w:vMerge w:val="continue"/>
                  <w:noWrap w:val="0"/>
                  <w:vAlign w:val="center"/>
                </w:tcPr>
                <w:p>
                  <w:pPr>
                    <w:pStyle w:val="31"/>
                    <w:bidi w:val="0"/>
                    <w:rPr>
                      <w:color w:val="auto"/>
                    </w:rPr>
                  </w:pPr>
                </w:p>
              </w:tc>
              <w:tc>
                <w:tcPr>
                  <w:tcW w:w="683" w:type="pct"/>
                  <w:vMerge w:val="continue"/>
                  <w:noWrap w:val="0"/>
                  <w:vAlign w:val="center"/>
                </w:tcPr>
                <w:p>
                  <w:pPr>
                    <w:pStyle w:val="31"/>
                    <w:bidi w:val="0"/>
                    <w:rPr>
                      <w:color w:val="auto"/>
                    </w:rPr>
                  </w:pPr>
                </w:p>
              </w:tc>
              <w:tc>
                <w:tcPr>
                  <w:tcW w:w="930" w:type="pct"/>
                  <w:noWrap w:val="0"/>
                  <w:vAlign w:val="center"/>
                </w:tcPr>
                <w:p>
                  <w:pPr>
                    <w:pStyle w:val="31"/>
                    <w:bidi w:val="0"/>
                    <w:rPr>
                      <w:rFonts w:hint="eastAsia"/>
                      <w:color w:val="auto"/>
                      <w:lang w:val="en-US" w:eastAsia="zh-CN"/>
                    </w:rPr>
                  </w:pPr>
                  <w:r>
                    <w:rPr>
                      <w:color w:val="auto"/>
                    </w:rPr>
                    <w:t>昼间</w:t>
                  </w:r>
                </w:p>
              </w:tc>
              <w:tc>
                <w:tcPr>
                  <w:tcW w:w="1466" w:type="pct"/>
                  <w:noWrap w:val="0"/>
                  <w:vAlign w:val="center"/>
                </w:tcPr>
                <w:p>
                  <w:pPr>
                    <w:pStyle w:val="31"/>
                    <w:bidi w:val="0"/>
                    <w:rPr>
                      <w:rFonts w:hint="eastAsia"/>
                      <w:color w:val="auto"/>
                      <w:lang w:val="en-US" w:eastAsia="zh-CN"/>
                    </w:rPr>
                  </w:pPr>
                  <w:r>
                    <w:rPr>
                      <w:color w:val="auto"/>
                    </w:rPr>
                    <w:t>昼间</w:t>
                  </w:r>
                </w:p>
              </w:tc>
              <w:tc>
                <w:tcPr>
                  <w:tcW w:w="775" w:type="pct"/>
                  <w:noWrap w:val="0"/>
                  <w:vAlign w:val="center"/>
                </w:tcPr>
                <w:p>
                  <w:pPr>
                    <w:pStyle w:val="31"/>
                    <w:bidi w:val="0"/>
                    <w:rPr>
                      <w:rFonts w:hint="eastAsia"/>
                      <w:color w:val="auto"/>
                      <w:lang w:val="en-US" w:eastAsia="zh-CN"/>
                    </w:rPr>
                  </w:pPr>
                  <w:r>
                    <w:rPr>
                      <w:color w:val="auto"/>
                    </w:rPr>
                    <w:t>昼间</w:t>
                  </w:r>
                </w:p>
              </w:tc>
              <w:tc>
                <w:tcPr>
                  <w:tcW w:w="688" w:type="pct"/>
                  <w:vMerge w:val="continue"/>
                  <w:noWrap w:val="0"/>
                  <w:vAlign w:val="center"/>
                </w:tcPr>
                <w:p>
                  <w:pPr>
                    <w:pStyle w:val="31"/>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pStyle w:val="31"/>
                    <w:bidi w:val="0"/>
                    <w:rPr>
                      <w:color w:val="auto"/>
                    </w:rPr>
                  </w:pPr>
                  <w:r>
                    <w:rPr>
                      <w:color w:val="auto"/>
                    </w:rPr>
                    <w:t>1</w:t>
                  </w:r>
                </w:p>
              </w:tc>
              <w:tc>
                <w:tcPr>
                  <w:tcW w:w="683" w:type="pct"/>
                  <w:noWrap w:val="0"/>
                  <w:vAlign w:val="center"/>
                </w:tcPr>
                <w:p>
                  <w:pPr>
                    <w:pStyle w:val="31"/>
                    <w:bidi w:val="0"/>
                    <w:rPr>
                      <w:color w:val="auto"/>
                    </w:rPr>
                  </w:pPr>
                  <w:r>
                    <w:rPr>
                      <w:rFonts w:hint="eastAsia"/>
                      <w:color w:val="auto"/>
                      <w:lang w:val="en-US" w:eastAsia="zh-CN"/>
                    </w:rPr>
                    <w:t>东侧厂界</w:t>
                  </w:r>
                </w:p>
              </w:tc>
              <w:tc>
                <w:tcPr>
                  <w:tcW w:w="930" w:type="pct"/>
                  <w:noWrap w:val="0"/>
                  <w:vAlign w:val="center"/>
                </w:tcPr>
                <w:p>
                  <w:pPr>
                    <w:pStyle w:val="31"/>
                    <w:bidi w:val="0"/>
                    <w:rPr>
                      <w:rFonts w:hint="default"/>
                      <w:color w:val="auto"/>
                      <w:lang w:val="en-US" w:eastAsia="zh-CN"/>
                    </w:rPr>
                  </w:pPr>
                  <w:r>
                    <w:rPr>
                      <w:rFonts w:hint="eastAsia"/>
                      <w:color w:val="auto"/>
                      <w:lang w:val="en-US" w:eastAsia="zh-CN"/>
                    </w:rPr>
                    <w:t>52.6</w:t>
                  </w:r>
                </w:p>
              </w:tc>
              <w:tc>
                <w:tcPr>
                  <w:tcW w:w="1466" w:type="pct"/>
                  <w:vMerge w:val="restart"/>
                  <w:noWrap w:val="0"/>
                  <w:vAlign w:val="center"/>
                </w:tcPr>
                <w:p>
                  <w:pPr>
                    <w:pStyle w:val="31"/>
                    <w:bidi w:val="0"/>
                    <w:rPr>
                      <w:rFonts w:hint="default"/>
                      <w:color w:val="auto"/>
                    </w:rPr>
                  </w:pPr>
                  <w:r>
                    <w:rPr>
                      <w:rFonts w:hint="eastAsia"/>
                      <w:color w:val="auto"/>
                      <w:lang w:val="en-US" w:eastAsia="zh-CN"/>
                    </w:rPr>
                    <w:t>西</w:t>
                  </w:r>
                  <w:r>
                    <w:rPr>
                      <w:rFonts w:hint="eastAsia"/>
                      <w:color w:val="auto"/>
                      <w:lang w:eastAsia="zh-CN"/>
                    </w:rPr>
                    <w:t>侧</w:t>
                  </w:r>
                  <w:r>
                    <w:rPr>
                      <w:rFonts w:hint="default"/>
                      <w:color w:val="auto"/>
                    </w:rPr>
                    <w:t>厂界</w:t>
                  </w:r>
                </w:p>
                <w:p>
                  <w:pPr>
                    <w:pStyle w:val="31"/>
                    <w:bidi w:val="0"/>
                    <w:rPr>
                      <w:rFonts w:hint="default"/>
                      <w:color w:val="auto"/>
                      <w:lang w:val="en-US" w:eastAsia="zh-CN"/>
                    </w:rPr>
                  </w:pPr>
                  <w:r>
                    <w:rPr>
                      <w:rFonts w:hint="eastAsia"/>
                      <w:color w:val="auto"/>
                      <w:lang w:val="en-US" w:eastAsia="zh-CN"/>
                    </w:rPr>
                    <w:t>57.3</w:t>
                  </w:r>
                </w:p>
              </w:tc>
              <w:tc>
                <w:tcPr>
                  <w:tcW w:w="775" w:type="pct"/>
                  <w:noWrap w:val="0"/>
                  <w:vAlign w:val="center"/>
                </w:tcPr>
                <w:p>
                  <w:pPr>
                    <w:pStyle w:val="31"/>
                    <w:bidi w:val="0"/>
                    <w:rPr>
                      <w:rFonts w:hint="default"/>
                      <w:color w:val="auto"/>
                      <w:lang w:val="en-US" w:eastAsia="zh-CN"/>
                    </w:rPr>
                  </w:pPr>
                  <w:r>
                    <w:rPr>
                      <w:rFonts w:hint="eastAsia"/>
                      <w:color w:val="auto"/>
                      <w:lang w:val="en-US" w:eastAsia="zh-CN"/>
                    </w:rPr>
                    <w:t>60</w:t>
                  </w:r>
                </w:p>
              </w:tc>
              <w:tc>
                <w:tcPr>
                  <w:tcW w:w="688" w:type="pct"/>
                  <w:noWrap w:val="0"/>
                  <w:vAlign w:val="center"/>
                </w:tcPr>
                <w:p>
                  <w:pPr>
                    <w:pStyle w:val="31"/>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pStyle w:val="31"/>
                    <w:bidi w:val="0"/>
                    <w:rPr>
                      <w:color w:val="auto"/>
                    </w:rPr>
                  </w:pPr>
                  <w:r>
                    <w:rPr>
                      <w:color w:val="auto"/>
                    </w:rPr>
                    <w:t>2</w:t>
                  </w:r>
                </w:p>
              </w:tc>
              <w:tc>
                <w:tcPr>
                  <w:tcW w:w="683" w:type="pct"/>
                  <w:noWrap w:val="0"/>
                  <w:vAlign w:val="center"/>
                </w:tcPr>
                <w:p>
                  <w:pPr>
                    <w:pStyle w:val="31"/>
                    <w:bidi w:val="0"/>
                    <w:rPr>
                      <w:color w:val="auto"/>
                    </w:rPr>
                  </w:pPr>
                  <w:r>
                    <w:rPr>
                      <w:rFonts w:hint="eastAsia"/>
                      <w:color w:val="auto"/>
                      <w:lang w:val="en-US" w:eastAsia="zh-CN"/>
                    </w:rPr>
                    <w:t>西侧厂界</w:t>
                  </w:r>
                </w:p>
              </w:tc>
              <w:tc>
                <w:tcPr>
                  <w:tcW w:w="930" w:type="pct"/>
                  <w:noWrap w:val="0"/>
                  <w:vAlign w:val="center"/>
                </w:tcPr>
                <w:p>
                  <w:pPr>
                    <w:pStyle w:val="31"/>
                    <w:bidi w:val="0"/>
                    <w:rPr>
                      <w:rFonts w:hint="default"/>
                      <w:color w:val="auto"/>
                      <w:lang w:val="en-US" w:eastAsia="zh-CN"/>
                    </w:rPr>
                  </w:pPr>
                  <w:r>
                    <w:rPr>
                      <w:rFonts w:hint="eastAsia"/>
                      <w:color w:val="auto"/>
                      <w:lang w:val="en-US" w:eastAsia="zh-CN"/>
                    </w:rPr>
                    <w:t>57.3</w:t>
                  </w:r>
                </w:p>
              </w:tc>
              <w:tc>
                <w:tcPr>
                  <w:tcW w:w="1466" w:type="pct"/>
                  <w:vMerge w:val="continue"/>
                  <w:noWrap w:val="0"/>
                  <w:vAlign w:val="center"/>
                </w:tcPr>
                <w:p>
                  <w:pPr>
                    <w:pStyle w:val="31"/>
                    <w:bidi w:val="0"/>
                    <w:rPr>
                      <w:color w:val="auto"/>
                    </w:rPr>
                  </w:pPr>
                </w:p>
              </w:tc>
              <w:tc>
                <w:tcPr>
                  <w:tcW w:w="775" w:type="pct"/>
                  <w:noWrap w:val="0"/>
                  <w:vAlign w:val="center"/>
                </w:tcPr>
                <w:p>
                  <w:pPr>
                    <w:pStyle w:val="31"/>
                    <w:bidi w:val="0"/>
                    <w:rPr>
                      <w:rFonts w:hint="default"/>
                      <w:color w:val="auto"/>
                      <w:lang w:val="en-US" w:eastAsia="zh-CN"/>
                    </w:rPr>
                  </w:pPr>
                  <w:r>
                    <w:rPr>
                      <w:rFonts w:hint="eastAsia"/>
                      <w:color w:val="auto"/>
                      <w:lang w:val="en-US" w:eastAsia="zh-CN"/>
                    </w:rPr>
                    <w:t>60</w:t>
                  </w:r>
                </w:p>
              </w:tc>
              <w:tc>
                <w:tcPr>
                  <w:tcW w:w="688" w:type="pct"/>
                  <w:noWrap w:val="0"/>
                  <w:vAlign w:val="center"/>
                </w:tcPr>
                <w:p>
                  <w:pPr>
                    <w:pStyle w:val="31"/>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vAlign w:val="center"/>
                </w:tcPr>
                <w:p>
                  <w:pPr>
                    <w:pStyle w:val="31"/>
                    <w:bidi w:val="0"/>
                    <w:rPr>
                      <w:rFonts w:hint="eastAsia"/>
                      <w:color w:val="auto"/>
                      <w:lang w:val="en-US" w:eastAsia="zh-CN"/>
                    </w:rPr>
                  </w:pPr>
                  <w:r>
                    <w:rPr>
                      <w:rFonts w:hint="eastAsia"/>
                      <w:color w:val="auto"/>
                      <w:lang w:val="en-US" w:eastAsia="zh-CN"/>
                    </w:rPr>
                    <w:t>3</w:t>
                  </w:r>
                </w:p>
              </w:tc>
              <w:tc>
                <w:tcPr>
                  <w:tcW w:w="683" w:type="pct"/>
                  <w:noWrap w:val="0"/>
                  <w:vAlign w:val="center"/>
                </w:tcPr>
                <w:p>
                  <w:pPr>
                    <w:pStyle w:val="31"/>
                    <w:bidi w:val="0"/>
                    <w:rPr>
                      <w:rFonts w:hint="default"/>
                      <w:color w:val="auto"/>
                      <w:lang w:val="en-US" w:eastAsia="zh-CN"/>
                    </w:rPr>
                  </w:pPr>
                  <w:r>
                    <w:rPr>
                      <w:rFonts w:hint="eastAsia"/>
                      <w:color w:val="auto"/>
                      <w:lang w:val="en-US" w:eastAsia="zh-CN"/>
                    </w:rPr>
                    <w:t>南侧厂界</w:t>
                  </w:r>
                </w:p>
              </w:tc>
              <w:tc>
                <w:tcPr>
                  <w:tcW w:w="930" w:type="pct"/>
                  <w:noWrap w:val="0"/>
                  <w:vAlign w:val="center"/>
                </w:tcPr>
                <w:p>
                  <w:pPr>
                    <w:pStyle w:val="31"/>
                    <w:bidi w:val="0"/>
                    <w:rPr>
                      <w:rFonts w:hint="default"/>
                      <w:color w:val="auto"/>
                      <w:lang w:val="en-US" w:eastAsia="zh-CN"/>
                    </w:rPr>
                  </w:pPr>
                  <w:r>
                    <w:rPr>
                      <w:rFonts w:hint="eastAsia"/>
                      <w:color w:val="auto"/>
                      <w:lang w:val="en-US" w:eastAsia="zh-CN"/>
                    </w:rPr>
                    <w:t>54.4</w:t>
                  </w:r>
                </w:p>
              </w:tc>
              <w:tc>
                <w:tcPr>
                  <w:tcW w:w="1466" w:type="pct"/>
                  <w:vMerge w:val="continue"/>
                  <w:noWrap w:val="0"/>
                  <w:vAlign w:val="center"/>
                </w:tcPr>
                <w:p>
                  <w:pPr>
                    <w:pStyle w:val="31"/>
                    <w:bidi w:val="0"/>
                    <w:rPr>
                      <w:color w:val="auto"/>
                    </w:rPr>
                  </w:pPr>
                </w:p>
              </w:tc>
              <w:tc>
                <w:tcPr>
                  <w:tcW w:w="775" w:type="pct"/>
                  <w:noWrap w:val="0"/>
                  <w:vAlign w:val="center"/>
                </w:tcPr>
                <w:p>
                  <w:pPr>
                    <w:pStyle w:val="31"/>
                    <w:bidi w:val="0"/>
                    <w:rPr>
                      <w:rFonts w:hint="default"/>
                      <w:color w:val="auto"/>
                      <w:lang w:val="en-US"/>
                    </w:rPr>
                  </w:pPr>
                  <w:r>
                    <w:rPr>
                      <w:rFonts w:hint="eastAsia"/>
                      <w:color w:val="auto"/>
                      <w:lang w:val="en-US" w:eastAsia="zh-CN"/>
                    </w:rPr>
                    <w:t>60</w:t>
                  </w:r>
                </w:p>
              </w:tc>
              <w:tc>
                <w:tcPr>
                  <w:tcW w:w="688" w:type="pct"/>
                  <w:noWrap w:val="0"/>
                  <w:vAlign w:val="center"/>
                </w:tcPr>
                <w:p>
                  <w:pPr>
                    <w:pStyle w:val="31"/>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noWrap w:val="0"/>
                  <w:vAlign w:val="center"/>
                </w:tcPr>
                <w:p>
                  <w:pPr>
                    <w:pStyle w:val="31"/>
                    <w:bidi w:val="0"/>
                    <w:rPr>
                      <w:rFonts w:hint="default"/>
                      <w:color w:val="auto"/>
                      <w:lang w:val="en-US" w:eastAsia="zh-CN"/>
                    </w:rPr>
                  </w:pPr>
                  <w:r>
                    <w:rPr>
                      <w:rFonts w:hint="eastAsia"/>
                      <w:color w:val="auto"/>
                      <w:lang w:val="en-US" w:eastAsia="zh-CN"/>
                    </w:rPr>
                    <w:t>4</w:t>
                  </w:r>
                </w:p>
              </w:tc>
              <w:tc>
                <w:tcPr>
                  <w:tcW w:w="683" w:type="pct"/>
                  <w:noWrap w:val="0"/>
                  <w:vAlign w:val="center"/>
                </w:tcPr>
                <w:p>
                  <w:pPr>
                    <w:pStyle w:val="31"/>
                    <w:bidi w:val="0"/>
                    <w:rPr>
                      <w:rFonts w:hint="eastAsia"/>
                      <w:color w:val="auto"/>
                      <w:lang w:val="en-US" w:eastAsia="zh-CN"/>
                    </w:rPr>
                  </w:pPr>
                  <w:r>
                    <w:rPr>
                      <w:rFonts w:hint="eastAsia"/>
                      <w:color w:val="auto"/>
                      <w:lang w:val="en-US" w:eastAsia="zh-CN"/>
                    </w:rPr>
                    <w:t>北侧厂界</w:t>
                  </w:r>
                </w:p>
              </w:tc>
              <w:tc>
                <w:tcPr>
                  <w:tcW w:w="930" w:type="pct"/>
                  <w:noWrap w:val="0"/>
                  <w:vAlign w:val="center"/>
                </w:tcPr>
                <w:p>
                  <w:pPr>
                    <w:pStyle w:val="31"/>
                    <w:bidi w:val="0"/>
                    <w:rPr>
                      <w:rFonts w:hint="default"/>
                      <w:color w:val="auto"/>
                      <w:lang w:val="en-US" w:eastAsia="zh-CN"/>
                    </w:rPr>
                  </w:pPr>
                  <w:r>
                    <w:rPr>
                      <w:rFonts w:hint="eastAsia"/>
                      <w:color w:val="auto"/>
                      <w:lang w:val="en-US" w:eastAsia="zh-CN"/>
                    </w:rPr>
                    <w:t>51.2</w:t>
                  </w:r>
                </w:p>
              </w:tc>
              <w:tc>
                <w:tcPr>
                  <w:tcW w:w="1466" w:type="pct"/>
                  <w:vMerge w:val="continue"/>
                  <w:noWrap w:val="0"/>
                  <w:vAlign w:val="center"/>
                </w:tcPr>
                <w:p>
                  <w:pPr>
                    <w:pStyle w:val="31"/>
                    <w:bidi w:val="0"/>
                    <w:rPr>
                      <w:color w:val="auto"/>
                    </w:rPr>
                  </w:pPr>
                </w:p>
              </w:tc>
              <w:tc>
                <w:tcPr>
                  <w:tcW w:w="775" w:type="pct"/>
                  <w:noWrap w:val="0"/>
                  <w:vAlign w:val="center"/>
                </w:tcPr>
                <w:p>
                  <w:pPr>
                    <w:pStyle w:val="31"/>
                    <w:bidi w:val="0"/>
                    <w:rPr>
                      <w:rFonts w:hint="default"/>
                      <w:color w:val="auto"/>
                      <w:lang w:val="en-US" w:eastAsia="zh-CN"/>
                    </w:rPr>
                  </w:pPr>
                  <w:r>
                    <w:rPr>
                      <w:rFonts w:hint="eastAsia"/>
                      <w:color w:val="auto"/>
                      <w:lang w:val="en-US" w:eastAsia="zh-CN"/>
                    </w:rPr>
                    <w:t>60</w:t>
                  </w:r>
                </w:p>
              </w:tc>
              <w:tc>
                <w:tcPr>
                  <w:tcW w:w="688" w:type="pct"/>
                  <w:noWrap w:val="0"/>
                  <w:vAlign w:val="center"/>
                </w:tcPr>
                <w:p>
                  <w:pPr>
                    <w:pStyle w:val="31"/>
                    <w:bidi w:val="0"/>
                    <w:rPr>
                      <w:color w:val="auto"/>
                    </w:rPr>
                  </w:pPr>
                  <w:r>
                    <w:rPr>
                      <w:color w:val="auto"/>
                    </w:rPr>
                    <w:t>达标</w:t>
                  </w:r>
                </w:p>
              </w:tc>
            </w:tr>
          </w:tbl>
          <w:p>
            <w:pPr>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olor w:val="auto"/>
                <w:sz w:val="24"/>
                <w:highlight w:val="yellow"/>
                <w:lang w:val="en-US" w:eastAsia="zh-CN"/>
              </w:rPr>
            </w:pPr>
            <w:r>
              <w:rPr>
                <w:rFonts w:ascii="Times New Roman" w:hAnsi="Times New Roman" w:eastAsia="宋体"/>
                <w:color w:val="auto"/>
                <w:sz w:val="24"/>
              </w:rPr>
              <w:t>厂界达标分析：本项目实行白班制，夜间不运营</w:t>
            </w:r>
            <w:r>
              <w:rPr>
                <w:rFonts w:hint="eastAsia" w:ascii="Times New Roman" w:hAnsi="Times New Roman" w:eastAsia="宋体"/>
                <w:color w:val="auto"/>
                <w:sz w:val="24"/>
                <w:lang w:eastAsia="zh-CN"/>
              </w:rPr>
              <w:t>，</w:t>
            </w:r>
            <w:r>
              <w:rPr>
                <w:rFonts w:ascii="Times New Roman" w:hAnsi="Times New Roman" w:eastAsia="宋体"/>
                <w:color w:val="auto"/>
                <w:sz w:val="24"/>
              </w:rPr>
              <w:t>根据表</w:t>
            </w:r>
            <w:r>
              <w:rPr>
                <w:rFonts w:hint="eastAsia" w:ascii="Times New Roman" w:hAnsi="Times New Roman" w:eastAsia="宋体"/>
                <w:color w:val="auto"/>
                <w:sz w:val="24"/>
              </w:rPr>
              <w:t>4.</w:t>
            </w:r>
            <w:r>
              <w:rPr>
                <w:rFonts w:hint="eastAsia" w:ascii="Times New Roman" w:hAnsi="Times New Roman" w:eastAsia="宋体"/>
                <w:color w:val="auto"/>
                <w:sz w:val="24"/>
                <w:lang w:val="en-US" w:eastAsia="zh-CN"/>
              </w:rPr>
              <w:t>4-</w:t>
            </w:r>
            <w:r>
              <w:rPr>
                <w:rFonts w:hint="eastAsia"/>
                <w:color w:val="auto"/>
                <w:sz w:val="24"/>
                <w:lang w:val="en-US" w:eastAsia="zh-CN"/>
              </w:rPr>
              <w:t>2</w:t>
            </w:r>
            <w:r>
              <w:rPr>
                <w:rFonts w:ascii="Times New Roman" w:hAnsi="Times New Roman" w:eastAsia="宋体"/>
                <w:color w:val="auto"/>
                <w:sz w:val="24"/>
              </w:rPr>
              <w:t>预测结果，项目主要噪声源在采取有效的降噪措施前提下，项目</w:t>
            </w:r>
            <w:r>
              <w:rPr>
                <w:rFonts w:hint="eastAsia" w:ascii="Times New Roman" w:hAnsi="Times New Roman" w:eastAsia="宋体"/>
                <w:color w:val="auto"/>
                <w:sz w:val="24"/>
                <w:lang w:eastAsia="zh-CN"/>
              </w:rPr>
              <w:t>厂界</w:t>
            </w:r>
            <w:r>
              <w:rPr>
                <w:rFonts w:ascii="Times New Roman" w:hAnsi="Times New Roman" w:eastAsia="宋体"/>
                <w:color w:val="auto"/>
                <w:sz w:val="24"/>
              </w:rPr>
              <w:t>可满足《工业企业厂界环境噪声排放标准》(GB12348-2008)中</w:t>
            </w:r>
            <w:r>
              <w:rPr>
                <w:rFonts w:hint="eastAsia"/>
                <w:color w:val="auto"/>
                <w:sz w:val="24"/>
                <w:highlight w:val="none"/>
                <w:lang w:val="en-US" w:eastAsia="zh-CN"/>
              </w:rPr>
              <w:t>2</w:t>
            </w:r>
            <w:r>
              <w:rPr>
                <w:rFonts w:ascii="Times New Roman" w:hAnsi="Times New Roman" w:eastAsia="宋体"/>
                <w:color w:val="auto"/>
                <w:sz w:val="24"/>
                <w:highlight w:val="none"/>
              </w:rPr>
              <w:t>类标准</w:t>
            </w:r>
            <w:r>
              <w:rPr>
                <w:rFonts w:hint="eastAsia" w:ascii="Times New Roman" w:hAnsi="Times New Roman" w:eastAsia="宋体"/>
                <w:color w:val="auto"/>
                <w:sz w:val="24"/>
                <w:highlight w:val="none"/>
                <w:lang w:eastAsia="zh-CN"/>
              </w:rPr>
              <w:t>（昼间≤</w:t>
            </w:r>
            <w:r>
              <w:rPr>
                <w:rFonts w:hint="eastAsia"/>
                <w:color w:val="auto"/>
                <w:sz w:val="24"/>
                <w:highlight w:val="none"/>
                <w:lang w:val="en-US" w:eastAsia="zh-CN"/>
              </w:rPr>
              <w:t>60</w:t>
            </w:r>
            <w:r>
              <w:rPr>
                <w:rFonts w:hint="eastAsia" w:ascii="Times New Roman" w:hAnsi="Times New Roman" w:eastAsia="宋体"/>
                <w:color w:val="auto"/>
                <w:sz w:val="24"/>
                <w:highlight w:val="none"/>
                <w:lang w:val="en-US" w:eastAsia="zh-CN"/>
              </w:rPr>
              <w:t>dB（A），夜间不生产</w:t>
            </w:r>
            <w:r>
              <w:rPr>
                <w:rFonts w:hint="eastAsia" w:ascii="Times New Roman" w:hAnsi="Times New Roman" w:eastAsia="宋体"/>
                <w:color w:val="auto"/>
                <w:sz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②敏感点噪声预测结果分析</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根据现场勘查，项目周边50m范围内无声环境保护目标。</w:t>
            </w:r>
          </w:p>
          <w:p>
            <w:pPr>
              <w:pStyle w:val="4"/>
              <w:bidi w:val="0"/>
              <w:rPr>
                <w:color w:val="auto"/>
              </w:rPr>
            </w:pPr>
            <w:r>
              <w:rPr>
                <w:color w:val="auto"/>
              </w:rPr>
              <w:t>4.</w:t>
            </w:r>
            <w:r>
              <w:rPr>
                <w:rFonts w:hint="eastAsia"/>
                <w:color w:val="auto"/>
                <w:lang w:val="en-US" w:eastAsia="zh-CN"/>
              </w:rPr>
              <w:t>4</w:t>
            </w:r>
            <w:r>
              <w:rPr>
                <w:color w:val="auto"/>
              </w:rPr>
              <w:t>.3 运营期噪声</w:t>
            </w:r>
            <w:r>
              <w:rPr>
                <w:rFonts w:hint="eastAsia"/>
                <w:color w:val="auto"/>
                <w:lang w:val="en-US" w:eastAsia="zh-CN"/>
              </w:rPr>
              <w:t>控制</w:t>
            </w:r>
            <w:r>
              <w:rPr>
                <w:color w:val="auto"/>
              </w:rPr>
              <w:t>措施</w:t>
            </w:r>
          </w:p>
          <w:p>
            <w:pPr>
              <w:bidi w:val="0"/>
              <w:rPr>
                <w:color w:val="auto"/>
              </w:rPr>
            </w:pPr>
            <w:r>
              <w:rPr>
                <w:rFonts w:hint="eastAsia"/>
                <w:color w:val="auto"/>
                <w:lang w:val="zh-CN"/>
              </w:rPr>
              <w:t>（</w:t>
            </w:r>
            <w:r>
              <w:rPr>
                <w:rFonts w:hint="eastAsia"/>
                <w:color w:val="auto"/>
                <w:lang w:val="en-US" w:eastAsia="zh-CN"/>
              </w:rPr>
              <w:t>1</w:t>
            </w:r>
            <w:r>
              <w:rPr>
                <w:rFonts w:hint="eastAsia"/>
                <w:color w:val="auto"/>
                <w:lang w:val="zh-CN"/>
              </w:rPr>
              <w:t>）噪声源控制措施</w:t>
            </w:r>
          </w:p>
          <w:p>
            <w:pPr>
              <w:bidi w:val="0"/>
              <w:rPr>
                <w:color w:val="auto"/>
              </w:rPr>
            </w:pPr>
            <w:r>
              <w:rPr>
                <w:rFonts w:hint="eastAsia"/>
                <w:color w:val="auto"/>
              </w:rPr>
              <w:t>①</w:t>
            </w:r>
            <w:r>
              <w:rPr>
                <w:color w:val="auto"/>
              </w:rPr>
              <w:t>项目选用低噪声生产设备，</w:t>
            </w:r>
            <w:r>
              <w:rPr>
                <w:rFonts w:hint="eastAsia"/>
                <w:color w:val="auto"/>
              </w:rPr>
              <w:t>采用</w:t>
            </w:r>
            <w:r>
              <w:rPr>
                <w:color w:val="auto"/>
              </w:rPr>
              <w:t>低噪声</w:t>
            </w:r>
            <w:r>
              <w:rPr>
                <w:rFonts w:hint="eastAsia"/>
                <w:color w:val="auto"/>
              </w:rPr>
              <w:t>生产</w:t>
            </w:r>
            <w:r>
              <w:rPr>
                <w:color w:val="auto"/>
              </w:rPr>
              <w:t>工艺</w:t>
            </w:r>
            <w:r>
              <w:rPr>
                <w:rFonts w:hint="eastAsia"/>
                <w:color w:val="auto"/>
                <w:lang w:val="en-US" w:eastAsia="zh-CN"/>
              </w:rPr>
              <w:t>；夜间不运行；</w:t>
            </w:r>
          </w:p>
          <w:p>
            <w:pPr>
              <w:bidi w:val="0"/>
              <w:rPr>
                <w:rFonts w:hint="eastAsia"/>
                <w:color w:val="auto"/>
                <w:lang w:eastAsia="zh-CN"/>
              </w:rPr>
            </w:pPr>
            <w:r>
              <w:rPr>
                <w:rFonts w:hint="eastAsia"/>
                <w:color w:val="auto"/>
              </w:rPr>
              <w:t>②</w:t>
            </w:r>
            <w:r>
              <w:rPr>
                <w:color w:val="auto"/>
              </w:rPr>
              <w:t>采取声学控制措施，对</w:t>
            </w:r>
            <w:r>
              <w:rPr>
                <w:rFonts w:hint="eastAsia"/>
                <w:color w:val="auto"/>
              </w:rPr>
              <w:t>项目</w:t>
            </w:r>
            <w:r>
              <w:rPr>
                <w:color w:val="auto"/>
              </w:rPr>
              <w:t>高噪声设备</w:t>
            </w:r>
            <w:r>
              <w:rPr>
                <w:rFonts w:hint="eastAsia"/>
                <w:color w:val="auto"/>
              </w:rPr>
              <w:t>基础设置减振垫；</w:t>
            </w:r>
            <w:r>
              <w:rPr>
                <w:rFonts w:hint="eastAsia"/>
                <w:color w:val="auto"/>
                <w:lang w:eastAsia="zh-CN"/>
              </w:rPr>
              <w:t>对水泵、风机配套消声元件、软接头等降噪措施，必要时可采取密闭或安装隔音罩进行降噪；</w:t>
            </w:r>
          </w:p>
          <w:p>
            <w:pPr>
              <w:bidi w:val="0"/>
              <w:rPr>
                <w:color w:val="auto"/>
              </w:rPr>
            </w:pPr>
            <w:r>
              <w:rPr>
                <w:rFonts w:hint="eastAsia"/>
                <w:color w:val="auto"/>
              </w:rPr>
              <w:t>③</w:t>
            </w:r>
            <w:r>
              <w:rPr>
                <w:color w:val="auto"/>
              </w:rPr>
              <w:t>加强对设备的管理和维护，</w:t>
            </w:r>
            <w:r>
              <w:rPr>
                <w:rFonts w:hint="eastAsia"/>
                <w:color w:val="auto"/>
              </w:rPr>
              <w:t>避免设备在异常情</w:t>
            </w:r>
            <w:r>
              <w:rPr>
                <w:rFonts w:hint="eastAsia"/>
                <w:color w:val="auto"/>
                <w:lang w:eastAsia="zh-CN"/>
              </w:rPr>
              <w:t>况下</w:t>
            </w:r>
            <w:r>
              <w:rPr>
                <w:rFonts w:hint="eastAsia"/>
                <w:color w:val="auto"/>
              </w:rPr>
              <w:t>运行；</w:t>
            </w:r>
          </w:p>
          <w:p>
            <w:pPr>
              <w:bidi w:val="0"/>
              <w:rPr>
                <w:rFonts w:hint="eastAsia"/>
                <w:color w:val="auto"/>
                <w:lang w:eastAsia="zh-CN"/>
              </w:rPr>
            </w:pPr>
            <w:r>
              <w:rPr>
                <w:rFonts w:hint="eastAsia"/>
                <w:color w:val="auto"/>
              </w:rPr>
              <w:t>④</w:t>
            </w:r>
            <w:r>
              <w:rPr>
                <w:color w:val="auto"/>
              </w:rPr>
              <w:t>优先选用低噪声车辆</w:t>
            </w:r>
            <w:r>
              <w:rPr>
                <w:rFonts w:hint="eastAsia"/>
                <w:color w:val="auto"/>
              </w:rPr>
              <w:t>，</w:t>
            </w:r>
            <w:r>
              <w:rPr>
                <w:color w:val="auto"/>
              </w:rPr>
              <w:t>车辆运输物料</w:t>
            </w:r>
            <w:r>
              <w:rPr>
                <w:rFonts w:hint="eastAsia"/>
                <w:color w:val="auto"/>
              </w:rPr>
              <w:t>时</w:t>
            </w:r>
            <w:r>
              <w:rPr>
                <w:color w:val="auto"/>
              </w:rPr>
              <w:t>，减小车速，禁止或少鸣喇叭</w:t>
            </w:r>
            <w:r>
              <w:rPr>
                <w:rFonts w:hint="eastAsia"/>
                <w:color w:val="auto"/>
                <w:lang w:eastAsia="zh-CN"/>
              </w:rPr>
              <w:t>。</w:t>
            </w:r>
          </w:p>
          <w:p>
            <w:pPr>
              <w:bidi w:val="0"/>
              <w:rPr>
                <w:rFonts w:hint="eastAsia"/>
                <w:color w:val="auto"/>
                <w:lang w:eastAsia="zh-CN"/>
              </w:rPr>
            </w:pPr>
            <w:r>
              <w:rPr>
                <w:rFonts w:hint="eastAsia"/>
                <w:color w:val="auto"/>
                <w:lang w:eastAsia="zh-CN"/>
              </w:rPr>
              <w:t>⑤</w:t>
            </w:r>
            <w:r>
              <w:rPr>
                <w:rFonts w:hint="eastAsia"/>
                <w:color w:val="auto"/>
              </w:rPr>
              <w:t>合理规划平面布置，将高噪声设备设置</w:t>
            </w:r>
            <w:r>
              <w:rPr>
                <w:rFonts w:hint="eastAsia"/>
                <w:color w:val="auto"/>
                <w:lang w:eastAsia="zh-CN"/>
              </w:rPr>
              <w:t>厂房内</w:t>
            </w:r>
            <w:r>
              <w:rPr>
                <w:rFonts w:hint="eastAsia"/>
                <w:color w:val="auto"/>
              </w:rPr>
              <w:t>设备运转期间，</w:t>
            </w:r>
            <w:r>
              <w:rPr>
                <w:rFonts w:hint="eastAsia"/>
                <w:color w:val="auto"/>
                <w:lang w:eastAsia="zh-CN"/>
              </w:rPr>
              <w:t>尽量</w:t>
            </w:r>
            <w:r>
              <w:rPr>
                <w:rFonts w:hint="eastAsia"/>
                <w:color w:val="auto"/>
              </w:rPr>
              <w:t>关闭车间门窗，通过车间墙体等进行阻隔，降低噪声源强</w:t>
            </w:r>
            <w:r>
              <w:rPr>
                <w:rFonts w:hint="eastAsia"/>
                <w:color w:val="auto"/>
                <w:lang w:eastAsia="zh-CN"/>
              </w:rPr>
              <w:t>；</w:t>
            </w:r>
          </w:p>
          <w:p>
            <w:pPr>
              <w:bidi w:val="0"/>
              <w:rPr>
                <w:color w:val="auto"/>
              </w:rPr>
            </w:pPr>
            <w:r>
              <w:rPr>
                <w:color w:val="auto"/>
              </w:rPr>
              <w:t>通过以上降噪措施，有效降低设备噪声对厂界的影响程度，确保</w:t>
            </w:r>
            <w:r>
              <w:rPr>
                <w:rFonts w:hint="eastAsia"/>
                <w:color w:val="auto"/>
              </w:rPr>
              <w:t>厂</w:t>
            </w:r>
            <w:r>
              <w:rPr>
                <w:color w:val="auto"/>
              </w:rPr>
              <w:t>界噪声符合《工业企业厂界环境噪声排放标准》</w:t>
            </w:r>
            <w:r>
              <w:rPr>
                <w:rFonts w:hint="eastAsia"/>
                <w:color w:val="auto"/>
              </w:rPr>
              <w:t>(</w:t>
            </w:r>
            <w:r>
              <w:rPr>
                <w:color w:val="auto"/>
              </w:rPr>
              <w:t>GB12348-2008</w:t>
            </w:r>
            <w:r>
              <w:rPr>
                <w:rFonts w:hint="eastAsia"/>
                <w:color w:val="auto"/>
              </w:rPr>
              <w:t>)</w:t>
            </w:r>
            <w:r>
              <w:rPr>
                <w:color w:val="auto"/>
              </w:rPr>
              <w:t>中的</w:t>
            </w:r>
            <w:r>
              <w:rPr>
                <w:rFonts w:hint="eastAsia"/>
                <w:color w:val="auto"/>
                <w:lang w:val="en-US" w:eastAsia="zh-CN"/>
              </w:rPr>
              <w:t>2</w:t>
            </w:r>
            <w:r>
              <w:rPr>
                <w:rFonts w:hint="eastAsia"/>
                <w:color w:val="auto"/>
              </w:rPr>
              <w:t>类</w:t>
            </w:r>
            <w:r>
              <w:rPr>
                <w:color w:val="auto"/>
              </w:rPr>
              <w:t>标准要求，措施可行。</w:t>
            </w:r>
          </w:p>
          <w:p>
            <w:pPr>
              <w:pStyle w:val="2"/>
              <w:rPr>
                <w:rFonts w:hint="eastAsia"/>
                <w:color w:val="auto"/>
              </w:rPr>
            </w:pPr>
          </w:p>
          <w:p>
            <w:pPr>
              <w:pStyle w:val="4"/>
              <w:bidi w:val="0"/>
              <w:rPr>
                <w:color w:val="auto"/>
              </w:rPr>
            </w:pPr>
            <w:r>
              <w:rPr>
                <w:color w:val="auto"/>
              </w:rPr>
              <w:t>4.</w:t>
            </w:r>
            <w:r>
              <w:rPr>
                <w:rFonts w:hint="eastAsia"/>
                <w:color w:val="auto"/>
                <w:lang w:val="en-US" w:eastAsia="zh-CN"/>
              </w:rPr>
              <w:t>4</w:t>
            </w:r>
            <w:r>
              <w:rPr>
                <w:color w:val="auto"/>
              </w:rPr>
              <w:t>.4 自行监测计划</w:t>
            </w:r>
          </w:p>
          <w:p>
            <w:pPr>
              <w:bidi w:val="0"/>
              <w:rPr>
                <w:rFonts w:hint="default"/>
                <w:color w:val="auto"/>
                <w:lang w:val="en-US" w:eastAsia="zh-CN"/>
              </w:rPr>
            </w:pPr>
            <w:r>
              <w:rPr>
                <w:rFonts w:hint="eastAsia"/>
                <w:color w:val="auto"/>
                <w:lang w:val="en-US" w:eastAsia="zh-CN"/>
              </w:rPr>
              <w:t>根据《排污单位自行监测技术指南 总则》(HJ 819-2017)、</w:t>
            </w:r>
            <w:r>
              <w:rPr>
                <w:rFonts w:hint="default"/>
                <w:color w:val="auto"/>
              </w:rPr>
              <w:t xml:space="preserve">《排污单位自行监测技术指南 </w:t>
            </w:r>
            <w:r>
              <w:rPr>
                <w:rFonts w:hint="eastAsia"/>
                <w:color w:val="auto"/>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w:t>
            </w:r>
            <w:r>
              <w:rPr>
                <w:rFonts w:hint="eastAsia"/>
                <w:color w:val="auto"/>
                <w:lang w:eastAsia="zh-CN"/>
              </w:rPr>
              <w:t>提出项目</w:t>
            </w:r>
            <w:r>
              <w:rPr>
                <w:rFonts w:hint="eastAsia"/>
                <w:color w:val="auto"/>
              </w:rPr>
              <w:t>运营期</w:t>
            </w:r>
            <w:r>
              <w:rPr>
                <w:rFonts w:hint="eastAsia"/>
                <w:color w:val="auto"/>
                <w:lang w:eastAsia="zh-CN"/>
              </w:rPr>
              <w:t>噪声自行监测计划，具体详见表</w:t>
            </w:r>
            <w:r>
              <w:rPr>
                <w:rFonts w:hint="eastAsia"/>
                <w:color w:val="auto"/>
                <w:lang w:val="en-US" w:eastAsia="zh-CN"/>
              </w:rPr>
              <w:t>4.4-3。</w:t>
            </w:r>
          </w:p>
          <w:p>
            <w:pPr>
              <w:pStyle w:val="33"/>
              <w:bidi w:val="0"/>
              <w:rPr>
                <w:rFonts w:hint="default" w:ascii="Times New Roman" w:hAnsi="Times New Roman" w:eastAsia="宋体" w:cs="Times New Roman"/>
                <w:b/>
                <w:bCs/>
                <w:color w:val="auto"/>
                <w:kern w:val="2"/>
                <w:sz w:val="24"/>
                <w:szCs w:val="24"/>
                <w:highlight w:val="none"/>
                <w:lang w:val="en-US" w:eastAsia="zh-CN"/>
              </w:rPr>
            </w:pPr>
            <w:r>
              <w:rPr>
                <w:rFonts w:hint="default"/>
                <w:color w:val="auto"/>
                <w:sz w:val="24"/>
                <w:szCs w:val="24"/>
                <w:lang w:eastAsia="zh-CN"/>
              </w:rPr>
              <w:t>表</w:t>
            </w:r>
            <w:r>
              <w:rPr>
                <w:rFonts w:hint="default"/>
                <w:color w:val="auto"/>
                <w:sz w:val="24"/>
                <w:szCs w:val="24"/>
                <w:lang w:val="en-US" w:eastAsia="zh-CN"/>
              </w:rPr>
              <w:t>4.</w:t>
            </w:r>
            <w:r>
              <w:rPr>
                <w:rFonts w:hint="eastAsia"/>
                <w:color w:val="auto"/>
                <w:sz w:val="24"/>
                <w:szCs w:val="24"/>
                <w:lang w:val="en-US" w:eastAsia="zh-CN"/>
              </w:rPr>
              <w:t xml:space="preserve">4-3 </w:t>
            </w:r>
            <w:r>
              <w:rPr>
                <w:rFonts w:hint="default"/>
                <w:color w:val="auto"/>
                <w:sz w:val="24"/>
                <w:szCs w:val="24"/>
                <w:lang w:val="en-US" w:eastAsia="zh-CN"/>
              </w:rPr>
              <w:t>项目</w:t>
            </w:r>
            <w:r>
              <w:rPr>
                <w:rFonts w:hint="eastAsia"/>
                <w:color w:val="auto"/>
                <w:sz w:val="24"/>
                <w:szCs w:val="24"/>
                <w:lang w:val="en-US" w:eastAsia="zh-CN"/>
              </w:rPr>
              <w:t>噪声</w:t>
            </w:r>
            <w:r>
              <w:rPr>
                <w:rFonts w:hint="default"/>
                <w:color w:val="auto"/>
                <w:sz w:val="24"/>
                <w:szCs w:val="24"/>
              </w:rPr>
              <w:t>自行监测计划</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393"/>
              <w:gridCol w:w="2021"/>
              <w:gridCol w:w="2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pPr>
                    <w:pStyle w:val="31"/>
                    <w:bidi w:val="0"/>
                    <w:rPr>
                      <w:rFonts w:hint="default"/>
                      <w:color w:val="auto"/>
                      <w:lang w:eastAsia="zh-CN"/>
                    </w:rPr>
                  </w:pPr>
                  <w:r>
                    <w:rPr>
                      <w:rFonts w:hint="default"/>
                      <w:color w:val="auto"/>
                      <w:lang w:eastAsia="zh-CN"/>
                    </w:rPr>
                    <w:t>序号</w:t>
                  </w:r>
                </w:p>
              </w:tc>
              <w:tc>
                <w:tcPr>
                  <w:tcW w:w="1511" w:type="pct"/>
                  <w:tcBorders>
                    <w:tl2br w:val="nil"/>
                    <w:tr2bl w:val="nil"/>
                  </w:tcBorders>
                  <w:noWrap w:val="0"/>
                  <w:vAlign w:val="center"/>
                </w:tcPr>
                <w:p>
                  <w:pPr>
                    <w:pStyle w:val="31"/>
                    <w:bidi w:val="0"/>
                    <w:rPr>
                      <w:rFonts w:hint="default"/>
                      <w:color w:val="auto"/>
                      <w:lang w:eastAsia="zh-CN"/>
                    </w:rPr>
                  </w:pPr>
                  <w:r>
                    <w:rPr>
                      <w:rFonts w:hint="default"/>
                      <w:color w:val="auto"/>
                      <w:lang w:eastAsia="zh-CN"/>
                    </w:rPr>
                    <w:t>监测点位</w:t>
                  </w:r>
                </w:p>
              </w:tc>
              <w:tc>
                <w:tcPr>
                  <w:tcW w:w="1276" w:type="pct"/>
                  <w:tcBorders>
                    <w:tl2br w:val="nil"/>
                    <w:tr2bl w:val="nil"/>
                  </w:tcBorders>
                  <w:noWrap w:val="0"/>
                  <w:vAlign w:val="center"/>
                </w:tcPr>
                <w:p>
                  <w:pPr>
                    <w:pStyle w:val="31"/>
                    <w:bidi w:val="0"/>
                    <w:rPr>
                      <w:rFonts w:hint="default"/>
                      <w:color w:val="auto"/>
                      <w:lang w:eastAsia="zh-CN"/>
                    </w:rPr>
                  </w:pPr>
                  <w:r>
                    <w:rPr>
                      <w:rFonts w:hint="default"/>
                      <w:color w:val="auto"/>
                      <w:lang w:eastAsia="zh-CN"/>
                    </w:rPr>
                    <w:t>监测因子</w:t>
                  </w:r>
                </w:p>
              </w:tc>
              <w:tc>
                <w:tcPr>
                  <w:tcW w:w="1705" w:type="pct"/>
                  <w:tcBorders>
                    <w:tl2br w:val="nil"/>
                    <w:tr2bl w:val="nil"/>
                  </w:tcBorders>
                  <w:noWrap w:val="0"/>
                  <w:vAlign w:val="center"/>
                </w:tcPr>
                <w:p>
                  <w:pPr>
                    <w:pStyle w:val="31"/>
                    <w:bidi w:val="0"/>
                    <w:rPr>
                      <w:rFonts w:hint="default"/>
                      <w:color w:val="auto"/>
                      <w:lang w:eastAsia="zh-CN"/>
                    </w:rPr>
                  </w:pPr>
                  <w:r>
                    <w:rPr>
                      <w:rFonts w:hint="eastAsia"/>
                      <w:color w:val="auto"/>
                      <w:lang w:eastAsia="zh-CN"/>
                    </w:rPr>
                    <w:t>监测</w:t>
                  </w:r>
                  <w:r>
                    <w:rPr>
                      <w:rFonts w:hint="default"/>
                      <w:color w:val="auto"/>
                      <w:lang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1</w:t>
                  </w:r>
                </w:p>
              </w:tc>
              <w:tc>
                <w:tcPr>
                  <w:tcW w:w="1511"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厂界四周</w:t>
                  </w:r>
                </w:p>
              </w:tc>
              <w:tc>
                <w:tcPr>
                  <w:tcW w:w="1276" w:type="pct"/>
                  <w:tcBorders>
                    <w:tl2br w:val="nil"/>
                    <w:tr2bl w:val="nil"/>
                  </w:tcBorders>
                  <w:noWrap w:val="0"/>
                  <w:vAlign w:val="center"/>
                </w:tcPr>
                <w:p>
                  <w:pPr>
                    <w:pStyle w:val="31"/>
                    <w:bidi w:val="0"/>
                    <w:rPr>
                      <w:rFonts w:hint="default"/>
                      <w:color w:val="auto"/>
                      <w:lang w:val="en-US" w:eastAsia="zh-CN"/>
                    </w:rPr>
                  </w:pPr>
                  <w:r>
                    <w:rPr>
                      <w:rFonts w:hint="eastAsia"/>
                      <w:color w:val="auto"/>
                      <w:lang w:eastAsia="zh-CN"/>
                    </w:rPr>
                    <w:t>等效</w:t>
                  </w:r>
                  <w:r>
                    <w:rPr>
                      <w:rFonts w:hint="eastAsia"/>
                      <w:color w:val="auto"/>
                      <w:lang w:val="en-US" w:eastAsia="zh-CN"/>
                    </w:rPr>
                    <w:t>A声级</w:t>
                  </w:r>
                </w:p>
              </w:tc>
              <w:tc>
                <w:tcPr>
                  <w:tcW w:w="1705" w:type="pc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1天/季度、1次/天</w:t>
                  </w:r>
                  <w:r>
                    <w:rPr>
                      <w:rFonts w:hint="eastAsia"/>
                      <w:color w:val="auto"/>
                      <w:lang w:val="en-US" w:eastAsia="zh-CN"/>
                    </w:rPr>
                    <w:t>（</w:t>
                  </w:r>
                  <w:r>
                    <w:rPr>
                      <w:rFonts w:hint="default"/>
                      <w:color w:val="auto"/>
                      <w:lang w:val="en-US" w:eastAsia="zh-CN"/>
                    </w:rPr>
                    <w:t>昼间</w:t>
                  </w:r>
                  <w:r>
                    <w:rPr>
                      <w:rFonts w:hint="eastAsia"/>
                      <w:color w:val="auto"/>
                      <w:lang w:val="en-US" w:eastAsia="zh-CN"/>
                    </w:rPr>
                    <w:t>）</w:t>
                  </w:r>
                </w:p>
              </w:tc>
            </w:tr>
          </w:tbl>
          <w:p>
            <w:pPr>
              <w:pStyle w:val="3"/>
              <w:bidi w:val="0"/>
              <w:rPr>
                <w:rFonts w:hint="default"/>
                <w:color w:val="auto"/>
              </w:rPr>
            </w:pPr>
            <w:r>
              <w:rPr>
                <w:rFonts w:hint="default"/>
                <w:color w:val="auto"/>
              </w:rPr>
              <w:t>4.</w:t>
            </w:r>
            <w:r>
              <w:rPr>
                <w:rFonts w:hint="eastAsia"/>
                <w:color w:val="auto"/>
                <w:lang w:val="en-US" w:eastAsia="zh-CN"/>
              </w:rPr>
              <w:t>5</w:t>
            </w:r>
            <w:r>
              <w:rPr>
                <w:rFonts w:hint="default"/>
                <w:color w:val="auto"/>
              </w:rPr>
              <w:t>运营期固体废物影响分析和污染防治措施</w:t>
            </w:r>
          </w:p>
          <w:p>
            <w:pPr>
              <w:pStyle w:val="4"/>
              <w:bidi w:val="0"/>
              <w:rPr>
                <w:rFonts w:hint="default"/>
                <w:color w:val="auto"/>
              </w:rPr>
            </w:pPr>
            <w:r>
              <w:rPr>
                <w:rFonts w:hint="default"/>
                <w:color w:val="auto"/>
              </w:rPr>
              <w:t>4.</w:t>
            </w:r>
            <w:r>
              <w:rPr>
                <w:rFonts w:hint="eastAsia"/>
                <w:color w:val="auto"/>
                <w:lang w:val="en-US" w:eastAsia="zh-CN"/>
              </w:rPr>
              <w:t>5</w:t>
            </w:r>
            <w:r>
              <w:rPr>
                <w:rFonts w:hint="default"/>
                <w:color w:val="auto"/>
              </w:rPr>
              <w:t>.1 运营期固废物源强核算</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default"/>
                <w:b/>
                <w:bCs/>
                <w:color w:val="auto"/>
                <w:lang w:eastAsia="zh-CN"/>
              </w:rPr>
              <w:t>一般工业固废</w:t>
            </w:r>
          </w:p>
          <w:p>
            <w:pPr>
              <w:bidi w:val="0"/>
              <w:rPr>
                <w:rFonts w:hint="eastAsia"/>
                <w:color w:val="auto"/>
                <w:lang w:eastAsia="zh-CN"/>
              </w:rPr>
            </w:pPr>
            <w:r>
              <w:rPr>
                <w:rFonts w:hint="eastAsia"/>
                <w:color w:val="auto"/>
                <w:lang w:eastAsia="zh-CN"/>
              </w:rPr>
              <w:t>①废混凝土</w:t>
            </w:r>
          </w:p>
          <w:p>
            <w:pPr>
              <w:bidi w:val="0"/>
              <w:rPr>
                <w:rFonts w:hint="eastAsia"/>
                <w:color w:val="auto"/>
              </w:rPr>
            </w:pPr>
            <w:r>
              <w:rPr>
                <w:rFonts w:hint="eastAsia"/>
                <w:color w:val="auto"/>
                <w:lang w:eastAsia="zh-CN"/>
              </w:rPr>
              <w:t>项目模具清理、浇灌布料、搅拌过程中将</w:t>
            </w:r>
            <w:r>
              <w:rPr>
                <w:rFonts w:hint="eastAsia"/>
                <w:color w:val="auto"/>
              </w:rPr>
              <w:t>产生少量</w:t>
            </w:r>
            <w:r>
              <w:rPr>
                <w:rFonts w:hint="eastAsia"/>
                <w:color w:val="auto"/>
                <w:lang w:eastAsia="zh-CN"/>
              </w:rPr>
              <w:t>废</w:t>
            </w:r>
            <w:r>
              <w:rPr>
                <w:rFonts w:hint="eastAsia"/>
                <w:color w:val="auto"/>
              </w:rPr>
              <w:t>混凝土，</w:t>
            </w:r>
            <w:r>
              <w:rPr>
                <w:rFonts w:hint="eastAsia"/>
                <w:color w:val="auto"/>
                <w:lang w:val="en-US" w:eastAsia="zh-CN"/>
              </w:rPr>
              <w:t>根据建设单位提供资料，</w:t>
            </w:r>
            <w:r>
              <w:rPr>
                <w:rFonts w:hint="eastAsia"/>
                <w:color w:val="auto"/>
              </w:rPr>
              <w:t>产生量约为</w:t>
            </w:r>
            <w:r>
              <w:rPr>
                <w:rFonts w:hint="eastAsia"/>
                <w:color w:val="auto"/>
                <w:lang w:eastAsia="zh-CN"/>
              </w:rPr>
              <w:t>预拌混凝土量的</w:t>
            </w:r>
            <w:r>
              <w:rPr>
                <w:rFonts w:hint="eastAsia"/>
                <w:color w:val="auto"/>
                <w:lang w:val="en-US" w:eastAsia="zh-CN"/>
              </w:rPr>
              <w:t>0.5%，项目</w:t>
            </w:r>
            <w:r>
              <w:rPr>
                <w:rFonts w:hint="eastAsia"/>
                <w:color w:val="auto"/>
                <w:lang w:eastAsia="zh-CN"/>
              </w:rPr>
              <w:t>预</w:t>
            </w:r>
            <w:r>
              <w:rPr>
                <w:rFonts w:hint="eastAsia"/>
                <w:color w:val="auto"/>
                <w:lang w:val="en-US" w:eastAsia="zh-CN"/>
              </w:rPr>
              <w:t>拌混凝土量约为230万t/a（含外售商砼和预制砼结构件用量），则项目废混凝土产生量约为11500/a，经及时收集后回用于生产</w:t>
            </w:r>
            <w:r>
              <w:rPr>
                <w:rFonts w:hint="eastAsia"/>
                <w:color w:val="auto"/>
              </w:rPr>
              <w:t>。对照《固体废物分类与代码目录》（公告2024年第4号），废混凝土一般工业固废代码为</w:t>
            </w:r>
            <w:r>
              <w:rPr>
                <w:rFonts w:hint="eastAsia"/>
                <w:color w:val="auto"/>
                <w:lang w:val="en-US" w:eastAsia="zh-CN"/>
              </w:rPr>
              <w:t>900-099-S17</w:t>
            </w:r>
            <w:r>
              <w:rPr>
                <w:rFonts w:hint="eastAsia"/>
                <w:color w:val="auto"/>
              </w:rPr>
              <w:t>。</w:t>
            </w:r>
          </w:p>
          <w:p>
            <w:pPr>
              <w:bidi w:val="0"/>
              <w:rPr>
                <w:rFonts w:hint="eastAsia"/>
                <w:color w:val="auto"/>
                <w:lang w:val="en-US" w:eastAsia="zh-CN"/>
              </w:rPr>
            </w:pPr>
            <w:r>
              <w:rPr>
                <w:rFonts w:hint="eastAsia"/>
                <w:color w:val="auto"/>
                <w:lang w:val="en-US" w:eastAsia="zh-CN"/>
              </w:rPr>
              <w:t>②废钢材</w:t>
            </w:r>
          </w:p>
          <w:p>
            <w:pPr>
              <w:bidi w:val="0"/>
              <w:rPr>
                <w:rFonts w:hint="eastAsia"/>
                <w:color w:val="auto"/>
              </w:rPr>
            </w:pPr>
            <w:r>
              <w:rPr>
                <w:rFonts w:hint="eastAsia"/>
                <w:color w:val="auto"/>
              </w:rPr>
              <w:t>项目</w:t>
            </w:r>
            <w:r>
              <w:rPr>
                <w:rFonts w:hint="eastAsia"/>
                <w:color w:val="auto"/>
                <w:lang w:eastAsia="zh-CN"/>
              </w:rPr>
              <w:t>钢筋笼制作、开模放张的切断切割过程会产生废钢材，</w:t>
            </w:r>
            <w:r>
              <w:rPr>
                <w:rFonts w:hint="eastAsia"/>
                <w:color w:val="auto"/>
              </w:rPr>
              <w:t>产生率约为钢材的</w:t>
            </w:r>
            <w:r>
              <w:rPr>
                <w:rFonts w:hint="eastAsia"/>
                <w:color w:val="auto"/>
                <w:lang w:val="en-US" w:eastAsia="zh-CN"/>
              </w:rPr>
              <w:t>0.5</w:t>
            </w:r>
            <w:r>
              <w:rPr>
                <w:rFonts w:hint="eastAsia"/>
                <w:color w:val="auto"/>
              </w:rPr>
              <w:t>%，项目钢材（</w:t>
            </w:r>
            <w:r>
              <w:rPr>
                <w:rFonts w:hint="eastAsia"/>
                <w:color w:val="auto"/>
                <w:lang w:eastAsia="zh-CN"/>
              </w:rPr>
              <w:t>钢棒、</w:t>
            </w:r>
            <w:r>
              <w:rPr>
                <w:rFonts w:hint="eastAsia"/>
                <w:color w:val="auto"/>
                <w:lang w:val="en-US" w:eastAsia="zh-CN"/>
              </w:rPr>
              <w:t>钢筋</w:t>
            </w:r>
            <w:r>
              <w:rPr>
                <w:rFonts w:hint="eastAsia"/>
                <w:color w:val="auto"/>
                <w:lang w:eastAsia="zh-CN"/>
              </w:rPr>
              <w:t>、</w:t>
            </w:r>
            <w:r>
              <w:rPr>
                <w:rFonts w:hint="eastAsia"/>
                <w:color w:val="auto"/>
                <w:lang w:val="en-US" w:eastAsia="zh-CN"/>
              </w:rPr>
              <w:t>螺旋筋</w:t>
            </w:r>
            <w:r>
              <w:rPr>
                <w:rFonts w:hint="eastAsia"/>
                <w:color w:val="auto"/>
              </w:rPr>
              <w:t>）总用量约为</w:t>
            </w:r>
            <w:r>
              <w:rPr>
                <w:rFonts w:hint="eastAsia"/>
                <w:color w:val="auto"/>
                <w:lang w:val="en-US" w:eastAsia="zh-CN"/>
              </w:rPr>
              <w:t>7万</w:t>
            </w:r>
            <w:r>
              <w:rPr>
                <w:rFonts w:hint="eastAsia"/>
                <w:color w:val="auto"/>
              </w:rPr>
              <w:t>t/a，则</w:t>
            </w:r>
            <w:r>
              <w:rPr>
                <w:rFonts w:hint="eastAsia"/>
                <w:color w:val="auto"/>
                <w:lang w:eastAsia="zh-CN"/>
              </w:rPr>
              <w:t>钢材边角料</w:t>
            </w:r>
            <w:r>
              <w:rPr>
                <w:rFonts w:hint="eastAsia"/>
                <w:color w:val="auto"/>
              </w:rPr>
              <w:t>产生量约为</w:t>
            </w:r>
            <w:r>
              <w:rPr>
                <w:rFonts w:hint="eastAsia"/>
                <w:color w:val="auto"/>
                <w:lang w:val="en-US" w:eastAsia="zh-CN"/>
              </w:rPr>
              <w:t>350</w:t>
            </w:r>
            <w:r>
              <w:rPr>
                <w:rFonts w:hint="eastAsia"/>
                <w:color w:val="auto"/>
              </w:rPr>
              <w:t>t/a，经收集后在一般固废暂存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。对照《固体废物分类与代码目录》（公告2024年第4号），钢材边角料一般工业固废代码为</w:t>
            </w:r>
            <w:r>
              <w:rPr>
                <w:rFonts w:hint="eastAsia"/>
                <w:color w:val="auto"/>
                <w:lang w:val="en-US" w:eastAsia="zh-CN"/>
              </w:rPr>
              <w:t>900-001-S17</w:t>
            </w:r>
            <w:r>
              <w:rPr>
                <w:rFonts w:hint="eastAsia"/>
                <w:color w:val="auto"/>
              </w:rPr>
              <w:t>。</w:t>
            </w:r>
          </w:p>
          <w:p>
            <w:pPr>
              <w:bidi w:val="0"/>
              <w:rPr>
                <w:rFonts w:hint="eastAsia"/>
                <w:color w:val="auto"/>
                <w:lang w:val="en-US" w:eastAsia="zh-CN"/>
              </w:rPr>
            </w:pPr>
            <w:r>
              <w:rPr>
                <w:rFonts w:hint="eastAsia"/>
                <w:color w:val="auto"/>
                <w:lang w:val="en-US" w:eastAsia="zh-CN"/>
              </w:rPr>
              <w:t>③焊渣</w:t>
            </w:r>
          </w:p>
          <w:p>
            <w:pPr>
              <w:bidi w:val="0"/>
              <w:rPr>
                <w:rFonts w:hint="eastAsia" w:ascii="Times New Roman" w:hAnsi="Times New Roman" w:eastAsia="宋体" w:cs="Times New Roman"/>
                <w:color w:val="auto"/>
                <w:spacing w:val="0"/>
                <w:szCs w:val="24"/>
                <w:highlight w:val="green"/>
                <w:lang w:val="en-US" w:eastAsia="zh-CN"/>
              </w:rPr>
            </w:pPr>
            <w:r>
              <w:rPr>
                <w:rFonts w:hint="eastAsia"/>
                <w:color w:val="auto"/>
                <w:lang w:val="en-US" w:eastAsia="zh-CN"/>
              </w:rPr>
              <w:t>项目钢筋笼制作焊接使用无铅焊条，焊接过程将产生少量的焊渣，根据《机加工行业环境影响评价中常见污染物源强估算及污染治理》（许海萍等，《湖北大学学报（自然科学版），2010年9月第32卷第3期》），焊渣=焊条使用量×（1/11+4%）。项目无铅焊条用量约0.12t/a，则项目焊渣的产生量为0.0157t/a，经收集后在一般固废暂存间内分类暂存，交由合规物资回收单位回收利用。对照《固体废物分类与代码目录》（公告2024年第4号），焊渣一般工业固废代码为900-099-S59。</w:t>
            </w:r>
          </w:p>
          <w:p>
            <w:pPr>
              <w:shd w:val="clear" w:fill="FFFFFF" w:themeFill="background1"/>
              <w:bidi w:val="0"/>
              <w:rPr>
                <w:rFonts w:hint="eastAsia"/>
                <w:color w:val="auto"/>
                <w:highlight w:val="none"/>
                <w:lang w:val="en-US" w:eastAsia="zh-CN"/>
              </w:rPr>
            </w:pPr>
            <w:r>
              <w:rPr>
                <w:rFonts w:hint="eastAsia"/>
                <w:color w:val="auto"/>
                <w:highlight w:val="none"/>
                <w:lang w:val="en-US" w:eastAsia="zh-CN"/>
              </w:rPr>
              <w:t>④不合格品</w:t>
            </w:r>
          </w:p>
          <w:p>
            <w:pPr>
              <w:shd w:val="clear" w:fill="FFFFFF" w:themeFill="background1"/>
              <w:bidi w:val="0"/>
              <w:rPr>
                <w:rFonts w:hint="eastAsia" w:ascii="Times New Roman" w:hAnsi="Times New Roman" w:eastAsia="宋体" w:cs="Times New Roman"/>
                <w:color w:val="auto"/>
                <w:spacing w:val="0"/>
                <w:szCs w:val="24"/>
                <w:highlight w:val="none"/>
                <w:lang w:val="en-US" w:eastAsia="zh-CN"/>
              </w:rPr>
            </w:pPr>
            <w:r>
              <w:rPr>
                <w:rFonts w:hint="eastAsia"/>
                <w:color w:val="auto"/>
                <w:highlight w:val="none"/>
                <w:lang w:val="en-US" w:eastAsia="zh-CN"/>
              </w:rPr>
              <w:t>项目产品实验检验将产生一定量的不合格品，根据物料平衡，不合格品产生量约为13244.705t/a，约占总产品的0.5%，经收集后在一般固废暂存间内分类暂存，交由合规物资回收单位回收利用。对照《固体废物分类与代码目录》（公告2024年第4号），不合格品一般工业固废代码为900-099-S17。</w:t>
            </w:r>
          </w:p>
          <w:p>
            <w:pPr>
              <w:bidi w:val="0"/>
              <w:rPr>
                <w:rFonts w:hint="eastAsia"/>
                <w:color w:val="auto"/>
                <w:lang w:val="en-US" w:eastAsia="zh-CN"/>
              </w:rPr>
            </w:pPr>
            <w:r>
              <w:rPr>
                <w:rFonts w:hint="eastAsia"/>
                <w:color w:val="auto"/>
                <w:lang w:val="en-US" w:eastAsia="zh-CN"/>
              </w:rPr>
              <w:t>⑤废包装材料</w:t>
            </w:r>
          </w:p>
          <w:p>
            <w:pPr>
              <w:bidi w:val="0"/>
              <w:rPr>
                <w:rFonts w:hint="eastAsia"/>
                <w:color w:val="auto"/>
                <w:lang w:val="en-US" w:eastAsia="zh-CN"/>
              </w:rPr>
            </w:pPr>
            <w:r>
              <w:rPr>
                <w:rFonts w:hint="eastAsia"/>
                <w:color w:val="auto"/>
                <w:lang w:val="en-US" w:eastAsia="zh-CN"/>
              </w:rPr>
              <w:t>项目一般原辅材料（钢材、外加剂等）使用，会产生废包装材料，主要为纸箱、塑料袋、塑料桶等，根据建设单位提供资料，废包装材料产生量约为3t/a，属于一般工业固废，</w:t>
            </w:r>
            <w:r>
              <w:rPr>
                <w:rFonts w:hint="eastAsia"/>
                <w:color w:val="auto"/>
              </w:rPr>
              <w:t>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w:t>
            </w:r>
            <w:r>
              <w:rPr>
                <w:rFonts w:hint="eastAsia"/>
                <w:color w:val="auto"/>
                <w:lang w:val="en-US" w:eastAsia="zh-CN"/>
              </w:rPr>
              <w:t>对照《固体废物分类与代码目录》（公告2024年第4号），废样一般工业固废代码为900-003-S17。</w:t>
            </w:r>
          </w:p>
          <w:p>
            <w:pPr>
              <w:bidi w:val="0"/>
              <w:rPr>
                <w:rFonts w:hint="eastAsia"/>
                <w:color w:val="auto"/>
                <w:lang w:val="en-US" w:eastAsia="zh-CN"/>
              </w:rPr>
            </w:pPr>
            <w:r>
              <w:rPr>
                <w:rFonts w:hint="eastAsia"/>
                <w:color w:val="auto"/>
                <w:lang w:val="en-US" w:eastAsia="zh-CN"/>
              </w:rPr>
              <w:t>⑥工艺收集尘</w:t>
            </w:r>
          </w:p>
          <w:p>
            <w:pPr>
              <w:bidi w:val="0"/>
              <w:rPr>
                <w:rFonts w:hint="eastAsia"/>
                <w:color w:val="auto"/>
              </w:rPr>
            </w:pPr>
            <w:r>
              <w:rPr>
                <w:rFonts w:hint="eastAsia"/>
                <w:color w:val="auto"/>
              </w:rPr>
              <w:t>项目</w:t>
            </w:r>
            <w:r>
              <w:rPr>
                <w:rFonts w:hint="eastAsia"/>
                <w:color w:val="auto"/>
                <w:lang w:eastAsia="zh-CN"/>
              </w:rPr>
              <w:t>粉料仓</w:t>
            </w:r>
            <w:r>
              <w:rPr>
                <w:rFonts w:hint="eastAsia"/>
                <w:color w:val="auto"/>
              </w:rPr>
              <w:t>呼吸尘配套袋式除尘器进行收集除尘</w:t>
            </w:r>
            <w:r>
              <w:rPr>
                <w:rFonts w:hint="eastAsia"/>
                <w:color w:val="auto"/>
                <w:lang w:eastAsia="zh-CN"/>
              </w:rPr>
              <w:t>，</w:t>
            </w:r>
            <w:r>
              <w:rPr>
                <w:rFonts w:hint="eastAsia"/>
                <w:color w:val="auto"/>
              </w:rPr>
              <w:t>根据工程分析，</w:t>
            </w:r>
            <w:r>
              <w:rPr>
                <w:rFonts w:hint="eastAsia"/>
                <w:color w:val="auto"/>
                <w:lang w:eastAsia="zh-CN"/>
              </w:rPr>
              <w:t>粉料仓</w:t>
            </w:r>
            <w:r>
              <w:rPr>
                <w:rFonts w:hint="eastAsia"/>
                <w:color w:val="auto"/>
              </w:rPr>
              <w:t>呼吸尘</w:t>
            </w:r>
            <w:r>
              <w:rPr>
                <w:rFonts w:hint="eastAsia"/>
                <w:color w:val="auto"/>
                <w:lang w:val="en-US" w:eastAsia="zh-CN"/>
              </w:rPr>
              <w:t>收集到的有组织</w:t>
            </w:r>
            <w:r>
              <w:rPr>
                <w:rFonts w:hint="eastAsia"/>
                <w:color w:val="auto"/>
              </w:rPr>
              <w:t>粉尘量</w:t>
            </w:r>
            <w:r>
              <w:rPr>
                <w:rFonts w:hint="eastAsia"/>
                <w:color w:val="auto"/>
                <w:lang w:val="en-US" w:eastAsia="zh-CN"/>
              </w:rPr>
              <w:t>合计</w:t>
            </w:r>
            <w:r>
              <w:rPr>
                <w:rFonts w:hint="eastAsia"/>
                <w:color w:val="auto"/>
              </w:rPr>
              <w:t>约为</w:t>
            </w:r>
            <w:r>
              <w:rPr>
                <w:rFonts w:hint="eastAsia"/>
                <w:color w:val="auto"/>
                <w:lang w:val="en-US" w:eastAsia="zh-CN"/>
              </w:rPr>
              <w:t>57.555</w:t>
            </w:r>
            <w:r>
              <w:rPr>
                <w:rFonts w:hint="eastAsia"/>
                <w:color w:val="auto"/>
              </w:rPr>
              <w:t>t/a，经收集后全部回用于生产。对照《固体废物分类与代码目录》（公告2024年第4号），</w:t>
            </w:r>
            <w:r>
              <w:rPr>
                <w:rFonts w:hint="eastAsia"/>
                <w:color w:val="auto"/>
                <w:lang w:val="en-US" w:eastAsia="zh-CN"/>
              </w:rPr>
              <w:t>工艺收集尘</w:t>
            </w:r>
            <w:r>
              <w:rPr>
                <w:rFonts w:hint="eastAsia"/>
                <w:color w:val="auto"/>
              </w:rPr>
              <w:t>一般工业固废代码为</w:t>
            </w:r>
            <w:r>
              <w:rPr>
                <w:rFonts w:hint="eastAsia"/>
                <w:color w:val="auto"/>
                <w:lang w:val="en-US" w:eastAsia="zh-CN"/>
              </w:rPr>
              <w:t>900-099-S17</w:t>
            </w:r>
            <w:r>
              <w:rPr>
                <w:rFonts w:hint="eastAsia"/>
                <w:color w:val="auto"/>
              </w:rPr>
              <w:t>。</w:t>
            </w:r>
          </w:p>
          <w:p>
            <w:pPr>
              <w:bidi w:val="0"/>
              <w:rPr>
                <w:rFonts w:hint="eastAsia"/>
                <w:color w:val="auto"/>
                <w:lang w:eastAsia="zh-CN"/>
              </w:rPr>
            </w:pPr>
            <w:r>
              <w:rPr>
                <w:rFonts w:hint="eastAsia"/>
                <w:color w:val="auto"/>
                <w:lang w:val="en-US" w:eastAsia="zh-CN"/>
              </w:rPr>
              <w:t>⑦</w:t>
            </w:r>
            <w:r>
              <w:rPr>
                <w:rFonts w:hint="eastAsia"/>
                <w:color w:val="auto"/>
                <w:lang w:eastAsia="zh-CN"/>
              </w:rPr>
              <w:t>废水处理沉渣</w:t>
            </w:r>
          </w:p>
          <w:p>
            <w:pPr>
              <w:bidi w:val="0"/>
              <w:rPr>
                <w:rFonts w:hint="eastAsia"/>
                <w:color w:val="auto"/>
              </w:rPr>
            </w:pPr>
            <w:r>
              <w:rPr>
                <w:rFonts w:hint="eastAsia"/>
                <w:color w:val="auto"/>
              </w:rPr>
              <w:t>根据前文分析，沉渣是项目生产废水（</w:t>
            </w:r>
            <w:r>
              <w:rPr>
                <w:rFonts w:hint="eastAsia"/>
                <w:color w:val="auto"/>
                <w:lang w:eastAsia="zh-CN"/>
              </w:rPr>
              <w:t>设备清洗废水、地面冲洗废水、</w:t>
            </w:r>
            <w:r>
              <w:rPr>
                <w:rFonts w:hint="eastAsia"/>
                <w:color w:val="auto"/>
              </w:rPr>
              <w:t>洗车废水</w:t>
            </w:r>
            <w:r>
              <w:rPr>
                <w:rFonts w:hint="eastAsia"/>
                <w:color w:val="auto"/>
                <w:lang w:eastAsia="zh-CN"/>
              </w:rPr>
              <w:t>、试验清洗废水</w:t>
            </w:r>
            <w:r>
              <w:rPr>
                <w:rFonts w:hint="eastAsia"/>
                <w:color w:val="auto"/>
              </w:rPr>
              <w:t>）及收集</w:t>
            </w:r>
            <w:r>
              <w:rPr>
                <w:rFonts w:hint="eastAsia"/>
                <w:color w:val="auto"/>
                <w:lang w:eastAsia="zh-CN"/>
              </w:rPr>
              <w:t>初期</w:t>
            </w:r>
            <w:r>
              <w:rPr>
                <w:rFonts w:hint="eastAsia"/>
                <w:color w:val="auto"/>
              </w:rPr>
              <w:t>雨水经沉淀</w:t>
            </w:r>
            <w:r>
              <w:rPr>
                <w:rFonts w:hint="eastAsia"/>
                <w:color w:val="auto"/>
                <w:lang w:eastAsia="zh-CN"/>
              </w:rPr>
              <w:t>处理</w:t>
            </w:r>
            <w:r>
              <w:rPr>
                <w:rFonts w:hint="eastAsia"/>
                <w:color w:val="auto"/>
              </w:rPr>
              <w:t>产生的沉渣，主要成分为泥砂、水泥、碎石等，不含有毒有害物质，无腐蚀性、反应性。</w:t>
            </w:r>
            <w:r>
              <w:rPr>
                <w:rFonts w:hint="eastAsia"/>
                <w:color w:val="auto"/>
                <w:lang w:val="en-US" w:eastAsia="zh-CN"/>
              </w:rPr>
              <w:t>根据建设单位提供资料，项目生产废水和收集初期雨水主要污染物为SS，浓度大约2000mg/L，废水及初期雨水（按120d/a降雨计）总量约为36784.14t/a，沉淀池对SS的处理效率可达90%，沉渣经压滤后含水率约为60%，则项目沉渣产生量约为165.53t/a，经</w:t>
            </w:r>
            <w:r>
              <w:rPr>
                <w:rFonts w:hint="eastAsia" w:ascii="Times New Roman" w:hAnsi="Times New Roman" w:eastAsia="宋体" w:cs="Times New Roman"/>
                <w:color w:val="auto"/>
                <w:lang w:val="en-US" w:eastAsia="zh-CN"/>
              </w:rPr>
              <w:t>砂石分离机、压滤机分别处理后，</w:t>
            </w:r>
            <w:r>
              <w:rPr>
                <w:rFonts w:hint="eastAsia"/>
                <w:color w:val="auto"/>
                <w:lang w:val="en-US" w:eastAsia="zh-CN"/>
              </w:rPr>
              <w:t>回用于生产。</w:t>
            </w:r>
            <w:r>
              <w:rPr>
                <w:rFonts w:hint="eastAsia"/>
                <w:color w:val="auto"/>
              </w:rPr>
              <w:t>对照《固体废物分类与代码目录》（公告2024年第4号），废水处理设施沉渣一般工业固废代码为</w:t>
            </w:r>
            <w:r>
              <w:rPr>
                <w:rFonts w:hint="eastAsia"/>
                <w:color w:val="auto"/>
                <w:lang w:val="en-US" w:eastAsia="zh-CN"/>
              </w:rPr>
              <w:t>900-099-S17</w:t>
            </w:r>
            <w:r>
              <w:rPr>
                <w:rFonts w:hint="eastAsia"/>
                <w:color w:val="auto"/>
              </w:rPr>
              <w:t>。</w:t>
            </w:r>
          </w:p>
          <w:p>
            <w:pPr>
              <w:bidi w:val="0"/>
              <w:rPr>
                <w:rFonts w:hint="eastAsia"/>
                <w:color w:val="auto"/>
                <w:lang w:val="en-US" w:eastAsia="zh-CN"/>
              </w:rPr>
            </w:pPr>
            <w:r>
              <w:rPr>
                <w:rFonts w:hint="eastAsia"/>
                <w:color w:val="auto"/>
                <w:lang w:val="en-US" w:eastAsia="zh-CN"/>
              </w:rPr>
              <w:t>⑧化粪池及一体化污水处理设施污泥</w:t>
            </w:r>
          </w:p>
          <w:p>
            <w:pPr>
              <w:spacing w:line="360" w:lineRule="auto"/>
              <w:ind w:firstLine="480" w:firstLineChars="200"/>
              <w:rPr>
                <w:color w:val="auto"/>
                <w:sz w:val="24"/>
              </w:rPr>
            </w:pPr>
            <w:r>
              <w:rPr>
                <w:rFonts w:hint="eastAsia"/>
                <w:color w:val="auto"/>
                <w:sz w:val="24"/>
              </w:rPr>
              <w:t>项目自建污水处理设备产生污泥，根据项目生活污水产排情况，污水污泥产生量以每万吨水产生3吨污泥计算，本项目污水处理设备产生污泥量约为</w:t>
            </w:r>
            <w:r>
              <w:rPr>
                <w:rFonts w:hint="eastAsia"/>
                <w:color w:val="auto"/>
                <w:sz w:val="24"/>
                <w:lang w:val="en-US" w:eastAsia="zh-CN"/>
              </w:rPr>
              <w:t>1.938</w:t>
            </w:r>
            <w:r>
              <w:rPr>
                <w:color w:val="auto"/>
                <w:sz w:val="24"/>
              </w:rPr>
              <w:t>t/a</w:t>
            </w:r>
            <w:r>
              <w:rPr>
                <w:rFonts w:hint="eastAsia"/>
                <w:color w:val="auto"/>
                <w:sz w:val="24"/>
              </w:rPr>
              <w:t>，污泥</w:t>
            </w:r>
            <w:r>
              <w:rPr>
                <w:rFonts w:hint="eastAsia"/>
                <w:color w:val="auto"/>
                <w:sz w:val="24"/>
                <w:lang w:val="en-US" w:eastAsia="zh-CN"/>
              </w:rPr>
              <w:t>经压滤处理</w:t>
            </w:r>
            <w:r>
              <w:rPr>
                <w:rFonts w:hint="eastAsia"/>
                <w:color w:val="auto"/>
                <w:sz w:val="24"/>
              </w:rPr>
              <w:t>后，暂存于一般固体废物贮存，外售</w:t>
            </w:r>
            <w:r>
              <w:rPr>
                <w:rFonts w:hint="eastAsia"/>
                <w:color w:val="auto"/>
                <w:sz w:val="24"/>
                <w:lang w:val="en-US" w:eastAsia="zh-CN"/>
              </w:rPr>
              <w:t>综合利用</w:t>
            </w:r>
            <w:r>
              <w:rPr>
                <w:rFonts w:hint="eastAsia"/>
                <w:color w:val="auto"/>
                <w:sz w:val="24"/>
              </w:rPr>
              <w:t>。</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default"/>
                <w:b/>
                <w:bCs/>
                <w:color w:val="auto"/>
                <w:lang w:eastAsia="zh-CN"/>
              </w:rPr>
              <w:t>危险废物</w:t>
            </w:r>
          </w:p>
          <w:p>
            <w:pPr>
              <w:bidi w:val="0"/>
              <w:rPr>
                <w:rFonts w:hint="eastAsia"/>
                <w:color w:val="auto"/>
                <w:lang w:val="en-US" w:eastAsia="zh-CN"/>
              </w:rPr>
            </w:pPr>
            <w:r>
              <w:rPr>
                <w:rFonts w:hint="eastAsia"/>
                <w:color w:val="auto"/>
                <w:lang w:val="en-US" w:eastAsia="zh-CN"/>
              </w:rPr>
              <w:t>①废机油、废油桶、含油废抹布及手套</w:t>
            </w:r>
          </w:p>
          <w:p>
            <w:pPr>
              <w:bidi w:val="0"/>
              <w:rPr>
                <w:rFonts w:hint="default"/>
                <w:color w:val="auto"/>
                <w:lang w:val="en-US" w:eastAsia="zh-CN"/>
              </w:rPr>
            </w:pPr>
            <w:r>
              <w:rPr>
                <w:rFonts w:hint="eastAsia"/>
                <w:color w:val="auto"/>
                <w:lang w:val="en-US" w:eastAsia="zh-CN"/>
              </w:rPr>
              <w:t>项目生产过程中产生的危险废物主要机械设备日常维护保养过程中产生的废机油、废油桶。</w:t>
            </w:r>
          </w:p>
          <w:p>
            <w:pPr>
              <w:bidi w:val="0"/>
              <w:rPr>
                <w:rFonts w:hint="eastAsia"/>
                <w:color w:val="auto"/>
              </w:rPr>
            </w:pPr>
            <w:r>
              <w:rPr>
                <w:rFonts w:hint="eastAsia"/>
                <w:color w:val="auto"/>
                <w:lang w:val="en-US" w:eastAsia="zh-CN"/>
              </w:rPr>
              <w:t>根据建设单位提供资料，项目</w:t>
            </w:r>
            <w:r>
              <w:rPr>
                <w:rFonts w:hint="eastAsia"/>
                <w:color w:val="auto"/>
              </w:rPr>
              <w:t>废机油产生量</w:t>
            </w:r>
            <w:r>
              <w:rPr>
                <w:rFonts w:hint="eastAsia"/>
                <w:color w:val="auto"/>
                <w:lang w:val="en-US" w:eastAsia="zh-CN"/>
              </w:rPr>
              <w:t>约</w:t>
            </w:r>
            <w:r>
              <w:rPr>
                <w:rFonts w:hint="eastAsia"/>
                <w:color w:val="auto"/>
              </w:rPr>
              <w:t>为0.</w:t>
            </w:r>
            <w:r>
              <w:rPr>
                <w:rFonts w:hint="eastAsia"/>
                <w:color w:val="auto"/>
                <w:lang w:val="en-US" w:eastAsia="zh-CN"/>
              </w:rPr>
              <w:t>2</w:t>
            </w:r>
            <w:r>
              <w:rPr>
                <w:rFonts w:hint="eastAsia"/>
                <w:color w:val="auto"/>
              </w:rPr>
              <w:t>t/a</w:t>
            </w:r>
            <w:r>
              <w:rPr>
                <w:rFonts w:hint="eastAsia"/>
                <w:color w:val="auto"/>
                <w:lang w:eastAsia="zh-CN"/>
              </w:rPr>
              <w:t>。废油桶</w:t>
            </w:r>
            <w:r>
              <w:rPr>
                <w:rFonts w:hint="eastAsia"/>
                <w:color w:val="auto"/>
              </w:rPr>
              <w:t>产生量</w:t>
            </w:r>
            <w:r>
              <w:rPr>
                <w:rFonts w:hint="eastAsia"/>
                <w:color w:val="auto"/>
                <w:lang w:val="en-US" w:eastAsia="zh-CN"/>
              </w:rPr>
              <w:t>约</w:t>
            </w:r>
            <w:r>
              <w:rPr>
                <w:rFonts w:hint="eastAsia"/>
                <w:color w:val="auto"/>
              </w:rPr>
              <w:t>为0.</w:t>
            </w:r>
            <w:r>
              <w:rPr>
                <w:rFonts w:hint="eastAsia"/>
                <w:color w:val="auto"/>
                <w:lang w:val="en-US" w:eastAsia="zh-CN"/>
              </w:rPr>
              <w:t>05</w:t>
            </w:r>
            <w:r>
              <w:rPr>
                <w:rFonts w:hint="eastAsia"/>
                <w:color w:val="auto"/>
              </w:rPr>
              <w:t>t/a</w:t>
            </w:r>
            <w:r>
              <w:rPr>
                <w:rFonts w:hint="eastAsia"/>
                <w:color w:val="auto"/>
                <w:lang w:eastAsia="zh-CN"/>
              </w:rPr>
              <w:t>，含油废抹布及手套产生量约为</w:t>
            </w:r>
            <w:r>
              <w:rPr>
                <w:rFonts w:hint="eastAsia"/>
                <w:color w:val="auto"/>
                <w:lang w:val="en-US" w:eastAsia="zh-CN"/>
              </w:rPr>
              <w:t>0.05t/a</w:t>
            </w:r>
            <w:r>
              <w:rPr>
                <w:rFonts w:hint="eastAsia"/>
                <w:color w:val="auto"/>
              </w:rPr>
              <w:t>。</w:t>
            </w:r>
          </w:p>
          <w:p>
            <w:pPr>
              <w:bidi w:val="0"/>
              <w:rPr>
                <w:rFonts w:hint="default"/>
                <w:color w:val="auto"/>
                <w:lang w:val="en-US" w:eastAsia="zh-CN"/>
              </w:rPr>
            </w:pPr>
            <w:r>
              <w:rPr>
                <w:rFonts w:hint="eastAsia"/>
                <w:color w:val="auto"/>
              </w:rPr>
              <w:t>根据《国家危险废物名录》（202</w:t>
            </w:r>
            <w:r>
              <w:rPr>
                <w:rFonts w:hint="eastAsia"/>
                <w:color w:val="auto"/>
                <w:lang w:val="en-US" w:eastAsia="zh-CN"/>
              </w:rPr>
              <w:t>5</w:t>
            </w:r>
            <w:r>
              <w:rPr>
                <w:rFonts w:hint="eastAsia"/>
                <w:color w:val="auto"/>
              </w:rPr>
              <w:t>年版），废机油属于“HW08废矿物油与含矿物油废物，900-21</w:t>
            </w:r>
            <w:r>
              <w:rPr>
                <w:rFonts w:hint="eastAsia"/>
                <w:color w:val="auto"/>
                <w:lang w:val="en-US" w:eastAsia="zh-CN"/>
              </w:rPr>
              <w:t>4</w:t>
            </w:r>
            <w:r>
              <w:rPr>
                <w:rFonts w:hint="eastAsia"/>
                <w:color w:val="auto"/>
              </w:rPr>
              <w:t>-08，车辆、轮船</w:t>
            </w:r>
            <w:r>
              <w:rPr>
                <w:rFonts w:hint="eastAsia"/>
                <w:color w:val="auto"/>
                <w:lang w:eastAsia="zh-CN"/>
              </w:rPr>
              <w:t>及其他</w:t>
            </w:r>
            <w:r>
              <w:rPr>
                <w:rFonts w:hint="eastAsia"/>
                <w:color w:val="auto"/>
              </w:rPr>
              <w:t>机械维修过程中产生的废发动机油、制动器油、自动变速器油、齿轮油等废润滑油”类危险废物，采用密闭容器桶密封贮存，存放于厂区危险废物贮存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；废油桶属于“HW08废矿物油与含矿物油废物，900-249-08，其他生产、销售、使用过程中产生的废矿物油及沾染矿物油的废弃包装物”类危险废物，自身加盖密闭或采用密闭容器装存后，存放于厂区危险废物贮存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w:t>
            </w:r>
            <w:r>
              <w:rPr>
                <w:rFonts w:hint="eastAsia"/>
                <w:color w:val="auto"/>
                <w:lang w:eastAsia="zh-CN"/>
              </w:rPr>
              <w:t>含油废抹布及手套混入生活垃圾，由当地环卫部门统一清运处置，全过程未分类收集，根据</w:t>
            </w:r>
            <w:r>
              <w:rPr>
                <w:rFonts w:hint="eastAsia"/>
                <w:color w:val="auto"/>
              </w:rPr>
              <w:t>《国家危险废物名录》（202</w:t>
            </w:r>
            <w:r>
              <w:rPr>
                <w:rFonts w:hint="eastAsia"/>
                <w:color w:val="auto"/>
                <w:lang w:val="en-US" w:eastAsia="zh-CN"/>
              </w:rPr>
              <w:t>5</w:t>
            </w:r>
            <w:r>
              <w:rPr>
                <w:rFonts w:hint="eastAsia"/>
                <w:color w:val="auto"/>
              </w:rPr>
              <w:t>年版）</w:t>
            </w:r>
            <w:r>
              <w:rPr>
                <w:rFonts w:hint="eastAsia"/>
                <w:color w:val="auto"/>
                <w:lang w:eastAsia="zh-CN"/>
              </w:rPr>
              <w:t>，含油废抹布及手套属于</w:t>
            </w:r>
            <w:r>
              <w:rPr>
                <w:rFonts w:hint="eastAsia"/>
                <w:color w:val="auto"/>
                <w:lang w:val="en-US" w:eastAsia="zh-CN"/>
              </w:rPr>
              <w:t>900-041-49类危险废物，未分类收集全过程不按危险废物管理。</w:t>
            </w:r>
          </w:p>
          <w:p>
            <w:pPr>
              <w:bidi w:val="0"/>
              <w:rPr>
                <w:rFonts w:hint="eastAsia"/>
                <w:color w:val="auto"/>
                <w:lang w:eastAsia="zh-CN"/>
              </w:rPr>
            </w:pPr>
            <w:r>
              <w:rPr>
                <w:rFonts w:hint="eastAsia"/>
                <w:color w:val="auto"/>
                <w:lang w:eastAsia="zh-CN"/>
              </w:rPr>
              <w:t>②废吸油毡</w:t>
            </w:r>
          </w:p>
          <w:p>
            <w:pPr>
              <w:bidi w:val="0"/>
              <w:rPr>
                <w:rFonts w:hint="eastAsia"/>
                <w:color w:val="auto"/>
                <w:lang w:val="en-US" w:eastAsia="zh-CN"/>
              </w:rPr>
            </w:pPr>
            <w:r>
              <w:rPr>
                <w:rFonts w:hint="eastAsia"/>
                <w:color w:val="auto"/>
                <w:lang w:eastAsia="zh-CN"/>
              </w:rPr>
              <w:t>项目洗车废水沉淀池表面浮油定期使用吸油毡进行清理，产生废吸油毡，根据建设单位提供资料，产生量约为</w:t>
            </w:r>
            <w:r>
              <w:rPr>
                <w:rFonts w:hint="eastAsia"/>
                <w:color w:val="auto"/>
                <w:lang w:val="en-US" w:eastAsia="zh-CN"/>
              </w:rPr>
              <w:t>0.3t/a。</w:t>
            </w:r>
            <w:r>
              <w:rPr>
                <w:rFonts w:hint="eastAsia"/>
                <w:color w:val="auto"/>
              </w:rPr>
              <w:t>根据《国家危险废物名录》（202</w:t>
            </w:r>
            <w:r>
              <w:rPr>
                <w:rFonts w:hint="eastAsia"/>
                <w:color w:val="auto"/>
                <w:lang w:val="en-US" w:eastAsia="zh-CN"/>
              </w:rPr>
              <w:t>5</w:t>
            </w:r>
            <w:r>
              <w:rPr>
                <w:rFonts w:hint="eastAsia"/>
                <w:color w:val="auto"/>
              </w:rPr>
              <w:t>年版），</w:t>
            </w:r>
            <w:r>
              <w:rPr>
                <w:rFonts w:hint="eastAsia"/>
                <w:color w:val="auto"/>
                <w:lang w:eastAsia="zh-CN"/>
              </w:rPr>
              <w:t>废吸油毡</w:t>
            </w:r>
            <w:r>
              <w:rPr>
                <w:rFonts w:hint="eastAsia"/>
                <w:color w:val="auto"/>
              </w:rPr>
              <w:t>属于“HW</w:t>
            </w:r>
            <w:r>
              <w:rPr>
                <w:rFonts w:hint="eastAsia"/>
                <w:color w:val="auto"/>
                <w:lang w:val="en-US" w:eastAsia="zh-CN"/>
              </w:rPr>
              <w:t>49 其他废物</w:t>
            </w:r>
            <w:r>
              <w:rPr>
                <w:rFonts w:hint="eastAsia"/>
                <w:color w:val="auto"/>
              </w:rPr>
              <w:t>，</w:t>
            </w:r>
            <w:r>
              <w:rPr>
                <w:rFonts w:hint="eastAsia"/>
                <w:color w:val="auto"/>
                <w:lang w:val="en-US" w:eastAsia="zh-CN"/>
              </w:rPr>
              <w:t>900-041-49</w:t>
            </w:r>
            <w:r>
              <w:rPr>
                <w:rFonts w:hint="eastAsia"/>
                <w:color w:val="auto"/>
              </w:rPr>
              <w:t>，含有或者沾染毒性、感染性危险废物的废弃的包装物、容器、过滤吸附介质”类危险废物，采用密闭容器桶密封贮存，存放于厂区危险废物贮存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p>
          <w:p>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生活垃圾</w:t>
            </w:r>
          </w:p>
          <w:p>
            <w:pPr>
              <w:bidi w:val="0"/>
              <w:rPr>
                <w:rFonts w:hint="default"/>
                <w:color w:val="auto"/>
              </w:rPr>
            </w:pPr>
            <w:r>
              <w:rPr>
                <w:rFonts w:hint="default"/>
                <w:color w:val="auto"/>
              </w:rPr>
              <w:t>项目职工人数共</w:t>
            </w:r>
            <w:r>
              <w:rPr>
                <w:rFonts w:hint="eastAsia"/>
                <w:color w:val="auto"/>
                <w:lang w:val="en-US" w:eastAsia="zh-CN"/>
              </w:rPr>
              <w:t>145</w:t>
            </w:r>
            <w:r>
              <w:rPr>
                <w:rFonts w:hint="eastAsia"/>
                <w:color w:val="auto"/>
                <w:lang w:eastAsia="zh-CN"/>
              </w:rPr>
              <w:t>人</w:t>
            </w:r>
            <w:r>
              <w:rPr>
                <w:rFonts w:hint="default"/>
                <w:color w:val="auto"/>
              </w:rPr>
              <w:t>，</w:t>
            </w:r>
            <w:r>
              <w:rPr>
                <w:rFonts w:hint="eastAsia"/>
                <w:color w:val="auto"/>
                <w:lang w:eastAsia="zh-CN"/>
              </w:rPr>
              <w:t>均</w:t>
            </w:r>
            <w:r>
              <w:rPr>
                <w:rFonts w:hint="eastAsia"/>
                <w:color w:val="auto"/>
                <w:lang w:val="en-US" w:eastAsia="zh-CN"/>
              </w:rPr>
              <w:t>住厂</w:t>
            </w:r>
            <w:r>
              <w:rPr>
                <w:rFonts w:hint="default"/>
                <w:color w:val="auto"/>
              </w:rPr>
              <w:t>，职工生活垃圾排放量按</w:t>
            </w:r>
            <w:r>
              <w:rPr>
                <w:rFonts w:hint="eastAsia"/>
                <w:color w:val="auto"/>
                <w:lang w:eastAsia="zh-CN"/>
              </w:rPr>
              <w:t>住厂</w:t>
            </w:r>
            <w:r>
              <w:rPr>
                <w:rFonts w:hint="eastAsia"/>
                <w:color w:val="auto"/>
                <w:lang w:val="en-US" w:eastAsia="zh-CN"/>
              </w:rPr>
              <w:t>1</w:t>
            </w:r>
            <w:r>
              <w:rPr>
                <w:rFonts w:hint="default"/>
                <w:color w:val="auto"/>
              </w:rPr>
              <w:t>.</w:t>
            </w:r>
            <w:r>
              <w:rPr>
                <w:rFonts w:hint="eastAsia"/>
                <w:color w:val="auto"/>
                <w:lang w:val="en-US" w:eastAsia="zh-CN"/>
              </w:rPr>
              <w:t>5</w:t>
            </w:r>
            <w:r>
              <w:rPr>
                <w:rFonts w:hint="default"/>
                <w:color w:val="auto"/>
              </w:rPr>
              <w:t>kg/人·天计</w:t>
            </w:r>
            <w:r>
              <w:rPr>
                <w:rFonts w:hint="eastAsia"/>
                <w:color w:val="auto"/>
                <w:lang w:eastAsia="zh-CN"/>
              </w:rPr>
              <w:t>，</w:t>
            </w:r>
            <w:r>
              <w:rPr>
                <w:rFonts w:hint="default"/>
                <w:color w:val="auto"/>
              </w:rPr>
              <w:t>则</w:t>
            </w:r>
            <w:r>
              <w:rPr>
                <w:rFonts w:hint="eastAsia"/>
                <w:color w:val="auto"/>
                <w:lang w:eastAsia="zh-CN"/>
              </w:rPr>
              <w:t>项目</w:t>
            </w:r>
            <w:r>
              <w:rPr>
                <w:rFonts w:hint="default"/>
                <w:color w:val="auto"/>
              </w:rPr>
              <w:t>生活垃圾产生量为</w:t>
            </w:r>
            <w:r>
              <w:rPr>
                <w:rFonts w:hint="eastAsia"/>
                <w:color w:val="auto"/>
                <w:lang w:val="en-US" w:eastAsia="zh-CN"/>
              </w:rPr>
              <w:t>0.217t</w:t>
            </w:r>
            <w:r>
              <w:rPr>
                <w:rFonts w:hint="default"/>
                <w:color w:val="auto"/>
              </w:rPr>
              <w:t>/d，年产生量约为</w:t>
            </w:r>
            <w:r>
              <w:rPr>
                <w:rFonts w:hint="eastAsia"/>
                <w:color w:val="auto"/>
                <w:lang w:val="en-US" w:eastAsia="zh-CN"/>
              </w:rPr>
              <w:t>71.78</w:t>
            </w:r>
            <w:r>
              <w:rPr>
                <w:rFonts w:hint="default"/>
                <w:color w:val="auto"/>
              </w:rPr>
              <w:t>t(按年工作</w:t>
            </w:r>
            <w:r>
              <w:rPr>
                <w:rFonts w:hint="eastAsia"/>
                <w:color w:val="auto"/>
                <w:lang w:val="en-US" w:eastAsia="zh-CN"/>
              </w:rPr>
              <w:t>330</w:t>
            </w:r>
            <w:r>
              <w:rPr>
                <w:rFonts w:hint="default"/>
                <w:color w:val="auto"/>
              </w:rPr>
              <w:t>天计)，</w:t>
            </w:r>
            <w:r>
              <w:rPr>
                <w:rFonts w:hint="eastAsia"/>
                <w:color w:val="auto"/>
                <w:lang w:eastAsia="zh-CN"/>
              </w:rPr>
              <w:t>经厂内设置垃圾桶</w:t>
            </w:r>
            <w:r>
              <w:rPr>
                <w:rFonts w:hint="default"/>
                <w:color w:val="auto"/>
              </w:rPr>
              <w:t>收集后，全部委托环卫部门定期外运统一处置。</w:t>
            </w:r>
          </w:p>
          <w:p>
            <w:pPr>
              <w:bidi w:val="0"/>
              <w:rPr>
                <w:rFonts w:hint="eastAsia" w:ascii="Times New Roman" w:hAnsi="Times New Roman" w:eastAsia="宋体"/>
                <w:color w:val="auto"/>
                <w:lang w:eastAsia="zh-CN"/>
              </w:rPr>
            </w:pPr>
            <w:r>
              <w:rPr>
                <w:rFonts w:hint="eastAsia"/>
                <w:color w:val="auto"/>
              </w:rPr>
              <w:t>综上所述，</w:t>
            </w:r>
            <w:r>
              <w:rPr>
                <w:color w:val="auto"/>
              </w:rPr>
              <w:t>项目</w:t>
            </w:r>
            <w:r>
              <w:rPr>
                <w:rFonts w:hint="eastAsia"/>
                <w:color w:val="auto"/>
                <w:lang w:eastAsia="zh-CN"/>
              </w:rPr>
              <w:t>固体</w:t>
            </w:r>
            <w:r>
              <w:rPr>
                <w:color w:val="auto"/>
              </w:rPr>
              <w:t>废物污染源源强核算结果一览表</w:t>
            </w:r>
            <w:r>
              <w:rPr>
                <w:rFonts w:hint="eastAsia"/>
                <w:color w:val="auto"/>
              </w:rPr>
              <w:t>详见表4.</w:t>
            </w:r>
            <w:r>
              <w:rPr>
                <w:rFonts w:hint="eastAsia"/>
                <w:color w:val="auto"/>
                <w:lang w:val="en-US" w:eastAsia="zh-CN"/>
              </w:rPr>
              <w:t>5</w:t>
            </w:r>
            <w:r>
              <w:rPr>
                <w:rFonts w:hint="eastAsia"/>
                <w:color w:val="auto"/>
              </w:rPr>
              <w:t>-1。</w:t>
            </w: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noWrap w:val="0"/>
            <w:vAlign w:val="top"/>
          </w:tcPr>
          <w:p>
            <w:pPr>
              <w:pStyle w:val="17"/>
              <w:jc w:val="both"/>
              <w:outlineLvl w:val="9"/>
              <w:rPr>
                <w:rFonts w:hint="default" w:ascii="Times New Roman" w:hAnsi="Times New Roman" w:eastAsia="宋体" w:cs="Times New Roman"/>
                <w:snapToGrid w:val="0"/>
                <w:color w:val="auto"/>
                <w:sz w:val="30"/>
                <w:szCs w:val="30"/>
                <w:vertAlign w:val="baseline"/>
              </w:rPr>
            </w:pPr>
          </w:p>
        </w:tc>
        <w:tc>
          <w:tcPr>
            <w:tcW w:w="12828" w:type="dxa"/>
            <w:noWrap w:val="0"/>
            <w:vAlign w:val="top"/>
          </w:tcPr>
          <w:p>
            <w:pPr>
              <w:pStyle w:val="33"/>
              <w:bidi w:val="0"/>
              <w:rPr>
                <w:rFonts w:hint="eastAsia"/>
                <w:color w:val="auto"/>
                <w:lang w:val="en-US" w:eastAsia="zh-CN"/>
              </w:rPr>
            </w:pPr>
            <w:r>
              <w:rPr>
                <w:rFonts w:hint="eastAsia"/>
                <w:color w:val="auto"/>
                <w:lang w:eastAsia="zh-CN"/>
              </w:rPr>
              <w:t>表</w:t>
            </w:r>
            <w:r>
              <w:rPr>
                <w:rFonts w:hint="eastAsia"/>
                <w:color w:val="auto"/>
                <w:lang w:val="en-US" w:eastAsia="zh-CN"/>
              </w:rPr>
              <w:t>4.5-1 固体废物污染源源强核算一览表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440"/>
              <w:gridCol w:w="1395"/>
              <w:gridCol w:w="1698"/>
              <w:gridCol w:w="1047"/>
              <w:gridCol w:w="1320"/>
              <w:gridCol w:w="675"/>
              <w:gridCol w:w="1050"/>
              <w:gridCol w:w="658"/>
              <w:gridCol w:w="676"/>
              <w:gridCol w:w="992"/>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85" w:type="pct"/>
                  <w:noWrap w:val="0"/>
                  <w:vAlign w:val="center"/>
                </w:tcPr>
                <w:p>
                  <w:pPr>
                    <w:pStyle w:val="31"/>
                    <w:bidi w:val="0"/>
                    <w:rPr>
                      <w:color w:val="auto"/>
                    </w:rPr>
                  </w:pPr>
                  <w:r>
                    <w:rPr>
                      <w:color w:val="auto"/>
                    </w:rPr>
                    <w:t>序号</w:t>
                  </w:r>
                </w:p>
              </w:tc>
              <w:tc>
                <w:tcPr>
                  <w:tcW w:w="571" w:type="pct"/>
                  <w:noWrap w:val="0"/>
                  <w:vAlign w:val="center"/>
                </w:tcPr>
                <w:p>
                  <w:pPr>
                    <w:pStyle w:val="31"/>
                    <w:bidi w:val="0"/>
                    <w:rPr>
                      <w:color w:val="auto"/>
                    </w:rPr>
                  </w:pPr>
                  <w:r>
                    <w:rPr>
                      <w:rFonts w:hint="eastAsia"/>
                      <w:color w:val="auto"/>
                      <w:lang w:eastAsia="zh-CN"/>
                    </w:rPr>
                    <w:t>固体</w:t>
                  </w:r>
                  <w:r>
                    <w:rPr>
                      <w:color w:val="auto"/>
                    </w:rPr>
                    <w:t>废物名称</w:t>
                  </w:r>
                </w:p>
              </w:tc>
              <w:tc>
                <w:tcPr>
                  <w:tcW w:w="553" w:type="pct"/>
                  <w:noWrap w:val="0"/>
                  <w:vAlign w:val="center"/>
                </w:tcPr>
                <w:p>
                  <w:pPr>
                    <w:pStyle w:val="31"/>
                    <w:bidi w:val="0"/>
                    <w:rPr>
                      <w:color w:val="auto"/>
                    </w:rPr>
                  </w:pPr>
                  <w:r>
                    <w:rPr>
                      <w:color w:val="auto"/>
                    </w:rPr>
                    <w:t>类别</w:t>
                  </w:r>
                </w:p>
              </w:tc>
              <w:tc>
                <w:tcPr>
                  <w:tcW w:w="673" w:type="pct"/>
                  <w:noWrap w:val="0"/>
                  <w:vAlign w:val="center"/>
                </w:tcPr>
                <w:p>
                  <w:pPr>
                    <w:pStyle w:val="31"/>
                    <w:bidi w:val="0"/>
                    <w:rPr>
                      <w:color w:val="auto"/>
                    </w:rPr>
                  </w:pPr>
                  <w:r>
                    <w:rPr>
                      <w:color w:val="auto"/>
                    </w:rPr>
                    <w:t>废物代码</w:t>
                  </w:r>
                </w:p>
              </w:tc>
              <w:tc>
                <w:tcPr>
                  <w:tcW w:w="415" w:type="pct"/>
                  <w:noWrap w:val="0"/>
                  <w:vAlign w:val="center"/>
                </w:tcPr>
                <w:p>
                  <w:pPr>
                    <w:pStyle w:val="31"/>
                    <w:bidi w:val="0"/>
                    <w:rPr>
                      <w:color w:val="auto"/>
                    </w:rPr>
                  </w:pPr>
                  <w:r>
                    <w:rPr>
                      <w:color w:val="auto"/>
                    </w:rPr>
                    <w:t>产生量（吨/年）</w:t>
                  </w:r>
                </w:p>
              </w:tc>
              <w:tc>
                <w:tcPr>
                  <w:tcW w:w="523" w:type="pct"/>
                  <w:noWrap w:val="0"/>
                  <w:vAlign w:val="center"/>
                </w:tcPr>
                <w:p>
                  <w:pPr>
                    <w:pStyle w:val="31"/>
                    <w:bidi w:val="0"/>
                    <w:rPr>
                      <w:color w:val="auto"/>
                    </w:rPr>
                  </w:pPr>
                  <w:r>
                    <w:rPr>
                      <w:color w:val="auto"/>
                    </w:rPr>
                    <w:t>产生工序及装置</w:t>
                  </w:r>
                </w:p>
              </w:tc>
              <w:tc>
                <w:tcPr>
                  <w:tcW w:w="267" w:type="pct"/>
                  <w:noWrap w:val="0"/>
                  <w:vAlign w:val="center"/>
                </w:tcPr>
                <w:p>
                  <w:pPr>
                    <w:pStyle w:val="31"/>
                    <w:bidi w:val="0"/>
                    <w:rPr>
                      <w:color w:val="auto"/>
                    </w:rPr>
                  </w:pPr>
                  <w:r>
                    <w:rPr>
                      <w:color w:val="auto"/>
                    </w:rPr>
                    <w:t>形态</w:t>
                  </w:r>
                </w:p>
              </w:tc>
              <w:tc>
                <w:tcPr>
                  <w:tcW w:w="416" w:type="pct"/>
                  <w:noWrap w:val="0"/>
                  <w:vAlign w:val="center"/>
                </w:tcPr>
                <w:p>
                  <w:pPr>
                    <w:pStyle w:val="31"/>
                    <w:bidi w:val="0"/>
                    <w:rPr>
                      <w:rFonts w:hint="eastAsia"/>
                      <w:color w:val="auto"/>
                      <w:lang w:eastAsia="zh-CN"/>
                    </w:rPr>
                  </w:pPr>
                  <w:r>
                    <w:rPr>
                      <w:color w:val="auto"/>
                    </w:rPr>
                    <w:t>有害成分</w:t>
                  </w:r>
                  <w:r>
                    <w:rPr>
                      <w:rFonts w:hint="eastAsia"/>
                      <w:color w:val="auto"/>
                      <w:lang w:eastAsia="zh-CN"/>
                    </w:rPr>
                    <w:t>（危险废物）</w:t>
                  </w:r>
                </w:p>
              </w:tc>
              <w:tc>
                <w:tcPr>
                  <w:tcW w:w="261" w:type="pct"/>
                  <w:noWrap w:val="0"/>
                  <w:vAlign w:val="center"/>
                </w:tcPr>
                <w:p>
                  <w:pPr>
                    <w:pStyle w:val="31"/>
                    <w:bidi w:val="0"/>
                    <w:rPr>
                      <w:color w:val="auto"/>
                    </w:rPr>
                  </w:pPr>
                  <w:r>
                    <w:rPr>
                      <w:color w:val="auto"/>
                    </w:rPr>
                    <w:t>危险</w:t>
                  </w:r>
                  <w:r>
                    <w:rPr>
                      <w:rFonts w:hint="eastAsia"/>
                      <w:color w:val="auto"/>
                      <w:lang w:eastAsia="zh-CN"/>
                    </w:rPr>
                    <w:t>废物</w:t>
                  </w:r>
                  <w:r>
                    <w:rPr>
                      <w:color w:val="auto"/>
                    </w:rPr>
                    <w:t>特性</w:t>
                  </w:r>
                </w:p>
              </w:tc>
              <w:tc>
                <w:tcPr>
                  <w:tcW w:w="268" w:type="pct"/>
                  <w:noWrap w:val="0"/>
                  <w:vAlign w:val="center"/>
                </w:tcPr>
                <w:p>
                  <w:pPr>
                    <w:pStyle w:val="31"/>
                    <w:bidi w:val="0"/>
                    <w:rPr>
                      <w:color w:val="auto"/>
                    </w:rPr>
                  </w:pPr>
                  <w:r>
                    <w:rPr>
                      <w:color w:val="auto"/>
                    </w:rPr>
                    <w:t>产废周期</w:t>
                  </w:r>
                </w:p>
              </w:tc>
              <w:tc>
                <w:tcPr>
                  <w:tcW w:w="393" w:type="pct"/>
                  <w:noWrap w:val="0"/>
                  <w:vAlign w:val="center"/>
                </w:tcPr>
                <w:p>
                  <w:pPr>
                    <w:pStyle w:val="31"/>
                    <w:bidi w:val="0"/>
                    <w:rPr>
                      <w:rFonts w:hint="eastAsia"/>
                      <w:color w:val="auto"/>
                      <w:lang w:eastAsia="zh-CN"/>
                    </w:rPr>
                  </w:pPr>
                  <w:r>
                    <w:rPr>
                      <w:rFonts w:hint="eastAsia"/>
                      <w:color w:val="auto"/>
                      <w:lang w:eastAsia="zh-CN"/>
                    </w:rPr>
                    <w:t>暂存</w:t>
                  </w:r>
                </w:p>
                <w:p>
                  <w:pPr>
                    <w:pStyle w:val="31"/>
                    <w:bidi w:val="0"/>
                    <w:rPr>
                      <w:rFonts w:hint="eastAsia"/>
                      <w:color w:val="auto"/>
                      <w:lang w:eastAsia="zh-CN"/>
                    </w:rPr>
                  </w:pPr>
                  <w:r>
                    <w:rPr>
                      <w:rFonts w:hint="eastAsia"/>
                      <w:color w:val="auto"/>
                      <w:lang w:eastAsia="zh-CN"/>
                    </w:rPr>
                    <w:t>方式</w:t>
                  </w:r>
                </w:p>
              </w:tc>
              <w:tc>
                <w:tcPr>
                  <w:tcW w:w="469" w:type="pct"/>
                  <w:noWrap w:val="0"/>
                  <w:vAlign w:val="center"/>
                </w:tcPr>
                <w:p>
                  <w:pPr>
                    <w:pStyle w:val="31"/>
                    <w:bidi w:val="0"/>
                    <w:rPr>
                      <w:rFonts w:hint="eastAsia"/>
                      <w:color w:val="auto"/>
                      <w:lang w:eastAsia="zh-CN"/>
                    </w:rPr>
                  </w:pPr>
                  <w:r>
                    <w:rPr>
                      <w:rFonts w:hint="eastAsia"/>
                      <w:color w:val="auto"/>
                      <w:lang w:eastAsia="zh-CN"/>
                    </w:rPr>
                    <w:t>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31"/>
                    <w:bidi w:val="0"/>
                    <w:rPr>
                      <w:rFonts w:hint="eastAsia"/>
                      <w:color w:val="auto"/>
                      <w:lang w:val="en-US" w:eastAsia="zh-CN"/>
                    </w:rPr>
                  </w:pPr>
                  <w:r>
                    <w:rPr>
                      <w:rFonts w:hint="eastAsia"/>
                      <w:color w:val="auto"/>
                      <w:lang w:val="en-US" w:eastAsia="zh-CN"/>
                    </w:rPr>
                    <w:t>1</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废混凝土</w:t>
                  </w:r>
                </w:p>
              </w:tc>
              <w:tc>
                <w:tcPr>
                  <w:tcW w:w="553" w:type="pct"/>
                  <w:vMerge w:val="restart"/>
                  <w:noWrap w:val="0"/>
                  <w:vAlign w:val="center"/>
                </w:tcPr>
                <w:p>
                  <w:pPr>
                    <w:pStyle w:val="31"/>
                    <w:bidi w:val="0"/>
                    <w:rPr>
                      <w:rFonts w:hint="eastAsia"/>
                      <w:color w:val="auto"/>
                      <w:lang w:eastAsia="zh-CN"/>
                    </w:rPr>
                  </w:pPr>
                  <w:r>
                    <w:rPr>
                      <w:rFonts w:hint="eastAsia"/>
                      <w:color w:val="auto"/>
                      <w:lang w:eastAsia="zh-CN"/>
                    </w:rPr>
                    <w:t>一般工业固废</w:t>
                  </w:r>
                </w:p>
                <w:p>
                  <w:pPr>
                    <w:pStyle w:val="31"/>
                    <w:bidi w:val="0"/>
                    <w:rPr>
                      <w:rFonts w:hint="eastAsia"/>
                      <w:color w:val="auto"/>
                      <w:lang w:eastAsia="zh-CN"/>
                    </w:rPr>
                  </w:pPr>
                  <w:r>
                    <w:rPr>
                      <w:rFonts w:hint="eastAsia"/>
                      <w:color w:val="auto"/>
                      <w:lang w:eastAsia="zh-CN"/>
                    </w:rPr>
                    <w:t>（</w:t>
                  </w:r>
                  <w:r>
                    <w:rPr>
                      <w:rFonts w:hint="eastAsia"/>
                      <w:color w:val="auto"/>
                      <w:lang w:val="en-US" w:eastAsia="zh-CN"/>
                    </w:rPr>
                    <w:t>Ⅰ类</w:t>
                  </w:r>
                  <w:r>
                    <w:rPr>
                      <w:rFonts w:hint="eastAsia"/>
                      <w:color w:val="auto"/>
                      <w:lang w:eastAsia="zh-CN"/>
                    </w:rPr>
                    <w:t>）</w:t>
                  </w:r>
                </w:p>
              </w:tc>
              <w:tc>
                <w:tcPr>
                  <w:tcW w:w="673" w:type="pct"/>
                  <w:noWrap w:val="0"/>
                  <w:vAlign w:val="center"/>
                </w:tcPr>
                <w:p>
                  <w:pPr>
                    <w:pStyle w:val="31"/>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11500</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模具清理、浇灌布料、搅拌</w:t>
                  </w:r>
                </w:p>
              </w:tc>
              <w:tc>
                <w:tcPr>
                  <w:tcW w:w="267" w:type="pct"/>
                  <w:noWrap w:val="0"/>
                  <w:vAlign w:val="center"/>
                </w:tcPr>
                <w:p>
                  <w:pPr>
                    <w:pStyle w:val="31"/>
                    <w:bidi w:val="0"/>
                    <w:rPr>
                      <w:rFonts w:hint="eastAsia"/>
                      <w:color w:val="auto"/>
                      <w:lang w:eastAsia="zh-CN"/>
                    </w:rPr>
                  </w:pPr>
                  <w:r>
                    <w:rPr>
                      <w:rFonts w:hint="eastAsia"/>
                      <w:color w:val="auto"/>
                      <w:lang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default"/>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eastAsia="zh-CN"/>
                    </w:rPr>
                  </w:pPr>
                  <w:r>
                    <w:rPr>
                      <w:rFonts w:hint="eastAsia"/>
                      <w:color w:val="auto"/>
                      <w:lang w:eastAsia="zh-CN"/>
                    </w:rPr>
                    <w:t>每天</w:t>
                  </w:r>
                </w:p>
              </w:tc>
              <w:tc>
                <w:tcPr>
                  <w:tcW w:w="862" w:type="pct"/>
                  <w:gridSpan w:val="2"/>
                  <w:noWrap w:val="0"/>
                  <w:vAlign w:val="center"/>
                </w:tcPr>
                <w:p>
                  <w:pPr>
                    <w:pStyle w:val="31"/>
                    <w:bidi w:val="0"/>
                    <w:rPr>
                      <w:rFonts w:hint="default"/>
                      <w:color w:val="auto"/>
                      <w:lang w:val="en-US" w:eastAsia="zh-CN"/>
                    </w:rPr>
                  </w:pPr>
                  <w:r>
                    <w:rPr>
                      <w:rFonts w:hint="eastAsia"/>
                      <w:color w:val="auto"/>
                      <w:lang w:eastAsia="zh-CN"/>
                    </w:rPr>
                    <w:t>收集回用于生产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31"/>
                    <w:bidi w:val="0"/>
                    <w:rPr>
                      <w:rFonts w:hint="eastAsia"/>
                      <w:color w:val="auto"/>
                      <w:lang w:val="en-US" w:eastAsia="zh-CN"/>
                    </w:rPr>
                  </w:pPr>
                  <w:r>
                    <w:rPr>
                      <w:rFonts w:hint="eastAsia"/>
                      <w:color w:val="auto"/>
                      <w:lang w:val="en-US" w:eastAsia="zh-CN"/>
                    </w:rPr>
                    <w:t>2</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废钢材</w:t>
                  </w:r>
                </w:p>
              </w:tc>
              <w:tc>
                <w:tcPr>
                  <w:tcW w:w="553" w:type="pct"/>
                  <w:vMerge w:val="continue"/>
                  <w:noWrap w:val="0"/>
                  <w:vAlign w:val="center"/>
                </w:tcPr>
                <w:p>
                  <w:pPr>
                    <w:pStyle w:val="31"/>
                    <w:bidi w:val="0"/>
                    <w:rPr>
                      <w:color w:val="auto"/>
                    </w:rPr>
                  </w:pPr>
                </w:p>
              </w:tc>
              <w:tc>
                <w:tcPr>
                  <w:tcW w:w="673" w:type="pct"/>
                  <w:noWrap w:val="0"/>
                  <w:vAlign w:val="center"/>
                </w:tcPr>
                <w:p>
                  <w:pPr>
                    <w:pStyle w:val="31"/>
                    <w:bidi w:val="0"/>
                    <w:rPr>
                      <w:rFonts w:hint="default"/>
                      <w:color w:val="auto"/>
                      <w:lang w:val="en-US" w:eastAsia="zh-CN"/>
                    </w:rPr>
                  </w:pPr>
                  <w:r>
                    <w:rPr>
                      <w:rFonts w:hint="eastAsia"/>
                      <w:color w:val="auto"/>
                    </w:rPr>
                    <w:t>900-</w:t>
                  </w:r>
                  <w:r>
                    <w:rPr>
                      <w:rFonts w:hint="eastAsia"/>
                      <w:color w:val="auto"/>
                      <w:lang w:val="en-US" w:eastAsia="zh-CN"/>
                    </w:rPr>
                    <w:t>001-S17</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350</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切割、切断</w:t>
                  </w:r>
                </w:p>
              </w:tc>
              <w:tc>
                <w:tcPr>
                  <w:tcW w:w="267" w:type="pct"/>
                  <w:noWrap w:val="0"/>
                  <w:vAlign w:val="center"/>
                </w:tcPr>
                <w:p>
                  <w:pPr>
                    <w:pStyle w:val="31"/>
                    <w:bidi w:val="0"/>
                    <w:rPr>
                      <w:rFonts w:hint="eastAsia"/>
                      <w:color w:val="auto"/>
                      <w:lang w:eastAsia="zh-CN"/>
                    </w:rPr>
                  </w:pPr>
                  <w:r>
                    <w:rPr>
                      <w:rFonts w:hint="eastAsia"/>
                      <w:color w:val="auto"/>
                      <w:lang w:eastAsia="zh-CN"/>
                    </w:rPr>
                    <w:t>固态</w:t>
                  </w:r>
                </w:p>
              </w:tc>
              <w:tc>
                <w:tcPr>
                  <w:tcW w:w="416" w:type="pct"/>
                  <w:noWrap w:val="0"/>
                  <w:vAlign w:val="center"/>
                </w:tcPr>
                <w:p>
                  <w:pPr>
                    <w:pStyle w:val="31"/>
                    <w:bidi w:val="0"/>
                    <w:rPr>
                      <w:rFonts w:hint="eastAsia"/>
                      <w:color w:val="auto"/>
                    </w:rPr>
                  </w:pPr>
                  <w:r>
                    <w:rPr>
                      <w:rFonts w:hint="eastAsia"/>
                      <w:color w:val="auto"/>
                      <w:lang w:val="en-US" w:eastAsia="zh-CN"/>
                    </w:rPr>
                    <w:t>/</w:t>
                  </w:r>
                </w:p>
              </w:tc>
              <w:tc>
                <w:tcPr>
                  <w:tcW w:w="261" w:type="pct"/>
                  <w:noWrap w:val="0"/>
                  <w:vAlign w:val="center"/>
                </w:tcPr>
                <w:p>
                  <w:pPr>
                    <w:pStyle w:val="31"/>
                    <w:bidi w:val="0"/>
                    <w:rPr>
                      <w:rFonts w:hint="eastAsia"/>
                      <w:color w:val="auto"/>
                    </w:rPr>
                  </w:pPr>
                  <w:r>
                    <w:rPr>
                      <w:rFonts w:hint="eastAsia"/>
                      <w:color w:val="auto"/>
                      <w:lang w:val="en-US" w:eastAsia="zh-CN"/>
                    </w:rPr>
                    <w:t>/</w:t>
                  </w:r>
                </w:p>
              </w:tc>
              <w:tc>
                <w:tcPr>
                  <w:tcW w:w="268" w:type="pct"/>
                  <w:noWrap w:val="0"/>
                  <w:vAlign w:val="center"/>
                </w:tcPr>
                <w:p>
                  <w:pPr>
                    <w:pStyle w:val="31"/>
                    <w:bidi w:val="0"/>
                    <w:rPr>
                      <w:rFonts w:hint="eastAsia"/>
                      <w:color w:val="auto"/>
                    </w:rPr>
                  </w:pPr>
                  <w:r>
                    <w:rPr>
                      <w:rFonts w:hint="eastAsia"/>
                      <w:color w:val="auto"/>
                      <w:lang w:eastAsia="zh-CN"/>
                    </w:rPr>
                    <w:t>每天</w:t>
                  </w:r>
                </w:p>
              </w:tc>
              <w:tc>
                <w:tcPr>
                  <w:tcW w:w="393" w:type="pct"/>
                  <w:vMerge w:val="restart"/>
                  <w:noWrap w:val="0"/>
                  <w:vAlign w:val="center"/>
                </w:tcPr>
                <w:p>
                  <w:pPr>
                    <w:pStyle w:val="31"/>
                    <w:bidi w:val="0"/>
                    <w:rPr>
                      <w:rFonts w:hint="eastAsia"/>
                      <w:color w:val="auto"/>
                      <w:lang w:eastAsia="zh-CN"/>
                    </w:rPr>
                  </w:pPr>
                  <w:r>
                    <w:rPr>
                      <w:rFonts w:hint="eastAsia"/>
                      <w:color w:val="auto"/>
                      <w:lang w:eastAsia="zh-CN"/>
                    </w:rPr>
                    <w:t>暂存于一般工业固废暂存间</w:t>
                  </w:r>
                </w:p>
              </w:tc>
              <w:tc>
                <w:tcPr>
                  <w:tcW w:w="469" w:type="pct"/>
                  <w:vMerge w:val="restart"/>
                  <w:noWrap w:val="0"/>
                  <w:vAlign w:val="center"/>
                </w:tcPr>
                <w:p>
                  <w:pPr>
                    <w:pStyle w:val="31"/>
                    <w:bidi w:val="0"/>
                    <w:rPr>
                      <w:rFonts w:hint="default"/>
                      <w:color w:val="auto"/>
                      <w:lang w:val="en-US" w:eastAsia="zh-CN"/>
                    </w:rPr>
                  </w:pPr>
                  <w:r>
                    <w:rPr>
                      <w:rFonts w:hint="eastAsia"/>
                      <w:color w:val="auto"/>
                      <w:lang w:val="en-US" w:eastAsia="zh-CN"/>
                    </w:rPr>
                    <w:t>交由合规物资回收单位回收利用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31"/>
                    <w:bidi w:val="0"/>
                    <w:rPr>
                      <w:rFonts w:hint="default"/>
                      <w:color w:val="auto"/>
                      <w:lang w:val="en-US" w:eastAsia="zh-CN"/>
                    </w:rPr>
                  </w:pPr>
                  <w:r>
                    <w:rPr>
                      <w:rFonts w:hint="eastAsia"/>
                      <w:color w:val="auto"/>
                      <w:lang w:val="en-US" w:eastAsia="zh-CN"/>
                    </w:rPr>
                    <w:t>3</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焊渣</w:t>
                  </w:r>
                </w:p>
              </w:tc>
              <w:tc>
                <w:tcPr>
                  <w:tcW w:w="553" w:type="pct"/>
                  <w:vMerge w:val="continue"/>
                  <w:noWrap w:val="0"/>
                  <w:vAlign w:val="center"/>
                </w:tcPr>
                <w:p>
                  <w:pPr>
                    <w:pStyle w:val="31"/>
                    <w:bidi w:val="0"/>
                    <w:rPr>
                      <w:rFonts w:hint="eastAsia"/>
                      <w:color w:val="auto"/>
                      <w:lang w:eastAsia="zh-CN"/>
                    </w:rPr>
                  </w:pPr>
                </w:p>
              </w:tc>
              <w:tc>
                <w:tcPr>
                  <w:tcW w:w="673" w:type="pct"/>
                  <w:noWrap w:val="0"/>
                  <w:vAlign w:val="center"/>
                </w:tcPr>
                <w:p>
                  <w:pPr>
                    <w:pStyle w:val="31"/>
                    <w:bidi w:val="0"/>
                    <w:rPr>
                      <w:rFonts w:hint="default"/>
                      <w:color w:val="auto"/>
                      <w:lang w:val="en-US" w:eastAsia="zh-CN"/>
                    </w:rPr>
                  </w:pPr>
                  <w:r>
                    <w:rPr>
                      <w:rFonts w:hint="eastAsia"/>
                      <w:color w:val="auto"/>
                    </w:rPr>
                    <w:t>900-</w:t>
                  </w:r>
                  <w:r>
                    <w:rPr>
                      <w:rFonts w:hint="eastAsia"/>
                      <w:color w:val="auto"/>
                      <w:lang w:val="en-US" w:eastAsia="zh-CN"/>
                    </w:rPr>
                    <w:t>099-S59</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0.0157</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焊接</w:t>
                  </w:r>
                </w:p>
              </w:tc>
              <w:tc>
                <w:tcPr>
                  <w:tcW w:w="267" w:type="pct"/>
                  <w:noWrap w:val="0"/>
                  <w:vAlign w:val="center"/>
                </w:tcPr>
                <w:p>
                  <w:pPr>
                    <w:pStyle w:val="31"/>
                    <w:bidi w:val="0"/>
                    <w:rPr>
                      <w:rFonts w:hint="eastAsia"/>
                      <w:color w:val="auto"/>
                      <w:lang w:eastAsia="zh-CN"/>
                    </w:rPr>
                  </w:pPr>
                  <w:r>
                    <w:rPr>
                      <w:rFonts w:hint="eastAsia"/>
                      <w:color w:val="auto"/>
                      <w:lang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eastAsia="zh-CN"/>
                    </w:rPr>
                  </w:pPr>
                  <w:r>
                    <w:rPr>
                      <w:rFonts w:hint="eastAsia"/>
                      <w:color w:val="auto"/>
                      <w:lang w:eastAsia="zh-CN"/>
                    </w:rPr>
                    <w:t>每天</w:t>
                  </w:r>
                </w:p>
              </w:tc>
              <w:tc>
                <w:tcPr>
                  <w:tcW w:w="393" w:type="pct"/>
                  <w:vMerge w:val="continue"/>
                  <w:noWrap w:val="0"/>
                  <w:vAlign w:val="center"/>
                </w:tcPr>
                <w:p>
                  <w:pPr>
                    <w:pStyle w:val="31"/>
                    <w:bidi w:val="0"/>
                    <w:rPr>
                      <w:rFonts w:hint="eastAsia"/>
                      <w:color w:val="auto"/>
                      <w:lang w:eastAsia="zh-CN"/>
                    </w:rPr>
                  </w:pPr>
                </w:p>
              </w:tc>
              <w:tc>
                <w:tcPr>
                  <w:tcW w:w="469" w:type="pct"/>
                  <w:vMerge w:val="continue"/>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31"/>
                    <w:bidi w:val="0"/>
                    <w:rPr>
                      <w:rFonts w:hint="default"/>
                      <w:color w:val="auto"/>
                      <w:lang w:val="en-US" w:eastAsia="zh-CN"/>
                    </w:rPr>
                  </w:pPr>
                  <w:r>
                    <w:rPr>
                      <w:rFonts w:hint="eastAsia"/>
                      <w:color w:val="auto"/>
                      <w:lang w:val="en-US" w:eastAsia="zh-CN"/>
                    </w:rPr>
                    <w:t>4</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不合格品</w:t>
                  </w:r>
                </w:p>
              </w:tc>
              <w:tc>
                <w:tcPr>
                  <w:tcW w:w="553" w:type="pct"/>
                  <w:vMerge w:val="continue"/>
                  <w:noWrap w:val="0"/>
                  <w:vAlign w:val="center"/>
                </w:tcPr>
                <w:p>
                  <w:pPr>
                    <w:pStyle w:val="31"/>
                    <w:bidi w:val="0"/>
                    <w:rPr>
                      <w:rFonts w:hint="eastAsia"/>
                      <w:color w:val="auto"/>
                      <w:lang w:eastAsia="zh-CN"/>
                    </w:rPr>
                  </w:pPr>
                </w:p>
              </w:tc>
              <w:tc>
                <w:tcPr>
                  <w:tcW w:w="673" w:type="pct"/>
                  <w:noWrap w:val="0"/>
                  <w:vAlign w:val="center"/>
                </w:tcPr>
                <w:p>
                  <w:pPr>
                    <w:pStyle w:val="31"/>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31"/>
                    <w:bidi w:val="0"/>
                    <w:rPr>
                      <w:rFonts w:hint="default"/>
                      <w:color w:val="auto"/>
                      <w:lang w:val="en-US" w:eastAsia="zh-CN"/>
                    </w:rPr>
                  </w:pPr>
                  <w:r>
                    <w:rPr>
                      <w:rFonts w:hint="eastAsia"/>
                      <w:color w:val="auto"/>
                      <w:highlight w:val="none"/>
                      <w:lang w:val="en-US" w:eastAsia="zh-CN"/>
                    </w:rPr>
                    <w:t>13244.705</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检验</w:t>
                  </w:r>
                </w:p>
              </w:tc>
              <w:tc>
                <w:tcPr>
                  <w:tcW w:w="267" w:type="pct"/>
                  <w:noWrap w:val="0"/>
                  <w:vAlign w:val="center"/>
                </w:tcPr>
                <w:p>
                  <w:pPr>
                    <w:pStyle w:val="31"/>
                    <w:bidi w:val="0"/>
                    <w:rPr>
                      <w:rFonts w:hint="default"/>
                      <w:color w:val="auto"/>
                      <w:lang w:val="en-US" w:eastAsia="zh-CN"/>
                    </w:rPr>
                  </w:pPr>
                  <w:r>
                    <w:rPr>
                      <w:rFonts w:hint="eastAsia"/>
                      <w:color w:val="auto"/>
                      <w:lang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val="en-US" w:eastAsia="zh-CN"/>
                    </w:rPr>
                  </w:pPr>
                  <w:r>
                    <w:rPr>
                      <w:rFonts w:hint="eastAsia"/>
                      <w:color w:val="auto"/>
                      <w:lang w:val="en-US" w:eastAsia="zh-CN"/>
                    </w:rPr>
                    <w:t>每天</w:t>
                  </w:r>
                </w:p>
              </w:tc>
              <w:tc>
                <w:tcPr>
                  <w:tcW w:w="393" w:type="pct"/>
                  <w:vMerge w:val="continue"/>
                  <w:noWrap w:val="0"/>
                  <w:vAlign w:val="center"/>
                </w:tcPr>
                <w:p>
                  <w:pPr>
                    <w:pStyle w:val="31"/>
                    <w:bidi w:val="0"/>
                    <w:rPr>
                      <w:rFonts w:hint="eastAsia"/>
                      <w:color w:val="auto"/>
                      <w:lang w:eastAsia="zh-CN"/>
                    </w:rPr>
                  </w:pPr>
                </w:p>
              </w:tc>
              <w:tc>
                <w:tcPr>
                  <w:tcW w:w="469" w:type="pct"/>
                  <w:vMerge w:val="continue"/>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31"/>
                    <w:bidi w:val="0"/>
                    <w:rPr>
                      <w:rFonts w:hint="default"/>
                      <w:color w:val="auto"/>
                      <w:lang w:val="en-US" w:eastAsia="zh-CN"/>
                    </w:rPr>
                  </w:pPr>
                  <w:r>
                    <w:rPr>
                      <w:rFonts w:hint="eastAsia"/>
                      <w:color w:val="auto"/>
                      <w:lang w:val="en-US" w:eastAsia="zh-CN"/>
                    </w:rPr>
                    <w:t>5</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废包装材料</w:t>
                  </w:r>
                </w:p>
              </w:tc>
              <w:tc>
                <w:tcPr>
                  <w:tcW w:w="553" w:type="pct"/>
                  <w:vMerge w:val="continue"/>
                  <w:noWrap w:val="0"/>
                  <w:vAlign w:val="center"/>
                </w:tcPr>
                <w:p>
                  <w:pPr>
                    <w:pStyle w:val="31"/>
                    <w:bidi w:val="0"/>
                    <w:rPr>
                      <w:rFonts w:hint="eastAsia"/>
                      <w:color w:val="auto"/>
                      <w:lang w:eastAsia="zh-CN"/>
                    </w:rPr>
                  </w:pPr>
                </w:p>
              </w:tc>
              <w:tc>
                <w:tcPr>
                  <w:tcW w:w="673" w:type="pct"/>
                  <w:noWrap w:val="0"/>
                  <w:vAlign w:val="center"/>
                </w:tcPr>
                <w:p>
                  <w:pPr>
                    <w:pStyle w:val="31"/>
                    <w:bidi w:val="0"/>
                    <w:rPr>
                      <w:rFonts w:hint="default"/>
                      <w:color w:val="auto"/>
                      <w:lang w:val="en-US" w:eastAsia="zh-CN"/>
                    </w:rPr>
                  </w:pPr>
                  <w:r>
                    <w:rPr>
                      <w:rFonts w:hint="eastAsia"/>
                      <w:color w:val="auto"/>
                    </w:rPr>
                    <w:t>900-</w:t>
                  </w:r>
                  <w:r>
                    <w:rPr>
                      <w:rFonts w:hint="eastAsia"/>
                      <w:color w:val="auto"/>
                      <w:lang w:val="en-US" w:eastAsia="zh-CN"/>
                    </w:rPr>
                    <w:t>003-S17</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3</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一般原辅材料使用</w:t>
                  </w:r>
                </w:p>
              </w:tc>
              <w:tc>
                <w:tcPr>
                  <w:tcW w:w="267" w:type="pct"/>
                  <w:noWrap w:val="0"/>
                  <w:vAlign w:val="center"/>
                </w:tcPr>
                <w:p>
                  <w:pPr>
                    <w:pStyle w:val="31"/>
                    <w:bidi w:val="0"/>
                    <w:rPr>
                      <w:rFonts w:hint="default"/>
                      <w:color w:val="auto"/>
                      <w:lang w:val="en-US" w:eastAsia="zh-CN"/>
                    </w:rPr>
                  </w:pPr>
                  <w:r>
                    <w:rPr>
                      <w:rFonts w:hint="eastAsia"/>
                      <w:color w:val="auto"/>
                      <w:lang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val="en-US" w:eastAsia="zh-CN"/>
                    </w:rPr>
                  </w:pPr>
                  <w:r>
                    <w:rPr>
                      <w:rFonts w:hint="eastAsia"/>
                      <w:color w:val="auto"/>
                      <w:lang w:val="en-US" w:eastAsia="zh-CN"/>
                    </w:rPr>
                    <w:t>每天</w:t>
                  </w:r>
                </w:p>
              </w:tc>
              <w:tc>
                <w:tcPr>
                  <w:tcW w:w="393" w:type="pct"/>
                  <w:vMerge w:val="continue"/>
                  <w:noWrap w:val="0"/>
                  <w:vAlign w:val="center"/>
                </w:tcPr>
                <w:p>
                  <w:pPr>
                    <w:pStyle w:val="31"/>
                    <w:bidi w:val="0"/>
                    <w:rPr>
                      <w:rFonts w:hint="eastAsia"/>
                      <w:color w:val="auto"/>
                      <w:lang w:eastAsia="zh-CN"/>
                    </w:rPr>
                  </w:pPr>
                </w:p>
              </w:tc>
              <w:tc>
                <w:tcPr>
                  <w:tcW w:w="469" w:type="pct"/>
                  <w:vMerge w:val="continue"/>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571"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污水处理污泥</w:t>
                  </w:r>
                </w:p>
              </w:tc>
              <w:tc>
                <w:tcPr>
                  <w:tcW w:w="553" w:type="pct"/>
                  <w:vMerge w:val="continue"/>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p>
              </w:tc>
              <w:tc>
                <w:tcPr>
                  <w:tcW w:w="673"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462-001-S90</w:t>
                  </w:r>
                </w:p>
              </w:tc>
              <w:tc>
                <w:tcPr>
                  <w:tcW w:w="415"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1.938</w:t>
                  </w:r>
                </w:p>
              </w:tc>
              <w:tc>
                <w:tcPr>
                  <w:tcW w:w="523"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化粪池、一体化污水处理设施</w:t>
                  </w:r>
                </w:p>
              </w:tc>
              <w:tc>
                <w:tcPr>
                  <w:tcW w:w="267"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固态</w:t>
                  </w:r>
                </w:p>
              </w:tc>
              <w:tc>
                <w:tcPr>
                  <w:tcW w:w="416"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261"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268" w:type="pct"/>
                  <w:shd w:val="clear" w:color="auto" w:fill="auto"/>
                  <w:noWrap w:val="0"/>
                  <w:vAlign w:val="center"/>
                </w:tcPr>
                <w:p>
                  <w:pPr>
                    <w:pStyle w:val="31"/>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每半年</w:t>
                  </w:r>
                </w:p>
              </w:tc>
              <w:tc>
                <w:tcPr>
                  <w:tcW w:w="393" w:type="pct"/>
                  <w:vMerge w:val="continue"/>
                  <w:noWrap w:val="0"/>
                  <w:vAlign w:val="center"/>
                </w:tcPr>
                <w:p>
                  <w:pPr>
                    <w:pStyle w:val="31"/>
                    <w:bidi w:val="0"/>
                    <w:rPr>
                      <w:rFonts w:hint="eastAsia"/>
                      <w:color w:val="auto"/>
                      <w:lang w:eastAsia="zh-CN"/>
                    </w:rPr>
                  </w:pPr>
                </w:p>
              </w:tc>
              <w:tc>
                <w:tcPr>
                  <w:tcW w:w="469" w:type="pct"/>
                  <w:vMerge w:val="continue"/>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7</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工艺收集尘</w:t>
                  </w:r>
                </w:p>
              </w:tc>
              <w:tc>
                <w:tcPr>
                  <w:tcW w:w="553" w:type="pct"/>
                  <w:vMerge w:val="continue"/>
                  <w:noWrap w:val="0"/>
                  <w:vAlign w:val="center"/>
                </w:tcPr>
                <w:p>
                  <w:pPr>
                    <w:pStyle w:val="31"/>
                    <w:bidi w:val="0"/>
                    <w:rPr>
                      <w:rFonts w:hint="eastAsia"/>
                      <w:color w:val="auto"/>
                      <w:lang w:eastAsia="zh-CN"/>
                    </w:rPr>
                  </w:pPr>
                </w:p>
              </w:tc>
              <w:tc>
                <w:tcPr>
                  <w:tcW w:w="673" w:type="pct"/>
                  <w:noWrap w:val="0"/>
                  <w:vAlign w:val="center"/>
                </w:tcPr>
                <w:p>
                  <w:pPr>
                    <w:pStyle w:val="31"/>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57.555</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粉料仓呼吸尘处理</w:t>
                  </w:r>
                </w:p>
              </w:tc>
              <w:tc>
                <w:tcPr>
                  <w:tcW w:w="267" w:type="pct"/>
                  <w:noWrap w:val="0"/>
                  <w:vAlign w:val="center"/>
                </w:tcPr>
                <w:p>
                  <w:pPr>
                    <w:pStyle w:val="31"/>
                    <w:bidi w:val="0"/>
                    <w:rPr>
                      <w:rFonts w:hint="default"/>
                      <w:color w:val="auto"/>
                      <w:lang w:val="en-US" w:eastAsia="zh-CN"/>
                    </w:rPr>
                  </w:pPr>
                  <w:r>
                    <w:rPr>
                      <w:rFonts w:hint="eastAsia"/>
                      <w:color w:val="auto"/>
                      <w:lang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val="en-US" w:eastAsia="zh-CN"/>
                    </w:rPr>
                  </w:pPr>
                  <w:r>
                    <w:rPr>
                      <w:rFonts w:hint="eastAsia"/>
                      <w:color w:val="auto"/>
                      <w:lang w:val="en-US" w:eastAsia="zh-CN"/>
                    </w:rPr>
                    <w:t>每天</w:t>
                  </w:r>
                </w:p>
              </w:tc>
              <w:tc>
                <w:tcPr>
                  <w:tcW w:w="862" w:type="pct"/>
                  <w:gridSpan w:val="2"/>
                  <w:vMerge w:val="restart"/>
                  <w:noWrap w:val="0"/>
                  <w:vAlign w:val="center"/>
                </w:tcPr>
                <w:p>
                  <w:pPr>
                    <w:pStyle w:val="31"/>
                    <w:bidi w:val="0"/>
                    <w:rPr>
                      <w:rFonts w:hint="eastAsia"/>
                      <w:color w:val="auto"/>
                      <w:lang w:eastAsia="zh-CN"/>
                    </w:rPr>
                  </w:pPr>
                  <w:r>
                    <w:rPr>
                      <w:rFonts w:hint="eastAsia"/>
                      <w:color w:val="auto"/>
                      <w:lang w:eastAsia="zh-CN"/>
                    </w:rPr>
                    <w:t>收集回用于生产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8</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废水处理沉渣</w:t>
                  </w:r>
                </w:p>
              </w:tc>
              <w:tc>
                <w:tcPr>
                  <w:tcW w:w="553" w:type="pct"/>
                  <w:vMerge w:val="continue"/>
                  <w:noWrap w:val="0"/>
                  <w:vAlign w:val="center"/>
                </w:tcPr>
                <w:p>
                  <w:pPr>
                    <w:pStyle w:val="31"/>
                    <w:bidi w:val="0"/>
                    <w:rPr>
                      <w:rFonts w:hint="eastAsia"/>
                      <w:color w:val="auto"/>
                      <w:lang w:eastAsia="zh-CN"/>
                    </w:rPr>
                  </w:pPr>
                </w:p>
              </w:tc>
              <w:tc>
                <w:tcPr>
                  <w:tcW w:w="673" w:type="pct"/>
                  <w:noWrap w:val="0"/>
                  <w:vAlign w:val="center"/>
                </w:tcPr>
                <w:p>
                  <w:pPr>
                    <w:pStyle w:val="31"/>
                    <w:bidi w:val="0"/>
                    <w:rPr>
                      <w:rFonts w:hint="eastAsia"/>
                      <w:color w:val="auto"/>
                      <w:lang w:val="en-US" w:eastAsia="zh-CN"/>
                    </w:rPr>
                  </w:pPr>
                  <w:r>
                    <w:rPr>
                      <w:rFonts w:hint="eastAsia"/>
                      <w:color w:val="auto"/>
                      <w:lang w:val="en-US" w:eastAsia="zh-CN"/>
                    </w:rPr>
                    <w:t>900-099--S17</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165.53</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设备冲洗、地面冲洗、洗车废水、试验废水、初期雨水</w:t>
                  </w:r>
                </w:p>
              </w:tc>
              <w:tc>
                <w:tcPr>
                  <w:tcW w:w="267" w:type="pct"/>
                  <w:noWrap w:val="0"/>
                  <w:vAlign w:val="center"/>
                </w:tcPr>
                <w:p>
                  <w:pPr>
                    <w:pStyle w:val="31"/>
                    <w:bidi w:val="0"/>
                    <w:rPr>
                      <w:rFonts w:hint="eastAsia"/>
                      <w:color w:val="auto"/>
                      <w:lang w:eastAsia="zh-CN"/>
                    </w:rPr>
                  </w:pPr>
                  <w:r>
                    <w:rPr>
                      <w:rFonts w:hint="eastAsia"/>
                      <w:color w:val="auto"/>
                      <w:lang w:eastAsia="zh-CN"/>
                    </w:rPr>
                    <w:t>固态</w:t>
                  </w:r>
                </w:p>
              </w:tc>
              <w:tc>
                <w:tcPr>
                  <w:tcW w:w="416" w:type="pct"/>
                  <w:noWrap w:val="0"/>
                  <w:vAlign w:val="center"/>
                </w:tcPr>
                <w:p>
                  <w:pPr>
                    <w:pStyle w:val="31"/>
                    <w:bidi w:val="0"/>
                    <w:rPr>
                      <w:rFonts w:hint="default"/>
                      <w:color w:val="auto"/>
                      <w:lang w:val="en-US" w:eastAsia="zh-CN"/>
                    </w:rPr>
                  </w:pPr>
                  <w:r>
                    <w:rPr>
                      <w:rFonts w:hint="eastAsia"/>
                      <w:color w:val="auto"/>
                      <w:lang w:val="en-US" w:eastAsia="zh-CN"/>
                    </w:rPr>
                    <w:t>/</w:t>
                  </w:r>
                </w:p>
              </w:tc>
              <w:tc>
                <w:tcPr>
                  <w:tcW w:w="261" w:type="pct"/>
                  <w:noWrap w:val="0"/>
                  <w:vAlign w:val="center"/>
                </w:tcPr>
                <w:p>
                  <w:pPr>
                    <w:pStyle w:val="31"/>
                    <w:bidi w:val="0"/>
                    <w:rPr>
                      <w:rFonts w:hint="default"/>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lang w:val="en-US" w:eastAsia="zh-CN"/>
                    </w:rPr>
                  </w:pPr>
                  <w:r>
                    <w:rPr>
                      <w:rFonts w:hint="eastAsia"/>
                      <w:color w:val="auto"/>
                      <w:lang w:val="en-US" w:eastAsia="zh-CN"/>
                    </w:rPr>
                    <w:t>每天</w:t>
                  </w:r>
                </w:p>
              </w:tc>
              <w:tc>
                <w:tcPr>
                  <w:tcW w:w="862" w:type="pct"/>
                  <w:gridSpan w:val="2"/>
                  <w:vMerge w:val="continue"/>
                  <w:noWrap w:val="0"/>
                  <w:vAlign w:val="center"/>
                </w:tcPr>
                <w:p>
                  <w:pPr>
                    <w:pStyle w:val="31"/>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9</w:t>
                  </w:r>
                </w:p>
              </w:tc>
              <w:tc>
                <w:tcPr>
                  <w:tcW w:w="571" w:type="pct"/>
                  <w:noWrap w:val="0"/>
                  <w:vAlign w:val="center"/>
                </w:tcPr>
                <w:p>
                  <w:pPr>
                    <w:pStyle w:val="31"/>
                    <w:bidi w:val="0"/>
                    <w:rPr>
                      <w:rFonts w:hint="default"/>
                      <w:color w:val="auto"/>
                      <w:lang w:val="en-US" w:eastAsia="zh-CN"/>
                    </w:rPr>
                  </w:pPr>
                  <w:r>
                    <w:rPr>
                      <w:rFonts w:hint="eastAsia"/>
                      <w:color w:val="auto"/>
                      <w:lang w:eastAsia="zh-CN"/>
                    </w:rPr>
                    <w:t>废机油</w:t>
                  </w:r>
                </w:p>
              </w:tc>
              <w:tc>
                <w:tcPr>
                  <w:tcW w:w="553" w:type="pct"/>
                  <w:vMerge w:val="restart"/>
                  <w:noWrap w:val="0"/>
                  <w:vAlign w:val="center"/>
                </w:tcPr>
                <w:p>
                  <w:pPr>
                    <w:pStyle w:val="31"/>
                    <w:bidi w:val="0"/>
                    <w:rPr>
                      <w:rFonts w:hint="eastAsia"/>
                      <w:color w:val="auto"/>
                      <w:lang w:eastAsia="zh-CN"/>
                    </w:rPr>
                  </w:pPr>
                  <w:r>
                    <w:rPr>
                      <w:rFonts w:hint="eastAsia"/>
                      <w:color w:val="auto"/>
                      <w:lang w:eastAsia="zh-CN"/>
                    </w:rPr>
                    <w:t>危险废物</w:t>
                  </w:r>
                </w:p>
              </w:tc>
              <w:tc>
                <w:tcPr>
                  <w:tcW w:w="673" w:type="pct"/>
                  <w:noWrap w:val="0"/>
                  <w:vAlign w:val="center"/>
                </w:tcPr>
                <w:p>
                  <w:pPr>
                    <w:pStyle w:val="31"/>
                    <w:bidi w:val="0"/>
                    <w:rPr>
                      <w:rFonts w:hint="default"/>
                      <w:color w:val="auto"/>
                      <w:lang w:val="en-US" w:eastAsia="zh-CN"/>
                    </w:rPr>
                  </w:pPr>
                  <w:r>
                    <w:rPr>
                      <w:rFonts w:hint="eastAsia"/>
                      <w:color w:val="auto"/>
                    </w:rPr>
                    <w:t>HW</w:t>
                  </w:r>
                  <w:r>
                    <w:rPr>
                      <w:rFonts w:hint="eastAsia"/>
                      <w:color w:val="auto"/>
                      <w:lang w:val="en-US" w:eastAsia="zh-CN"/>
                    </w:rPr>
                    <w:t>08</w:t>
                  </w:r>
                </w:p>
                <w:p>
                  <w:pPr>
                    <w:pStyle w:val="31"/>
                    <w:bidi w:val="0"/>
                    <w:rPr>
                      <w:rFonts w:hint="default"/>
                      <w:color w:val="auto"/>
                      <w:lang w:val="en-US" w:eastAsia="zh-CN"/>
                    </w:rPr>
                  </w:pPr>
                  <w:r>
                    <w:rPr>
                      <w:rFonts w:hint="eastAsia"/>
                      <w:color w:val="auto"/>
                    </w:rPr>
                    <w:t>900-</w:t>
                  </w:r>
                  <w:r>
                    <w:rPr>
                      <w:rFonts w:hint="eastAsia"/>
                      <w:color w:val="auto"/>
                      <w:lang w:val="en-US" w:eastAsia="zh-CN"/>
                    </w:rPr>
                    <w:t>214-08</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0.2</w:t>
                  </w:r>
                </w:p>
              </w:tc>
              <w:tc>
                <w:tcPr>
                  <w:tcW w:w="523" w:type="pct"/>
                  <w:noWrap w:val="0"/>
                  <w:vAlign w:val="center"/>
                </w:tcPr>
                <w:p>
                  <w:pPr>
                    <w:pStyle w:val="31"/>
                    <w:bidi w:val="0"/>
                    <w:rPr>
                      <w:rFonts w:hint="default"/>
                      <w:color w:val="auto"/>
                      <w:lang w:val="en-US" w:eastAsia="zh-CN"/>
                    </w:rPr>
                  </w:pPr>
                  <w:r>
                    <w:rPr>
                      <w:rFonts w:hint="eastAsia"/>
                      <w:color w:val="auto"/>
                      <w:lang w:eastAsia="zh-CN"/>
                    </w:rPr>
                    <w:t>设备维护保养</w:t>
                  </w:r>
                </w:p>
              </w:tc>
              <w:tc>
                <w:tcPr>
                  <w:tcW w:w="267" w:type="pct"/>
                  <w:noWrap w:val="0"/>
                  <w:vAlign w:val="center"/>
                </w:tcPr>
                <w:p>
                  <w:pPr>
                    <w:pStyle w:val="31"/>
                    <w:bidi w:val="0"/>
                    <w:rPr>
                      <w:rFonts w:hint="eastAsia"/>
                      <w:color w:val="auto"/>
                      <w:lang w:eastAsia="zh-CN"/>
                    </w:rPr>
                  </w:pPr>
                  <w:r>
                    <w:rPr>
                      <w:rFonts w:hint="eastAsia"/>
                      <w:color w:val="auto"/>
                      <w:lang w:eastAsia="zh-CN"/>
                    </w:rPr>
                    <w:t>液态</w:t>
                  </w:r>
                </w:p>
              </w:tc>
              <w:tc>
                <w:tcPr>
                  <w:tcW w:w="416" w:type="pct"/>
                  <w:noWrap w:val="0"/>
                  <w:vAlign w:val="center"/>
                </w:tcPr>
                <w:p>
                  <w:pPr>
                    <w:pStyle w:val="31"/>
                    <w:bidi w:val="0"/>
                    <w:rPr>
                      <w:color w:val="auto"/>
                    </w:rPr>
                  </w:pPr>
                  <w:r>
                    <w:rPr>
                      <w:rFonts w:hint="eastAsia"/>
                      <w:color w:val="auto"/>
                      <w:lang w:eastAsia="zh-CN"/>
                    </w:rPr>
                    <w:t>矿物油</w:t>
                  </w:r>
                </w:p>
              </w:tc>
              <w:tc>
                <w:tcPr>
                  <w:tcW w:w="261" w:type="pct"/>
                  <w:noWrap w:val="0"/>
                  <w:vAlign w:val="center"/>
                </w:tcPr>
                <w:p>
                  <w:pPr>
                    <w:pStyle w:val="31"/>
                    <w:bidi w:val="0"/>
                    <w:rPr>
                      <w:rFonts w:hint="eastAsia"/>
                      <w:color w:val="auto"/>
                    </w:rPr>
                  </w:pPr>
                  <w:r>
                    <w:rPr>
                      <w:color w:val="auto"/>
                    </w:rPr>
                    <w:t>T，</w:t>
                  </w:r>
                  <w:r>
                    <w:rPr>
                      <w:rFonts w:hint="eastAsia"/>
                      <w:color w:val="auto"/>
                    </w:rPr>
                    <w:t>I</w:t>
                  </w:r>
                </w:p>
              </w:tc>
              <w:tc>
                <w:tcPr>
                  <w:tcW w:w="268" w:type="pct"/>
                  <w:noWrap w:val="0"/>
                  <w:vAlign w:val="center"/>
                </w:tcPr>
                <w:p>
                  <w:pPr>
                    <w:pStyle w:val="31"/>
                    <w:bidi w:val="0"/>
                    <w:rPr>
                      <w:rFonts w:hint="eastAsia"/>
                      <w:color w:val="auto"/>
                      <w:lang w:eastAsia="zh-CN"/>
                    </w:rPr>
                  </w:pPr>
                  <w:r>
                    <w:rPr>
                      <w:rFonts w:hint="eastAsia"/>
                      <w:color w:val="auto"/>
                      <w:lang w:eastAsia="zh-CN"/>
                    </w:rPr>
                    <w:t>每年</w:t>
                  </w:r>
                </w:p>
              </w:tc>
              <w:tc>
                <w:tcPr>
                  <w:tcW w:w="393" w:type="pct"/>
                  <w:vMerge w:val="restart"/>
                  <w:noWrap w:val="0"/>
                  <w:vAlign w:val="center"/>
                </w:tcPr>
                <w:p>
                  <w:pPr>
                    <w:pStyle w:val="31"/>
                    <w:bidi w:val="0"/>
                    <w:rPr>
                      <w:rFonts w:hint="eastAsia"/>
                      <w:color w:val="auto"/>
                      <w:lang w:eastAsia="zh-CN"/>
                    </w:rPr>
                  </w:pPr>
                  <w:r>
                    <w:rPr>
                      <w:rFonts w:hint="eastAsia"/>
                      <w:color w:val="auto"/>
                      <w:lang w:val="en-US" w:eastAsia="zh-CN"/>
                    </w:rPr>
                    <w:t>密闭容器装存，</w:t>
                  </w:r>
                  <w:r>
                    <w:rPr>
                      <w:rFonts w:hint="eastAsia"/>
                      <w:color w:val="auto"/>
                    </w:rPr>
                    <w:t>分</w:t>
                  </w:r>
                  <w:r>
                    <w:rPr>
                      <w:rFonts w:hint="eastAsia"/>
                      <w:color w:val="auto"/>
                      <w:lang w:eastAsia="zh-CN"/>
                    </w:rPr>
                    <w:t>区</w:t>
                  </w:r>
                  <w:r>
                    <w:rPr>
                      <w:rFonts w:hint="eastAsia"/>
                      <w:color w:val="auto"/>
                    </w:rPr>
                    <w:t>暂存于危险废物贮存</w:t>
                  </w:r>
                  <w:r>
                    <w:rPr>
                      <w:rFonts w:hint="eastAsia"/>
                      <w:color w:val="auto"/>
                      <w:lang w:eastAsia="zh-CN"/>
                    </w:rPr>
                    <w:t>库</w:t>
                  </w:r>
                </w:p>
              </w:tc>
              <w:tc>
                <w:tcPr>
                  <w:tcW w:w="469" w:type="pct"/>
                  <w:vMerge w:val="restart"/>
                  <w:noWrap w:val="0"/>
                  <w:vAlign w:val="center"/>
                </w:tcPr>
                <w:p>
                  <w:pPr>
                    <w:pStyle w:val="31"/>
                    <w:bidi w:val="0"/>
                    <w:rPr>
                      <w:rFonts w:hint="eastAsia"/>
                      <w:color w:val="auto"/>
                      <w:lang w:eastAsia="zh-CN"/>
                    </w:rPr>
                  </w:pPr>
                  <w:r>
                    <w:rPr>
                      <w:rFonts w:hint="eastAsia"/>
                      <w:color w:val="auto"/>
                      <w:lang w:eastAsia="zh-CN"/>
                    </w:rPr>
                    <w:t>定期委托危险废物资质单位清运处置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571" w:type="pct"/>
                  <w:noWrap w:val="0"/>
                  <w:vAlign w:val="center"/>
                </w:tcPr>
                <w:p>
                  <w:pPr>
                    <w:pStyle w:val="31"/>
                    <w:bidi w:val="0"/>
                    <w:rPr>
                      <w:rFonts w:hint="default"/>
                      <w:color w:val="auto"/>
                      <w:lang w:val="en-US" w:eastAsia="zh-CN"/>
                    </w:rPr>
                  </w:pPr>
                  <w:r>
                    <w:rPr>
                      <w:rFonts w:hint="eastAsia"/>
                      <w:color w:val="auto"/>
                      <w:lang w:eastAsia="zh-CN"/>
                    </w:rPr>
                    <w:t>废油桶</w:t>
                  </w:r>
                </w:p>
              </w:tc>
              <w:tc>
                <w:tcPr>
                  <w:tcW w:w="553" w:type="pct"/>
                  <w:vMerge w:val="continue"/>
                  <w:noWrap w:val="0"/>
                  <w:vAlign w:val="center"/>
                </w:tcPr>
                <w:p>
                  <w:pPr>
                    <w:pStyle w:val="31"/>
                    <w:bidi w:val="0"/>
                    <w:rPr>
                      <w:color w:val="auto"/>
                    </w:rPr>
                  </w:pPr>
                </w:p>
              </w:tc>
              <w:tc>
                <w:tcPr>
                  <w:tcW w:w="673" w:type="pct"/>
                  <w:noWrap w:val="0"/>
                  <w:vAlign w:val="center"/>
                </w:tcPr>
                <w:p>
                  <w:pPr>
                    <w:pStyle w:val="31"/>
                    <w:bidi w:val="0"/>
                    <w:rPr>
                      <w:rFonts w:hint="default"/>
                      <w:color w:val="auto"/>
                      <w:lang w:val="en-US" w:eastAsia="zh-CN"/>
                    </w:rPr>
                  </w:pPr>
                  <w:r>
                    <w:rPr>
                      <w:rFonts w:hint="eastAsia"/>
                      <w:color w:val="auto"/>
                    </w:rPr>
                    <w:t>HW</w:t>
                  </w:r>
                  <w:r>
                    <w:rPr>
                      <w:rFonts w:hint="eastAsia"/>
                      <w:color w:val="auto"/>
                      <w:lang w:val="en-US" w:eastAsia="zh-CN"/>
                    </w:rPr>
                    <w:t>08</w:t>
                  </w:r>
                </w:p>
                <w:p>
                  <w:pPr>
                    <w:pStyle w:val="31"/>
                    <w:bidi w:val="0"/>
                    <w:rPr>
                      <w:rFonts w:hint="default"/>
                      <w:color w:val="auto"/>
                      <w:lang w:val="en-US" w:eastAsia="zh-CN"/>
                    </w:rPr>
                  </w:pPr>
                  <w:r>
                    <w:rPr>
                      <w:rFonts w:hint="eastAsia"/>
                      <w:color w:val="auto"/>
                    </w:rPr>
                    <w:t>900-</w:t>
                  </w:r>
                  <w:r>
                    <w:rPr>
                      <w:rFonts w:hint="eastAsia"/>
                      <w:color w:val="auto"/>
                      <w:lang w:val="en-US" w:eastAsia="zh-CN"/>
                    </w:rPr>
                    <w:t>249-08</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0.05</w:t>
                  </w:r>
                </w:p>
              </w:tc>
              <w:tc>
                <w:tcPr>
                  <w:tcW w:w="523" w:type="pct"/>
                  <w:noWrap w:val="0"/>
                  <w:vAlign w:val="center"/>
                </w:tcPr>
                <w:p>
                  <w:pPr>
                    <w:pStyle w:val="31"/>
                    <w:bidi w:val="0"/>
                    <w:rPr>
                      <w:rFonts w:hint="eastAsia"/>
                      <w:color w:val="auto"/>
                      <w:lang w:val="en-US" w:eastAsia="zh-CN"/>
                    </w:rPr>
                  </w:pPr>
                  <w:r>
                    <w:rPr>
                      <w:rFonts w:hint="eastAsia"/>
                      <w:color w:val="auto"/>
                      <w:lang w:eastAsia="zh-CN"/>
                    </w:rPr>
                    <w:t>设备维护保养</w:t>
                  </w:r>
                </w:p>
              </w:tc>
              <w:tc>
                <w:tcPr>
                  <w:tcW w:w="267" w:type="pct"/>
                  <w:noWrap w:val="0"/>
                  <w:vAlign w:val="center"/>
                </w:tcPr>
                <w:p>
                  <w:pPr>
                    <w:pStyle w:val="31"/>
                    <w:bidi w:val="0"/>
                    <w:rPr>
                      <w:rFonts w:hint="eastAsia"/>
                      <w:color w:val="auto"/>
                      <w:lang w:eastAsia="zh-CN"/>
                    </w:rPr>
                  </w:pPr>
                  <w:r>
                    <w:rPr>
                      <w:rFonts w:hint="eastAsia"/>
                      <w:color w:val="auto"/>
                      <w:lang w:eastAsia="zh-CN"/>
                    </w:rPr>
                    <w:t>固态</w:t>
                  </w:r>
                </w:p>
              </w:tc>
              <w:tc>
                <w:tcPr>
                  <w:tcW w:w="416" w:type="pct"/>
                  <w:noWrap w:val="0"/>
                  <w:vAlign w:val="center"/>
                </w:tcPr>
                <w:p>
                  <w:pPr>
                    <w:pStyle w:val="31"/>
                    <w:bidi w:val="0"/>
                    <w:rPr>
                      <w:rFonts w:hint="default"/>
                      <w:color w:val="auto"/>
                      <w:lang w:val="en-US" w:eastAsia="zh-CN"/>
                    </w:rPr>
                  </w:pPr>
                  <w:r>
                    <w:rPr>
                      <w:rFonts w:hint="eastAsia"/>
                      <w:color w:val="auto"/>
                      <w:lang w:eastAsia="zh-CN"/>
                    </w:rPr>
                    <w:t>矿物油</w:t>
                  </w:r>
                </w:p>
              </w:tc>
              <w:tc>
                <w:tcPr>
                  <w:tcW w:w="261" w:type="pct"/>
                  <w:noWrap w:val="0"/>
                  <w:vAlign w:val="center"/>
                </w:tcPr>
                <w:p>
                  <w:pPr>
                    <w:pStyle w:val="31"/>
                    <w:bidi w:val="0"/>
                    <w:rPr>
                      <w:rFonts w:hint="eastAsia"/>
                      <w:color w:val="auto"/>
                      <w:lang w:val="en-US" w:eastAsia="zh-CN"/>
                    </w:rPr>
                  </w:pPr>
                  <w:r>
                    <w:rPr>
                      <w:color w:val="auto"/>
                    </w:rPr>
                    <w:t>T</w:t>
                  </w:r>
                </w:p>
              </w:tc>
              <w:tc>
                <w:tcPr>
                  <w:tcW w:w="268" w:type="pct"/>
                  <w:noWrap w:val="0"/>
                  <w:vAlign w:val="center"/>
                </w:tcPr>
                <w:p>
                  <w:pPr>
                    <w:pStyle w:val="31"/>
                    <w:bidi w:val="0"/>
                    <w:rPr>
                      <w:rFonts w:hint="eastAsia"/>
                      <w:color w:val="auto"/>
                    </w:rPr>
                  </w:pPr>
                  <w:r>
                    <w:rPr>
                      <w:rFonts w:hint="eastAsia"/>
                      <w:color w:val="auto"/>
                      <w:lang w:eastAsia="zh-CN"/>
                    </w:rPr>
                    <w:t>每年</w:t>
                  </w:r>
                </w:p>
              </w:tc>
              <w:tc>
                <w:tcPr>
                  <w:tcW w:w="393" w:type="pct"/>
                  <w:vMerge w:val="continue"/>
                  <w:noWrap w:val="0"/>
                  <w:vAlign w:val="center"/>
                </w:tcPr>
                <w:p>
                  <w:pPr>
                    <w:pStyle w:val="31"/>
                    <w:bidi w:val="0"/>
                    <w:rPr>
                      <w:color w:val="auto"/>
                    </w:rPr>
                  </w:pPr>
                </w:p>
              </w:tc>
              <w:tc>
                <w:tcPr>
                  <w:tcW w:w="469" w:type="pct"/>
                  <w:vMerge w:val="continue"/>
                  <w:noWrap w:val="0"/>
                  <w:vAlign w:val="center"/>
                </w:tcPr>
                <w:p>
                  <w:pPr>
                    <w:pStyle w:val="31"/>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val="en-US" w:eastAsia="zh-CN"/>
                    </w:rPr>
                    <w:t>11</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废吸油毡</w:t>
                  </w:r>
                </w:p>
              </w:tc>
              <w:tc>
                <w:tcPr>
                  <w:tcW w:w="553" w:type="pct"/>
                  <w:vMerge w:val="continue"/>
                  <w:noWrap w:val="0"/>
                  <w:vAlign w:val="center"/>
                </w:tcPr>
                <w:p>
                  <w:pPr>
                    <w:pStyle w:val="31"/>
                    <w:bidi w:val="0"/>
                    <w:rPr>
                      <w:color w:val="auto"/>
                    </w:rPr>
                  </w:pPr>
                </w:p>
              </w:tc>
              <w:tc>
                <w:tcPr>
                  <w:tcW w:w="673" w:type="pct"/>
                  <w:noWrap w:val="0"/>
                  <w:vAlign w:val="center"/>
                </w:tcPr>
                <w:p>
                  <w:pPr>
                    <w:pStyle w:val="31"/>
                    <w:bidi w:val="0"/>
                    <w:rPr>
                      <w:rFonts w:hint="default"/>
                      <w:color w:val="auto"/>
                      <w:lang w:val="en-US" w:eastAsia="zh-CN"/>
                    </w:rPr>
                  </w:pPr>
                  <w:r>
                    <w:rPr>
                      <w:rFonts w:hint="eastAsia"/>
                      <w:color w:val="auto"/>
                    </w:rPr>
                    <w:t>HW</w:t>
                  </w:r>
                  <w:r>
                    <w:rPr>
                      <w:rFonts w:hint="eastAsia"/>
                      <w:color w:val="auto"/>
                      <w:lang w:val="en-US" w:eastAsia="zh-CN"/>
                    </w:rPr>
                    <w:t>49</w:t>
                  </w:r>
                </w:p>
                <w:p>
                  <w:pPr>
                    <w:pStyle w:val="31"/>
                    <w:bidi w:val="0"/>
                    <w:rPr>
                      <w:rFonts w:hint="default"/>
                      <w:color w:val="auto"/>
                      <w:lang w:val="en-US" w:eastAsia="zh-CN"/>
                    </w:rPr>
                  </w:pPr>
                  <w:r>
                    <w:rPr>
                      <w:rFonts w:hint="eastAsia"/>
                      <w:color w:val="auto"/>
                      <w:lang w:val="en-US" w:eastAsia="zh-CN"/>
                    </w:rPr>
                    <w:t>900-041-49</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0.3</w:t>
                  </w:r>
                </w:p>
              </w:tc>
              <w:tc>
                <w:tcPr>
                  <w:tcW w:w="523" w:type="pct"/>
                  <w:noWrap w:val="0"/>
                  <w:vAlign w:val="center"/>
                </w:tcPr>
                <w:p>
                  <w:pPr>
                    <w:pStyle w:val="31"/>
                    <w:bidi w:val="0"/>
                    <w:rPr>
                      <w:rFonts w:hint="default"/>
                      <w:color w:val="auto"/>
                      <w:lang w:val="en-US" w:eastAsia="zh-CN"/>
                    </w:rPr>
                  </w:pPr>
                  <w:r>
                    <w:rPr>
                      <w:rFonts w:hint="eastAsia"/>
                      <w:color w:val="auto"/>
                      <w:lang w:val="en-US" w:eastAsia="zh-CN"/>
                    </w:rPr>
                    <w:t>废水处理</w:t>
                  </w:r>
                </w:p>
              </w:tc>
              <w:tc>
                <w:tcPr>
                  <w:tcW w:w="267" w:type="pct"/>
                  <w:noWrap w:val="0"/>
                  <w:vAlign w:val="center"/>
                </w:tcPr>
                <w:p>
                  <w:pPr>
                    <w:pStyle w:val="31"/>
                    <w:bidi w:val="0"/>
                    <w:rPr>
                      <w:rFonts w:hint="eastAsia"/>
                      <w:color w:val="auto"/>
                      <w:lang w:val="en-US" w:eastAsia="zh-CN"/>
                    </w:rPr>
                  </w:pPr>
                  <w:r>
                    <w:rPr>
                      <w:rFonts w:hint="eastAsia"/>
                      <w:color w:val="auto"/>
                      <w:lang w:val="en-US" w:eastAsia="zh-CN"/>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矿物油</w:t>
                  </w:r>
                </w:p>
              </w:tc>
              <w:tc>
                <w:tcPr>
                  <w:tcW w:w="261" w:type="pct"/>
                  <w:noWrap w:val="0"/>
                  <w:vAlign w:val="center"/>
                </w:tcPr>
                <w:p>
                  <w:pPr>
                    <w:pStyle w:val="31"/>
                    <w:bidi w:val="0"/>
                    <w:rPr>
                      <w:rFonts w:hint="eastAsia"/>
                      <w:color w:val="auto"/>
                    </w:rPr>
                  </w:pPr>
                  <w:r>
                    <w:rPr>
                      <w:color w:val="auto"/>
                    </w:rPr>
                    <w:t>T</w:t>
                  </w:r>
                </w:p>
              </w:tc>
              <w:tc>
                <w:tcPr>
                  <w:tcW w:w="268" w:type="pct"/>
                  <w:noWrap w:val="0"/>
                  <w:vAlign w:val="center"/>
                </w:tcPr>
                <w:p>
                  <w:pPr>
                    <w:pStyle w:val="31"/>
                    <w:bidi w:val="0"/>
                    <w:rPr>
                      <w:rFonts w:hint="eastAsia"/>
                      <w:color w:val="auto"/>
                      <w:lang w:eastAsia="zh-CN"/>
                    </w:rPr>
                  </w:pPr>
                  <w:r>
                    <w:rPr>
                      <w:rFonts w:hint="eastAsia"/>
                      <w:color w:val="auto"/>
                      <w:lang w:eastAsia="zh-CN"/>
                    </w:rPr>
                    <w:t>每周</w:t>
                  </w:r>
                </w:p>
              </w:tc>
              <w:tc>
                <w:tcPr>
                  <w:tcW w:w="393" w:type="pct"/>
                  <w:vMerge w:val="continue"/>
                  <w:noWrap w:val="0"/>
                  <w:vAlign w:val="center"/>
                </w:tcPr>
                <w:p>
                  <w:pPr>
                    <w:pStyle w:val="31"/>
                    <w:bidi w:val="0"/>
                    <w:rPr>
                      <w:color w:val="auto"/>
                    </w:rPr>
                  </w:pPr>
                </w:p>
              </w:tc>
              <w:tc>
                <w:tcPr>
                  <w:tcW w:w="469" w:type="pct"/>
                  <w:vMerge w:val="continue"/>
                  <w:noWrap w:val="0"/>
                  <w:vAlign w:val="center"/>
                </w:tcPr>
                <w:p>
                  <w:pPr>
                    <w:pStyle w:val="31"/>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13</w:t>
                  </w:r>
                </w:p>
              </w:tc>
              <w:tc>
                <w:tcPr>
                  <w:tcW w:w="571" w:type="pct"/>
                  <w:noWrap w:val="0"/>
                  <w:vAlign w:val="center"/>
                </w:tcPr>
                <w:p>
                  <w:pPr>
                    <w:pStyle w:val="31"/>
                    <w:bidi w:val="0"/>
                    <w:rPr>
                      <w:rFonts w:hint="default"/>
                      <w:color w:val="auto"/>
                      <w:lang w:val="en-US" w:eastAsia="zh-CN"/>
                    </w:rPr>
                  </w:pPr>
                  <w:r>
                    <w:rPr>
                      <w:rFonts w:hint="eastAsia"/>
                      <w:color w:val="auto"/>
                      <w:lang w:val="en-US" w:eastAsia="zh-CN"/>
                    </w:rPr>
                    <w:t>含油废抹布及手套</w:t>
                  </w:r>
                </w:p>
              </w:tc>
              <w:tc>
                <w:tcPr>
                  <w:tcW w:w="553" w:type="pct"/>
                  <w:noWrap w:val="0"/>
                  <w:vAlign w:val="center"/>
                </w:tcPr>
                <w:p>
                  <w:pPr>
                    <w:pStyle w:val="31"/>
                    <w:bidi w:val="0"/>
                    <w:rPr>
                      <w:rFonts w:hint="eastAsia"/>
                      <w:color w:val="auto"/>
                      <w:lang w:eastAsia="zh-CN"/>
                    </w:rPr>
                  </w:pPr>
                  <w:r>
                    <w:rPr>
                      <w:rFonts w:hint="eastAsia"/>
                      <w:color w:val="auto"/>
                      <w:lang w:eastAsia="zh-CN"/>
                    </w:rPr>
                    <w:t>危险废物</w:t>
                  </w:r>
                </w:p>
                <w:p>
                  <w:pPr>
                    <w:pStyle w:val="31"/>
                    <w:bidi w:val="0"/>
                    <w:rPr>
                      <w:rFonts w:hint="eastAsia"/>
                      <w:color w:val="auto"/>
                      <w:lang w:eastAsia="zh-CN"/>
                    </w:rPr>
                  </w:pPr>
                  <w:r>
                    <w:rPr>
                      <w:rFonts w:hint="eastAsia"/>
                      <w:color w:val="auto"/>
                      <w:lang w:eastAsia="zh-CN"/>
                    </w:rPr>
                    <w:t>（豁免类）</w:t>
                  </w:r>
                </w:p>
              </w:tc>
              <w:tc>
                <w:tcPr>
                  <w:tcW w:w="673" w:type="pct"/>
                  <w:noWrap w:val="0"/>
                  <w:vAlign w:val="center"/>
                </w:tcPr>
                <w:p>
                  <w:pPr>
                    <w:pStyle w:val="31"/>
                    <w:bidi w:val="0"/>
                    <w:rPr>
                      <w:rFonts w:hint="default"/>
                      <w:color w:val="auto"/>
                      <w:lang w:val="en-US" w:eastAsia="zh-CN"/>
                    </w:rPr>
                  </w:pPr>
                  <w:r>
                    <w:rPr>
                      <w:rFonts w:hint="eastAsia"/>
                      <w:color w:val="auto"/>
                    </w:rPr>
                    <w:t>HW</w:t>
                  </w:r>
                  <w:r>
                    <w:rPr>
                      <w:rFonts w:hint="eastAsia"/>
                      <w:color w:val="auto"/>
                      <w:lang w:val="en-US" w:eastAsia="zh-CN"/>
                    </w:rPr>
                    <w:t>49</w:t>
                  </w:r>
                </w:p>
                <w:p>
                  <w:pPr>
                    <w:pStyle w:val="31"/>
                    <w:bidi w:val="0"/>
                    <w:rPr>
                      <w:rFonts w:hint="default"/>
                      <w:color w:val="auto"/>
                      <w:lang w:val="en-US" w:eastAsia="zh-CN"/>
                    </w:rPr>
                  </w:pPr>
                  <w:r>
                    <w:rPr>
                      <w:rFonts w:hint="eastAsia"/>
                      <w:color w:val="auto"/>
                      <w:lang w:val="en-US" w:eastAsia="zh-CN"/>
                    </w:rPr>
                    <w:t>900-041-49</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0.05</w:t>
                  </w:r>
                </w:p>
              </w:tc>
              <w:tc>
                <w:tcPr>
                  <w:tcW w:w="523" w:type="pct"/>
                  <w:noWrap w:val="0"/>
                  <w:vAlign w:val="center"/>
                </w:tcPr>
                <w:p>
                  <w:pPr>
                    <w:pStyle w:val="31"/>
                    <w:bidi w:val="0"/>
                    <w:rPr>
                      <w:rFonts w:hint="default"/>
                      <w:color w:val="auto"/>
                      <w:lang w:val="en-US" w:eastAsia="zh-CN"/>
                    </w:rPr>
                  </w:pPr>
                  <w:r>
                    <w:rPr>
                      <w:rFonts w:hint="eastAsia"/>
                      <w:color w:val="auto"/>
                      <w:lang w:eastAsia="zh-CN"/>
                    </w:rPr>
                    <w:t>设备维护保养</w:t>
                  </w:r>
                </w:p>
              </w:tc>
              <w:tc>
                <w:tcPr>
                  <w:tcW w:w="267" w:type="pct"/>
                  <w:noWrap w:val="0"/>
                  <w:vAlign w:val="center"/>
                </w:tcPr>
                <w:p>
                  <w:pPr>
                    <w:pStyle w:val="31"/>
                    <w:bidi w:val="0"/>
                    <w:rPr>
                      <w:rFonts w:hint="eastAsia"/>
                      <w:color w:val="auto"/>
                    </w:rPr>
                  </w:pPr>
                  <w:r>
                    <w:rPr>
                      <w:rFonts w:hint="eastAsia"/>
                      <w:color w:val="auto"/>
                    </w:rPr>
                    <w:t>固态</w:t>
                  </w:r>
                </w:p>
              </w:tc>
              <w:tc>
                <w:tcPr>
                  <w:tcW w:w="416" w:type="pct"/>
                  <w:noWrap w:val="0"/>
                  <w:vAlign w:val="center"/>
                </w:tcPr>
                <w:p>
                  <w:pPr>
                    <w:pStyle w:val="31"/>
                    <w:bidi w:val="0"/>
                    <w:rPr>
                      <w:rFonts w:hint="default"/>
                      <w:color w:val="auto"/>
                      <w:lang w:val="en-US" w:eastAsia="zh-CN"/>
                    </w:rPr>
                  </w:pPr>
                  <w:r>
                    <w:rPr>
                      <w:rFonts w:hint="eastAsia"/>
                      <w:color w:val="auto"/>
                      <w:lang w:val="en-US" w:eastAsia="zh-CN"/>
                    </w:rPr>
                    <w:t>矿物油</w:t>
                  </w:r>
                </w:p>
              </w:tc>
              <w:tc>
                <w:tcPr>
                  <w:tcW w:w="261" w:type="pct"/>
                  <w:noWrap w:val="0"/>
                  <w:vAlign w:val="center"/>
                </w:tcPr>
                <w:p>
                  <w:pPr>
                    <w:pStyle w:val="31"/>
                    <w:bidi w:val="0"/>
                    <w:rPr>
                      <w:color w:val="auto"/>
                    </w:rPr>
                  </w:pPr>
                  <w:r>
                    <w:rPr>
                      <w:rFonts w:hint="eastAsia"/>
                      <w:color w:val="auto"/>
                    </w:rPr>
                    <w:t>T</w:t>
                  </w:r>
                </w:p>
              </w:tc>
              <w:tc>
                <w:tcPr>
                  <w:tcW w:w="268" w:type="pct"/>
                  <w:noWrap w:val="0"/>
                  <w:vAlign w:val="center"/>
                </w:tcPr>
                <w:p>
                  <w:pPr>
                    <w:pStyle w:val="31"/>
                    <w:bidi w:val="0"/>
                    <w:rPr>
                      <w:rFonts w:hint="eastAsia"/>
                      <w:color w:val="auto"/>
                      <w:lang w:eastAsia="zh-CN"/>
                    </w:rPr>
                  </w:pPr>
                  <w:r>
                    <w:rPr>
                      <w:rFonts w:hint="eastAsia"/>
                      <w:color w:val="auto"/>
                      <w:lang w:eastAsia="zh-CN"/>
                    </w:rPr>
                    <w:t>每年</w:t>
                  </w:r>
                </w:p>
              </w:tc>
              <w:tc>
                <w:tcPr>
                  <w:tcW w:w="393" w:type="pct"/>
                  <w:noWrap w:val="0"/>
                  <w:vAlign w:val="center"/>
                </w:tcPr>
                <w:p>
                  <w:pPr>
                    <w:pStyle w:val="31"/>
                    <w:bidi w:val="0"/>
                    <w:rPr>
                      <w:rFonts w:hint="eastAsia"/>
                      <w:color w:val="auto"/>
                      <w:lang w:eastAsia="zh-CN"/>
                    </w:rPr>
                  </w:pPr>
                  <w:r>
                    <w:rPr>
                      <w:rFonts w:hint="eastAsia"/>
                      <w:color w:val="auto"/>
                      <w:lang w:eastAsia="zh-CN"/>
                    </w:rPr>
                    <w:t>混入生活垃圾</w:t>
                  </w:r>
                </w:p>
              </w:tc>
              <w:tc>
                <w:tcPr>
                  <w:tcW w:w="469" w:type="pct"/>
                  <w:noWrap w:val="0"/>
                  <w:vAlign w:val="center"/>
                </w:tcPr>
                <w:p>
                  <w:pPr>
                    <w:pStyle w:val="31"/>
                    <w:bidi w:val="0"/>
                    <w:rPr>
                      <w:color w:val="auto"/>
                    </w:rPr>
                  </w:pPr>
                  <w:r>
                    <w:rPr>
                      <w:rFonts w:hint="eastAsia"/>
                      <w:color w:val="auto"/>
                      <w:lang w:eastAsia="zh-CN"/>
                    </w:rPr>
                    <w:t>交由环卫部门统一清运处置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31"/>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14</w:t>
                  </w:r>
                </w:p>
              </w:tc>
              <w:tc>
                <w:tcPr>
                  <w:tcW w:w="571" w:type="pct"/>
                  <w:noWrap w:val="0"/>
                  <w:vAlign w:val="center"/>
                </w:tcPr>
                <w:p>
                  <w:pPr>
                    <w:pStyle w:val="31"/>
                    <w:bidi w:val="0"/>
                    <w:rPr>
                      <w:rFonts w:hint="eastAsia"/>
                      <w:color w:val="auto"/>
                      <w:lang w:eastAsia="zh-CN"/>
                    </w:rPr>
                  </w:pPr>
                  <w:r>
                    <w:rPr>
                      <w:rFonts w:hint="eastAsia"/>
                      <w:color w:val="auto"/>
                      <w:lang w:eastAsia="zh-CN"/>
                    </w:rPr>
                    <w:t>生活垃圾</w:t>
                  </w:r>
                </w:p>
              </w:tc>
              <w:tc>
                <w:tcPr>
                  <w:tcW w:w="553" w:type="pct"/>
                  <w:noWrap w:val="0"/>
                  <w:vAlign w:val="center"/>
                </w:tcPr>
                <w:p>
                  <w:pPr>
                    <w:pStyle w:val="31"/>
                    <w:bidi w:val="0"/>
                    <w:rPr>
                      <w:rFonts w:hint="eastAsia"/>
                      <w:color w:val="auto"/>
                      <w:lang w:eastAsia="zh-CN"/>
                    </w:rPr>
                  </w:pPr>
                  <w:r>
                    <w:rPr>
                      <w:rFonts w:hint="eastAsia"/>
                      <w:color w:val="auto"/>
                      <w:lang w:eastAsia="zh-CN"/>
                    </w:rPr>
                    <w:t>一般固废</w:t>
                  </w:r>
                </w:p>
              </w:tc>
              <w:tc>
                <w:tcPr>
                  <w:tcW w:w="673" w:type="pct"/>
                  <w:noWrap w:val="0"/>
                  <w:vAlign w:val="center"/>
                </w:tcPr>
                <w:p>
                  <w:pPr>
                    <w:pStyle w:val="31"/>
                    <w:bidi w:val="0"/>
                    <w:rPr>
                      <w:rFonts w:hint="eastAsia"/>
                      <w:color w:val="auto"/>
                      <w:lang w:val="en-US" w:eastAsia="zh-CN"/>
                    </w:rPr>
                  </w:pPr>
                  <w:r>
                    <w:rPr>
                      <w:rFonts w:hint="eastAsia"/>
                      <w:color w:val="auto"/>
                      <w:lang w:val="en-US" w:eastAsia="zh-CN"/>
                    </w:rPr>
                    <w:t>/</w:t>
                  </w:r>
                </w:p>
              </w:tc>
              <w:tc>
                <w:tcPr>
                  <w:tcW w:w="415" w:type="pct"/>
                  <w:noWrap w:val="0"/>
                  <w:vAlign w:val="center"/>
                </w:tcPr>
                <w:p>
                  <w:pPr>
                    <w:pStyle w:val="31"/>
                    <w:bidi w:val="0"/>
                    <w:rPr>
                      <w:rFonts w:hint="default"/>
                      <w:color w:val="auto"/>
                      <w:lang w:val="en-US" w:eastAsia="zh-CN"/>
                    </w:rPr>
                  </w:pPr>
                  <w:r>
                    <w:rPr>
                      <w:rFonts w:hint="eastAsia"/>
                      <w:color w:val="auto"/>
                      <w:lang w:val="en-US" w:eastAsia="zh-CN"/>
                    </w:rPr>
                    <w:t>72.07</w:t>
                  </w:r>
                </w:p>
              </w:tc>
              <w:tc>
                <w:tcPr>
                  <w:tcW w:w="523" w:type="pct"/>
                  <w:noWrap w:val="0"/>
                  <w:vAlign w:val="center"/>
                </w:tcPr>
                <w:p>
                  <w:pPr>
                    <w:pStyle w:val="31"/>
                    <w:bidi w:val="0"/>
                    <w:rPr>
                      <w:rFonts w:hint="eastAsia"/>
                      <w:color w:val="auto"/>
                      <w:lang w:val="en-US" w:eastAsia="zh-CN"/>
                    </w:rPr>
                  </w:pPr>
                  <w:r>
                    <w:rPr>
                      <w:rFonts w:hint="eastAsia"/>
                      <w:color w:val="auto"/>
                      <w:lang w:val="en-US" w:eastAsia="zh-CN"/>
                    </w:rPr>
                    <w:t>员工日常生活</w:t>
                  </w:r>
                </w:p>
              </w:tc>
              <w:tc>
                <w:tcPr>
                  <w:tcW w:w="267" w:type="pct"/>
                  <w:noWrap w:val="0"/>
                  <w:vAlign w:val="center"/>
                </w:tcPr>
                <w:p>
                  <w:pPr>
                    <w:pStyle w:val="31"/>
                    <w:bidi w:val="0"/>
                    <w:rPr>
                      <w:rFonts w:hint="eastAsia"/>
                      <w:color w:val="auto"/>
                    </w:rPr>
                  </w:pPr>
                  <w:r>
                    <w:rPr>
                      <w:rFonts w:hint="eastAsia"/>
                      <w:color w:val="auto"/>
                    </w:rPr>
                    <w:t>固态</w:t>
                  </w:r>
                </w:p>
              </w:tc>
              <w:tc>
                <w:tcPr>
                  <w:tcW w:w="416"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1" w:type="pct"/>
                  <w:noWrap w:val="0"/>
                  <w:vAlign w:val="center"/>
                </w:tcPr>
                <w:p>
                  <w:pPr>
                    <w:pStyle w:val="31"/>
                    <w:bidi w:val="0"/>
                    <w:rPr>
                      <w:rFonts w:hint="eastAsia"/>
                      <w:color w:val="auto"/>
                      <w:lang w:val="en-US" w:eastAsia="zh-CN"/>
                    </w:rPr>
                  </w:pPr>
                  <w:r>
                    <w:rPr>
                      <w:rFonts w:hint="eastAsia"/>
                      <w:color w:val="auto"/>
                      <w:lang w:val="en-US" w:eastAsia="zh-CN"/>
                    </w:rPr>
                    <w:t>/</w:t>
                  </w:r>
                </w:p>
              </w:tc>
              <w:tc>
                <w:tcPr>
                  <w:tcW w:w="268" w:type="pct"/>
                  <w:noWrap w:val="0"/>
                  <w:vAlign w:val="center"/>
                </w:tcPr>
                <w:p>
                  <w:pPr>
                    <w:pStyle w:val="31"/>
                    <w:bidi w:val="0"/>
                    <w:rPr>
                      <w:rFonts w:hint="eastAsia"/>
                      <w:color w:val="auto"/>
                    </w:rPr>
                  </w:pPr>
                  <w:r>
                    <w:rPr>
                      <w:rFonts w:hint="eastAsia"/>
                      <w:color w:val="auto"/>
                    </w:rPr>
                    <w:t>每天</w:t>
                  </w:r>
                </w:p>
              </w:tc>
              <w:tc>
                <w:tcPr>
                  <w:tcW w:w="393" w:type="pct"/>
                  <w:noWrap w:val="0"/>
                  <w:vAlign w:val="center"/>
                </w:tcPr>
                <w:p>
                  <w:pPr>
                    <w:pStyle w:val="31"/>
                    <w:bidi w:val="0"/>
                    <w:rPr>
                      <w:rFonts w:hint="eastAsia"/>
                      <w:color w:val="auto"/>
                      <w:lang w:eastAsia="zh-CN"/>
                    </w:rPr>
                  </w:pPr>
                  <w:r>
                    <w:rPr>
                      <w:rFonts w:hint="eastAsia"/>
                      <w:color w:val="auto"/>
                      <w:lang w:eastAsia="zh-CN"/>
                    </w:rPr>
                    <w:t>采用垃圾桶定点收集</w:t>
                  </w:r>
                </w:p>
              </w:tc>
              <w:tc>
                <w:tcPr>
                  <w:tcW w:w="469" w:type="pct"/>
                  <w:noWrap w:val="0"/>
                  <w:vAlign w:val="center"/>
                </w:tcPr>
                <w:p>
                  <w:pPr>
                    <w:pStyle w:val="31"/>
                    <w:bidi w:val="0"/>
                    <w:rPr>
                      <w:rFonts w:hint="eastAsia"/>
                      <w:color w:val="auto"/>
                      <w:lang w:eastAsia="zh-CN"/>
                    </w:rPr>
                  </w:pPr>
                  <w:r>
                    <w:rPr>
                      <w:rFonts w:hint="eastAsia"/>
                      <w:color w:val="auto"/>
                      <w:lang w:eastAsia="zh-CN"/>
                    </w:rPr>
                    <w:t>交由环卫部门统一清运处置</w:t>
                  </w:r>
                </w:p>
              </w:tc>
            </w:tr>
          </w:tbl>
          <w:p>
            <w:pPr>
              <w:pStyle w:val="17"/>
              <w:jc w:val="both"/>
              <w:outlineLvl w:val="9"/>
              <w:rPr>
                <w:rFonts w:hint="default" w:ascii="Times New Roman" w:hAnsi="Times New Roman" w:eastAsia="宋体" w:cs="Times New Roman"/>
                <w:snapToGrid w:val="0"/>
                <w:color w:val="auto"/>
                <w:sz w:val="30"/>
                <w:szCs w:val="30"/>
                <w:vertAlign w:val="baseline"/>
                <w:lang w:val="en-US" w:eastAsia="zh-CN"/>
              </w:rPr>
            </w:pPr>
          </w:p>
        </w:tc>
      </w:tr>
    </w:tbl>
    <w:p>
      <w:pPr>
        <w:pStyle w:val="17"/>
        <w:jc w:val="both"/>
        <w:outlineLvl w:val="9"/>
        <w:rPr>
          <w:rFonts w:hint="default" w:ascii="Times New Roman" w:hAnsi="Times New Roman" w:eastAsia="宋体"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7" w:hRule="atLeast"/>
        </w:trPr>
        <w:tc>
          <w:tcPr>
            <w:tcW w:w="680" w:type="dxa"/>
            <w:noWrap w:val="0"/>
            <w:vAlign w:val="top"/>
          </w:tcPr>
          <w:p>
            <w:pPr>
              <w:pStyle w:val="17"/>
              <w:jc w:val="both"/>
              <w:outlineLvl w:val="9"/>
              <w:rPr>
                <w:rFonts w:hint="default" w:ascii="Times New Roman" w:hAnsi="Times New Roman" w:eastAsia="宋体" w:cs="Times New Roman"/>
                <w:snapToGrid w:val="0"/>
                <w:color w:val="auto"/>
                <w:sz w:val="30"/>
                <w:szCs w:val="30"/>
                <w:vertAlign w:val="baseline"/>
              </w:rPr>
            </w:pPr>
          </w:p>
        </w:tc>
        <w:tc>
          <w:tcPr>
            <w:tcW w:w="7877" w:type="dxa"/>
            <w:noWrap w:val="0"/>
            <w:vAlign w:val="top"/>
          </w:tcPr>
          <w:p>
            <w:pPr>
              <w:pStyle w:val="4"/>
              <w:bidi w:val="0"/>
              <w:rPr>
                <w:color w:val="auto"/>
              </w:rPr>
            </w:pPr>
            <w:r>
              <w:rPr>
                <w:color w:val="auto"/>
              </w:rPr>
              <w:t>4.</w:t>
            </w:r>
            <w:r>
              <w:rPr>
                <w:rFonts w:hint="eastAsia"/>
                <w:color w:val="auto"/>
                <w:lang w:val="en-US" w:eastAsia="zh-CN"/>
              </w:rPr>
              <w:t>5.</w:t>
            </w:r>
            <w:r>
              <w:rPr>
                <w:color w:val="auto"/>
              </w:rPr>
              <w:t xml:space="preserve">2 </w:t>
            </w:r>
            <w:r>
              <w:rPr>
                <w:rFonts w:hint="default"/>
                <w:color w:val="auto"/>
              </w:rPr>
              <w:t>运营期固体废物影响分析及环境管理要求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4.5.2.1</w:t>
            </w:r>
            <w:r>
              <w:rPr>
                <w:rFonts w:hint="default" w:ascii="Times New Roman" w:hAnsi="Times New Roman" w:eastAsia="宋体" w:cs="Times New Roman"/>
                <w:b/>
                <w:bCs/>
                <w:color w:val="auto"/>
                <w:sz w:val="24"/>
                <w:szCs w:val="24"/>
                <w:highlight w:val="none"/>
              </w:rPr>
              <w:t>一般工业固废</w:t>
            </w:r>
          </w:p>
          <w:p>
            <w:pPr>
              <w:spacing w:line="360" w:lineRule="auto"/>
              <w:ind w:firstLine="482" w:firstLineChars="200"/>
              <w:jc w:val="both"/>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）储存管理要求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本评价要求项目产生的一般工业固废应按</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一般工业固体废物贮存和填埋污染控制标准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GB18599-2020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要求进行规范化的处理处置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对一般工业固废暂存场所按照《一般工业固体废物贮存和填埋污染控制标准》（GB18599-2020）相关规定建设：</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且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 且厚度为0.75 m的天然基础层。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②要求设置必要的防风、防雨、防晒措施，并采取相应的防尘措施。</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③按《环境保护图形标识－固体废物贮存（处置）场》（GB15562.2）及其修改单设置环境保护图形标志。</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④一般固体废物区内一般工业固废应按类别分区存放，不得随意堆放，严禁一般工业固废混合堆放。禁止生活垃圾、危险废物混入一般工业固废仓库堆放。</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szCs w:val="24"/>
                <w:lang w:eastAsia="zh-CN"/>
              </w:rPr>
              <w:t>固</w:t>
            </w:r>
            <w:r>
              <w:rPr>
                <w:rFonts w:hint="default" w:ascii="Times New Roman" w:hAnsi="Times New Roman" w:eastAsia="宋体" w:cs="Times New Roman"/>
                <w:color w:val="auto"/>
                <w:sz w:val="24"/>
                <w:szCs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szCs w:val="24"/>
                <w:lang w:eastAsia="zh-CN"/>
              </w:rPr>
              <w:t>。</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pPr>
              <w:spacing w:line="360" w:lineRule="auto"/>
              <w:ind w:firstLine="482" w:firstLineChars="200"/>
              <w:jc w:val="both"/>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）一般工业固废储存情况</w:t>
            </w:r>
          </w:p>
          <w:p>
            <w:pPr>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w:t>
            </w:r>
            <w:r>
              <w:rPr>
                <w:rFonts w:hint="eastAsia" w:cs="Times New Roman"/>
                <w:color w:val="auto"/>
                <w:sz w:val="24"/>
                <w:szCs w:val="24"/>
                <w:lang w:val="en-US" w:eastAsia="zh-CN"/>
              </w:rPr>
              <w:t>拟</w:t>
            </w:r>
            <w:r>
              <w:rPr>
                <w:rFonts w:hint="eastAsia" w:ascii="Times New Roman" w:hAnsi="Times New Roman" w:eastAsia="宋体" w:cs="Times New Roman"/>
                <w:color w:val="auto"/>
                <w:sz w:val="24"/>
                <w:szCs w:val="24"/>
                <w:lang w:eastAsia="zh-CN"/>
              </w:rPr>
              <w:t>在</w:t>
            </w:r>
            <w:r>
              <w:rPr>
                <w:rFonts w:hint="eastAsia" w:cs="Times New Roman"/>
                <w:color w:val="auto"/>
                <w:sz w:val="24"/>
                <w:szCs w:val="24"/>
                <w:lang w:val="en-US" w:eastAsia="zh-CN"/>
              </w:rPr>
              <w:t>搅拌站附属设施楼</w:t>
            </w:r>
            <w:r>
              <w:rPr>
                <w:rFonts w:hint="eastAsia" w:ascii="Times New Roman" w:hAnsi="Times New Roman" w:eastAsia="宋体" w:cs="Times New Roman"/>
                <w:color w:val="auto"/>
                <w:sz w:val="24"/>
                <w:szCs w:val="24"/>
                <w:lang w:eastAsia="zh-CN"/>
              </w:rPr>
              <w:t>西</w:t>
            </w:r>
            <w:r>
              <w:rPr>
                <w:rFonts w:hint="eastAsia" w:cs="Times New Roman"/>
                <w:color w:val="auto"/>
                <w:sz w:val="24"/>
                <w:szCs w:val="24"/>
                <w:lang w:val="en-US" w:eastAsia="zh-CN"/>
              </w:rPr>
              <w:t>南</w:t>
            </w:r>
            <w:r>
              <w:rPr>
                <w:rFonts w:hint="eastAsia" w:ascii="Times New Roman" w:hAnsi="Times New Roman" w:eastAsia="宋体" w:cs="Times New Roman"/>
                <w:color w:val="auto"/>
                <w:sz w:val="24"/>
                <w:szCs w:val="24"/>
                <w:lang w:eastAsia="zh-CN"/>
              </w:rPr>
              <w:t>侧设置</w:t>
            </w:r>
            <w:r>
              <w:rPr>
                <w:rFonts w:hint="eastAsia" w:cs="Times New Roman"/>
                <w:color w:val="auto"/>
                <w:sz w:val="24"/>
                <w:szCs w:val="24"/>
                <w:lang w:val="en-US" w:eastAsia="zh-CN"/>
              </w:rPr>
              <w:t>两</w:t>
            </w:r>
            <w:r>
              <w:rPr>
                <w:rFonts w:hint="eastAsia" w:ascii="Times New Roman" w:hAnsi="Times New Roman" w:eastAsia="宋体" w:cs="Times New Roman"/>
                <w:color w:val="auto"/>
                <w:sz w:val="24"/>
                <w:szCs w:val="24"/>
                <w:lang w:eastAsia="zh-CN"/>
              </w:rPr>
              <w:t>间一般工业固废暂存间，</w:t>
            </w:r>
            <w:r>
              <w:rPr>
                <w:rFonts w:hint="eastAsia" w:cs="Times New Roman"/>
                <w:color w:val="auto"/>
                <w:sz w:val="24"/>
                <w:szCs w:val="24"/>
                <w:lang w:val="en-US" w:eastAsia="zh-CN"/>
              </w:rPr>
              <w:t>其中不合格品暂存间</w:t>
            </w:r>
            <w:r>
              <w:rPr>
                <w:rFonts w:hint="eastAsia" w:ascii="Times New Roman" w:hAnsi="Times New Roman" w:eastAsia="宋体" w:cs="Times New Roman"/>
                <w:color w:val="auto"/>
                <w:sz w:val="24"/>
                <w:szCs w:val="24"/>
                <w:lang w:eastAsia="zh-CN"/>
              </w:rPr>
              <w:t>建筑面积约</w:t>
            </w:r>
            <w:r>
              <w:rPr>
                <w:rFonts w:hint="eastAsia" w:cs="Times New Roman"/>
                <w:color w:val="auto"/>
                <w:sz w:val="24"/>
                <w:szCs w:val="24"/>
                <w:lang w:val="en-US" w:eastAsia="zh-CN"/>
              </w:rPr>
              <w:t>90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89t，剩余的一般工业固废暂存间建筑面积约20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t。根据前文分析，项目需在一般工业固废暂存间暂存的一般工业固废产生量约为</w:t>
            </w:r>
            <w:r>
              <w:rPr>
                <w:rFonts w:hint="eastAsia" w:cs="Times New Roman"/>
                <w:color w:val="auto"/>
                <w:sz w:val="24"/>
                <w:szCs w:val="24"/>
                <w:lang w:val="en-US" w:eastAsia="zh-CN"/>
              </w:rPr>
              <w:t>13599.3267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（其中不合格品产生量为13244.705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，废钢材、焊渣、不合格品及污泥等合计约354.9537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不合格品</w:t>
            </w:r>
            <w:r>
              <w:rPr>
                <w:rFonts w:hint="eastAsia" w:ascii="Times New Roman" w:hAnsi="Times New Roman" w:eastAsia="宋体" w:cs="Times New Roman"/>
                <w:color w:val="auto"/>
                <w:sz w:val="24"/>
                <w:szCs w:val="24"/>
                <w:lang w:eastAsia="zh-CN"/>
              </w:rPr>
              <w:t>转运周期</w:t>
            </w:r>
            <w:r>
              <w:rPr>
                <w:rFonts w:hint="eastAsia" w:cs="Times New Roman"/>
                <w:color w:val="auto"/>
                <w:sz w:val="24"/>
                <w:szCs w:val="24"/>
                <w:lang w:val="en-US" w:eastAsia="zh-CN"/>
              </w:rPr>
              <w:t>为每两天一次</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其他固废转运周期为每15天一次。项目</w:t>
            </w:r>
            <w:r>
              <w:rPr>
                <w:rFonts w:hint="default" w:ascii="Times New Roman" w:hAnsi="Times New Roman" w:eastAsia="宋体" w:cs="Times New Roman"/>
                <w:color w:val="auto"/>
                <w:sz w:val="24"/>
                <w:szCs w:val="24"/>
                <w:lang w:eastAsia="zh-CN"/>
              </w:rPr>
              <w:t>一般工业固废暂存间内</w:t>
            </w:r>
            <w:r>
              <w:rPr>
                <w:rFonts w:hint="eastAsia" w:cs="Times New Roman"/>
                <w:color w:val="auto"/>
                <w:sz w:val="24"/>
                <w:szCs w:val="24"/>
                <w:lang w:val="en-US" w:eastAsia="zh-CN"/>
              </w:rPr>
              <w:t>不合格品</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80.27</w:t>
            </w:r>
            <w:r>
              <w:rPr>
                <w:rFonts w:hint="eastAsia"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其他一般工业固废</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16.13t，</w:t>
            </w:r>
            <w:r>
              <w:rPr>
                <w:rFonts w:hint="eastAsia" w:ascii="Times New Roman" w:hAnsi="Times New Roman" w:eastAsia="宋体" w:cs="Times New Roman"/>
                <w:color w:val="auto"/>
                <w:sz w:val="24"/>
                <w:szCs w:val="24"/>
                <w:lang w:eastAsia="zh-CN"/>
              </w:rPr>
              <w:t>项目拟建</w:t>
            </w:r>
            <w:r>
              <w:rPr>
                <w:rFonts w:hint="eastAsia" w:cs="Times New Roman"/>
                <w:color w:val="auto"/>
                <w:sz w:val="24"/>
                <w:szCs w:val="24"/>
                <w:lang w:val="en-US" w:eastAsia="zh-CN"/>
              </w:rPr>
              <w:t>的两处</w:t>
            </w:r>
            <w:r>
              <w:rPr>
                <w:rFonts w:hint="eastAsia" w:ascii="Times New Roman" w:hAnsi="Times New Roman" w:eastAsia="宋体" w:cs="Times New Roman"/>
                <w:color w:val="auto"/>
                <w:sz w:val="24"/>
                <w:szCs w:val="24"/>
                <w:lang w:eastAsia="zh-CN"/>
              </w:rPr>
              <w:t>一般固废暂存间</w:t>
            </w:r>
            <w:r>
              <w:rPr>
                <w:rFonts w:hint="eastAsia" w:cs="Times New Roman"/>
                <w:color w:val="auto"/>
                <w:sz w:val="24"/>
                <w:szCs w:val="24"/>
                <w:lang w:val="en-US" w:eastAsia="zh-CN"/>
              </w:rPr>
              <w:t>均</w:t>
            </w:r>
            <w:r>
              <w:rPr>
                <w:rFonts w:hint="eastAsia" w:ascii="Times New Roman" w:hAnsi="Times New Roman" w:eastAsia="宋体" w:cs="Times New Roman"/>
                <w:color w:val="auto"/>
                <w:sz w:val="24"/>
                <w:szCs w:val="24"/>
                <w:lang w:val="en-US" w:eastAsia="zh-CN"/>
              </w:rPr>
              <w:t>满足本项目建成后一般工业固废的暂存需求</w:t>
            </w:r>
            <w:r>
              <w:rPr>
                <w:rFonts w:hint="default" w:ascii="Times New Roman" w:hAnsi="Times New Roman" w:eastAsia="宋体" w:cs="Times New Roman"/>
                <w:color w:val="auto"/>
                <w:sz w:val="24"/>
                <w:szCs w:val="24"/>
                <w:lang w:eastAsia="zh-CN"/>
              </w:rPr>
              <w:t>。</w:t>
            </w:r>
          </w:p>
          <w:p>
            <w:pPr>
              <w:bidi w:val="0"/>
              <w:rPr>
                <w:rFonts w:hint="default"/>
                <w:b/>
                <w:bCs/>
                <w:color w:val="auto"/>
                <w:sz w:val="24"/>
                <w:szCs w:val="24"/>
                <w:lang w:val="en-US" w:eastAsia="zh-CN"/>
              </w:rPr>
            </w:pPr>
            <w:r>
              <w:rPr>
                <w:rFonts w:hint="eastAsia"/>
                <w:b/>
                <w:bCs/>
                <w:color w:val="auto"/>
                <w:sz w:val="24"/>
                <w:szCs w:val="24"/>
                <w:lang w:val="en-US" w:eastAsia="zh-CN"/>
              </w:rPr>
              <w:t>4.5.2.2</w:t>
            </w:r>
            <w:r>
              <w:rPr>
                <w:rFonts w:hint="default"/>
                <w:b/>
                <w:bCs/>
                <w:color w:val="auto"/>
                <w:sz w:val="24"/>
                <w:szCs w:val="24"/>
                <w:lang w:val="en-US" w:eastAsia="zh-CN"/>
              </w:rPr>
              <w:t>危险废物</w:t>
            </w:r>
          </w:p>
          <w:p>
            <w:pPr>
              <w:bidi w:val="0"/>
              <w:rPr>
                <w:rFonts w:hint="default"/>
                <w:b w:val="0"/>
                <w:bCs w:val="0"/>
                <w:color w:val="auto"/>
                <w:sz w:val="24"/>
                <w:szCs w:val="24"/>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b w:val="0"/>
                <w:bCs w:val="0"/>
                <w:color w:val="auto"/>
                <w:sz w:val="24"/>
                <w:szCs w:val="24"/>
                <w:lang w:val="en-US"/>
              </w:rPr>
              <w:t>1</w:t>
            </w:r>
            <w:r>
              <w:rPr>
                <w:rFonts w:hint="eastAsia"/>
                <w:b w:val="0"/>
                <w:bCs w:val="0"/>
                <w:color w:val="auto"/>
                <w:sz w:val="24"/>
                <w:szCs w:val="24"/>
                <w:lang w:val="en-US" w:eastAsia="zh-CN"/>
              </w:rPr>
              <w:t>）</w:t>
            </w:r>
            <w:r>
              <w:rPr>
                <w:rFonts w:hint="default"/>
                <w:b w:val="0"/>
                <w:bCs w:val="0"/>
                <w:color w:val="auto"/>
                <w:sz w:val="24"/>
                <w:szCs w:val="24"/>
                <w:lang w:val="en-US" w:eastAsia="zh-CN"/>
              </w:rPr>
              <w:t>危险废物贮存场所环境影响分析</w:t>
            </w:r>
          </w:p>
          <w:p>
            <w:pPr>
              <w:bidi w:val="0"/>
              <w:rPr>
                <w:rFonts w:hint="eastAsia"/>
                <w:color w:val="auto"/>
                <w:sz w:val="24"/>
                <w:szCs w:val="24"/>
                <w:lang w:val="en-US" w:eastAsia="zh-CN"/>
              </w:rPr>
            </w:pPr>
            <w:r>
              <w:rPr>
                <w:rFonts w:hint="default"/>
                <w:color w:val="auto"/>
                <w:sz w:val="24"/>
                <w:szCs w:val="24"/>
                <w:lang w:val="en-US" w:eastAsia="zh-CN"/>
              </w:rPr>
              <w:t>项目危险废物</w:t>
            </w:r>
            <w:r>
              <w:rPr>
                <w:rFonts w:hint="eastAsia"/>
                <w:color w:val="auto"/>
                <w:sz w:val="24"/>
                <w:szCs w:val="24"/>
                <w:lang w:val="en-US" w:eastAsia="zh-CN"/>
              </w:rPr>
              <w:t>贮存库</w:t>
            </w:r>
            <w:r>
              <w:rPr>
                <w:rFonts w:hint="default"/>
                <w:color w:val="auto"/>
                <w:sz w:val="24"/>
                <w:szCs w:val="24"/>
                <w:lang w:val="en-US" w:eastAsia="zh-CN"/>
              </w:rPr>
              <w:t>应按照《危险废物贮存污染控制标准》</w:t>
            </w:r>
            <w:r>
              <w:rPr>
                <w:rFonts w:hint="eastAsia"/>
                <w:color w:val="auto"/>
                <w:sz w:val="24"/>
                <w:szCs w:val="24"/>
                <w:lang w:val="en-US" w:eastAsia="zh-CN"/>
              </w:rPr>
              <w:t>（GB 18597-2023）</w:t>
            </w:r>
            <w:r>
              <w:rPr>
                <w:rFonts w:hint="default"/>
                <w:color w:val="auto"/>
                <w:sz w:val="24"/>
                <w:szCs w:val="24"/>
                <w:lang w:val="en-US" w:eastAsia="zh-CN"/>
              </w:rPr>
              <w:t>要求进行建设</w:t>
            </w:r>
            <w:r>
              <w:rPr>
                <w:rFonts w:hint="eastAsia"/>
                <w:color w:val="auto"/>
                <w:sz w:val="24"/>
                <w:szCs w:val="24"/>
                <w:lang w:val="en-US" w:eastAsia="zh-CN"/>
              </w:rPr>
              <w:t>：</w:t>
            </w:r>
          </w:p>
          <w:p>
            <w:pPr>
              <w:bidi w:val="0"/>
              <w:rPr>
                <w:rFonts w:hint="default"/>
                <w:color w:val="auto"/>
                <w:sz w:val="24"/>
                <w:szCs w:val="24"/>
                <w:lang w:val="en-US" w:eastAsia="zh-CN"/>
              </w:rPr>
            </w:pPr>
            <w:r>
              <w:rPr>
                <w:rFonts w:hint="default"/>
                <w:color w:val="auto"/>
                <w:sz w:val="24"/>
                <w:szCs w:val="24"/>
                <w:lang w:val="en-US" w:eastAsia="zh-CN"/>
              </w:rPr>
              <w:t>①具备防风、防晒、防雨、防渗</w:t>
            </w:r>
            <w:r>
              <w:rPr>
                <w:rFonts w:hint="eastAsia"/>
                <w:color w:val="auto"/>
                <w:sz w:val="24"/>
                <w:szCs w:val="24"/>
                <w:lang w:val="en-US" w:eastAsia="zh-CN"/>
              </w:rPr>
              <w:t>、防漏、防腐措施。</w:t>
            </w:r>
          </w:p>
          <w:p>
            <w:pPr>
              <w:bidi w:val="0"/>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根据危险废物的类别、数量、形态、物理化学性质和污染防治等要求设置必要的贮存分区，避免不相容的危险废物接触、混溶。</w:t>
            </w:r>
          </w:p>
          <w:p>
            <w:pPr>
              <w:bidi w:val="0"/>
              <w:rPr>
                <w:rFonts w:hint="default"/>
                <w:color w:val="auto"/>
                <w:sz w:val="24"/>
                <w:szCs w:val="24"/>
                <w:lang w:val="en-US" w:eastAsia="zh-CN"/>
              </w:rPr>
            </w:pPr>
            <w:r>
              <w:rPr>
                <w:rFonts w:hint="default"/>
                <w:color w:val="auto"/>
                <w:sz w:val="24"/>
                <w:szCs w:val="24"/>
                <w:lang w:val="en-US" w:eastAsia="zh-CN"/>
              </w:rPr>
              <w:t>③贮存设施或贮存分区内地面、墙面</w:t>
            </w:r>
            <w:r>
              <w:rPr>
                <w:rFonts w:hint="eastAsia"/>
                <w:color w:val="auto"/>
                <w:sz w:val="24"/>
                <w:szCs w:val="24"/>
                <w:lang w:val="en-US" w:eastAsia="zh-CN"/>
              </w:rPr>
              <w:t>裙角</w:t>
            </w:r>
            <w:r>
              <w:rPr>
                <w:rFonts w:hint="default"/>
                <w:color w:val="auto"/>
                <w:sz w:val="24"/>
                <w:szCs w:val="24"/>
                <w:lang w:val="en-US" w:eastAsia="zh-CN"/>
              </w:rPr>
              <w:t>、堵截泄漏的围堰、接触危险废物的隔板和墙体等应采用坚固的材料建造，表面无裂缝。</w:t>
            </w:r>
          </w:p>
          <w:p>
            <w:pPr>
              <w:bidi w:val="0"/>
              <w:rPr>
                <w:rFonts w:hint="default"/>
                <w:color w:val="auto"/>
                <w:sz w:val="24"/>
                <w:szCs w:val="24"/>
                <w:lang w:val="en-US" w:eastAsia="zh-CN"/>
              </w:rPr>
            </w:pPr>
            <w:r>
              <w:rPr>
                <w:rFonts w:hint="default"/>
                <w:color w:val="auto"/>
                <w:sz w:val="24"/>
                <w:szCs w:val="24"/>
                <w:lang w:val="en-US" w:eastAsia="zh-CN"/>
              </w:rPr>
              <w:t>④危险废物贮存</w:t>
            </w:r>
            <w:r>
              <w:rPr>
                <w:rFonts w:hint="eastAsia"/>
                <w:color w:val="auto"/>
                <w:sz w:val="24"/>
                <w:szCs w:val="24"/>
                <w:lang w:val="en-US" w:eastAsia="zh-CN"/>
              </w:rPr>
              <w:t>库</w:t>
            </w:r>
            <w:r>
              <w:rPr>
                <w:rFonts w:hint="default"/>
                <w:color w:val="auto"/>
                <w:sz w:val="24"/>
                <w:szCs w:val="24"/>
                <w:lang w:val="en-US" w:eastAsia="zh-CN"/>
              </w:rPr>
              <w:t>基础必须防渗，贮存设施地面与裙脚应采取表面防渗措施，表面防渗材料应与所接触的物料或污染物相容，可采用抗渗混凝土、高密度</w:t>
            </w:r>
            <w:r>
              <w:rPr>
                <w:rFonts w:hint="eastAsia"/>
                <w:color w:val="auto"/>
                <w:sz w:val="24"/>
                <w:szCs w:val="24"/>
                <w:lang w:val="en-US" w:eastAsia="zh-CN"/>
              </w:rPr>
              <w:t>塑料零部件</w:t>
            </w:r>
            <w:r>
              <w:rPr>
                <w:rFonts w:hint="default"/>
                <w:color w:val="auto"/>
                <w:sz w:val="24"/>
                <w:szCs w:val="24"/>
                <w:lang w:val="en-US" w:eastAsia="zh-CN"/>
              </w:rPr>
              <w:t>、钠基膨润土防水毯或其他防渗性能等效的材料。贮存的危险废物直接接触地面的，还应进行基础防渗，防渗层为至少1m厚黏土层</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-7</w:t>
            </w:r>
            <w:r>
              <w:rPr>
                <w:rFonts w:hint="default"/>
                <w:color w:val="auto"/>
                <w:sz w:val="24"/>
                <w:szCs w:val="24"/>
                <w:lang w:val="en-US" w:eastAsia="zh-CN"/>
              </w:rPr>
              <w:t>cm/s)，或至少2mm厚高密度</w:t>
            </w:r>
            <w:r>
              <w:rPr>
                <w:rFonts w:hint="eastAsia"/>
                <w:color w:val="auto"/>
                <w:sz w:val="24"/>
                <w:szCs w:val="24"/>
                <w:lang w:val="en-US" w:eastAsia="zh-CN"/>
              </w:rPr>
              <w:t>塑料零部件</w:t>
            </w:r>
            <w:r>
              <w:rPr>
                <w:rFonts w:hint="default"/>
                <w:color w:val="auto"/>
                <w:sz w:val="24"/>
                <w:szCs w:val="24"/>
                <w:lang w:val="en-US" w:eastAsia="zh-CN"/>
              </w:rPr>
              <w:t>等人工防渗材料</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-10</w:t>
            </w:r>
            <w:r>
              <w:rPr>
                <w:rFonts w:hint="default"/>
                <w:color w:val="auto"/>
                <w:sz w:val="24"/>
                <w:szCs w:val="24"/>
                <w:lang w:val="en-US" w:eastAsia="zh-CN"/>
              </w:rPr>
              <w:t>cm/s)，或其他防渗性能等效的材料。</w:t>
            </w:r>
          </w:p>
          <w:p>
            <w:pPr>
              <w:bidi w:val="0"/>
              <w:rPr>
                <w:rFonts w:hint="eastAsia"/>
                <w:color w:val="auto"/>
                <w:sz w:val="24"/>
                <w:szCs w:val="24"/>
                <w:lang w:val="en-US" w:eastAsia="zh-CN"/>
              </w:rPr>
            </w:pPr>
            <w:r>
              <w:rPr>
                <w:rFonts w:hint="eastAsia"/>
                <w:color w:val="auto"/>
                <w:sz w:val="24"/>
                <w:szCs w:val="24"/>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pPr>
              <w:bidi w:val="0"/>
              <w:rPr>
                <w:rFonts w:hint="eastAsia"/>
                <w:color w:val="auto"/>
                <w:sz w:val="24"/>
                <w:szCs w:val="24"/>
                <w:lang w:val="en-US" w:eastAsia="zh-CN"/>
              </w:rPr>
            </w:pPr>
            <w:r>
              <w:rPr>
                <w:rFonts w:hint="eastAsia"/>
                <w:color w:val="auto"/>
                <w:sz w:val="24"/>
                <w:szCs w:val="24"/>
              </w:rPr>
              <w:t>⑤</w:t>
            </w:r>
            <w:r>
              <w:rPr>
                <w:rFonts w:hint="default"/>
                <w:color w:val="auto"/>
                <w:sz w:val="24"/>
                <w:szCs w:val="24"/>
                <w:lang w:val="en-US" w:eastAsia="zh-CN"/>
              </w:rPr>
              <w:t>贮存库内不同贮存分区之间应采取隔离措施。隔离措施可根据危险废物特性采用过道、隔板或隔墙等方式。</w:t>
            </w:r>
          </w:p>
          <w:p>
            <w:pPr>
              <w:bidi w:val="0"/>
              <w:rPr>
                <w:rFonts w:hint="default"/>
                <w:color w:val="auto"/>
                <w:sz w:val="24"/>
                <w:szCs w:val="24"/>
                <w:lang w:val="en-US" w:eastAsia="zh-CN"/>
              </w:rPr>
            </w:pPr>
            <w:r>
              <w:rPr>
                <w:rFonts w:hint="eastAsia"/>
                <w:color w:val="auto"/>
                <w:sz w:val="24"/>
                <w:szCs w:val="24"/>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pPr>
              <w:bidi w:val="0"/>
              <w:rPr>
                <w:rFonts w:hint="eastAsia"/>
                <w:color w:val="auto"/>
                <w:sz w:val="24"/>
                <w:szCs w:val="24"/>
                <w:lang w:val="en-US" w:eastAsia="zh-CN"/>
              </w:rPr>
            </w:pPr>
            <w:r>
              <w:rPr>
                <w:rFonts w:hint="eastAsia"/>
                <w:color w:val="auto"/>
                <w:sz w:val="24"/>
                <w:szCs w:val="24"/>
                <w:lang w:val="en-US" w:eastAsia="zh-CN"/>
              </w:rPr>
              <w:t>⑦容器和包装物污染控制要求：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color w:val="auto"/>
                <w:sz w:val="24"/>
                <w:szCs w:val="24"/>
              </w:rPr>
              <w:t>使用容器盛装液态、半固态危险废物时，容器内部应留有适当的空间，以适应因温度变化等可能引发的收缩和膨胀，防止其导致容器渗漏或永久变形</w:t>
            </w:r>
            <w:r>
              <w:rPr>
                <w:rFonts w:hint="eastAsia"/>
                <w:color w:val="auto"/>
                <w:sz w:val="24"/>
                <w:szCs w:val="24"/>
                <w:lang w:eastAsia="zh-CN"/>
              </w:rPr>
              <w:t>；容器和包装物外表应保持清洁。</w:t>
            </w:r>
          </w:p>
          <w:p>
            <w:pPr>
              <w:bidi w:val="0"/>
              <w:rPr>
                <w:rFonts w:hint="eastAsia"/>
                <w:color w:val="auto"/>
                <w:sz w:val="24"/>
                <w:szCs w:val="24"/>
                <w:lang w:val="en-US" w:eastAsia="zh-CN"/>
              </w:rPr>
            </w:pPr>
            <w:r>
              <w:rPr>
                <w:rFonts w:hint="eastAsia"/>
                <w:color w:val="auto"/>
                <w:sz w:val="24"/>
                <w:szCs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pPr>
              <w:bidi w:val="0"/>
              <w:rPr>
                <w:rFonts w:hint="eastAsia"/>
                <w:color w:val="auto"/>
                <w:sz w:val="24"/>
                <w:szCs w:val="24"/>
                <w:lang w:val="en-US" w:eastAsia="zh-CN"/>
              </w:rPr>
            </w:pPr>
            <w:r>
              <w:rPr>
                <w:rFonts w:hint="eastAsia"/>
                <w:color w:val="auto"/>
                <w:sz w:val="24"/>
                <w:szCs w:val="24"/>
                <w:lang w:val="en-US" w:eastAsia="zh-CN"/>
              </w:rPr>
              <w:t>⑨项目危险废物暂存标志按照《危险废物识别标志设置技术规范》（HJ 1276-2022）要求进行。</w:t>
            </w:r>
          </w:p>
          <w:p>
            <w:pPr>
              <w:bidi w:val="0"/>
              <w:rPr>
                <w:rFonts w:hint="eastAsia" w:ascii="Times New Roman" w:hAnsi="Times New Roman" w:eastAsia="宋体" w:cs="Times New Roman"/>
                <w:color w:val="auto"/>
                <w:lang w:val="en-US" w:eastAsia="zh-CN"/>
              </w:rPr>
            </w:pPr>
            <w:r>
              <w:rPr>
                <w:rFonts w:hint="eastAsia"/>
                <w:color w:val="auto"/>
                <w:sz w:val="24"/>
                <w:szCs w:val="24"/>
                <w:lang w:val="en-US" w:eastAsia="zh-CN"/>
              </w:rPr>
              <w:t>项目拟在厂区西南侧建设1间危险废物贮存库（20m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default"/>
                <w:color w:val="auto"/>
                <w:sz w:val="24"/>
                <w:szCs w:val="24"/>
                <w:lang w:eastAsia="zh-CN"/>
              </w:rPr>
              <w:t>危险废物贮存</w:t>
            </w:r>
            <w:r>
              <w:rPr>
                <w:rFonts w:hint="eastAsia"/>
                <w:color w:val="auto"/>
                <w:sz w:val="24"/>
                <w:szCs w:val="24"/>
                <w:lang w:eastAsia="zh-CN"/>
              </w:rPr>
              <w:t>情况</w:t>
            </w:r>
            <w:r>
              <w:rPr>
                <w:rFonts w:hint="default"/>
                <w:color w:val="auto"/>
                <w:sz w:val="24"/>
                <w:szCs w:val="24"/>
                <w:lang w:eastAsia="zh-CN"/>
              </w:rPr>
              <w:t>详见表</w:t>
            </w:r>
            <w:r>
              <w:rPr>
                <w:rFonts w:hint="eastAsia"/>
                <w:color w:val="auto"/>
                <w:sz w:val="24"/>
                <w:szCs w:val="24"/>
                <w:lang w:val="en-US" w:eastAsia="zh-CN"/>
              </w:rPr>
              <w:t>4.5</w:t>
            </w:r>
            <w:r>
              <w:rPr>
                <w:rFonts w:hint="default"/>
                <w:color w:val="auto"/>
                <w:sz w:val="24"/>
                <w:szCs w:val="24"/>
                <w:lang w:val="en-US" w:eastAsia="zh-CN"/>
              </w:rPr>
              <w:t>-</w:t>
            </w:r>
            <w:r>
              <w:rPr>
                <w:rFonts w:hint="eastAsia"/>
                <w:color w:val="auto"/>
                <w:sz w:val="24"/>
                <w:szCs w:val="24"/>
                <w:lang w:val="en-US" w:eastAsia="zh-CN"/>
              </w:rPr>
              <w:t>2，根据该表可知，项目拟建危险废物贮存库可满足危险废物暂存需求，同时本评价要求建设单位按危废种类分区存放，委托资质单位及时清运。</w:t>
            </w:r>
          </w:p>
          <w:p>
            <w:pPr>
              <w:pStyle w:val="33"/>
              <w:keepNext/>
              <w:keepLines w:val="0"/>
              <w:pageBreakBefore w:val="0"/>
              <w:widowControl w:val="0"/>
              <w:kinsoku/>
              <w:wordWrap/>
              <w:overflowPunct/>
              <w:topLinePunct w:val="0"/>
              <w:autoSpaceDE/>
              <w:autoSpaceDN/>
              <w:bidi w:val="0"/>
              <w:adjustRightInd/>
              <w:snapToGrid/>
              <w:textAlignment w:val="auto"/>
              <w:rPr>
                <w:rFonts w:hint="eastAsia"/>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4</w:t>
            </w:r>
            <w:r>
              <w:rPr>
                <w:rFonts w:hint="default"/>
                <w:color w:val="auto"/>
                <w:sz w:val="24"/>
                <w:szCs w:val="24"/>
                <w:lang w:val="en-US" w:eastAsia="zh-CN"/>
              </w:rPr>
              <w:t>.</w:t>
            </w:r>
            <w:r>
              <w:rPr>
                <w:rFonts w:hint="eastAsia"/>
                <w:color w:val="auto"/>
                <w:sz w:val="24"/>
                <w:szCs w:val="24"/>
                <w:lang w:val="en-US" w:eastAsia="zh-CN"/>
              </w:rPr>
              <w:t>5</w:t>
            </w:r>
            <w:r>
              <w:rPr>
                <w:rFonts w:hint="default"/>
                <w:color w:val="auto"/>
                <w:sz w:val="24"/>
                <w:szCs w:val="24"/>
                <w:lang w:val="en-US" w:eastAsia="zh-CN"/>
              </w:rPr>
              <w:t>-</w:t>
            </w:r>
            <w:r>
              <w:rPr>
                <w:rFonts w:hint="eastAsia"/>
                <w:color w:val="auto"/>
                <w:sz w:val="24"/>
                <w:szCs w:val="24"/>
                <w:lang w:val="en-US" w:eastAsia="zh-CN"/>
              </w:rPr>
              <w:t>2</w:t>
            </w:r>
            <w:r>
              <w:rPr>
                <w:rFonts w:hint="default"/>
                <w:color w:val="auto"/>
                <w:sz w:val="24"/>
                <w:szCs w:val="24"/>
                <w:lang w:val="en-US" w:eastAsia="zh-CN"/>
              </w:rPr>
              <w:t xml:space="preserve"> </w:t>
            </w:r>
            <w:r>
              <w:rPr>
                <w:rFonts w:hint="eastAsia"/>
                <w:color w:val="auto"/>
                <w:sz w:val="24"/>
                <w:szCs w:val="24"/>
                <w:lang w:val="en-US" w:eastAsia="zh-CN"/>
              </w:rPr>
              <w:t>建设项目危险废物贮存场所（设施）基本情况表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560"/>
              <w:gridCol w:w="723"/>
              <w:gridCol w:w="735"/>
              <w:gridCol w:w="870"/>
              <w:gridCol w:w="495"/>
              <w:gridCol w:w="645"/>
              <w:gridCol w:w="465"/>
              <w:gridCol w:w="825"/>
              <w:gridCol w:w="690"/>
              <w:gridCol w:w="660"/>
              <w:gridCol w:w="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84" w:type="pct"/>
                  <w:gridSpan w:val="2"/>
                  <w:tcBorders>
                    <w:tl2br w:val="nil"/>
                    <w:tr2bl w:val="nil"/>
                  </w:tcBorders>
                  <w:noWrap w:val="0"/>
                  <w:vAlign w:val="center"/>
                </w:tcPr>
                <w:p>
                  <w:pPr>
                    <w:pStyle w:val="31"/>
                    <w:bidi w:val="0"/>
                    <w:rPr>
                      <w:rFonts w:hint="default"/>
                      <w:color w:val="auto"/>
                    </w:rPr>
                  </w:pPr>
                  <w:r>
                    <w:rPr>
                      <w:rFonts w:hint="default"/>
                      <w:color w:val="auto"/>
                    </w:rPr>
                    <w:t>贮存场</w:t>
                  </w:r>
                </w:p>
                <w:p>
                  <w:pPr>
                    <w:pStyle w:val="31"/>
                    <w:bidi w:val="0"/>
                    <w:rPr>
                      <w:rFonts w:hint="default"/>
                      <w:color w:val="auto"/>
                    </w:rPr>
                  </w:pPr>
                  <w:r>
                    <w:rPr>
                      <w:rFonts w:hint="default"/>
                      <w:color w:val="auto"/>
                    </w:rPr>
                    <w:t>所名称</w:t>
                  </w:r>
                </w:p>
              </w:tc>
              <w:tc>
                <w:tcPr>
                  <w:tcW w:w="445" w:type="pct"/>
                  <w:tcBorders>
                    <w:tl2br w:val="nil"/>
                    <w:tr2bl w:val="nil"/>
                  </w:tcBorders>
                  <w:noWrap w:val="0"/>
                  <w:vAlign w:val="center"/>
                </w:tcPr>
                <w:p>
                  <w:pPr>
                    <w:pStyle w:val="31"/>
                    <w:bidi w:val="0"/>
                    <w:rPr>
                      <w:rFonts w:hint="default"/>
                      <w:color w:val="auto"/>
                    </w:rPr>
                  </w:pPr>
                  <w:r>
                    <w:rPr>
                      <w:rFonts w:hint="default"/>
                      <w:color w:val="auto"/>
                    </w:rPr>
                    <w:t>危险废物名称</w:t>
                  </w:r>
                </w:p>
              </w:tc>
              <w:tc>
                <w:tcPr>
                  <w:tcW w:w="452" w:type="pct"/>
                  <w:tcBorders>
                    <w:tl2br w:val="nil"/>
                    <w:tr2bl w:val="nil"/>
                  </w:tcBorders>
                  <w:noWrap w:val="0"/>
                  <w:vAlign w:val="center"/>
                </w:tcPr>
                <w:p>
                  <w:pPr>
                    <w:pStyle w:val="31"/>
                    <w:bidi w:val="0"/>
                    <w:rPr>
                      <w:rFonts w:hint="default"/>
                      <w:color w:val="auto"/>
                    </w:rPr>
                  </w:pPr>
                  <w:r>
                    <w:rPr>
                      <w:rFonts w:hint="default"/>
                      <w:color w:val="auto"/>
                    </w:rPr>
                    <w:t>危险废物类别</w:t>
                  </w:r>
                </w:p>
              </w:tc>
              <w:tc>
                <w:tcPr>
                  <w:tcW w:w="535" w:type="pct"/>
                  <w:tcBorders>
                    <w:tl2br w:val="nil"/>
                    <w:tr2bl w:val="nil"/>
                  </w:tcBorders>
                  <w:noWrap w:val="0"/>
                  <w:vAlign w:val="center"/>
                </w:tcPr>
                <w:p>
                  <w:pPr>
                    <w:pStyle w:val="31"/>
                    <w:bidi w:val="0"/>
                    <w:rPr>
                      <w:rFonts w:hint="default"/>
                      <w:color w:val="auto"/>
                    </w:rPr>
                  </w:pPr>
                  <w:r>
                    <w:rPr>
                      <w:rFonts w:hint="default"/>
                      <w:color w:val="auto"/>
                    </w:rPr>
                    <w:t>危险废物代码</w:t>
                  </w:r>
                </w:p>
              </w:tc>
              <w:tc>
                <w:tcPr>
                  <w:tcW w:w="304" w:type="pct"/>
                  <w:tcBorders>
                    <w:tl2br w:val="nil"/>
                    <w:tr2bl w:val="nil"/>
                  </w:tcBorders>
                  <w:noWrap w:val="0"/>
                  <w:vAlign w:val="center"/>
                </w:tcPr>
                <w:p>
                  <w:pPr>
                    <w:pStyle w:val="31"/>
                    <w:bidi w:val="0"/>
                    <w:rPr>
                      <w:rFonts w:hint="eastAsia"/>
                      <w:color w:val="auto"/>
                      <w:lang w:eastAsia="zh-CN"/>
                    </w:rPr>
                  </w:pPr>
                  <w:r>
                    <w:rPr>
                      <w:rFonts w:hint="eastAsia"/>
                      <w:color w:val="auto"/>
                      <w:lang w:eastAsia="zh-CN"/>
                    </w:rPr>
                    <w:t>危险特性</w:t>
                  </w:r>
                </w:p>
              </w:tc>
              <w:tc>
                <w:tcPr>
                  <w:tcW w:w="397" w:type="pct"/>
                  <w:tcBorders>
                    <w:tl2br w:val="nil"/>
                    <w:tr2bl w:val="nil"/>
                  </w:tcBorders>
                  <w:noWrap w:val="0"/>
                  <w:vAlign w:val="center"/>
                </w:tcPr>
                <w:p>
                  <w:pPr>
                    <w:pStyle w:val="31"/>
                    <w:bidi w:val="0"/>
                    <w:rPr>
                      <w:rFonts w:hint="default"/>
                      <w:color w:val="auto"/>
                    </w:rPr>
                  </w:pPr>
                  <w:r>
                    <w:rPr>
                      <w:rFonts w:hint="default"/>
                      <w:color w:val="auto"/>
                    </w:rPr>
                    <w:t>占地</w:t>
                  </w:r>
                </w:p>
                <w:p>
                  <w:pPr>
                    <w:pStyle w:val="31"/>
                    <w:bidi w:val="0"/>
                    <w:rPr>
                      <w:rFonts w:hint="default"/>
                      <w:color w:val="auto"/>
                    </w:rPr>
                  </w:pPr>
                  <w:r>
                    <w:rPr>
                      <w:rFonts w:hint="default"/>
                      <w:color w:val="auto"/>
                    </w:rPr>
                    <w:t>面积</w:t>
                  </w:r>
                </w:p>
              </w:tc>
              <w:tc>
                <w:tcPr>
                  <w:tcW w:w="286" w:type="pct"/>
                  <w:tcBorders>
                    <w:tl2br w:val="nil"/>
                    <w:tr2bl w:val="nil"/>
                  </w:tcBorders>
                  <w:noWrap w:val="0"/>
                  <w:vAlign w:val="center"/>
                </w:tcPr>
                <w:p>
                  <w:pPr>
                    <w:pStyle w:val="31"/>
                    <w:bidi w:val="0"/>
                    <w:rPr>
                      <w:rFonts w:hint="eastAsia"/>
                      <w:color w:val="auto"/>
                      <w:lang w:eastAsia="zh-CN"/>
                    </w:rPr>
                  </w:pPr>
                  <w:r>
                    <w:rPr>
                      <w:rFonts w:hint="eastAsia"/>
                      <w:color w:val="auto"/>
                      <w:lang w:eastAsia="zh-CN"/>
                    </w:rPr>
                    <w:t>贮存</w:t>
                  </w:r>
                </w:p>
                <w:p>
                  <w:pPr>
                    <w:pStyle w:val="31"/>
                    <w:bidi w:val="0"/>
                    <w:rPr>
                      <w:rFonts w:hint="eastAsia"/>
                      <w:color w:val="auto"/>
                      <w:lang w:eastAsia="zh-CN"/>
                    </w:rPr>
                  </w:pPr>
                  <w:r>
                    <w:rPr>
                      <w:rFonts w:hint="eastAsia"/>
                      <w:color w:val="auto"/>
                      <w:lang w:eastAsia="zh-CN"/>
                    </w:rPr>
                    <w:t>能力</w:t>
                  </w:r>
                </w:p>
              </w:tc>
              <w:tc>
                <w:tcPr>
                  <w:tcW w:w="508" w:type="pct"/>
                  <w:tcBorders>
                    <w:tl2br w:val="nil"/>
                    <w:tr2bl w:val="nil"/>
                  </w:tcBorders>
                  <w:noWrap w:val="0"/>
                  <w:vAlign w:val="center"/>
                </w:tcPr>
                <w:p>
                  <w:pPr>
                    <w:pStyle w:val="31"/>
                    <w:bidi w:val="0"/>
                    <w:rPr>
                      <w:rFonts w:hint="default"/>
                      <w:color w:val="auto"/>
                    </w:rPr>
                  </w:pPr>
                  <w:r>
                    <w:rPr>
                      <w:rFonts w:hint="default"/>
                      <w:color w:val="auto"/>
                    </w:rPr>
                    <w:t>贮存方式</w:t>
                  </w:r>
                </w:p>
              </w:tc>
              <w:tc>
                <w:tcPr>
                  <w:tcW w:w="424"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年产生量（t/a）</w:t>
                  </w:r>
                </w:p>
              </w:tc>
              <w:tc>
                <w:tcPr>
                  <w:tcW w:w="406" w:type="pct"/>
                  <w:tcBorders>
                    <w:tl2br w:val="nil"/>
                    <w:tr2bl w:val="nil"/>
                  </w:tcBorders>
                  <w:noWrap w:val="0"/>
                  <w:vAlign w:val="center"/>
                </w:tcPr>
                <w:p>
                  <w:pPr>
                    <w:pStyle w:val="31"/>
                    <w:bidi w:val="0"/>
                    <w:rPr>
                      <w:rFonts w:hint="eastAsia"/>
                      <w:color w:val="auto"/>
                      <w:lang w:eastAsia="zh-CN"/>
                    </w:rPr>
                  </w:pPr>
                  <w:r>
                    <w:rPr>
                      <w:rFonts w:hint="eastAsia"/>
                      <w:color w:val="auto"/>
                      <w:lang w:eastAsia="zh-CN"/>
                    </w:rPr>
                    <w:t>最大贮存量</w:t>
                  </w:r>
                </w:p>
              </w:tc>
              <w:tc>
                <w:tcPr>
                  <w:tcW w:w="254" w:type="pct"/>
                  <w:tcBorders>
                    <w:tl2br w:val="nil"/>
                    <w:tr2bl w:val="nil"/>
                  </w:tcBorders>
                  <w:noWrap w:val="0"/>
                  <w:vAlign w:val="center"/>
                </w:tcPr>
                <w:p>
                  <w:pPr>
                    <w:pStyle w:val="31"/>
                    <w:bidi w:val="0"/>
                    <w:rPr>
                      <w:rFonts w:hint="default"/>
                      <w:color w:val="auto"/>
                    </w:rPr>
                  </w:pPr>
                  <w:r>
                    <w:rPr>
                      <w:rFonts w:hint="default"/>
                      <w:color w:val="auto"/>
                    </w:rPr>
                    <w:t>贮存</w:t>
                  </w:r>
                </w:p>
                <w:p>
                  <w:pPr>
                    <w:pStyle w:val="31"/>
                    <w:bidi w:val="0"/>
                    <w:rPr>
                      <w:rFonts w:hint="default"/>
                      <w:color w:val="auto"/>
                    </w:rPr>
                  </w:pPr>
                  <w:r>
                    <w:rPr>
                      <w:rFonts w:hint="default"/>
                      <w:color w:val="auto"/>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9" w:type="pct"/>
                  <w:vMerge w:val="restart"/>
                  <w:tcBorders>
                    <w:tl2br w:val="nil"/>
                    <w:tr2bl w:val="nil"/>
                  </w:tcBorders>
                  <w:noWrap w:val="0"/>
                  <w:vAlign w:val="center"/>
                </w:tcPr>
                <w:p>
                  <w:pPr>
                    <w:pStyle w:val="31"/>
                    <w:bidi w:val="0"/>
                    <w:rPr>
                      <w:rFonts w:hint="default"/>
                      <w:color w:val="auto"/>
                      <w:lang w:val="en-US" w:eastAsia="zh-CN"/>
                    </w:rPr>
                  </w:pPr>
                  <w:r>
                    <w:rPr>
                      <w:rFonts w:hint="default"/>
                      <w:color w:val="auto"/>
                      <w:lang w:val="en-US" w:eastAsia="zh-CN"/>
                    </w:rPr>
                    <w:t>危险废物</w:t>
                  </w:r>
                  <w:r>
                    <w:rPr>
                      <w:rFonts w:hint="eastAsia"/>
                      <w:color w:val="auto"/>
                      <w:lang w:val="en-US" w:eastAsia="zh-CN"/>
                    </w:rPr>
                    <w:t>贮存库</w:t>
                  </w:r>
                </w:p>
                <w:p>
                  <w:pPr>
                    <w:pStyle w:val="31"/>
                    <w:bidi w:val="0"/>
                    <w:rPr>
                      <w:rFonts w:hint="eastAsia"/>
                      <w:color w:val="auto"/>
                      <w:lang w:val="en-US" w:eastAsia="zh-CN"/>
                    </w:rPr>
                  </w:pPr>
                  <w:r>
                    <w:rPr>
                      <w:rFonts w:hint="eastAsia"/>
                      <w:color w:val="auto"/>
                      <w:lang w:val="en-US" w:eastAsia="zh-CN"/>
                    </w:rPr>
                    <w:t>（厂区西南侧）</w:t>
                  </w:r>
                </w:p>
                <w:p>
                  <w:pPr>
                    <w:pStyle w:val="31"/>
                    <w:bidi w:val="0"/>
                    <w:rPr>
                      <w:rFonts w:hint="default"/>
                      <w:color w:val="auto"/>
                      <w:lang w:val="en-US" w:eastAsia="zh-CN"/>
                    </w:rPr>
                  </w:pPr>
                  <w:r>
                    <w:rPr>
                      <w:rFonts w:hint="eastAsia"/>
                      <w:color w:val="auto"/>
                      <w:lang w:val="en-US" w:eastAsia="zh-CN"/>
                    </w:rPr>
                    <w:t>E119°</w:t>
                  </w:r>
                </w:p>
              </w:tc>
              <w:tc>
                <w:tcPr>
                  <w:tcW w:w="344" w:type="pct"/>
                  <w:vMerge w:val="restar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HW</w:t>
                  </w:r>
                </w:p>
                <w:p>
                  <w:pPr>
                    <w:pStyle w:val="31"/>
                    <w:bidi w:val="0"/>
                    <w:rPr>
                      <w:rFonts w:hint="default"/>
                      <w:color w:val="auto"/>
                      <w:lang w:val="en-US" w:eastAsia="zh-CN"/>
                    </w:rPr>
                  </w:pPr>
                  <w:r>
                    <w:rPr>
                      <w:rFonts w:hint="eastAsia"/>
                      <w:color w:val="auto"/>
                      <w:lang w:val="en-US" w:eastAsia="zh-CN"/>
                    </w:rPr>
                    <w:t>08类区</w:t>
                  </w:r>
                </w:p>
              </w:tc>
              <w:tc>
                <w:tcPr>
                  <w:tcW w:w="445"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废机油</w:t>
                  </w:r>
                </w:p>
              </w:tc>
              <w:tc>
                <w:tcPr>
                  <w:tcW w:w="452"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HW</w:t>
                  </w:r>
                </w:p>
                <w:p>
                  <w:pPr>
                    <w:pStyle w:val="31"/>
                    <w:bidi w:val="0"/>
                    <w:rPr>
                      <w:rFonts w:hint="default"/>
                      <w:color w:val="auto"/>
                      <w:lang w:val="en-US" w:eastAsia="zh-CN"/>
                    </w:rPr>
                  </w:pPr>
                  <w:r>
                    <w:rPr>
                      <w:rFonts w:hint="eastAsia"/>
                      <w:color w:val="auto"/>
                      <w:lang w:val="en-US" w:eastAsia="zh-CN"/>
                    </w:rPr>
                    <w:t>08</w:t>
                  </w:r>
                </w:p>
              </w:tc>
              <w:tc>
                <w:tcPr>
                  <w:tcW w:w="535"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900-</w:t>
                  </w:r>
                </w:p>
                <w:p>
                  <w:pPr>
                    <w:pStyle w:val="31"/>
                    <w:bidi w:val="0"/>
                    <w:rPr>
                      <w:rFonts w:hint="default"/>
                      <w:color w:val="auto"/>
                      <w:lang w:val="en-US" w:eastAsia="zh-CN"/>
                    </w:rPr>
                  </w:pPr>
                  <w:r>
                    <w:rPr>
                      <w:rFonts w:hint="eastAsia"/>
                      <w:color w:val="auto"/>
                      <w:lang w:val="en-US" w:eastAsia="zh-CN"/>
                    </w:rPr>
                    <w:t>214-08</w:t>
                  </w:r>
                </w:p>
              </w:tc>
              <w:tc>
                <w:tcPr>
                  <w:tcW w:w="304" w:type="pct"/>
                  <w:tcBorders>
                    <w:tl2br w:val="nil"/>
                    <w:tr2bl w:val="nil"/>
                  </w:tcBorders>
                  <w:noWrap w:val="0"/>
                  <w:vAlign w:val="center"/>
                </w:tcPr>
                <w:p>
                  <w:pPr>
                    <w:pStyle w:val="31"/>
                    <w:bidi w:val="0"/>
                    <w:rPr>
                      <w:rFonts w:hint="eastAsia"/>
                      <w:color w:val="auto"/>
                      <w:lang w:val="en-US" w:eastAsia="zh-CN"/>
                    </w:rPr>
                  </w:pPr>
                  <w:r>
                    <w:rPr>
                      <w:color w:val="auto"/>
                    </w:rPr>
                    <w:t>T，</w:t>
                  </w:r>
                  <w:r>
                    <w:rPr>
                      <w:rFonts w:hint="eastAsia"/>
                      <w:color w:val="auto"/>
                    </w:rPr>
                    <w:t>I</w:t>
                  </w:r>
                </w:p>
              </w:tc>
              <w:tc>
                <w:tcPr>
                  <w:tcW w:w="397" w:type="pct"/>
                  <w:vMerge w:val="restar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10</w:t>
                  </w:r>
                </w:p>
                <w:p>
                  <w:pPr>
                    <w:pStyle w:val="31"/>
                    <w:bidi w:val="0"/>
                    <w:rPr>
                      <w:rFonts w:hint="default"/>
                      <w:color w:val="auto"/>
                      <w:lang w:val="en-US" w:eastAsia="zh-CN"/>
                    </w:rPr>
                  </w:pPr>
                  <w:r>
                    <w:rPr>
                      <w:rFonts w:hint="eastAsia"/>
                      <w:color w:val="auto"/>
                      <w:lang w:val="en-US" w:eastAsia="zh-CN"/>
                    </w:rPr>
                    <w:t>m</w:t>
                  </w:r>
                  <w:r>
                    <w:rPr>
                      <w:rFonts w:hint="eastAsia"/>
                      <w:color w:val="auto"/>
                      <w:vertAlign w:val="superscript"/>
                      <w:lang w:val="en-US" w:eastAsia="zh-CN"/>
                    </w:rPr>
                    <w:t>2</w:t>
                  </w:r>
                </w:p>
              </w:tc>
              <w:tc>
                <w:tcPr>
                  <w:tcW w:w="286" w:type="pct"/>
                  <w:vMerge w:val="restar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5t</w:t>
                  </w:r>
                </w:p>
              </w:tc>
              <w:tc>
                <w:tcPr>
                  <w:tcW w:w="508"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密闭容器装存，底部加设防渗托盘</w:t>
                  </w:r>
                </w:p>
              </w:tc>
              <w:tc>
                <w:tcPr>
                  <w:tcW w:w="424"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0.2</w:t>
                  </w:r>
                </w:p>
              </w:tc>
              <w:tc>
                <w:tcPr>
                  <w:tcW w:w="406"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0.2</w:t>
                  </w:r>
                </w:p>
              </w:tc>
              <w:tc>
                <w:tcPr>
                  <w:tcW w:w="254" w:type="pct"/>
                  <w:vMerge w:val="restar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不超过一年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95" w:hRule="atLeast"/>
              </w:trPr>
              <w:tc>
                <w:tcPr>
                  <w:tcW w:w="639" w:type="pct"/>
                  <w:vMerge w:val="continue"/>
                  <w:tcBorders>
                    <w:tl2br w:val="nil"/>
                    <w:tr2bl w:val="nil"/>
                  </w:tcBorders>
                  <w:noWrap w:val="0"/>
                  <w:vAlign w:val="center"/>
                </w:tcPr>
                <w:p>
                  <w:pPr>
                    <w:pStyle w:val="31"/>
                    <w:bidi w:val="0"/>
                    <w:rPr>
                      <w:rFonts w:hint="eastAsia"/>
                      <w:color w:val="auto"/>
                      <w:lang w:val="en-US" w:eastAsia="zh-CN"/>
                    </w:rPr>
                  </w:pPr>
                </w:p>
              </w:tc>
              <w:tc>
                <w:tcPr>
                  <w:tcW w:w="344" w:type="pct"/>
                  <w:vMerge w:val="continue"/>
                  <w:tcBorders>
                    <w:tl2br w:val="nil"/>
                    <w:tr2bl w:val="nil"/>
                  </w:tcBorders>
                  <w:noWrap w:val="0"/>
                  <w:vAlign w:val="center"/>
                </w:tcPr>
                <w:p>
                  <w:pPr>
                    <w:pStyle w:val="31"/>
                    <w:bidi w:val="0"/>
                    <w:rPr>
                      <w:rFonts w:hint="eastAsia"/>
                      <w:color w:val="auto"/>
                      <w:lang w:val="en-US" w:eastAsia="zh-CN"/>
                    </w:rPr>
                  </w:pPr>
                </w:p>
              </w:tc>
              <w:tc>
                <w:tcPr>
                  <w:tcW w:w="445"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废油桶</w:t>
                  </w:r>
                </w:p>
              </w:tc>
              <w:tc>
                <w:tcPr>
                  <w:tcW w:w="452"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HW</w:t>
                  </w:r>
                </w:p>
                <w:p>
                  <w:pPr>
                    <w:pStyle w:val="31"/>
                    <w:bidi w:val="0"/>
                    <w:rPr>
                      <w:rFonts w:hint="default"/>
                      <w:color w:val="auto"/>
                      <w:lang w:val="en-US" w:eastAsia="zh-CN"/>
                    </w:rPr>
                  </w:pPr>
                  <w:r>
                    <w:rPr>
                      <w:rFonts w:hint="eastAsia"/>
                      <w:color w:val="auto"/>
                      <w:lang w:val="en-US" w:eastAsia="zh-CN"/>
                    </w:rPr>
                    <w:t>08</w:t>
                  </w:r>
                </w:p>
              </w:tc>
              <w:tc>
                <w:tcPr>
                  <w:tcW w:w="535"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900-</w:t>
                  </w:r>
                </w:p>
                <w:p>
                  <w:pPr>
                    <w:pStyle w:val="31"/>
                    <w:bidi w:val="0"/>
                    <w:rPr>
                      <w:rFonts w:hint="default"/>
                      <w:color w:val="auto"/>
                      <w:lang w:val="en-US" w:eastAsia="zh-CN"/>
                    </w:rPr>
                  </w:pPr>
                  <w:r>
                    <w:rPr>
                      <w:rFonts w:hint="eastAsia"/>
                      <w:color w:val="auto"/>
                      <w:lang w:val="en-US" w:eastAsia="zh-CN"/>
                    </w:rPr>
                    <w:t>249-08</w:t>
                  </w:r>
                </w:p>
              </w:tc>
              <w:tc>
                <w:tcPr>
                  <w:tcW w:w="304"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T</w:t>
                  </w:r>
                </w:p>
              </w:tc>
              <w:tc>
                <w:tcPr>
                  <w:tcW w:w="397" w:type="pct"/>
                  <w:vMerge w:val="continue"/>
                  <w:tcBorders>
                    <w:tl2br w:val="nil"/>
                    <w:tr2bl w:val="nil"/>
                  </w:tcBorders>
                  <w:noWrap w:val="0"/>
                  <w:vAlign w:val="center"/>
                </w:tcPr>
                <w:p>
                  <w:pPr>
                    <w:pStyle w:val="31"/>
                    <w:bidi w:val="0"/>
                    <w:rPr>
                      <w:rFonts w:hint="default"/>
                      <w:color w:val="auto"/>
                      <w:lang w:val="en-US" w:eastAsia="zh-CN"/>
                    </w:rPr>
                  </w:pPr>
                </w:p>
              </w:tc>
              <w:tc>
                <w:tcPr>
                  <w:tcW w:w="286" w:type="pct"/>
                  <w:vMerge w:val="continue"/>
                  <w:tcBorders>
                    <w:tl2br w:val="nil"/>
                    <w:tr2bl w:val="nil"/>
                  </w:tcBorders>
                  <w:noWrap w:val="0"/>
                  <w:vAlign w:val="center"/>
                </w:tcPr>
                <w:p>
                  <w:pPr>
                    <w:pStyle w:val="31"/>
                    <w:bidi w:val="0"/>
                    <w:rPr>
                      <w:rFonts w:hint="eastAsia"/>
                      <w:color w:val="auto"/>
                      <w:lang w:val="en-US" w:eastAsia="zh-CN"/>
                    </w:rPr>
                  </w:pPr>
                </w:p>
              </w:tc>
              <w:tc>
                <w:tcPr>
                  <w:tcW w:w="508"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自身加盖密闭</w:t>
                  </w:r>
                </w:p>
              </w:tc>
              <w:tc>
                <w:tcPr>
                  <w:tcW w:w="424"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0.05</w:t>
                  </w:r>
                </w:p>
              </w:tc>
              <w:tc>
                <w:tcPr>
                  <w:tcW w:w="406"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0.05</w:t>
                  </w:r>
                </w:p>
              </w:tc>
              <w:tc>
                <w:tcPr>
                  <w:tcW w:w="254" w:type="pct"/>
                  <w:vMerge w:val="continue"/>
                  <w:tcBorders>
                    <w:tl2br w:val="nil"/>
                    <w:tr2bl w:val="nil"/>
                  </w:tcBorders>
                  <w:noWrap w:val="0"/>
                  <w:vAlign w:val="center"/>
                </w:tcPr>
                <w:p>
                  <w:pPr>
                    <w:pStyle w:val="31"/>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9" w:type="pct"/>
                  <w:vMerge w:val="continue"/>
                  <w:tcBorders>
                    <w:tl2br w:val="nil"/>
                    <w:tr2bl w:val="nil"/>
                  </w:tcBorders>
                  <w:noWrap w:val="0"/>
                  <w:vAlign w:val="center"/>
                </w:tcPr>
                <w:p>
                  <w:pPr>
                    <w:pStyle w:val="31"/>
                    <w:bidi w:val="0"/>
                    <w:rPr>
                      <w:rFonts w:hint="eastAsia"/>
                      <w:color w:val="auto"/>
                      <w:lang w:val="en-US" w:eastAsia="zh-CN"/>
                    </w:rPr>
                  </w:pPr>
                </w:p>
              </w:tc>
              <w:tc>
                <w:tcPr>
                  <w:tcW w:w="344"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HW</w:t>
                  </w:r>
                </w:p>
                <w:p>
                  <w:pPr>
                    <w:pStyle w:val="31"/>
                    <w:bidi w:val="0"/>
                    <w:rPr>
                      <w:rFonts w:hint="default"/>
                      <w:color w:val="auto"/>
                      <w:lang w:val="en-US" w:eastAsia="zh-CN"/>
                    </w:rPr>
                  </w:pPr>
                  <w:r>
                    <w:rPr>
                      <w:rFonts w:hint="eastAsia"/>
                      <w:color w:val="auto"/>
                      <w:lang w:val="en-US" w:eastAsia="zh-CN"/>
                    </w:rPr>
                    <w:t>49类区</w:t>
                  </w:r>
                </w:p>
              </w:tc>
              <w:tc>
                <w:tcPr>
                  <w:tcW w:w="445"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废吸油毡</w:t>
                  </w:r>
                </w:p>
              </w:tc>
              <w:tc>
                <w:tcPr>
                  <w:tcW w:w="452"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HW</w:t>
                  </w:r>
                </w:p>
                <w:p>
                  <w:pPr>
                    <w:pStyle w:val="31"/>
                    <w:bidi w:val="0"/>
                    <w:rPr>
                      <w:rFonts w:hint="default"/>
                      <w:color w:val="auto"/>
                      <w:lang w:val="en-US" w:eastAsia="zh-CN"/>
                    </w:rPr>
                  </w:pPr>
                  <w:r>
                    <w:rPr>
                      <w:rFonts w:hint="eastAsia"/>
                      <w:color w:val="auto"/>
                      <w:lang w:val="en-US" w:eastAsia="zh-CN"/>
                    </w:rPr>
                    <w:t>49</w:t>
                  </w:r>
                </w:p>
              </w:tc>
              <w:tc>
                <w:tcPr>
                  <w:tcW w:w="535"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900-</w:t>
                  </w:r>
                </w:p>
                <w:p>
                  <w:pPr>
                    <w:pStyle w:val="31"/>
                    <w:bidi w:val="0"/>
                    <w:rPr>
                      <w:rFonts w:hint="default"/>
                      <w:color w:val="auto"/>
                      <w:lang w:val="en-US" w:eastAsia="zh-CN"/>
                    </w:rPr>
                  </w:pPr>
                  <w:r>
                    <w:rPr>
                      <w:rFonts w:hint="eastAsia"/>
                      <w:color w:val="auto"/>
                      <w:lang w:val="en-US" w:eastAsia="zh-CN"/>
                    </w:rPr>
                    <w:t>041-49</w:t>
                  </w:r>
                </w:p>
              </w:tc>
              <w:tc>
                <w:tcPr>
                  <w:tcW w:w="304"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T</w:t>
                  </w:r>
                </w:p>
              </w:tc>
              <w:tc>
                <w:tcPr>
                  <w:tcW w:w="397"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10</w:t>
                  </w:r>
                </w:p>
                <w:p>
                  <w:pPr>
                    <w:pStyle w:val="31"/>
                    <w:bidi w:val="0"/>
                    <w:rPr>
                      <w:rFonts w:hint="default"/>
                      <w:color w:val="auto"/>
                      <w:lang w:val="en-US" w:eastAsia="zh-CN"/>
                    </w:rPr>
                  </w:pPr>
                  <w:r>
                    <w:rPr>
                      <w:rFonts w:hint="eastAsia"/>
                      <w:color w:val="auto"/>
                      <w:lang w:val="en-US" w:eastAsia="zh-CN"/>
                    </w:rPr>
                    <w:t>m</w:t>
                  </w:r>
                  <w:r>
                    <w:rPr>
                      <w:rFonts w:hint="eastAsia"/>
                      <w:color w:val="auto"/>
                      <w:vertAlign w:val="superscript"/>
                      <w:lang w:val="en-US" w:eastAsia="zh-CN"/>
                    </w:rPr>
                    <w:t>2</w:t>
                  </w:r>
                </w:p>
              </w:tc>
              <w:tc>
                <w:tcPr>
                  <w:tcW w:w="286"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5t</w:t>
                  </w:r>
                </w:p>
              </w:tc>
              <w:tc>
                <w:tcPr>
                  <w:tcW w:w="508" w:type="pct"/>
                  <w:tcBorders>
                    <w:tl2br w:val="nil"/>
                    <w:tr2bl w:val="nil"/>
                  </w:tcBorders>
                  <w:noWrap w:val="0"/>
                  <w:vAlign w:val="center"/>
                </w:tcPr>
                <w:p>
                  <w:pPr>
                    <w:pStyle w:val="31"/>
                    <w:bidi w:val="0"/>
                    <w:rPr>
                      <w:rFonts w:hint="eastAsia"/>
                      <w:color w:val="auto"/>
                      <w:lang w:val="en-US" w:eastAsia="zh-CN"/>
                    </w:rPr>
                  </w:pPr>
                  <w:r>
                    <w:rPr>
                      <w:rFonts w:hint="eastAsia"/>
                      <w:color w:val="auto"/>
                      <w:lang w:val="en-US" w:eastAsia="zh-CN"/>
                    </w:rPr>
                    <w:t>密闭容器装存</w:t>
                  </w:r>
                </w:p>
              </w:tc>
              <w:tc>
                <w:tcPr>
                  <w:tcW w:w="424"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0.3</w:t>
                  </w:r>
                </w:p>
              </w:tc>
              <w:tc>
                <w:tcPr>
                  <w:tcW w:w="406"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0.3</w:t>
                  </w:r>
                </w:p>
              </w:tc>
              <w:tc>
                <w:tcPr>
                  <w:tcW w:w="254" w:type="pct"/>
                  <w:vMerge w:val="continue"/>
                  <w:tcBorders>
                    <w:tl2br w:val="nil"/>
                    <w:tr2bl w:val="nil"/>
                  </w:tcBorders>
                  <w:noWrap w:val="0"/>
                  <w:vAlign w:val="center"/>
                </w:tcPr>
                <w:p>
                  <w:pPr>
                    <w:pStyle w:val="31"/>
                    <w:bidi w:val="0"/>
                    <w:rPr>
                      <w:rFonts w:hint="default"/>
                      <w:color w:val="auto"/>
                      <w:lang w:val="en-US" w:eastAsia="zh-CN"/>
                    </w:rPr>
                  </w:pPr>
                </w:p>
              </w:tc>
            </w:tr>
          </w:tbl>
          <w:p>
            <w:pPr>
              <w:spacing w:before="120" w:beforeLines="50"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2</w:t>
            </w:r>
            <w:r>
              <w:rPr>
                <w:rFonts w:hint="eastAsia"/>
                <w:b w:val="0"/>
                <w:bCs w:val="0"/>
                <w:color w:val="auto"/>
                <w:sz w:val="24"/>
                <w:szCs w:val="24"/>
                <w:lang w:val="en-US" w:eastAsia="zh-CN"/>
              </w:rPr>
              <w:t>）</w:t>
            </w:r>
            <w:r>
              <w:rPr>
                <w:color w:val="auto"/>
                <w:sz w:val="24"/>
              </w:rPr>
              <w:t>委托利用或者处置的环境影响分析</w:t>
            </w:r>
          </w:p>
          <w:p>
            <w:pPr>
              <w:spacing w:line="360" w:lineRule="auto"/>
              <w:ind w:firstLine="480" w:firstLineChars="200"/>
              <w:rPr>
                <w:color w:val="auto"/>
                <w:sz w:val="24"/>
              </w:rPr>
            </w:pPr>
            <w:r>
              <w:rPr>
                <w:color w:val="auto"/>
                <w:sz w:val="24"/>
              </w:rPr>
              <w:t>本项目不具备危险废物利用或处置能力，项目危险废物定期委托有资质单位统一转移处置，危险废物运输过程也全部委托有资质单位统一进行。</w:t>
            </w:r>
          </w:p>
          <w:p>
            <w:pPr>
              <w:spacing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3</w:t>
            </w:r>
            <w:r>
              <w:rPr>
                <w:rFonts w:hint="eastAsia"/>
                <w:b w:val="0"/>
                <w:bCs w:val="0"/>
                <w:color w:val="auto"/>
                <w:sz w:val="24"/>
                <w:szCs w:val="24"/>
                <w:lang w:val="en-US" w:eastAsia="zh-CN"/>
              </w:rPr>
              <w:t>）</w:t>
            </w:r>
            <w:r>
              <w:rPr>
                <w:color w:val="auto"/>
                <w:sz w:val="24"/>
              </w:rPr>
              <w:t>固体废物运输过程的环境影响分析</w:t>
            </w:r>
          </w:p>
          <w:p>
            <w:pPr>
              <w:spacing w:line="360" w:lineRule="auto"/>
              <w:ind w:firstLine="480" w:firstLineChars="200"/>
              <w:rPr>
                <w:color w:val="auto"/>
                <w:sz w:val="24"/>
              </w:rPr>
            </w:pPr>
            <w:r>
              <w:rPr>
                <w:color w:val="auto"/>
                <w:sz w:val="24"/>
              </w:rPr>
              <w:t>本项目危险废物</w:t>
            </w:r>
            <w:r>
              <w:rPr>
                <w:rFonts w:hint="eastAsia"/>
                <w:color w:val="auto"/>
                <w:sz w:val="24"/>
              </w:rPr>
              <w:t>密闭桶装/袋装后</w:t>
            </w:r>
            <w:r>
              <w:rPr>
                <w:color w:val="auto"/>
                <w:sz w:val="24"/>
              </w:rPr>
              <w:t>委托有资质的单位处置；</w:t>
            </w:r>
            <w:r>
              <w:rPr>
                <w:rFonts w:hint="eastAsia"/>
                <w:color w:val="auto"/>
                <w:sz w:val="24"/>
              </w:rPr>
              <w:t>项目危险废物运输委托有资质单位进行</w:t>
            </w:r>
            <w:r>
              <w:rPr>
                <w:color w:val="auto"/>
                <w:sz w:val="24"/>
              </w:rPr>
              <w:t>统一进行。</w:t>
            </w:r>
          </w:p>
          <w:p>
            <w:pPr>
              <w:pStyle w:val="45"/>
              <w:ind w:firstLine="480"/>
              <w:rPr>
                <w:rFonts w:hint="eastAsia"/>
                <w:color w:val="auto"/>
              </w:rPr>
            </w:pPr>
            <w:r>
              <w:rPr>
                <w:rFonts w:hint="eastAsia" w:ascii="Times New Roman" w:hAnsi="Times New Roman" w:eastAsia="宋体" w:cs="Times New Roman"/>
                <w:b w:val="0"/>
                <w:bCs w:val="0"/>
                <w:color w:val="auto"/>
                <w:sz w:val="24"/>
                <w:szCs w:val="24"/>
                <w:highlight w:val="none"/>
                <w:lang w:val="en-US" w:eastAsia="zh-CN"/>
              </w:rPr>
              <w:t>（</w:t>
            </w:r>
            <w:r>
              <w:rPr>
                <w:rFonts w:hint="eastAsia"/>
                <w:b w:val="0"/>
                <w:bCs w:val="0"/>
                <w:color w:val="auto"/>
                <w:sz w:val="24"/>
                <w:szCs w:val="24"/>
                <w:lang w:val="en-US" w:eastAsia="zh-CN"/>
              </w:rPr>
              <w:t>4）</w:t>
            </w:r>
            <w:r>
              <w:rPr>
                <w:rFonts w:hint="eastAsia"/>
                <w:color w:val="auto"/>
              </w:rPr>
              <w:t>危险废物转移要求</w:t>
            </w:r>
          </w:p>
          <w:p>
            <w:pPr>
              <w:pStyle w:val="45"/>
              <w:ind w:firstLine="480"/>
              <w:jc w:val="left"/>
              <w:rPr>
                <w:rFonts w:hint="eastAsia"/>
                <w:color w:val="auto"/>
              </w:rPr>
            </w:pPr>
            <w:r>
              <w:rPr>
                <w:rFonts w:hint="eastAsia"/>
                <w:color w:val="auto"/>
              </w:rPr>
              <w:t>根据《危险废物转移管理办法》(2021年11月30日生态环境部、公安部、交通运输部令第23号公布，自2022年1月1日起施行)，危险废物转移过程应满足以下要求：</w:t>
            </w:r>
          </w:p>
          <w:p>
            <w:pPr>
              <w:pStyle w:val="45"/>
              <w:ind w:firstLine="480"/>
              <w:jc w:val="left"/>
              <w:rPr>
                <w:rFonts w:hint="eastAsia"/>
                <w:color w:val="auto"/>
              </w:rPr>
            </w:pPr>
            <w:r>
              <w:rPr>
                <w:color w:val="auto"/>
                <w:szCs w:val="24"/>
              </w:rPr>
              <w:t>①</w:t>
            </w:r>
            <w:r>
              <w:rPr>
                <w:rFonts w:hint="eastAsia"/>
                <w:color w:val="auto"/>
              </w:rPr>
              <w:t>危险废物转移联单应当根据危险废物管理计划中填报的危险废物转移等备案信息填写、运行。</w:t>
            </w:r>
          </w:p>
          <w:p>
            <w:pPr>
              <w:pStyle w:val="45"/>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pPr>
              <w:pStyle w:val="45"/>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pPr>
              <w:pStyle w:val="45"/>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pPr>
              <w:pStyle w:val="45"/>
              <w:ind w:firstLine="480"/>
              <w:jc w:val="left"/>
              <w:rPr>
                <w:rFonts w:hint="eastAsia"/>
                <w:color w:val="auto"/>
              </w:rPr>
            </w:pPr>
            <w:r>
              <w:rPr>
                <w:rFonts w:hint="eastAsia"/>
                <w:color w:val="auto"/>
              </w:rPr>
              <w:t>⑤接受人应当对运抵的危险废物进行核实验收，并在接收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pStyle w:val="45"/>
              <w:ind w:firstLine="480"/>
              <w:jc w:val="left"/>
              <w:rPr>
                <w:color w:val="auto"/>
              </w:rPr>
            </w:pPr>
            <w:r>
              <w:rPr>
                <w:rFonts w:hint="eastAsia"/>
                <w:color w:val="auto"/>
              </w:rPr>
              <w:t>⑥危险废物电子转移联单数据应当在信息系统中至少保存十年。因特殊原因无法运行危险废物电子转移联单的，可以先使用纸质转移联单，并于转移活动完成后十个工作日内在信息系统中补录电子转移联单</w:t>
            </w:r>
            <w:r>
              <w:rPr>
                <w:color w:val="auto"/>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pPr>
              <w:pStyle w:val="3"/>
              <w:bidi w:val="0"/>
              <w:rPr>
                <w:rFonts w:hint="default"/>
                <w:color w:val="auto"/>
                <w:lang w:eastAsia="zh-CN"/>
              </w:rPr>
            </w:pPr>
            <w:r>
              <w:rPr>
                <w:rFonts w:hint="default"/>
                <w:color w:val="auto"/>
                <w:lang w:val="en-US" w:eastAsia="zh-CN"/>
              </w:rPr>
              <w:t>4.</w:t>
            </w:r>
            <w:r>
              <w:rPr>
                <w:rFonts w:hint="eastAsia"/>
                <w:color w:val="auto"/>
                <w:lang w:val="en-US" w:eastAsia="zh-CN"/>
              </w:rPr>
              <w:t>6</w:t>
            </w:r>
            <w:r>
              <w:rPr>
                <w:rFonts w:hint="default"/>
                <w:color w:val="auto"/>
                <w:lang w:eastAsia="zh-CN"/>
              </w:rPr>
              <w:t>地下水、土壤环境影响和保护措施</w:t>
            </w:r>
          </w:p>
          <w:p>
            <w:pPr>
              <w:pStyle w:val="4"/>
              <w:bidi w:val="0"/>
              <w:rPr>
                <w:rFonts w:hint="eastAsia"/>
                <w:color w:val="auto"/>
              </w:rPr>
            </w:pPr>
            <w:r>
              <w:rPr>
                <w:rFonts w:hint="eastAsia"/>
                <w:color w:val="auto"/>
              </w:rPr>
              <w:t>4.</w:t>
            </w:r>
            <w:r>
              <w:rPr>
                <w:rFonts w:hint="eastAsia"/>
                <w:color w:val="auto"/>
                <w:lang w:val="en-US" w:eastAsia="zh-CN"/>
              </w:rPr>
              <w:t>6</w:t>
            </w:r>
            <w:r>
              <w:rPr>
                <w:rFonts w:hint="eastAsia"/>
                <w:color w:val="auto"/>
              </w:rPr>
              <w:t xml:space="preserve">.1 </w:t>
            </w:r>
            <w:r>
              <w:rPr>
                <w:color w:val="auto"/>
              </w:rPr>
              <w:t>地下水、土壤环境影响</w:t>
            </w:r>
            <w:r>
              <w:rPr>
                <w:rFonts w:hint="eastAsia"/>
                <w:color w:val="auto"/>
              </w:rPr>
              <w:t>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地下水环境影响分析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生产废水及初期雨水经处理后回用于搅拌、抑尘、冲洗</w:t>
            </w:r>
            <w:r>
              <w:rPr>
                <w:rFonts w:hint="eastAsia" w:cs="Times New Roman"/>
                <w:color w:val="auto"/>
                <w:sz w:val="24"/>
                <w:szCs w:val="24"/>
                <w:lang w:eastAsia="zh-CN"/>
              </w:rPr>
              <w:t>等</w:t>
            </w:r>
            <w:r>
              <w:rPr>
                <w:rFonts w:hint="eastAsia" w:ascii="Times New Roman" w:hAnsi="Times New Roman" w:eastAsia="宋体" w:cs="Times New Roman"/>
                <w:color w:val="auto"/>
                <w:sz w:val="24"/>
                <w:szCs w:val="24"/>
                <w:lang w:eastAsia="zh-CN"/>
              </w:rPr>
              <w:t>，不外排，</w:t>
            </w:r>
            <w:r>
              <w:rPr>
                <w:rFonts w:hint="eastAsia" w:ascii="Times New Roman" w:hAnsi="Times New Roman" w:eastAsia="宋体" w:cs="Times New Roman"/>
                <w:color w:val="auto"/>
                <w:sz w:val="24"/>
                <w:szCs w:val="24"/>
                <w:lang w:val="en-US" w:eastAsia="zh-CN"/>
              </w:rPr>
              <w:t>生活污水经</w:t>
            </w:r>
            <w:r>
              <w:rPr>
                <w:rFonts w:hint="eastAsia" w:cs="Times New Roman"/>
                <w:color w:val="auto"/>
                <w:sz w:val="24"/>
                <w:szCs w:val="24"/>
                <w:lang w:val="en-US" w:eastAsia="zh-CN"/>
              </w:rPr>
              <w:t>化粪池+一体化污水处理设施</w:t>
            </w:r>
            <w:r>
              <w:rPr>
                <w:rFonts w:hint="eastAsia" w:ascii="Times New Roman" w:hAnsi="Times New Roman" w:eastAsia="宋体" w:cs="Times New Roman"/>
                <w:color w:val="auto"/>
                <w:sz w:val="24"/>
                <w:szCs w:val="24"/>
              </w:rPr>
              <w:t>处理后</w:t>
            </w:r>
            <w:r>
              <w:rPr>
                <w:rFonts w:hint="eastAsia" w:cs="Times New Roman"/>
                <w:color w:val="auto"/>
                <w:sz w:val="24"/>
                <w:szCs w:val="24"/>
                <w:lang w:val="en-US" w:eastAsia="zh-CN"/>
              </w:rPr>
              <w:t>回用于厂区绿化灌溉及生产，不外排</w:t>
            </w:r>
            <w:r>
              <w:rPr>
                <w:rFonts w:hint="eastAsia" w:cs="Times New Roman"/>
                <w:color w:val="auto"/>
                <w:sz w:val="24"/>
                <w:szCs w:val="24"/>
                <w:lang w:eastAsia="zh-CN"/>
              </w:rPr>
              <w:t>。</w:t>
            </w:r>
            <w:r>
              <w:rPr>
                <w:rFonts w:ascii="Times New Roman" w:hAnsi="Times New Roman" w:eastAsia="宋体" w:cs="Times New Roman"/>
                <w:color w:val="auto"/>
                <w:sz w:val="24"/>
                <w:szCs w:val="24"/>
              </w:rPr>
              <w:t>项目废水不含有毒有害污染物，不含重金属等污染物，</w:t>
            </w:r>
            <w:r>
              <w:rPr>
                <w:rFonts w:hint="default" w:ascii="Times New Roman" w:hAnsi="Times New Roman" w:eastAsia="宋体" w:cs="Times New Roman"/>
                <w:color w:val="auto"/>
                <w:sz w:val="24"/>
                <w:szCs w:val="24"/>
              </w:rPr>
              <w:t>正常工况下</w:t>
            </w:r>
            <w:r>
              <w:rPr>
                <w:rFonts w:hint="eastAsia" w:ascii="Times New Roman" w:hAnsi="Times New Roman" w:eastAsia="宋体" w:cs="Times New Roman"/>
                <w:color w:val="auto"/>
                <w:sz w:val="24"/>
                <w:szCs w:val="24"/>
                <w:lang w:val="en-US" w:eastAsia="zh-CN"/>
              </w:rPr>
              <w:t>污水</w:t>
            </w:r>
            <w:r>
              <w:rPr>
                <w:rFonts w:hint="default" w:ascii="Times New Roman" w:hAnsi="Times New Roman" w:eastAsia="宋体" w:cs="Times New Roman"/>
                <w:color w:val="auto"/>
                <w:sz w:val="24"/>
                <w:szCs w:val="24"/>
              </w:rPr>
              <w:t>不易渗漏和进入地下水。根据现场调查，项目</w:t>
            </w:r>
            <w:r>
              <w:rPr>
                <w:rFonts w:hint="eastAsia" w:ascii="Times New Roman" w:hAnsi="Times New Roman" w:eastAsia="宋体" w:cs="Times New Roman"/>
                <w:color w:val="auto"/>
                <w:sz w:val="24"/>
                <w:szCs w:val="24"/>
                <w:lang w:val="en-US" w:eastAsia="zh-CN"/>
              </w:rPr>
              <w:t>周边</w:t>
            </w:r>
            <w:r>
              <w:rPr>
                <w:rFonts w:hint="eastAsia" w:ascii="Times New Roman" w:hAnsi="Times New Roman" w:eastAsia="宋体" w:cs="Times New Roman"/>
                <w:color w:val="auto"/>
                <w:sz w:val="24"/>
                <w:szCs w:val="24"/>
                <w:lang w:eastAsia="zh-CN"/>
              </w:rPr>
              <w:t>区域</w:t>
            </w:r>
            <w:r>
              <w:rPr>
                <w:rFonts w:hint="default" w:ascii="Times New Roman" w:hAnsi="Times New Roman" w:eastAsia="宋体" w:cs="Times New Roman"/>
                <w:color w:val="auto"/>
                <w:sz w:val="24"/>
                <w:szCs w:val="24"/>
              </w:rPr>
              <w:t>已全部开通自来水管网、生活用水采用自来水。</w:t>
            </w:r>
            <w:r>
              <w:rPr>
                <w:rFonts w:hint="eastAsia" w:ascii="Times New Roman" w:hAnsi="Times New Roman" w:eastAsia="宋体" w:cs="Times New Roman"/>
                <w:color w:val="auto"/>
                <w:sz w:val="24"/>
                <w:szCs w:val="24"/>
                <w:lang w:val="en-US" w:eastAsia="zh-CN"/>
              </w:rPr>
              <w:t>拟建</w:t>
            </w:r>
            <w:r>
              <w:rPr>
                <w:rFonts w:ascii="Times New Roman" w:hAnsi="Times New Roman" w:eastAsia="宋体" w:cs="Times New Roman"/>
                <w:color w:val="auto"/>
                <w:sz w:val="24"/>
                <w:szCs w:val="24"/>
              </w:rPr>
              <w:t>项目未对</w:t>
            </w:r>
            <w:r>
              <w:rPr>
                <w:rFonts w:hint="eastAsia" w:ascii="Times New Roman" w:hAnsi="Times New Roman" w:eastAsia="宋体" w:cs="Times New Roman"/>
                <w:color w:val="auto"/>
                <w:sz w:val="24"/>
                <w:szCs w:val="24"/>
              </w:rPr>
              <w:t>地下水进行开采，运营期间用水由市政</w:t>
            </w:r>
            <w:r>
              <w:rPr>
                <w:rFonts w:hint="eastAsia" w:ascii="Times New Roman" w:hAnsi="Times New Roman" w:eastAsia="宋体" w:cs="Times New Roman"/>
                <w:color w:val="auto"/>
                <w:sz w:val="24"/>
                <w:szCs w:val="24"/>
                <w:lang w:eastAsia="zh-CN"/>
              </w:rPr>
              <w:t>管网</w:t>
            </w:r>
            <w:r>
              <w:rPr>
                <w:rFonts w:hint="eastAsia" w:ascii="Times New Roman" w:hAnsi="Times New Roman" w:eastAsia="宋体" w:cs="Times New Roman"/>
                <w:color w:val="auto"/>
                <w:sz w:val="24"/>
                <w:szCs w:val="24"/>
              </w:rPr>
              <w:t>供水，不会对地下水水位产生影响。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olor w:val="auto"/>
                <w:kern w:val="18"/>
                <w:sz w:val="24"/>
                <w:szCs w:val="24"/>
              </w:rPr>
              <w:t>建设单位采取分区防渗防控措施</w:t>
            </w:r>
            <w:r>
              <w:rPr>
                <w:rFonts w:hint="eastAsia" w:ascii="Times New Roman" w:hAnsi="Times New Roman" w:eastAsia="宋体"/>
                <w:color w:val="auto"/>
                <w:kern w:val="18"/>
                <w:sz w:val="24"/>
                <w:szCs w:val="24"/>
              </w:rPr>
              <w:t>后，在正常工况下，建设项目防渗设施充足，不会发生泄漏</w:t>
            </w:r>
            <w:r>
              <w:rPr>
                <w:rFonts w:hint="eastAsia" w:ascii="Times New Roman" w:hAnsi="Times New Roman" w:eastAsia="宋体"/>
                <w:color w:val="auto"/>
                <w:kern w:val="18"/>
                <w:sz w:val="24"/>
                <w:szCs w:val="24"/>
                <w:lang w:eastAsia="zh-CN"/>
              </w:rPr>
              <w:t>；</w:t>
            </w:r>
            <w:r>
              <w:rPr>
                <w:rFonts w:hint="eastAsia" w:ascii="Times New Roman" w:hAnsi="Times New Roman" w:eastAsia="宋体" w:cs="Times New Roman"/>
                <w:color w:val="auto"/>
                <w:sz w:val="24"/>
                <w:szCs w:val="24"/>
              </w:rPr>
              <w:t>非正常工况下，会对地下水下游造成一定的污染。为了避免污染事故，评价要求建设单位应严格落实评价提出的各项防治措施及相关设计规范的要求，同时做好地下水监控及污染事故应急方案。</w:t>
            </w:r>
          </w:p>
          <w:p>
            <w:pPr>
              <w:spacing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土壤</w:t>
            </w:r>
            <w:r>
              <w:rPr>
                <w:rFonts w:ascii="Times New Roman" w:hAnsi="Times New Roman" w:eastAsia="宋体"/>
                <w:color w:val="auto"/>
                <w:sz w:val="24"/>
                <w:szCs w:val="24"/>
              </w:rPr>
              <w:t>环境</w:t>
            </w:r>
            <w:r>
              <w:rPr>
                <w:rFonts w:hint="eastAsia" w:ascii="Times New Roman" w:hAnsi="Times New Roman" w:eastAsia="宋体" w:cs="Times New Roman"/>
                <w:color w:val="auto"/>
                <w:sz w:val="24"/>
                <w:szCs w:val="24"/>
              </w:rPr>
              <w:t>影响分析</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项目运营期对土壤的环境影响主要来自“三废”排放。</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①</w:t>
            </w:r>
            <w:r>
              <w:rPr>
                <w:rFonts w:hint="eastAsia" w:ascii="Times New Roman" w:hAnsi="Times New Roman" w:eastAsia="宋体"/>
                <w:color w:val="auto"/>
                <w:kern w:val="0"/>
                <w:sz w:val="24"/>
                <w:szCs w:val="24"/>
              </w:rPr>
              <w:t>废气对土壤环境的影响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废气中的污染物，通过降水、扩散和重力作用降落至地面，渗透进入土壤，进而污染土壤环境。</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②</w:t>
            </w:r>
            <w:r>
              <w:rPr>
                <w:rFonts w:hint="eastAsia" w:ascii="Times New Roman" w:hAnsi="Times New Roman" w:eastAsia="宋体"/>
                <w:color w:val="auto"/>
                <w:kern w:val="0"/>
                <w:sz w:val="24"/>
                <w:szCs w:val="24"/>
              </w:rPr>
              <w:t>废水对土壤环境的影响</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生产废水及初期雨水经处理后回用于搅拌，不外排，</w:t>
            </w:r>
            <w:r>
              <w:rPr>
                <w:rFonts w:hint="eastAsia" w:ascii="Times New Roman" w:hAnsi="Times New Roman" w:eastAsia="宋体" w:cs="Times New Roman"/>
                <w:color w:val="auto"/>
                <w:sz w:val="24"/>
                <w:szCs w:val="24"/>
                <w:lang w:val="en-US" w:eastAsia="zh-CN"/>
              </w:rPr>
              <w:t>生活污水经</w:t>
            </w:r>
            <w:r>
              <w:rPr>
                <w:rFonts w:hint="eastAsia" w:ascii="Times New Roman" w:hAnsi="Times New Roman" w:eastAsia="宋体" w:cs="Times New Roman"/>
                <w:color w:val="auto"/>
                <w:sz w:val="24"/>
                <w:szCs w:val="24"/>
              </w:rPr>
              <w:t>处理</w:t>
            </w:r>
            <w:r>
              <w:rPr>
                <w:rFonts w:hint="eastAsia" w:cs="Times New Roman"/>
                <w:color w:val="auto"/>
                <w:sz w:val="24"/>
                <w:szCs w:val="24"/>
                <w:lang w:val="en-US" w:eastAsia="zh-CN"/>
              </w:rPr>
              <w:t>后回用于厂区绿化灌溉及生产</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正常情况下，</w:t>
            </w:r>
            <w:r>
              <w:rPr>
                <w:rFonts w:hint="default" w:ascii="Times New Roman" w:hAnsi="Times New Roman" w:eastAsia="宋体" w:cs="Times New Roman"/>
                <w:color w:val="auto"/>
                <w:sz w:val="24"/>
                <w:szCs w:val="24"/>
                <w:highlight w:val="none"/>
                <w:lang w:eastAsia="zh-CN"/>
              </w:rPr>
              <w:t>项目运营期废水对土壤环境的影响不大。</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③</w:t>
            </w:r>
            <w:r>
              <w:rPr>
                <w:rFonts w:hint="eastAsia" w:ascii="Times New Roman" w:hAnsi="Times New Roman" w:eastAsia="宋体"/>
                <w:color w:val="auto"/>
                <w:kern w:val="0"/>
                <w:sz w:val="24"/>
                <w:szCs w:val="24"/>
              </w:rPr>
              <w:t>危险废物对土壤环境的影响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危险废物泄漏或危险废物未及时处理而产生的渗出液、滤沥液进入土壤，进而污染土壤环境。</w:t>
            </w:r>
          </w:p>
          <w:p>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④</w:t>
            </w:r>
            <w:r>
              <w:rPr>
                <w:rFonts w:hint="eastAsia" w:ascii="Times New Roman" w:hAnsi="Times New Roman" w:eastAsia="宋体"/>
                <w:color w:val="auto"/>
                <w:sz w:val="24"/>
                <w:szCs w:val="24"/>
              </w:rPr>
              <w:t>污染物进入土壤产生的影响</w:t>
            </w:r>
          </w:p>
          <w:p>
            <w:pPr>
              <w:spacing w:line="360" w:lineRule="auto"/>
              <w:ind w:firstLine="480" w:firstLineChars="20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4"/>
                <w:szCs w:val="24"/>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w:t>
            </w:r>
            <w:r>
              <w:rPr>
                <w:rFonts w:ascii="Times New Roman" w:hAnsi="Times New Roman" w:eastAsia="宋体"/>
                <w:color w:val="auto"/>
                <w:sz w:val="24"/>
                <w:szCs w:val="24"/>
              </w:rPr>
              <w:t>而土壤污染往往是以食物链方式通过粮食、蔬菜、水果、茶叶及草食性动物(如家禽家畜)乃至肉食性动物等最后进入人体而影响人群健康。因此，这是一个逐步累积的过程，具有隐蔽性和潜伏性。</w:t>
            </w:r>
            <w:r>
              <w:rPr>
                <w:rFonts w:hint="eastAsia" w:ascii="Times New Roman" w:hAnsi="Times New Roman" w:eastAsia="宋体"/>
                <w:color w:val="auto"/>
                <w:sz w:val="24"/>
                <w:szCs w:val="24"/>
              </w:rPr>
              <w:t>人体接触污染土壤后，手脚出现红色皮疹，并有恶心，头晕现象。</w:t>
            </w:r>
            <w:r>
              <w:rPr>
                <w:rFonts w:hint="eastAsia" w:ascii="Times New Roman" w:hAnsi="Times New Roman" w:eastAsia="宋体"/>
                <w:color w:val="auto"/>
                <w:sz w:val="24"/>
                <w:szCs w:val="24"/>
                <w:lang w:val="en-US" w:eastAsia="zh-CN"/>
              </w:rPr>
              <w:t>本项目不涉及有机废气的排放，因此</w:t>
            </w:r>
            <w:r>
              <w:rPr>
                <w:rFonts w:hint="eastAsia"/>
                <w:color w:val="auto"/>
                <w:sz w:val="24"/>
                <w:szCs w:val="24"/>
                <w:lang w:val="en-US" w:eastAsia="zh-CN"/>
              </w:rPr>
              <w:t>基本不会对土壤产生有机物</w:t>
            </w:r>
            <w:r>
              <w:rPr>
                <w:rFonts w:hint="eastAsia" w:ascii="Times New Roman" w:hAnsi="Times New Roman" w:eastAsia="宋体"/>
                <w:color w:val="auto"/>
                <w:sz w:val="24"/>
                <w:szCs w:val="24"/>
                <w:lang w:val="en-US" w:eastAsia="zh-CN"/>
              </w:rPr>
              <w:t>富集影响。</w:t>
            </w:r>
          </w:p>
          <w:p>
            <w:pPr>
              <w:pStyle w:val="4"/>
              <w:bidi w:val="0"/>
              <w:rPr>
                <w:rFonts w:hint="eastAsia"/>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 xml:space="preserve">.2 </w:t>
            </w:r>
            <w:r>
              <w:rPr>
                <w:color w:val="auto"/>
                <w:highlight w:val="none"/>
                <w:shd w:val="clear" w:color="auto" w:fill="auto"/>
              </w:rPr>
              <w:t>地下水、土壤环境</w:t>
            </w:r>
            <w:r>
              <w:rPr>
                <w:rFonts w:hint="eastAsia"/>
                <w:color w:val="auto"/>
                <w:highlight w:val="none"/>
                <w:shd w:val="clear" w:color="auto" w:fill="auto"/>
              </w:rPr>
              <w:t>防控</w:t>
            </w:r>
            <w:r>
              <w:rPr>
                <w:color w:val="auto"/>
                <w:highlight w:val="none"/>
                <w:shd w:val="clear" w:color="auto" w:fill="auto"/>
              </w:rPr>
              <w:t>措施</w:t>
            </w:r>
          </w:p>
          <w:p>
            <w:pPr>
              <w:spacing w:line="360" w:lineRule="auto"/>
              <w:ind w:firstLine="482" w:firstLineChars="200"/>
              <w:rPr>
                <w:rFonts w:hint="default" w:ascii="Times New Roman" w:hAnsi="Times New Roman" w:eastAsia="宋体"/>
                <w:b/>
                <w:bCs/>
                <w:color w:val="auto"/>
                <w:sz w:val="24"/>
                <w:szCs w:val="24"/>
                <w:highlight w:val="none"/>
                <w:shd w:val="clear" w:color="auto" w:fill="auto"/>
                <w:lang w:val="en-US" w:eastAsia="zh-CN"/>
              </w:rPr>
            </w:pPr>
            <w:r>
              <w:rPr>
                <w:rFonts w:hint="eastAsia" w:ascii="Times New Roman" w:hAnsi="Times New Roman" w:eastAsia="宋体"/>
                <w:b/>
                <w:bCs/>
                <w:color w:val="auto"/>
                <w:sz w:val="24"/>
                <w:szCs w:val="24"/>
                <w:highlight w:val="none"/>
                <w:shd w:val="clear" w:color="auto" w:fill="auto"/>
                <w:lang w:val="en-US" w:eastAsia="zh-CN"/>
              </w:rPr>
              <w:t>（1）源头控制</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①对管道、设备、污水储存及处理构筑物等严格检查，有质量问题的及时更换、检修，废水管道及阀门采用优质产品，防止和降低“跑、冒、滴、漏”现象；</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②危险废物贮存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严格按照</w:t>
            </w:r>
            <w:r>
              <w:rPr>
                <w:rFonts w:ascii="Times New Roman" w:hAnsi="Times New Roman" w:eastAsia="宋体"/>
                <w:snapToGrid w:val="0"/>
                <w:color w:val="auto"/>
                <w:kern w:val="0"/>
                <w:sz w:val="24"/>
                <w:szCs w:val="24"/>
                <w:highlight w:val="none"/>
                <w:shd w:val="clear" w:color="auto" w:fill="auto"/>
              </w:rPr>
              <w:t>《危险废物贮存污染控制标准》（GB18597-</w:t>
            </w:r>
            <w:r>
              <w:rPr>
                <w:rFonts w:hint="eastAsia" w:ascii="Times New Roman" w:hAnsi="Times New Roman" w:eastAsia="宋体"/>
                <w:snapToGrid w:val="0"/>
                <w:color w:val="auto"/>
                <w:kern w:val="0"/>
                <w:sz w:val="24"/>
                <w:szCs w:val="24"/>
                <w:highlight w:val="none"/>
                <w:shd w:val="clear" w:color="auto" w:fill="auto"/>
                <w:lang w:val="en-US" w:eastAsia="zh-CN"/>
              </w:rPr>
              <w:t>2023</w:t>
            </w:r>
            <w:r>
              <w:rPr>
                <w:rFonts w:ascii="Times New Roman" w:hAnsi="Times New Roman" w:eastAsia="宋体"/>
                <w:snapToGrid w:val="0"/>
                <w:color w:val="auto"/>
                <w:kern w:val="0"/>
                <w:sz w:val="24"/>
                <w:szCs w:val="24"/>
                <w:highlight w:val="none"/>
                <w:shd w:val="clear" w:color="auto" w:fill="auto"/>
              </w:rPr>
              <w:t>）</w:t>
            </w:r>
            <w:r>
              <w:rPr>
                <w:rFonts w:hint="eastAsia" w:ascii="Times New Roman" w:hAnsi="Times New Roman" w:eastAsia="宋体"/>
                <w:snapToGrid w:val="0"/>
                <w:color w:val="auto"/>
                <w:kern w:val="0"/>
                <w:sz w:val="24"/>
                <w:szCs w:val="24"/>
                <w:highlight w:val="none"/>
                <w:shd w:val="clear" w:color="auto" w:fill="auto"/>
              </w:rPr>
              <w:t>，地面硬化防渗，</w:t>
            </w:r>
            <w:r>
              <w:rPr>
                <w:rFonts w:hint="eastAsia" w:ascii="Times New Roman" w:hAnsi="Times New Roman" w:eastAsia="宋体"/>
                <w:color w:val="auto"/>
                <w:sz w:val="24"/>
                <w:szCs w:val="24"/>
                <w:highlight w:val="none"/>
                <w:shd w:val="clear" w:color="auto" w:fill="auto"/>
              </w:rPr>
              <w:t>危险废物的搜集、转运、交接、接收、贮存严格按照相应的规程、规范执行。危险废物贮存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的危废容器均根据物料性质选择相容材质的容器存放，液态危险废物</w:t>
            </w:r>
            <w:r>
              <w:rPr>
                <w:rFonts w:hint="eastAsia" w:ascii="Times New Roman" w:hAnsi="Times New Roman" w:eastAsia="宋体"/>
                <w:color w:val="auto"/>
                <w:sz w:val="24"/>
                <w:szCs w:val="24"/>
                <w:highlight w:val="none"/>
                <w:shd w:val="clear" w:color="auto" w:fill="auto"/>
                <w:lang w:val="en-US" w:eastAsia="zh-CN"/>
              </w:rPr>
              <w:t>容器底部加设防渗托盘防渗漏</w:t>
            </w:r>
            <w:r>
              <w:rPr>
                <w:rFonts w:hint="eastAsia" w:ascii="Times New Roman" w:hAnsi="Times New Roman" w:eastAsia="宋体"/>
                <w:color w:val="auto"/>
                <w:sz w:val="24"/>
                <w:szCs w:val="24"/>
                <w:highlight w:val="none"/>
                <w:shd w:val="clear" w:color="auto" w:fill="auto"/>
              </w:rPr>
              <w:t>。</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③日常对厂区地面硬化防渗情况进行检查，有破损区域及时修复。</w:t>
            </w:r>
          </w:p>
          <w:p>
            <w:pPr>
              <w:pStyle w:val="11"/>
              <w:tabs>
                <w:tab w:val="left" w:pos="5460"/>
              </w:tabs>
              <w:spacing w:after="0" w:line="360" w:lineRule="auto"/>
              <w:ind w:left="0" w:leftChars="0" w:firstLine="480" w:firstLineChars="200"/>
              <w:jc w:val="left"/>
              <w:rPr>
                <w:rFonts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④加强废气处理设施日常检查，保证废气处理设施正常运行，定期委托资质单位进行废气排放情况检测。</w:t>
            </w:r>
          </w:p>
          <w:p>
            <w:pPr>
              <w:spacing w:line="360" w:lineRule="auto"/>
              <w:ind w:firstLine="482" w:firstLineChars="200"/>
              <w:rPr>
                <w:rFonts w:ascii="Times New Roman" w:hAnsi="Times New Roman" w:eastAsia="宋体"/>
                <w:b/>
                <w:bCs/>
                <w:color w:val="auto"/>
                <w:sz w:val="24"/>
                <w:szCs w:val="24"/>
                <w:highlight w:val="none"/>
                <w:shd w:val="clear" w:color="auto" w:fill="auto"/>
              </w:rPr>
            </w:pPr>
            <w:r>
              <w:rPr>
                <w:rFonts w:hint="eastAsia" w:ascii="Times New Roman" w:hAnsi="Times New Roman" w:eastAsia="宋体"/>
                <w:b/>
                <w:bCs/>
                <w:color w:val="auto"/>
                <w:sz w:val="24"/>
                <w:szCs w:val="24"/>
                <w:highlight w:val="none"/>
                <w:shd w:val="clear" w:color="auto" w:fill="auto"/>
                <w:lang w:val="en-US" w:eastAsia="zh-CN"/>
              </w:rPr>
              <w:t>（2）分区</w:t>
            </w:r>
            <w:r>
              <w:rPr>
                <w:rFonts w:ascii="Times New Roman" w:hAnsi="Times New Roman" w:eastAsia="宋体"/>
                <w:b/>
                <w:bCs/>
                <w:color w:val="auto"/>
                <w:sz w:val="24"/>
                <w:szCs w:val="24"/>
                <w:highlight w:val="none"/>
                <w:shd w:val="clear" w:color="auto" w:fill="auto"/>
              </w:rPr>
              <w:t>防渗措施</w:t>
            </w:r>
          </w:p>
          <w:p>
            <w:pPr>
              <w:spacing w:line="360" w:lineRule="auto"/>
              <w:ind w:firstLine="480" w:firstLineChars="200"/>
              <w:rPr>
                <w:rFonts w:hint="default" w:ascii="Times New Roman" w:hAnsi="Times New Roman" w:eastAsia="宋体"/>
                <w:color w:val="auto"/>
                <w:sz w:val="24"/>
                <w:szCs w:val="24"/>
                <w:highlight w:val="none"/>
                <w:shd w:val="clear" w:color="auto" w:fill="auto"/>
                <w:lang w:val="en-US" w:eastAsia="zh-CN"/>
              </w:rPr>
            </w:pPr>
            <w:r>
              <w:rPr>
                <w:rFonts w:ascii="Times New Roman" w:hAnsi="Times New Roman" w:eastAsia="宋体"/>
                <w:color w:val="auto"/>
                <w:sz w:val="24"/>
                <w:szCs w:val="24"/>
                <w:highlight w:val="none"/>
                <w:shd w:val="clear" w:color="auto" w:fill="auto"/>
              </w:rPr>
              <w:t>根据本</w:t>
            </w:r>
            <w:r>
              <w:rPr>
                <w:rFonts w:hint="eastAsia" w:ascii="Times New Roman" w:hAnsi="Times New Roman" w:eastAsia="宋体"/>
                <w:color w:val="auto"/>
                <w:sz w:val="24"/>
                <w:szCs w:val="24"/>
                <w:highlight w:val="none"/>
                <w:shd w:val="clear" w:color="auto" w:fill="auto"/>
              </w:rPr>
              <w:t>项目</w:t>
            </w:r>
            <w:r>
              <w:rPr>
                <w:rFonts w:ascii="Times New Roman" w:hAnsi="Times New Roman" w:eastAsia="宋体"/>
                <w:color w:val="auto"/>
                <w:sz w:val="24"/>
                <w:szCs w:val="24"/>
                <w:highlight w:val="none"/>
                <w:shd w:val="clear" w:color="auto" w:fill="auto"/>
              </w:rPr>
              <w:t>可能泄漏至地面区域污染物的性质和生产单元的构筑方式，将</w:t>
            </w:r>
            <w:r>
              <w:rPr>
                <w:rFonts w:hint="eastAsia" w:ascii="Times New Roman" w:hAnsi="Times New Roman" w:eastAsia="宋体"/>
                <w:color w:val="auto"/>
                <w:sz w:val="24"/>
                <w:szCs w:val="24"/>
                <w:highlight w:val="none"/>
                <w:shd w:val="clear" w:color="auto" w:fill="auto"/>
              </w:rPr>
              <w:t>厂区</w:t>
            </w:r>
            <w:r>
              <w:rPr>
                <w:rFonts w:ascii="Times New Roman" w:hAnsi="Times New Roman" w:eastAsia="宋体"/>
                <w:color w:val="auto"/>
                <w:sz w:val="24"/>
                <w:szCs w:val="24"/>
                <w:highlight w:val="none"/>
                <w:shd w:val="clear" w:color="auto" w:fill="auto"/>
              </w:rPr>
              <w:t>划分为重点污染防治区、一般污染防治区，针对不同的区域提出相应的防渗要求。</w:t>
            </w:r>
            <w:r>
              <w:rPr>
                <w:rFonts w:ascii="Times New Roman" w:hAnsi="Times New Roman" w:eastAsia="宋体"/>
                <w:color w:val="auto"/>
                <w:kern w:val="0"/>
                <w:sz w:val="24"/>
                <w:szCs w:val="24"/>
                <w:highlight w:val="none"/>
                <w:shd w:val="clear" w:color="auto" w:fill="auto"/>
              </w:rPr>
              <w:t>根据《环境影响评价技术导则</w:t>
            </w:r>
            <w:r>
              <w:rPr>
                <w:rFonts w:hint="eastAsia" w:ascii="Times New Roman" w:hAnsi="Times New Roman" w:eastAsia="宋体"/>
                <w:color w:val="auto"/>
                <w:kern w:val="0"/>
                <w:sz w:val="24"/>
                <w:szCs w:val="24"/>
                <w:highlight w:val="none"/>
                <w:shd w:val="clear" w:color="auto" w:fill="auto"/>
                <w:lang w:val="en-US" w:eastAsia="zh-CN"/>
              </w:rPr>
              <w:t xml:space="preserve"> </w:t>
            </w:r>
            <w:r>
              <w:rPr>
                <w:rFonts w:ascii="Times New Roman" w:hAnsi="Times New Roman" w:eastAsia="宋体"/>
                <w:color w:val="auto"/>
                <w:kern w:val="0"/>
                <w:sz w:val="24"/>
                <w:szCs w:val="24"/>
                <w:highlight w:val="none"/>
                <w:shd w:val="clear" w:color="auto" w:fill="auto"/>
              </w:rPr>
              <w:t>地下水环境》</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HJ610-2016</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的要求，</w:t>
            </w:r>
            <w:r>
              <w:rPr>
                <w:rFonts w:ascii="Times New Roman" w:hAnsi="Times New Roman" w:eastAsia="宋体"/>
                <w:color w:val="auto"/>
                <w:sz w:val="24"/>
                <w:szCs w:val="24"/>
                <w:highlight w:val="none"/>
                <w:shd w:val="clear" w:color="auto" w:fill="auto"/>
              </w:rPr>
              <w:t>项目分区</w:t>
            </w:r>
            <w:r>
              <w:rPr>
                <w:rFonts w:hint="eastAsia" w:ascii="Times New Roman" w:hAnsi="Times New Roman" w:eastAsia="宋体"/>
                <w:color w:val="auto"/>
                <w:sz w:val="24"/>
                <w:szCs w:val="24"/>
                <w:highlight w:val="none"/>
                <w:shd w:val="clear" w:color="auto" w:fill="auto"/>
              </w:rPr>
              <w:t>防渗</w:t>
            </w:r>
            <w:r>
              <w:rPr>
                <w:rFonts w:ascii="Times New Roman" w:hAnsi="Times New Roman" w:eastAsia="宋体"/>
                <w:color w:val="auto"/>
                <w:sz w:val="24"/>
                <w:szCs w:val="24"/>
                <w:highlight w:val="none"/>
                <w:shd w:val="clear" w:color="auto" w:fill="auto"/>
              </w:rPr>
              <w:t>防治</w:t>
            </w:r>
            <w:r>
              <w:rPr>
                <w:rFonts w:hint="eastAsia" w:ascii="Times New Roman" w:hAnsi="Times New Roman" w:eastAsia="宋体"/>
                <w:color w:val="auto"/>
                <w:sz w:val="24"/>
                <w:szCs w:val="24"/>
                <w:highlight w:val="none"/>
                <w:shd w:val="clear" w:color="auto" w:fill="auto"/>
                <w:lang w:val="en-US" w:eastAsia="zh-CN"/>
              </w:rPr>
              <w:t>要求</w:t>
            </w:r>
            <w:r>
              <w:rPr>
                <w:rFonts w:ascii="Times New Roman" w:hAnsi="Times New Roman" w:eastAsia="宋体"/>
                <w:color w:val="auto"/>
                <w:sz w:val="24"/>
                <w:szCs w:val="24"/>
                <w:highlight w:val="none"/>
                <w:shd w:val="clear" w:color="auto" w:fill="auto"/>
              </w:rPr>
              <w:t>见表</w:t>
            </w:r>
            <w:r>
              <w:rPr>
                <w:rFonts w:hint="eastAsia" w:ascii="Times New Roman" w:hAnsi="Times New Roman" w:eastAsia="宋体"/>
                <w:color w:val="auto"/>
                <w:sz w:val="24"/>
                <w:szCs w:val="24"/>
                <w:highlight w:val="none"/>
                <w:shd w:val="clear" w:color="auto" w:fill="auto"/>
              </w:rPr>
              <w:t>4.</w:t>
            </w:r>
            <w:r>
              <w:rPr>
                <w:rFonts w:hint="eastAsia" w:ascii="Times New Roman" w:hAnsi="Times New Roman" w:eastAsia="宋体"/>
                <w:color w:val="auto"/>
                <w:sz w:val="24"/>
                <w:szCs w:val="24"/>
                <w:highlight w:val="none"/>
                <w:shd w:val="clear" w:color="auto" w:fill="auto"/>
                <w:lang w:val="en-US" w:eastAsia="zh-CN"/>
              </w:rPr>
              <w:t>7</w:t>
            </w:r>
            <w:r>
              <w:rPr>
                <w:rFonts w:hint="eastAsia" w:ascii="Times New Roman" w:hAnsi="Times New Roman" w:eastAsia="宋体"/>
                <w:color w:val="auto"/>
                <w:sz w:val="24"/>
                <w:szCs w:val="24"/>
                <w:highlight w:val="none"/>
                <w:shd w:val="clear" w:color="auto" w:fill="auto"/>
              </w:rPr>
              <w:t>-1</w:t>
            </w:r>
            <w:r>
              <w:rPr>
                <w:rFonts w:hint="eastAsia" w:ascii="Times New Roman" w:hAnsi="Times New Roman" w:eastAsia="宋体"/>
                <w:color w:val="auto"/>
                <w:sz w:val="24"/>
                <w:szCs w:val="24"/>
                <w:highlight w:val="none"/>
                <w:shd w:val="clear" w:color="auto" w:fill="auto"/>
                <w:lang w:val="en-US" w:eastAsia="zh-CN"/>
              </w:rPr>
              <w:t>。</w:t>
            </w:r>
          </w:p>
          <w:p>
            <w:pPr>
              <w:pStyle w:val="33"/>
              <w:bidi w:val="0"/>
              <w:rPr>
                <w:rFonts w:hint="default"/>
                <w:color w:val="auto"/>
                <w:sz w:val="24"/>
                <w:szCs w:val="24"/>
                <w:highlight w:val="none"/>
                <w:shd w:val="clear" w:color="auto" w:fill="auto"/>
              </w:rPr>
            </w:pPr>
            <w:r>
              <w:rPr>
                <w:rFonts w:hint="default"/>
                <w:color w:val="auto"/>
                <w:sz w:val="24"/>
                <w:szCs w:val="24"/>
                <w:highlight w:val="none"/>
                <w:shd w:val="clear" w:color="auto" w:fill="auto"/>
              </w:rPr>
              <w:t>表</w:t>
            </w:r>
            <w:r>
              <w:rPr>
                <w:rFonts w:hint="eastAsia"/>
                <w:color w:val="auto"/>
                <w:sz w:val="24"/>
                <w:szCs w:val="24"/>
                <w:highlight w:val="none"/>
                <w:shd w:val="clear" w:color="auto" w:fill="auto"/>
                <w:lang w:val="en-US" w:eastAsia="zh-CN"/>
              </w:rPr>
              <w:t>4.7-1 项目</w:t>
            </w:r>
            <w:r>
              <w:rPr>
                <w:rFonts w:hint="default"/>
                <w:color w:val="auto"/>
                <w:sz w:val="24"/>
                <w:szCs w:val="24"/>
                <w:highlight w:val="none"/>
                <w:shd w:val="clear" w:color="auto" w:fill="auto"/>
              </w:rPr>
              <w:t>分区</w:t>
            </w:r>
            <w:r>
              <w:rPr>
                <w:rFonts w:hint="eastAsia"/>
                <w:color w:val="auto"/>
                <w:sz w:val="24"/>
                <w:szCs w:val="24"/>
                <w:highlight w:val="none"/>
                <w:shd w:val="clear" w:color="auto" w:fill="auto"/>
              </w:rPr>
              <w:t>防渗</w:t>
            </w:r>
            <w:r>
              <w:rPr>
                <w:rFonts w:hint="default"/>
                <w:color w:val="auto"/>
                <w:sz w:val="24"/>
                <w:szCs w:val="24"/>
                <w:highlight w:val="none"/>
                <w:shd w:val="clear" w:color="auto" w:fill="auto"/>
              </w:rPr>
              <w:t>防治</w:t>
            </w:r>
            <w:r>
              <w:rPr>
                <w:rFonts w:hint="eastAsia"/>
                <w:color w:val="auto"/>
                <w:sz w:val="24"/>
                <w:szCs w:val="24"/>
                <w:highlight w:val="none"/>
                <w:shd w:val="clear" w:color="auto" w:fill="auto"/>
                <w:lang w:val="en-US" w:eastAsia="zh-CN"/>
              </w:rPr>
              <w:t>要求</w:t>
            </w:r>
            <w:r>
              <w:rPr>
                <w:rFonts w:hint="default"/>
                <w:color w:val="auto"/>
                <w:sz w:val="24"/>
                <w:szCs w:val="24"/>
                <w:highlight w:val="none"/>
                <w:shd w:val="clear" w:color="auto" w:fill="auto"/>
              </w:rPr>
              <w:t>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210"/>
              <w:gridCol w:w="2583"/>
              <w:gridCol w:w="2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防治分区</w:t>
                  </w:r>
                </w:p>
              </w:tc>
              <w:tc>
                <w:tcPr>
                  <w:tcW w:w="1360" w:type="pc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装置名称</w:t>
                  </w:r>
                </w:p>
              </w:tc>
              <w:tc>
                <w:tcPr>
                  <w:tcW w:w="1590" w:type="pc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防渗区域</w:t>
                  </w:r>
                </w:p>
              </w:tc>
              <w:tc>
                <w:tcPr>
                  <w:tcW w:w="1426" w:type="pc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31"/>
                    <w:bidi w:val="0"/>
                    <w:rPr>
                      <w:rFonts w:hint="eastAsia"/>
                      <w:color w:val="auto"/>
                      <w:highlight w:val="none"/>
                      <w:shd w:val="clear" w:color="auto" w:fill="auto"/>
                    </w:rPr>
                  </w:pPr>
                  <w:r>
                    <w:rPr>
                      <w:rFonts w:hint="eastAsia"/>
                      <w:color w:val="auto"/>
                      <w:highlight w:val="none"/>
                      <w:shd w:val="clear" w:color="auto" w:fill="auto"/>
                    </w:rPr>
                    <w:t>重点防</w:t>
                  </w:r>
                </w:p>
                <w:p>
                  <w:pPr>
                    <w:pStyle w:val="31"/>
                    <w:bidi w:val="0"/>
                    <w:rPr>
                      <w:color w:val="auto"/>
                      <w:highlight w:val="none"/>
                      <w:shd w:val="clear" w:color="auto" w:fill="auto"/>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危险废物贮存间</w:t>
                  </w:r>
                </w:p>
              </w:tc>
              <w:tc>
                <w:tcPr>
                  <w:tcW w:w="1590" w:type="pct"/>
                  <w:tcBorders>
                    <w:tl2br w:val="nil"/>
                    <w:tr2bl w:val="nil"/>
                  </w:tcBorders>
                  <w:noWrap w:val="0"/>
                  <w:vAlign w:val="center"/>
                </w:tcPr>
                <w:p>
                  <w:pPr>
                    <w:pStyle w:val="31"/>
                    <w:bidi w:val="0"/>
                    <w:rPr>
                      <w:color w:val="auto"/>
                      <w:highlight w:val="none"/>
                      <w:shd w:val="clear" w:color="auto" w:fill="auto"/>
                      <w:lang w:val="en-US" w:eastAsia="zh-CN"/>
                    </w:rPr>
                  </w:pPr>
                  <w:r>
                    <w:rPr>
                      <w:rFonts w:hint="eastAsia"/>
                      <w:color w:val="auto"/>
                      <w:highlight w:val="none"/>
                      <w:shd w:val="clear" w:color="auto" w:fill="auto"/>
                      <w:lang w:eastAsia="zh-CN"/>
                    </w:rPr>
                    <w:t>地面、</w:t>
                  </w:r>
                  <w:r>
                    <w:rPr>
                      <w:rFonts w:hint="eastAsia"/>
                      <w:color w:val="auto"/>
                      <w:highlight w:val="none"/>
                      <w:shd w:val="clear" w:color="auto" w:fill="auto"/>
                      <w:lang w:val="en-US" w:eastAsia="zh-CN"/>
                    </w:rPr>
                    <w:t>裙角、导流沟槽</w:t>
                  </w:r>
                </w:p>
              </w:tc>
              <w:tc>
                <w:tcPr>
                  <w:tcW w:w="1426"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rPr>
                    <w:t>等效黏土防渗层Mb≥</w:t>
                  </w:r>
                  <w:r>
                    <w:rPr>
                      <w:color w:val="auto"/>
                      <w:highlight w:val="none"/>
                      <w:shd w:val="clear" w:color="auto" w:fill="auto"/>
                    </w:rPr>
                    <w:t>6.0m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21" w:type="pct"/>
                  <w:vMerge w:val="restart"/>
                  <w:tcBorders>
                    <w:tl2br w:val="nil"/>
                    <w:tr2bl w:val="nil"/>
                  </w:tcBorders>
                  <w:noWrap w:val="0"/>
                  <w:vAlign w:val="center"/>
                </w:tcPr>
                <w:p>
                  <w:pPr>
                    <w:pStyle w:val="31"/>
                    <w:bidi w:val="0"/>
                    <w:rPr>
                      <w:rFonts w:hint="eastAsia"/>
                      <w:color w:val="auto"/>
                      <w:highlight w:val="none"/>
                      <w:shd w:val="clear" w:color="auto" w:fill="auto"/>
                    </w:rPr>
                  </w:pPr>
                  <w:r>
                    <w:rPr>
                      <w:rFonts w:hint="eastAsia"/>
                      <w:color w:val="auto"/>
                      <w:highlight w:val="none"/>
                      <w:shd w:val="clear" w:color="auto" w:fill="auto"/>
                    </w:rPr>
                    <w:t>一般防</w:t>
                  </w:r>
                </w:p>
                <w:p>
                  <w:pPr>
                    <w:pStyle w:val="31"/>
                    <w:bidi w:val="0"/>
                    <w:rPr>
                      <w:color w:val="auto"/>
                      <w:highlight w:val="none"/>
                      <w:shd w:val="clear" w:color="auto" w:fill="auto"/>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2#搅拌楼</w:t>
                  </w:r>
                </w:p>
              </w:tc>
              <w:tc>
                <w:tcPr>
                  <w:tcW w:w="1590" w:type="pct"/>
                  <w:tcBorders>
                    <w:tl2br w:val="nil"/>
                    <w:tr2bl w:val="nil"/>
                  </w:tcBorders>
                  <w:noWrap w:val="0"/>
                  <w:vAlign w:val="center"/>
                </w:tcPr>
                <w:p>
                  <w:pPr>
                    <w:pStyle w:val="31"/>
                    <w:bidi w:val="0"/>
                    <w:rPr>
                      <w:color w:val="auto"/>
                      <w:highlight w:val="none"/>
                      <w:shd w:val="clear" w:color="auto" w:fill="auto"/>
                      <w:lang w:val="en-US" w:eastAsia="zh-CN"/>
                    </w:rPr>
                  </w:pPr>
                  <w:r>
                    <w:rPr>
                      <w:rFonts w:hint="eastAsia"/>
                      <w:color w:val="auto"/>
                      <w:highlight w:val="none"/>
                      <w:shd w:val="clear" w:color="auto" w:fill="auto"/>
                      <w:lang w:eastAsia="zh-CN"/>
                    </w:rPr>
                    <w:t>地面</w:t>
                  </w:r>
                </w:p>
              </w:tc>
              <w:tc>
                <w:tcPr>
                  <w:tcW w:w="1426" w:type="pct"/>
                  <w:vMerge w:val="restar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等效黏土防渗层Mb≥1.5</w:t>
                  </w:r>
                  <w:r>
                    <w:rPr>
                      <w:color w:val="auto"/>
                      <w:highlight w:val="none"/>
                      <w:shd w:val="clear" w:color="auto" w:fill="auto"/>
                    </w:rPr>
                    <w:t>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31"/>
                    <w:bidi w:val="0"/>
                    <w:rPr>
                      <w:color w:val="auto"/>
                      <w:highlight w:val="none"/>
                      <w:shd w:val="clear" w:color="auto" w:fill="auto"/>
                    </w:rPr>
                  </w:pPr>
                </w:p>
              </w:tc>
              <w:tc>
                <w:tcPr>
                  <w:tcW w:w="136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5#-6#生产车间</w:t>
                  </w:r>
                </w:p>
              </w:tc>
              <w:tc>
                <w:tcPr>
                  <w:tcW w:w="159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1426" w:type="pct"/>
                  <w:vMerge w:val="continue"/>
                  <w:tcBorders>
                    <w:tl2br w:val="nil"/>
                    <w:tr2bl w:val="nil"/>
                  </w:tcBorders>
                  <w:noWrap w:val="0"/>
                  <w:vAlign w:val="center"/>
                </w:tcPr>
                <w:p>
                  <w:pPr>
                    <w:pStyle w:val="31"/>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31"/>
                    <w:bidi w:val="0"/>
                    <w:rPr>
                      <w:color w:val="auto"/>
                      <w:highlight w:val="none"/>
                      <w:shd w:val="clear" w:color="auto" w:fill="auto"/>
                    </w:rPr>
                  </w:pPr>
                </w:p>
              </w:tc>
              <w:tc>
                <w:tcPr>
                  <w:tcW w:w="136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一般工业固废暂存间</w:t>
                  </w:r>
                </w:p>
              </w:tc>
              <w:tc>
                <w:tcPr>
                  <w:tcW w:w="159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1426" w:type="pct"/>
                  <w:vMerge w:val="continue"/>
                  <w:tcBorders>
                    <w:tl2br w:val="nil"/>
                    <w:tr2bl w:val="nil"/>
                  </w:tcBorders>
                  <w:noWrap w:val="0"/>
                  <w:vAlign w:val="center"/>
                </w:tcPr>
                <w:p>
                  <w:pPr>
                    <w:pStyle w:val="31"/>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31"/>
                    <w:bidi w:val="0"/>
                    <w:rPr>
                      <w:color w:val="auto"/>
                      <w:highlight w:val="none"/>
                      <w:shd w:val="clear" w:color="auto" w:fill="auto"/>
                    </w:rPr>
                  </w:pPr>
                </w:p>
              </w:tc>
              <w:tc>
                <w:tcPr>
                  <w:tcW w:w="1360" w:type="pct"/>
                  <w:tcBorders>
                    <w:tl2br w:val="nil"/>
                    <w:tr2bl w:val="nil"/>
                  </w:tcBorders>
                  <w:noWrap w:val="0"/>
                  <w:vAlign w:val="center"/>
                </w:tcPr>
                <w:p>
                  <w:pPr>
                    <w:pStyle w:val="31"/>
                    <w:bidi w:val="0"/>
                    <w:rPr>
                      <w:rFonts w:hint="eastAsia"/>
                      <w:color w:val="auto"/>
                      <w:highlight w:val="none"/>
                      <w:shd w:val="clear" w:color="auto" w:fill="auto"/>
                      <w:lang w:val="en-US" w:eastAsia="zh-CN"/>
                    </w:rPr>
                  </w:pPr>
                  <w:r>
                    <w:rPr>
                      <w:rFonts w:hint="eastAsia"/>
                      <w:color w:val="auto"/>
                      <w:highlight w:val="none"/>
                      <w:shd w:val="clear" w:color="auto" w:fill="auto"/>
                      <w:lang w:val="en-US" w:eastAsia="zh-CN"/>
                    </w:rPr>
                    <w:t>生产废水处理系统、洗车废水沉淀池、</w:t>
                  </w:r>
                </w:p>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雨水收集池、化粪池、一体化污水处理设施</w:t>
                  </w:r>
                </w:p>
              </w:tc>
              <w:tc>
                <w:tcPr>
                  <w:tcW w:w="1590" w:type="pct"/>
                  <w:tcBorders>
                    <w:tl2br w:val="nil"/>
                    <w:tr2bl w:val="nil"/>
                  </w:tcBorders>
                  <w:noWrap w:val="0"/>
                  <w:vAlign w:val="center"/>
                </w:tcPr>
                <w:p>
                  <w:pPr>
                    <w:pStyle w:val="31"/>
                    <w:bidi w:val="0"/>
                    <w:rPr>
                      <w:rFonts w:hint="eastAsia"/>
                      <w:color w:val="auto"/>
                      <w:highlight w:val="none"/>
                      <w:shd w:val="clear" w:color="auto" w:fill="auto"/>
                      <w:lang w:val="en-US" w:eastAsia="zh-CN"/>
                    </w:rPr>
                  </w:pPr>
                  <w:r>
                    <w:rPr>
                      <w:rFonts w:hint="eastAsia"/>
                      <w:color w:val="auto"/>
                      <w:highlight w:val="none"/>
                      <w:shd w:val="clear" w:color="auto" w:fill="auto"/>
                      <w:lang w:eastAsia="zh-CN"/>
                    </w:rPr>
                    <w:t>废水设施各构筑物</w:t>
                  </w:r>
                  <w:r>
                    <w:rPr>
                      <w:rFonts w:hint="eastAsia"/>
                      <w:color w:val="auto"/>
                      <w:highlight w:val="none"/>
                      <w:shd w:val="clear" w:color="auto" w:fill="auto"/>
                      <w:lang w:val="en-US" w:eastAsia="zh-CN"/>
                    </w:rPr>
                    <w:t>底部、池体四周</w:t>
                  </w:r>
                </w:p>
              </w:tc>
              <w:tc>
                <w:tcPr>
                  <w:tcW w:w="1426" w:type="pct"/>
                  <w:vMerge w:val="continue"/>
                  <w:tcBorders>
                    <w:tl2br w:val="nil"/>
                    <w:tr2bl w:val="nil"/>
                  </w:tcBorders>
                  <w:noWrap w:val="0"/>
                  <w:vAlign w:val="center"/>
                </w:tcPr>
                <w:p>
                  <w:pPr>
                    <w:pStyle w:val="31"/>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31"/>
                    <w:bidi w:val="0"/>
                    <w:rPr>
                      <w:color w:val="auto"/>
                      <w:highlight w:val="none"/>
                      <w:shd w:val="clear" w:color="auto" w:fill="auto"/>
                    </w:rPr>
                  </w:pPr>
                </w:p>
              </w:tc>
              <w:tc>
                <w:tcPr>
                  <w:tcW w:w="1360" w:type="pct"/>
                  <w:tcBorders>
                    <w:tl2br w:val="nil"/>
                    <w:tr2bl w:val="nil"/>
                  </w:tcBorders>
                  <w:noWrap w:val="0"/>
                  <w:vAlign w:val="center"/>
                </w:tcPr>
                <w:p>
                  <w:pPr>
                    <w:pStyle w:val="31"/>
                    <w:bidi w:val="0"/>
                    <w:rPr>
                      <w:rFonts w:hint="eastAsia"/>
                      <w:color w:val="auto"/>
                      <w:highlight w:val="none"/>
                      <w:shd w:val="clear" w:color="auto" w:fill="auto"/>
                      <w:lang w:val="en-US" w:eastAsia="zh-CN"/>
                    </w:rPr>
                  </w:pPr>
                  <w:r>
                    <w:rPr>
                      <w:rFonts w:hint="eastAsia"/>
                      <w:color w:val="auto"/>
                      <w:highlight w:val="none"/>
                      <w:shd w:val="clear" w:color="auto" w:fill="auto"/>
                      <w:lang w:val="en-US" w:eastAsia="zh-CN"/>
                    </w:rPr>
                    <w:t>污水管道、阀门、导流沟槽</w:t>
                  </w:r>
                </w:p>
              </w:tc>
              <w:tc>
                <w:tcPr>
                  <w:tcW w:w="1590" w:type="pct"/>
                  <w:tcBorders>
                    <w:tl2br w:val="nil"/>
                    <w:tr2bl w:val="nil"/>
                  </w:tcBorders>
                  <w:noWrap w:val="0"/>
                  <w:vAlign w:val="center"/>
                </w:tcPr>
                <w:p>
                  <w:pPr>
                    <w:pStyle w:val="31"/>
                    <w:bidi w:val="0"/>
                    <w:rPr>
                      <w:rFonts w:hint="eastAsia"/>
                      <w:color w:val="auto"/>
                      <w:highlight w:val="none"/>
                      <w:shd w:val="clear" w:color="auto" w:fill="auto"/>
                      <w:lang w:eastAsia="zh-CN"/>
                    </w:rPr>
                  </w:pPr>
                  <w:r>
                    <w:rPr>
                      <w:rFonts w:hint="eastAsia"/>
                      <w:color w:val="auto"/>
                      <w:highlight w:val="none"/>
                      <w:shd w:val="clear" w:color="auto" w:fill="auto"/>
                      <w:lang w:eastAsia="zh-CN"/>
                    </w:rPr>
                    <w:t>管道四周、导流沟槽底部及四周</w:t>
                  </w:r>
                </w:p>
              </w:tc>
              <w:tc>
                <w:tcPr>
                  <w:tcW w:w="1426" w:type="pct"/>
                  <w:vMerge w:val="continue"/>
                  <w:tcBorders>
                    <w:tl2br w:val="nil"/>
                    <w:tr2bl w:val="nil"/>
                  </w:tcBorders>
                  <w:noWrap w:val="0"/>
                  <w:vAlign w:val="center"/>
                </w:tcPr>
                <w:p>
                  <w:pPr>
                    <w:pStyle w:val="31"/>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31"/>
                    <w:bidi w:val="0"/>
                    <w:rPr>
                      <w:rFonts w:hint="eastAsia"/>
                      <w:color w:val="auto"/>
                      <w:highlight w:val="none"/>
                      <w:shd w:val="clear" w:color="auto" w:fill="auto"/>
                    </w:rPr>
                  </w:pPr>
                  <w:r>
                    <w:rPr>
                      <w:rFonts w:hint="eastAsia"/>
                      <w:color w:val="auto"/>
                      <w:highlight w:val="none"/>
                      <w:shd w:val="clear" w:color="auto" w:fill="auto"/>
                    </w:rPr>
                    <w:t>简单防</w:t>
                  </w:r>
                </w:p>
                <w:p>
                  <w:pPr>
                    <w:pStyle w:val="31"/>
                    <w:bidi w:val="0"/>
                    <w:rPr>
                      <w:color w:val="auto"/>
                      <w:highlight w:val="none"/>
                      <w:shd w:val="clear" w:color="auto" w:fill="auto"/>
                      <w:lang w:val="en-US" w:eastAsia="zh-CN"/>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31"/>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办公区等其他区域</w:t>
                  </w:r>
                </w:p>
              </w:tc>
              <w:tc>
                <w:tcPr>
                  <w:tcW w:w="1590" w:type="pct"/>
                  <w:tcBorders>
                    <w:tl2br w:val="nil"/>
                    <w:tr2bl w:val="nil"/>
                  </w:tcBorders>
                  <w:noWrap w:val="0"/>
                  <w:vAlign w:val="center"/>
                </w:tcPr>
                <w:p>
                  <w:pPr>
                    <w:pStyle w:val="31"/>
                    <w:bidi w:val="0"/>
                    <w:rPr>
                      <w:rFonts w:hint="eastAsia"/>
                      <w:color w:val="auto"/>
                      <w:highlight w:val="none"/>
                      <w:shd w:val="clear" w:color="auto" w:fill="auto"/>
                      <w:lang w:val="en-US" w:eastAsia="zh-CN"/>
                    </w:rPr>
                  </w:pPr>
                  <w:r>
                    <w:rPr>
                      <w:rFonts w:hint="eastAsia"/>
                      <w:color w:val="auto"/>
                      <w:highlight w:val="none"/>
                      <w:shd w:val="clear" w:color="auto" w:fill="auto"/>
                    </w:rPr>
                    <w:t>地面</w:t>
                  </w:r>
                </w:p>
              </w:tc>
              <w:tc>
                <w:tcPr>
                  <w:tcW w:w="1426" w:type="pct"/>
                  <w:tcBorders>
                    <w:tl2br w:val="nil"/>
                    <w:tr2bl w:val="nil"/>
                  </w:tcBorders>
                  <w:noWrap w:val="0"/>
                  <w:vAlign w:val="center"/>
                </w:tcPr>
                <w:p>
                  <w:pPr>
                    <w:pStyle w:val="31"/>
                    <w:bidi w:val="0"/>
                    <w:rPr>
                      <w:color w:val="auto"/>
                      <w:highlight w:val="none"/>
                      <w:shd w:val="clear" w:color="auto" w:fill="auto"/>
                    </w:rPr>
                  </w:pPr>
                  <w:r>
                    <w:rPr>
                      <w:rFonts w:hint="eastAsia"/>
                      <w:color w:val="auto"/>
                      <w:highlight w:val="none"/>
                      <w:shd w:val="clear" w:color="auto" w:fill="auto"/>
                    </w:rPr>
                    <w:t>一般地面硬化</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highlight w:val="none"/>
                <w:shd w:val="clear" w:color="auto" w:fill="auto"/>
              </w:rPr>
            </w:pP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3</w:t>
            </w: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rPr>
              <w:t>监控措施</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①项目危险废物</w:t>
            </w:r>
            <w:r>
              <w:rPr>
                <w:rFonts w:hint="eastAsia" w:cs="Times New Roman"/>
                <w:color w:val="auto"/>
                <w:sz w:val="24"/>
                <w:szCs w:val="24"/>
                <w:highlight w:val="none"/>
                <w:shd w:val="clear" w:color="auto" w:fill="auto"/>
                <w:lang w:eastAsia="zh-CN"/>
              </w:rPr>
              <w:t>贮存库</w:t>
            </w:r>
            <w:r>
              <w:rPr>
                <w:rFonts w:hint="eastAsia" w:ascii="Times New Roman" w:hAnsi="Times New Roman" w:eastAsia="宋体" w:cs="Times New Roman"/>
                <w:color w:val="auto"/>
                <w:sz w:val="24"/>
                <w:szCs w:val="24"/>
                <w:highlight w:val="none"/>
                <w:shd w:val="clear" w:color="auto" w:fill="auto"/>
                <w:lang w:eastAsia="zh-CN"/>
              </w:rPr>
              <w:t>液态危险废物容器底部设置防渗托盘，</w:t>
            </w:r>
            <w:r>
              <w:rPr>
                <w:rFonts w:hint="eastAsia" w:ascii="Times New Roman" w:hAnsi="Times New Roman" w:eastAsia="宋体" w:cs="Times New Roman"/>
                <w:color w:val="auto"/>
                <w:sz w:val="24"/>
                <w:szCs w:val="24"/>
                <w:highlight w:val="none"/>
                <w:shd w:val="clear" w:color="auto" w:fill="auto"/>
              </w:rPr>
              <w:t>防止</w:t>
            </w:r>
            <w:r>
              <w:rPr>
                <w:rFonts w:hint="eastAsia" w:cs="Times New Roman"/>
                <w:color w:val="auto"/>
                <w:sz w:val="24"/>
                <w:szCs w:val="24"/>
                <w:highlight w:val="none"/>
                <w:shd w:val="clear" w:color="auto" w:fill="auto"/>
                <w:lang w:eastAsia="zh-CN"/>
              </w:rPr>
              <w:t>泄漏物</w:t>
            </w:r>
            <w:r>
              <w:rPr>
                <w:rFonts w:hint="eastAsia" w:ascii="Times New Roman" w:hAnsi="Times New Roman" w:eastAsia="宋体" w:cs="Times New Roman"/>
                <w:color w:val="auto"/>
                <w:sz w:val="24"/>
                <w:szCs w:val="24"/>
                <w:highlight w:val="none"/>
                <w:shd w:val="clear" w:color="auto" w:fill="auto"/>
              </w:rPr>
              <w:t>四处扩散，并可及时移除或者清理污染源；</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②建立健全环境管理和监测制度，保证各环保设施正常运转，同时强化风险防范意识，如遇环保设施不能正常运转，应立即停产检修；</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③</w:t>
            </w:r>
            <w:r>
              <w:rPr>
                <w:rFonts w:hint="eastAsia" w:ascii="Times New Roman" w:hAnsi="Times New Roman" w:eastAsia="宋体"/>
                <w:color w:val="auto"/>
                <w:sz w:val="24"/>
                <w:szCs w:val="24"/>
                <w:highlight w:val="none"/>
                <w:shd w:val="clear" w:color="auto" w:fill="auto"/>
              </w:rPr>
              <w:t>设置专门管理制度，加强对原辅材料及危险废物的规范化管理，定期巡查维护环保设施的运行情况，及时处理非正常运行情况；</w:t>
            </w:r>
          </w:p>
          <w:p>
            <w:pPr>
              <w:spacing w:line="360" w:lineRule="auto"/>
              <w:ind w:firstLine="480" w:firstLineChars="200"/>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④</w:t>
            </w:r>
            <w:r>
              <w:rPr>
                <w:rFonts w:hint="eastAsia" w:ascii="Times New Roman" w:hAnsi="Times New Roman" w:eastAsia="宋体"/>
                <w:color w:val="auto"/>
                <w:sz w:val="24"/>
                <w:szCs w:val="24"/>
                <w:highlight w:val="none"/>
                <w:shd w:val="clear" w:color="auto" w:fill="auto"/>
              </w:rPr>
              <w:t>建立相应制度，对运行期项目可能造成的土壤污染问题承担相应的责任并进行修复，将其列入企业内部的环保管理规定中。</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⑤</w:t>
            </w:r>
            <w:r>
              <w:rPr>
                <w:rFonts w:hint="eastAsia" w:ascii="Times New Roman" w:hAnsi="Times New Roman" w:eastAsia="宋体"/>
                <w:color w:val="auto"/>
                <w:sz w:val="24"/>
                <w:szCs w:val="24"/>
                <w:highlight w:val="none"/>
                <w:shd w:val="clear" w:color="auto" w:fill="auto"/>
              </w:rPr>
              <w:t>加强内部管理，将土壤污染防治纳入项目环境风险防控体系，严格依法依规建设和运行污染治理设施，确保重点污染物稳定达标排放；另外，提供企业员工污染隐患和环境风险防范意识，并定期开展培训。</w:t>
            </w:r>
          </w:p>
          <w:p>
            <w:pPr>
              <w:spacing w:line="360" w:lineRule="auto"/>
              <w:ind w:firstLine="480" w:firstLineChars="200"/>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4"/>
                <w:szCs w:val="24"/>
                <w:highlight w:val="none"/>
                <w:shd w:val="clear" w:color="auto" w:fill="auto"/>
              </w:rPr>
              <w:t>综上所述，加强项目运行过程中环境管理，则项目实施对厂区及周边</w:t>
            </w:r>
            <w:r>
              <w:rPr>
                <w:rFonts w:hint="eastAsia" w:ascii="Times New Roman" w:hAnsi="Times New Roman" w:eastAsia="宋体"/>
                <w:color w:val="auto"/>
                <w:sz w:val="24"/>
                <w:szCs w:val="24"/>
                <w:highlight w:val="none"/>
                <w:shd w:val="clear" w:color="auto" w:fill="auto"/>
                <w:lang w:val="en-US" w:eastAsia="zh-CN"/>
              </w:rPr>
              <w:t>地下水、</w:t>
            </w:r>
            <w:r>
              <w:rPr>
                <w:rFonts w:hint="eastAsia" w:ascii="Times New Roman" w:hAnsi="Times New Roman" w:eastAsia="宋体"/>
                <w:color w:val="auto"/>
                <w:sz w:val="24"/>
                <w:szCs w:val="24"/>
                <w:highlight w:val="none"/>
                <w:shd w:val="clear" w:color="auto" w:fill="auto"/>
              </w:rPr>
              <w:t>土壤环境的影响可控。</w:t>
            </w:r>
          </w:p>
          <w:p>
            <w:pPr>
              <w:pStyle w:val="4"/>
              <w:bidi w:val="0"/>
              <w:rPr>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.3 跟踪监测要求</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项目建设后，厂区</w:t>
            </w:r>
            <w:r>
              <w:rPr>
                <w:rFonts w:hint="eastAsia"/>
                <w:color w:val="auto"/>
                <w:sz w:val="24"/>
                <w:szCs w:val="24"/>
                <w:highlight w:val="none"/>
                <w:shd w:val="clear" w:color="auto" w:fill="auto"/>
                <w:lang w:eastAsia="zh-CN"/>
              </w:rPr>
              <w:t>除绿化外全部</w:t>
            </w:r>
            <w:r>
              <w:rPr>
                <w:rFonts w:hint="eastAsia" w:ascii="Times New Roman" w:hAnsi="Times New Roman" w:eastAsia="宋体"/>
                <w:color w:val="auto"/>
                <w:sz w:val="24"/>
                <w:szCs w:val="24"/>
                <w:highlight w:val="none"/>
                <w:shd w:val="clear" w:color="auto" w:fill="auto"/>
              </w:rPr>
              <w:t>硬化，生产过程不排放持久性及重金属等污染物，严格按照要求对项目进行分区防渗防治后，项目对地下水、土壤环境影响很小，因此，本评价不对项目地下水、土壤环境提出跟踪监测要求。</w:t>
            </w:r>
          </w:p>
          <w:p>
            <w:pPr>
              <w:pStyle w:val="3"/>
              <w:bidi w:val="0"/>
              <w:rPr>
                <w:rFonts w:hint="default"/>
                <w:color w:val="auto"/>
                <w:highlight w:val="none"/>
                <w:lang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eastAsia="zh-CN"/>
              </w:rPr>
              <w:t>环境风险影响和</w:t>
            </w:r>
            <w:r>
              <w:rPr>
                <w:rFonts w:hint="eastAsia"/>
                <w:color w:val="auto"/>
                <w:highlight w:val="none"/>
                <w:lang w:val="en-US" w:eastAsia="zh-CN"/>
              </w:rPr>
              <w:t>防范</w:t>
            </w:r>
            <w:r>
              <w:rPr>
                <w:rFonts w:hint="default"/>
                <w:color w:val="auto"/>
                <w:highlight w:val="none"/>
                <w:lang w:eastAsia="zh-CN"/>
              </w:rPr>
              <w:t>措施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szCs w:val="24"/>
                <w:highlight w:val="none"/>
              </w:rPr>
              <w:t>根据</w:t>
            </w:r>
            <w:r>
              <w:rPr>
                <w:rFonts w:ascii="Times New Roman" w:hAnsi="Times New Roman" w:eastAsia="宋体"/>
                <w:color w:val="auto"/>
                <w:sz w:val="24"/>
                <w:szCs w:val="24"/>
                <w:highlight w:val="none"/>
              </w:rPr>
              <w:t>《建设项目环境影响报告表编制技术指南</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污染影响类</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试行</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环办环评〔2020〕33号</w:t>
            </w:r>
            <w:r>
              <w:rPr>
                <w:rFonts w:hint="eastAsia" w:ascii="Times New Roman" w:hAnsi="Times New Roman" w:eastAsia="宋体"/>
                <w:color w:val="auto"/>
                <w:sz w:val="24"/>
                <w:szCs w:val="24"/>
                <w:highlight w:val="none"/>
              </w:rPr>
              <w:t>)关于环境风险评价要求：“明确有毒有害和易燃易爆等危险物质和风险源分布情况及可能影响途径，并提出相应环境风险防范措施”。</w:t>
            </w:r>
          </w:p>
          <w:p>
            <w:pPr>
              <w:pStyle w:val="4"/>
              <w:bidi w:val="0"/>
              <w:rPr>
                <w:rFonts w:hint="default"/>
                <w:color w:val="auto"/>
                <w:highlight w:val="none"/>
                <w:lang w:val="en-US" w:eastAsia="zh-CN"/>
              </w:rPr>
            </w:pPr>
            <w:r>
              <w:rPr>
                <w:rFonts w:hint="eastAsia"/>
                <w:color w:val="auto"/>
                <w:highlight w:val="none"/>
                <w:lang w:val="en-US" w:eastAsia="zh-CN"/>
              </w:rPr>
              <w:t>4.7.1</w:t>
            </w:r>
            <w:r>
              <w:rPr>
                <w:rFonts w:hint="default"/>
                <w:color w:val="auto"/>
                <w:highlight w:val="none"/>
                <w:lang w:val="en-US" w:eastAsia="zh-CN"/>
              </w:rPr>
              <w:t>项目</w:t>
            </w:r>
            <w:r>
              <w:rPr>
                <w:rFonts w:hint="eastAsia"/>
                <w:color w:val="auto"/>
                <w:highlight w:val="none"/>
                <w:lang w:val="en-US" w:eastAsia="zh-CN"/>
              </w:rPr>
              <w:t>危险物资</w:t>
            </w:r>
            <w:r>
              <w:rPr>
                <w:rFonts w:hint="default"/>
                <w:color w:val="auto"/>
                <w:highlight w:val="none"/>
                <w:lang w:val="en-US" w:eastAsia="zh-CN"/>
              </w:rPr>
              <w:t>调查</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对照《建设项目环境风险评价技术导则》（HJ 169-2018）附录B及《企业突发环境事件风险分级方法》 HJ941-2018附录A可知，项目</w:t>
            </w:r>
            <w:r>
              <w:rPr>
                <w:rFonts w:hint="eastAsia" w:ascii="Times New Roman" w:hAnsi="Times New Roman" w:eastAsia="宋体" w:cs="Times New Roman"/>
                <w:color w:val="auto"/>
                <w:sz w:val="24"/>
                <w:szCs w:val="24"/>
                <w:highlight w:val="none"/>
                <w:lang w:val="en-US" w:eastAsia="zh-CN"/>
              </w:rPr>
              <w:t>涉及环境风险物质如下：</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p>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表</w:t>
            </w:r>
            <w:r>
              <w:rPr>
                <w:rFonts w:hint="eastAsia"/>
                <w:color w:val="auto"/>
                <w:sz w:val="24"/>
                <w:szCs w:val="24"/>
                <w:highlight w:val="none"/>
                <w:lang w:val="en-US" w:eastAsia="zh-CN"/>
              </w:rPr>
              <w:t>4.7-1</w:t>
            </w:r>
            <w:r>
              <w:rPr>
                <w:rFonts w:hint="default"/>
                <w:color w:val="auto"/>
                <w:sz w:val="24"/>
                <w:szCs w:val="24"/>
                <w:highlight w:val="none"/>
                <w:lang w:val="en-US" w:eastAsia="zh-CN"/>
              </w:rPr>
              <w:t xml:space="preserve"> 主要风险物质数量、有害因素分布表</w:t>
            </w:r>
          </w:p>
          <w:tbl>
            <w:tblPr>
              <w:tblStyle w:val="2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92"/>
              <w:gridCol w:w="395"/>
              <w:gridCol w:w="960"/>
              <w:gridCol w:w="855"/>
              <w:gridCol w:w="769"/>
              <w:gridCol w:w="886"/>
              <w:gridCol w:w="753"/>
              <w:gridCol w:w="910"/>
              <w:gridCol w:w="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09" w:type="pct"/>
                  <w:gridSpan w:val="2"/>
                  <w:tcBorders>
                    <w:tl2br w:val="nil"/>
                    <w:tr2bl w:val="nil"/>
                  </w:tcBorders>
                  <w:noWrap w:val="0"/>
                  <w:vAlign w:val="center"/>
                </w:tcPr>
                <w:p>
                  <w:pPr>
                    <w:pStyle w:val="31"/>
                    <w:bidi w:val="0"/>
                    <w:rPr>
                      <w:rFonts w:hint="default"/>
                      <w:color w:val="auto"/>
                      <w:highlight w:val="none"/>
                      <w:lang w:eastAsia="zh-CN"/>
                    </w:rPr>
                  </w:pPr>
                  <w:r>
                    <w:rPr>
                      <w:rFonts w:hint="default"/>
                      <w:color w:val="auto"/>
                      <w:highlight w:val="none"/>
                      <w:lang w:eastAsia="zh-CN"/>
                    </w:rPr>
                    <w:t>物质</w:t>
                  </w:r>
                </w:p>
                <w:p>
                  <w:pPr>
                    <w:pStyle w:val="31"/>
                    <w:bidi w:val="0"/>
                    <w:rPr>
                      <w:rFonts w:hint="default"/>
                      <w:color w:val="auto"/>
                      <w:highlight w:val="none"/>
                      <w:lang w:eastAsia="zh-CN"/>
                    </w:rPr>
                  </w:pPr>
                  <w:r>
                    <w:rPr>
                      <w:rFonts w:hint="default"/>
                      <w:color w:val="auto"/>
                      <w:highlight w:val="none"/>
                      <w:lang w:eastAsia="zh-CN"/>
                    </w:rPr>
                    <w:t>名称</w:t>
                  </w:r>
                </w:p>
              </w:tc>
              <w:tc>
                <w:tcPr>
                  <w:tcW w:w="243" w:type="pct"/>
                  <w:tcBorders>
                    <w:tl2br w:val="nil"/>
                    <w:tr2bl w:val="nil"/>
                  </w:tcBorders>
                  <w:noWrap w:val="0"/>
                  <w:vAlign w:val="center"/>
                </w:tcPr>
                <w:p>
                  <w:pPr>
                    <w:pStyle w:val="31"/>
                    <w:bidi w:val="0"/>
                    <w:rPr>
                      <w:rFonts w:hint="default"/>
                      <w:color w:val="auto"/>
                      <w:highlight w:val="none"/>
                      <w:lang w:eastAsia="zh-CN"/>
                    </w:rPr>
                  </w:pPr>
                  <w:r>
                    <w:rPr>
                      <w:rFonts w:hint="default"/>
                      <w:color w:val="auto"/>
                      <w:highlight w:val="none"/>
                      <w:lang w:eastAsia="zh-CN"/>
                    </w:rPr>
                    <w:t>形态</w:t>
                  </w:r>
                </w:p>
              </w:tc>
              <w:tc>
                <w:tcPr>
                  <w:tcW w:w="591" w:type="pct"/>
                  <w:tcBorders>
                    <w:tl2br w:val="nil"/>
                    <w:tr2bl w:val="nil"/>
                  </w:tcBorders>
                  <w:noWrap w:val="0"/>
                  <w:vAlign w:val="center"/>
                </w:tcPr>
                <w:p>
                  <w:pPr>
                    <w:pStyle w:val="31"/>
                    <w:bidi w:val="0"/>
                    <w:rPr>
                      <w:rFonts w:hint="default"/>
                      <w:color w:val="auto"/>
                      <w:highlight w:val="none"/>
                      <w:lang w:eastAsia="zh-CN"/>
                    </w:rPr>
                  </w:pPr>
                  <w:r>
                    <w:rPr>
                      <w:rFonts w:hint="eastAsia"/>
                      <w:color w:val="auto"/>
                      <w:highlight w:val="none"/>
                      <w:lang w:val="en-US" w:eastAsia="zh-CN"/>
                    </w:rPr>
                    <w:t>一次最大</w:t>
                  </w:r>
                  <w:r>
                    <w:rPr>
                      <w:rFonts w:hint="default"/>
                      <w:color w:val="auto"/>
                      <w:highlight w:val="none"/>
                      <w:lang w:eastAsia="zh-CN"/>
                    </w:rPr>
                    <w:t>储量</w:t>
                  </w:r>
                </w:p>
                <w:p>
                  <w:pPr>
                    <w:pStyle w:val="31"/>
                    <w:bidi w:val="0"/>
                    <w:rPr>
                      <w:rFonts w:hint="default"/>
                      <w:color w:val="auto"/>
                      <w:highlight w:val="none"/>
                      <w:lang w:val="en-US" w:eastAsia="zh-CN"/>
                    </w:rPr>
                  </w:pPr>
                  <w:r>
                    <w:rPr>
                      <w:rFonts w:hint="default"/>
                      <w:color w:val="auto"/>
                      <w:highlight w:val="none"/>
                      <w:lang w:val="en-US" w:eastAsia="zh-CN"/>
                    </w:rPr>
                    <w:t>(t)</w:t>
                  </w:r>
                </w:p>
              </w:tc>
              <w:tc>
                <w:tcPr>
                  <w:tcW w:w="527" w:type="pct"/>
                  <w:tcBorders>
                    <w:tl2br w:val="nil"/>
                    <w:tr2bl w:val="nil"/>
                  </w:tcBorders>
                  <w:noWrap w:val="0"/>
                  <w:vAlign w:val="center"/>
                </w:tcPr>
                <w:p>
                  <w:pPr>
                    <w:pStyle w:val="31"/>
                    <w:bidi w:val="0"/>
                    <w:rPr>
                      <w:rFonts w:hint="default"/>
                      <w:color w:val="auto"/>
                      <w:highlight w:val="none"/>
                      <w:lang w:eastAsia="zh-CN"/>
                    </w:rPr>
                  </w:pPr>
                  <w:r>
                    <w:rPr>
                      <w:rFonts w:hint="default"/>
                      <w:color w:val="auto"/>
                      <w:highlight w:val="none"/>
                      <w:lang w:eastAsia="zh-CN"/>
                    </w:rPr>
                    <w:t>危险物</w:t>
                  </w:r>
                </w:p>
                <w:p>
                  <w:pPr>
                    <w:pStyle w:val="31"/>
                    <w:bidi w:val="0"/>
                    <w:rPr>
                      <w:rFonts w:hint="default"/>
                      <w:color w:val="auto"/>
                      <w:highlight w:val="none"/>
                      <w:lang w:eastAsia="zh-CN"/>
                    </w:rPr>
                  </w:pPr>
                  <w:r>
                    <w:rPr>
                      <w:rFonts w:hint="default"/>
                      <w:color w:val="auto"/>
                      <w:highlight w:val="none"/>
                      <w:lang w:eastAsia="zh-CN"/>
                    </w:rPr>
                    <w:t>质成分</w:t>
                  </w:r>
                </w:p>
              </w:tc>
              <w:tc>
                <w:tcPr>
                  <w:tcW w:w="474" w:type="pct"/>
                  <w:tcBorders>
                    <w:tl2br w:val="nil"/>
                    <w:tr2bl w:val="nil"/>
                  </w:tcBorders>
                  <w:noWrap w:val="0"/>
                  <w:vAlign w:val="center"/>
                </w:tcPr>
                <w:p>
                  <w:pPr>
                    <w:pStyle w:val="31"/>
                    <w:bidi w:val="0"/>
                    <w:rPr>
                      <w:rFonts w:hint="default"/>
                      <w:color w:val="auto"/>
                      <w:highlight w:val="none"/>
                      <w:lang w:eastAsia="zh-CN"/>
                    </w:rPr>
                  </w:pPr>
                  <w:r>
                    <w:rPr>
                      <w:rFonts w:hint="default"/>
                      <w:color w:val="auto"/>
                      <w:highlight w:val="none"/>
                      <w:lang w:eastAsia="zh-CN"/>
                    </w:rPr>
                    <w:t>危险物质含量</w:t>
                  </w:r>
                </w:p>
              </w:tc>
              <w:tc>
                <w:tcPr>
                  <w:tcW w:w="546" w:type="pct"/>
                  <w:tcBorders>
                    <w:tl2br w:val="nil"/>
                    <w:tr2bl w:val="nil"/>
                  </w:tcBorders>
                  <w:noWrap w:val="0"/>
                  <w:vAlign w:val="center"/>
                </w:tcPr>
                <w:p>
                  <w:pPr>
                    <w:pStyle w:val="31"/>
                    <w:bidi w:val="0"/>
                    <w:rPr>
                      <w:rFonts w:hint="default"/>
                      <w:color w:val="auto"/>
                      <w:highlight w:val="none"/>
                      <w:lang w:eastAsia="zh-CN"/>
                    </w:rPr>
                  </w:pPr>
                  <w:r>
                    <w:rPr>
                      <w:rFonts w:hint="default"/>
                      <w:color w:val="auto"/>
                      <w:highlight w:val="none"/>
                      <w:lang w:eastAsia="zh-CN"/>
                    </w:rPr>
                    <w:t>危险物</w:t>
                  </w:r>
                </w:p>
                <w:p>
                  <w:pPr>
                    <w:pStyle w:val="31"/>
                    <w:bidi w:val="0"/>
                    <w:rPr>
                      <w:rFonts w:hint="default"/>
                      <w:color w:val="auto"/>
                      <w:highlight w:val="none"/>
                    </w:rPr>
                  </w:pPr>
                  <w:r>
                    <w:rPr>
                      <w:rFonts w:hint="default"/>
                      <w:color w:val="auto"/>
                      <w:highlight w:val="none"/>
                      <w:lang w:eastAsia="zh-CN"/>
                    </w:rPr>
                    <w:t>质储量</w:t>
                  </w:r>
                  <w:r>
                    <w:rPr>
                      <w:rFonts w:hint="eastAsia"/>
                      <w:color w:val="auto"/>
                      <w:highlight w:val="none"/>
                      <w:lang w:eastAsia="zh-CN"/>
                    </w:rPr>
                    <w:t>（</w:t>
                  </w:r>
                  <w:r>
                    <w:rPr>
                      <w:rFonts w:hint="default"/>
                      <w:color w:val="auto"/>
                      <w:highlight w:val="none"/>
                      <w:lang w:val="en-US" w:eastAsia="zh-CN"/>
                    </w:rPr>
                    <w:t>t)</w:t>
                  </w:r>
                </w:p>
              </w:tc>
              <w:tc>
                <w:tcPr>
                  <w:tcW w:w="464"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临界量（</w:t>
                  </w:r>
                  <w:r>
                    <w:rPr>
                      <w:rFonts w:hint="default"/>
                      <w:color w:val="auto"/>
                      <w:highlight w:val="none"/>
                      <w:lang w:val="en-US" w:eastAsia="zh-CN"/>
                    </w:rPr>
                    <w:t>t)</w:t>
                  </w:r>
                </w:p>
              </w:tc>
              <w:tc>
                <w:tcPr>
                  <w:tcW w:w="560"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Q值</w:t>
                  </w:r>
                </w:p>
              </w:tc>
              <w:tc>
                <w:tcPr>
                  <w:tcW w:w="582"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8" w:type="pct"/>
                  <w:vMerge w:val="restar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危险废物</w:t>
                  </w:r>
                </w:p>
              </w:tc>
              <w:tc>
                <w:tcPr>
                  <w:tcW w:w="611"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废机油</w:t>
                  </w:r>
                </w:p>
              </w:tc>
              <w:tc>
                <w:tcPr>
                  <w:tcW w:w="243"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液态</w:t>
                  </w:r>
                </w:p>
              </w:tc>
              <w:tc>
                <w:tcPr>
                  <w:tcW w:w="591"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0.2</w:t>
                  </w:r>
                </w:p>
              </w:tc>
              <w:tc>
                <w:tcPr>
                  <w:tcW w:w="527"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废矿物油</w:t>
                  </w:r>
                </w:p>
              </w:tc>
              <w:tc>
                <w:tcPr>
                  <w:tcW w:w="474"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100%</w:t>
                  </w:r>
                </w:p>
              </w:tc>
              <w:tc>
                <w:tcPr>
                  <w:tcW w:w="546"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0.2</w:t>
                  </w:r>
                </w:p>
              </w:tc>
              <w:tc>
                <w:tcPr>
                  <w:tcW w:w="464" w:type="pct"/>
                  <w:tcBorders>
                    <w:tl2br w:val="nil"/>
                    <w:tr2bl w:val="nil"/>
                  </w:tcBorders>
                  <w:noWrap w:val="0"/>
                  <w:vAlign w:val="center"/>
                </w:tcPr>
                <w:p>
                  <w:pPr>
                    <w:pStyle w:val="31"/>
                    <w:bidi w:val="0"/>
                    <w:rPr>
                      <w:rFonts w:hint="eastAsia"/>
                      <w:color w:val="auto"/>
                      <w:highlight w:val="none"/>
                      <w:lang w:val="en-US" w:eastAsia="zh-CN"/>
                    </w:rPr>
                  </w:pPr>
                  <w:r>
                    <w:rPr>
                      <w:rFonts w:hint="eastAsia"/>
                      <w:color w:val="auto"/>
                      <w:highlight w:val="none"/>
                      <w:lang w:val="en-US" w:eastAsia="zh-CN"/>
                    </w:rPr>
                    <w:t>2500</w:t>
                  </w:r>
                </w:p>
              </w:tc>
              <w:tc>
                <w:tcPr>
                  <w:tcW w:w="560"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0.00008</w:t>
                  </w:r>
                </w:p>
              </w:tc>
              <w:tc>
                <w:tcPr>
                  <w:tcW w:w="582" w:type="pct"/>
                  <w:vMerge w:val="restar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危险废物贮存库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8" w:type="pct"/>
                  <w:vMerge w:val="continue"/>
                  <w:tcBorders>
                    <w:tl2br w:val="nil"/>
                    <w:tr2bl w:val="nil"/>
                  </w:tcBorders>
                  <w:noWrap w:val="0"/>
                  <w:vAlign w:val="center"/>
                </w:tcPr>
                <w:p>
                  <w:pPr>
                    <w:pStyle w:val="31"/>
                    <w:bidi w:val="0"/>
                    <w:rPr>
                      <w:rFonts w:hint="eastAsia"/>
                      <w:color w:val="auto"/>
                      <w:highlight w:val="none"/>
                      <w:lang w:val="en-US" w:eastAsia="zh-CN"/>
                    </w:rPr>
                  </w:pPr>
                </w:p>
              </w:tc>
              <w:tc>
                <w:tcPr>
                  <w:tcW w:w="611"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其他危险废物（废吸油毡、废油桶）</w:t>
                  </w:r>
                </w:p>
              </w:tc>
              <w:tc>
                <w:tcPr>
                  <w:tcW w:w="243"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固体</w:t>
                  </w:r>
                </w:p>
              </w:tc>
              <w:tc>
                <w:tcPr>
                  <w:tcW w:w="591"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0.35</w:t>
                  </w:r>
                </w:p>
              </w:tc>
              <w:tc>
                <w:tcPr>
                  <w:tcW w:w="527" w:type="pct"/>
                  <w:tcBorders>
                    <w:tl2br w:val="nil"/>
                    <w:tr2bl w:val="nil"/>
                  </w:tcBorders>
                  <w:noWrap w:val="0"/>
                  <w:vAlign w:val="center"/>
                </w:tcPr>
                <w:p>
                  <w:pPr>
                    <w:pStyle w:val="31"/>
                    <w:bidi w:val="0"/>
                    <w:rPr>
                      <w:rFonts w:hint="eastAsia"/>
                      <w:color w:val="auto"/>
                      <w:highlight w:val="none"/>
                      <w:lang w:val="en-US" w:eastAsia="zh-CN"/>
                    </w:rPr>
                  </w:pPr>
                  <w:r>
                    <w:rPr>
                      <w:rFonts w:hint="eastAsia"/>
                      <w:color w:val="auto"/>
                      <w:highlight w:val="none"/>
                      <w:lang w:val="en-US" w:eastAsia="zh-CN"/>
                    </w:rPr>
                    <w:t>危险废物</w:t>
                  </w:r>
                </w:p>
              </w:tc>
              <w:tc>
                <w:tcPr>
                  <w:tcW w:w="474" w:type="pct"/>
                  <w:tcBorders>
                    <w:tl2br w:val="nil"/>
                    <w:tr2bl w:val="nil"/>
                  </w:tcBorders>
                  <w:noWrap w:val="0"/>
                  <w:vAlign w:val="center"/>
                </w:tcPr>
                <w:p>
                  <w:pPr>
                    <w:pStyle w:val="31"/>
                    <w:bidi w:val="0"/>
                    <w:rPr>
                      <w:rFonts w:hint="eastAsia"/>
                      <w:color w:val="auto"/>
                      <w:highlight w:val="none"/>
                      <w:lang w:val="en-US" w:eastAsia="zh-CN"/>
                    </w:rPr>
                  </w:pPr>
                  <w:r>
                    <w:rPr>
                      <w:rFonts w:hint="eastAsia"/>
                      <w:color w:val="auto"/>
                      <w:highlight w:val="none"/>
                      <w:lang w:val="en-US" w:eastAsia="zh-CN"/>
                    </w:rPr>
                    <w:t>100%</w:t>
                  </w:r>
                </w:p>
              </w:tc>
              <w:tc>
                <w:tcPr>
                  <w:tcW w:w="546"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0.35</w:t>
                  </w:r>
                </w:p>
              </w:tc>
              <w:tc>
                <w:tcPr>
                  <w:tcW w:w="464"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50</w:t>
                  </w:r>
                </w:p>
              </w:tc>
              <w:tc>
                <w:tcPr>
                  <w:tcW w:w="560" w:type="pct"/>
                  <w:tcBorders>
                    <w:tl2br w:val="nil"/>
                    <w:tr2bl w:val="nil"/>
                  </w:tcBorders>
                  <w:noWrap w:val="0"/>
                  <w:vAlign w:val="center"/>
                </w:tcPr>
                <w:p>
                  <w:pPr>
                    <w:pStyle w:val="31"/>
                    <w:bidi w:val="0"/>
                    <w:rPr>
                      <w:rFonts w:hint="default"/>
                      <w:color w:val="auto"/>
                      <w:highlight w:val="none"/>
                      <w:lang w:val="en-US" w:eastAsia="zh-CN"/>
                    </w:rPr>
                  </w:pPr>
                  <w:r>
                    <w:rPr>
                      <w:rFonts w:hint="eastAsia"/>
                      <w:color w:val="auto"/>
                      <w:highlight w:val="none"/>
                      <w:lang w:val="en-US" w:eastAsia="zh-CN"/>
                    </w:rPr>
                    <w:t>0.007</w:t>
                  </w:r>
                </w:p>
              </w:tc>
              <w:tc>
                <w:tcPr>
                  <w:tcW w:w="582" w:type="pct"/>
                  <w:vMerge w:val="continue"/>
                  <w:tcBorders>
                    <w:tl2br w:val="nil"/>
                    <w:tr2bl w:val="nil"/>
                  </w:tcBorders>
                  <w:noWrap w:val="0"/>
                  <w:vAlign w:val="center"/>
                </w:tcPr>
                <w:p>
                  <w:pPr>
                    <w:pStyle w:val="31"/>
                    <w:bidi w:val="0"/>
                    <w:rPr>
                      <w:rFonts w:hint="eastAsia"/>
                      <w:color w:val="auto"/>
                      <w:highlight w:val="none"/>
                      <w:lang w:val="en-US" w:eastAsia="zh-CN"/>
                    </w:rPr>
                  </w:pPr>
                </w:p>
              </w:tc>
            </w:tr>
          </w:tbl>
          <w:p>
            <w:pPr>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注：1.其他危险废物参照风险导则HJ169-2018附录B中健康危险急性毒性物质（类别2，类别3）临界量</w:t>
            </w:r>
            <w:r>
              <w:rPr>
                <w:rFonts w:hint="eastAsia" w:cs="Times New Roman"/>
                <w:color w:val="auto"/>
                <w:sz w:val="21"/>
                <w:szCs w:val="21"/>
                <w:highlight w:val="none"/>
                <w:lang w:val="en-US" w:eastAsia="zh-CN"/>
              </w:rPr>
              <w:t>50t计</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由表可知，</w:t>
            </w:r>
            <w:r>
              <w:rPr>
                <w:rFonts w:hint="eastAsia"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环境风险物质数量与临界量比值</w:t>
            </w:r>
            <w:r>
              <w:rPr>
                <w:rFonts w:ascii="Times New Roman" w:hAnsi="Times New Roman" w:eastAsia="宋体"/>
                <w:color w:val="auto"/>
                <w:sz w:val="24"/>
                <w:szCs w:val="24"/>
                <w:highlight w:val="none"/>
                <w:lang w:val="zh-CN"/>
              </w:rPr>
              <w:t>Q=</w:t>
            </w:r>
            <w:r>
              <w:rPr>
                <w:rFonts w:hint="eastAsia"/>
                <w:color w:val="auto"/>
                <w:sz w:val="24"/>
                <w:szCs w:val="24"/>
                <w:highlight w:val="none"/>
                <w:lang w:val="en-US" w:eastAsia="zh-CN"/>
              </w:rPr>
              <w:t>0.00718</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，则</w:t>
            </w:r>
            <w:r>
              <w:rPr>
                <w:rFonts w:hint="eastAsia" w:ascii="Times New Roman" w:hAnsi="Times New Roman" w:eastAsia="宋体"/>
                <w:color w:val="auto"/>
                <w:sz w:val="24"/>
                <w:szCs w:val="24"/>
                <w:highlight w:val="none"/>
                <w:lang w:val="en-US" w:eastAsia="zh-CN"/>
              </w:rPr>
              <w:t>项目</w:t>
            </w:r>
            <w:r>
              <w:rPr>
                <w:rFonts w:ascii="Times New Roman" w:hAnsi="Times New Roman" w:eastAsia="宋体"/>
                <w:color w:val="auto"/>
                <w:sz w:val="24"/>
                <w:szCs w:val="24"/>
                <w:highlight w:val="none"/>
                <w:lang w:val="zh-CN"/>
              </w:rPr>
              <w:t>环境风险潜势为I。</w:t>
            </w:r>
            <w:r>
              <w:rPr>
                <w:rFonts w:hint="eastAsia" w:ascii="Times New Roman" w:hAnsi="Times New Roman" w:eastAsia="宋体"/>
                <w:color w:val="auto"/>
                <w:sz w:val="24"/>
                <w:szCs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 xml:space="preserve"> 环境风险识别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通过对项目</w:t>
            </w:r>
            <w:r>
              <w:rPr>
                <w:rFonts w:hint="default" w:ascii="Times New Roman" w:hAnsi="Times New Roman" w:eastAsia="宋体" w:cs="Times New Roman"/>
                <w:color w:val="auto"/>
                <w:kern w:val="0"/>
                <w:sz w:val="24"/>
                <w:highlight w:val="none"/>
              </w:rPr>
              <w:t>生产系统、公用系统、环保系统</w:t>
            </w:r>
            <w:r>
              <w:rPr>
                <w:rFonts w:hint="eastAsia" w:ascii="Times New Roman" w:hAnsi="Times New Roman" w:eastAsia="宋体" w:cs="Times New Roman"/>
                <w:color w:val="auto"/>
                <w:kern w:val="0"/>
                <w:sz w:val="24"/>
                <w:highlight w:val="none"/>
                <w:lang w:val="en-US" w:eastAsia="zh-CN"/>
              </w:rPr>
              <w:t>等分析</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eastAsia="zh-CN"/>
              </w:rPr>
              <w:t>潜在环境风险事故</w:t>
            </w:r>
            <w:r>
              <w:rPr>
                <w:rFonts w:hint="default" w:ascii="Times New Roman" w:hAnsi="Times New Roman" w:eastAsia="宋体" w:cs="Times New Roman"/>
                <w:color w:val="auto"/>
                <w:kern w:val="0"/>
                <w:sz w:val="24"/>
                <w:highlight w:val="none"/>
              </w:rPr>
              <w:t>识别结果见</w:t>
            </w:r>
            <w:r>
              <w:rPr>
                <w:rFonts w:hint="default" w:ascii="Times New Roman" w:hAnsi="Times New Roman" w:eastAsia="宋体" w:cs="Times New Roman"/>
                <w:color w:val="auto"/>
                <w:kern w:val="0"/>
                <w:sz w:val="24"/>
                <w:highlight w:val="none"/>
                <w:lang w:eastAsia="zh-CN"/>
              </w:rPr>
              <w:t>下表</w:t>
            </w:r>
            <w:r>
              <w:rPr>
                <w:rFonts w:hint="default"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-2 项目环境风险识别汇总表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8"/>
              <w:gridCol w:w="1825"/>
              <w:gridCol w:w="1077"/>
              <w:gridCol w:w="998"/>
              <w:gridCol w:w="1766"/>
              <w:gridCol w:w="15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534" w:type="pct"/>
                  <w:noWrap w:val="0"/>
                  <w:vAlign w:val="center"/>
                </w:tcPr>
                <w:p>
                  <w:pPr>
                    <w:pStyle w:val="31"/>
                    <w:bidi w:val="0"/>
                    <w:rPr>
                      <w:rFonts w:hint="default"/>
                      <w:b/>
                      <w:bCs/>
                      <w:color w:val="auto"/>
                      <w:highlight w:val="none"/>
                    </w:rPr>
                  </w:pPr>
                  <w:r>
                    <w:rPr>
                      <w:rFonts w:hint="default"/>
                      <w:b/>
                      <w:bCs/>
                      <w:color w:val="auto"/>
                      <w:highlight w:val="none"/>
                    </w:rPr>
                    <w:t>潜在事故类型</w:t>
                  </w:r>
                </w:p>
              </w:tc>
              <w:tc>
                <w:tcPr>
                  <w:tcW w:w="1124" w:type="pct"/>
                  <w:noWrap w:val="0"/>
                  <w:vAlign w:val="center"/>
                </w:tcPr>
                <w:p>
                  <w:pPr>
                    <w:pStyle w:val="31"/>
                    <w:bidi w:val="0"/>
                    <w:rPr>
                      <w:rFonts w:hint="default"/>
                      <w:b/>
                      <w:bCs/>
                      <w:color w:val="auto"/>
                      <w:highlight w:val="none"/>
                    </w:rPr>
                  </w:pPr>
                  <w:r>
                    <w:rPr>
                      <w:rFonts w:hint="default"/>
                      <w:b/>
                      <w:bCs/>
                      <w:color w:val="auto"/>
                      <w:highlight w:val="none"/>
                    </w:rPr>
                    <w:t>事故原因</w:t>
                  </w:r>
                </w:p>
              </w:tc>
              <w:tc>
                <w:tcPr>
                  <w:tcW w:w="663" w:type="pct"/>
                  <w:noWrap w:val="0"/>
                  <w:vAlign w:val="center"/>
                </w:tcPr>
                <w:p>
                  <w:pPr>
                    <w:pStyle w:val="31"/>
                    <w:bidi w:val="0"/>
                    <w:rPr>
                      <w:rFonts w:hint="default"/>
                      <w:b/>
                      <w:bCs/>
                      <w:color w:val="auto"/>
                      <w:highlight w:val="none"/>
                      <w:lang w:val="en-US" w:eastAsia="zh-CN"/>
                    </w:rPr>
                  </w:pPr>
                  <w:r>
                    <w:rPr>
                      <w:rFonts w:hint="eastAsia"/>
                      <w:b/>
                      <w:bCs/>
                      <w:color w:val="auto"/>
                      <w:highlight w:val="none"/>
                      <w:lang w:val="en-US" w:eastAsia="zh-CN"/>
                    </w:rPr>
                    <w:t>危险单位</w:t>
                  </w:r>
                </w:p>
              </w:tc>
              <w:tc>
                <w:tcPr>
                  <w:tcW w:w="614" w:type="pct"/>
                  <w:noWrap w:val="0"/>
                  <w:vAlign w:val="center"/>
                </w:tcPr>
                <w:p>
                  <w:pPr>
                    <w:pStyle w:val="31"/>
                    <w:bidi w:val="0"/>
                    <w:rPr>
                      <w:rFonts w:hint="default"/>
                      <w:b/>
                      <w:bCs/>
                      <w:color w:val="auto"/>
                      <w:highlight w:val="none"/>
                      <w:lang w:val="en-US" w:eastAsia="zh-CN"/>
                    </w:rPr>
                  </w:pPr>
                  <w:r>
                    <w:rPr>
                      <w:rFonts w:hint="eastAsia"/>
                      <w:b/>
                      <w:bCs/>
                      <w:color w:val="auto"/>
                      <w:highlight w:val="none"/>
                      <w:lang w:val="en-US" w:eastAsia="zh-CN"/>
                    </w:rPr>
                    <w:t>危险物质</w:t>
                  </w:r>
                </w:p>
              </w:tc>
              <w:tc>
                <w:tcPr>
                  <w:tcW w:w="1087" w:type="pct"/>
                  <w:noWrap w:val="0"/>
                  <w:vAlign w:val="center"/>
                </w:tcPr>
                <w:p>
                  <w:pPr>
                    <w:pStyle w:val="31"/>
                    <w:bidi w:val="0"/>
                    <w:rPr>
                      <w:rFonts w:hint="default"/>
                      <w:b/>
                      <w:bCs/>
                      <w:color w:val="auto"/>
                      <w:highlight w:val="none"/>
                    </w:rPr>
                  </w:pPr>
                  <w:r>
                    <w:rPr>
                      <w:rFonts w:hint="default"/>
                      <w:b/>
                      <w:bCs/>
                      <w:color w:val="auto"/>
                      <w:highlight w:val="none"/>
                      <w:lang w:val="en-US" w:eastAsia="zh-CN"/>
                    </w:rPr>
                    <w:t>环境影响途径</w:t>
                  </w:r>
                </w:p>
              </w:tc>
              <w:tc>
                <w:tcPr>
                  <w:tcW w:w="975" w:type="pct"/>
                  <w:noWrap w:val="0"/>
                  <w:vAlign w:val="center"/>
                </w:tcPr>
                <w:p>
                  <w:pPr>
                    <w:pStyle w:val="31"/>
                    <w:bidi w:val="0"/>
                    <w:rPr>
                      <w:rFonts w:hint="default"/>
                      <w:b/>
                      <w:bCs/>
                      <w:color w:val="auto"/>
                      <w:highlight w:val="none"/>
                    </w:rPr>
                  </w:pPr>
                  <w:r>
                    <w:rPr>
                      <w:rFonts w:hint="default"/>
                      <w:b/>
                      <w:bCs/>
                      <w:color w:val="auto"/>
                      <w:highlight w:val="none"/>
                      <w:lang w:val="en-US" w:eastAsia="zh-CN"/>
                    </w:rPr>
                    <w:t>环境危害后果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534"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废气事故排放</w:t>
                  </w:r>
                </w:p>
              </w:tc>
              <w:tc>
                <w:tcPr>
                  <w:tcW w:w="1124" w:type="pct"/>
                  <w:noWrap w:val="0"/>
                  <w:vAlign w:val="center"/>
                </w:tcPr>
                <w:p>
                  <w:pPr>
                    <w:pStyle w:val="31"/>
                    <w:bidi w:val="0"/>
                    <w:rPr>
                      <w:rFonts w:hint="eastAsia"/>
                      <w:color w:val="auto"/>
                      <w:highlight w:val="none"/>
                      <w:lang w:val="en-US" w:eastAsia="zh-CN"/>
                    </w:rPr>
                  </w:pPr>
                  <w:r>
                    <w:rPr>
                      <w:rFonts w:hint="eastAsia"/>
                      <w:color w:val="auto"/>
                      <w:highlight w:val="none"/>
                      <w:lang w:val="en-US" w:eastAsia="zh-CN"/>
                    </w:rPr>
                    <w:t>废气处理</w:t>
                  </w:r>
                </w:p>
                <w:p>
                  <w:pPr>
                    <w:pStyle w:val="31"/>
                    <w:bidi w:val="0"/>
                    <w:rPr>
                      <w:rFonts w:hint="default"/>
                      <w:color w:val="auto"/>
                      <w:highlight w:val="none"/>
                      <w:lang w:val="en-US" w:eastAsia="zh-CN"/>
                    </w:rPr>
                  </w:pPr>
                  <w:r>
                    <w:rPr>
                      <w:rFonts w:hint="eastAsia"/>
                      <w:color w:val="auto"/>
                      <w:highlight w:val="none"/>
                      <w:lang w:val="en-US" w:eastAsia="zh-CN"/>
                    </w:rPr>
                    <w:t>设施故障</w:t>
                  </w:r>
                </w:p>
              </w:tc>
              <w:tc>
                <w:tcPr>
                  <w:tcW w:w="663"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粉料仓</w:t>
                  </w:r>
                </w:p>
              </w:tc>
              <w:tc>
                <w:tcPr>
                  <w:tcW w:w="614"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未经处理废气</w:t>
                  </w:r>
                </w:p>
              </w:tc>
              <w:tc>
                <w:tcPr>
                  <w:tcW w:w="1087"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粉尘未经处理</w:t>
                  </w:r>
                  <w:r>
                    <w:rPr>
                      <w:rFonts w:hint="default"/>
                      <w:color w:val="auto"/>
                      <w:highlight w:val="none"/>
                    </w:rPr>
                    <w:t>全部</w:t>
                  </w:r>
                  <w:r>
                    <w:rPr>
                      <w:rFonts w:hint="eastAsia"/>
                      <w:color w:val="auto"/>
                      <w:highlight w:val="none"/>
                      <w:lang w:val="en-US" w:eastAsia="zh-CN"/>
                    </w:rPr>
                    <w:t>直接</w:t>
                  </w:r>
                  <w:r>
                    <w:rPr>
                      <w:rFonts w:hint="default"/>
                      <w:color w:val="auto"/>
                      <w:highlight w:val="none"/>
                    </w:rPr>
                    <w:t>排放扩散</w:t>
                  </w:r>
                </w:p>
              </w:tc>
              <w:tc>
                <w:tcPr>
                  <w:tcW w:w="975" w:type="pct"/>
                  <w:noWrap w:val="0"/>
                  <w:vAlign w:val="center"/>
                </w:tcPr>
                <w:p>
                  <w:pPr>
                    <w:pStyle w:val="31"/>
                    <w:bidi w:val="0"/>
                    <w:rPr>
                      <w:rFonts w:hint="default"/>
                      <w:color w:val="auto"/>
                      <w:highlight w:val="none"/>
                      <w:lang w:val="en-US" w:eastAsia="zh-CN"/>
                    </w:rPr>
                  </w:pPr>
                  <w:r>
                    <w:rPr>
                      <w:rFonts w:hint="default"/>
                      <w:color w:val="auto"/>
                      <w:highlight w:val="none"/>
                    </w:rPr>
                    <w:t>对大气环境有</w:t>
                  </w:r>
                  <w:r>
                    <w:rPr>
                      <w:rFonts w:hint="eastAsia"/>
                      <w:color w:val="auto"/>
                      <w:highlight w:val="none"/>
                      <w:lang w:val="en-US" w:eastAsia="zh-CN"/>
                    </w:rPr>
                    <w:t>轻微的</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868"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废水事故排放</w:t>
                  </w:r>
                </w:p>
              </w:tc>
              <w:tc>
                <w:tcPr>
                  <w:tcW w:w="1825"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废水处理设施故障、管道破裂、人为操作失误</w:t>
                  </w:r>
                </w:p>
              </w:tc>
              <w:tc>
                <w:tcPr>
                  <w:tcW w:w="1077"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生产废水处理系统</w:t>
                  </w:r>
                </w:p>
              </w:tc>
              <w:tc>
                <w:tcPr>
                  <w:tcW w:w="998"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未经处理的生产废水</w:t>
                  </w:r>
                </w:p>
              </w:tc>
              <w:tc>
                <w:tcPr>
                  <w:tcW w:w="1766"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生产废水未经处理泄漏至周边地表水体</w:t>
                  </w:r>
                </w:p>
              </w:tc>
              <w:tc>
                <w:tcPr>
                  <w:tcW w:w="1583"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color w:val="auto"/>
                      <w:highlight w:val="none"/>
                    </w:rPr>
                  </w:pPr>
                  <w:r>
                    <w:rPr>
                      <w:rFonts w:hint="default" w:ascii="Times New Roman" w:hAnsi="Times New Roman" w:eastAsia="宋体" w:cs="Times New Roman"/>
                      <w:color w:val="auto"/>
                      <w:sz w:val="21"/>
                      <w:szCs w:val="21"/>
                      <w:highlight w:val="none"/>
                      <w:u w:val="none"/>
                    </w:rPr>
                    <w:t>对周边地表水体有</w:t>
                  </w:r>
                  <w:r>
                    <w:rPr>
                      <w:rFonts w:hint="eastAsia" w:ascii="Times New Roman" w:eastAsia="宋体" w:cs="Times New Roman"/>
                      <w:color w:val="auto"/>
                      <w:sz w:val="21"/>
                      <w:szCs w:val="21"/>
                      <w:highlight w:val="none"/>
                      <w:u w:val="none"/>
                      <w:lang w:val="en-US" w:eastAsia="zh-CN"/>
                    </w:rPr>
                    <w:t>一定</w:t>
                  </w:r>
                  <w:r>
                    <w:rPr>
                      <w:rFonts w:hint="default" w:ascii="Times New Roman" w:hAnsi="Times New Roman" w:eastAsia="宋体" w:cs="Times New Roman"/>
                      <w:color w:val="auto"/>
                      <w:sz w:val="21"/>
                      <w:szCs w:val="21"/>
                      <w:highlight w:val="none"/>
                      <w:u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534" w:type="pct"/>
                  <w:noWrap w:val="0"/>
                  <w:vAlign w:val="center"/>
                </w:tcPr>
                <w:p>
                  <w:pPr>
                    <w:pStyle w:val="31"/>
                    <w:bidi w:val="0"/>
                    <w:rPr>
                      <w:rFonts w:hint="default"/>
                      <w:color w:val="auto"/>
                      <w:highlight w:val="none"/>
                    </w:rPr>
                  </w:pPr>
                  <w:r>
                    <w:rPr>
                      <w:rFonts w:hint="eastAsia"/>
                      <w:color w:val="auto"/>
                      <w:highlight w:val="none"/>
                      <w:lang w:val="en-US" w:eastAsia="zh-CN"/>
                    </w:rPr>
                    <w:t>危险废物等</w:t>
                  </w:r>
                  <w:r>
                    <w:rPr>
                      <w:rFonts w:hint="default"/>
                      <w:color w:val="auto"/>
                      <w:highlight w:val="none"/>
                    </w:rPr>
                    <w:t>泄漏</w:t>
                  </w:r>
                </w:p>
              </w:tc>
              <w:tc>
                <w:tcPr>
                  <w:tcW w:w="1124" w:type="pct"/>
                  <w:noWrap w:val="0"/>
                  <w:vAlign w:val="center"/>
                </w:tcPr>
                <w:p>
                  <w:pPr>
                    <w:pStyle w:val="31"/>
                    <w:bidi w:val="0"/>
                    <w:rPr>
                      <w:rFonts w:hint="default"/>
                      <w:color w:val="auto"/>
                      <w:highlight w:val="none"/>
                    </w:rPr>
                  </w:pPr>
                  <w:r>
                    <w:rPr>
                      <w:rFonts w:hint="eastAsia"/>
                      <w:color w:val="auto"/>
                      <w:highlight w:val="none"/>
                      <w:lang w:val="en-US" w:eastAsia="zh-CN"/>
                    </w:rPr>
                    <w:t>容器</w:t>
                  </w:r>
                  <w:r>
                    <w:rPr>
                      <w:rFonts w:hint="default"/>
                      <w:color w:val="auto"/>
                      <w:highlight w:val="none"/>
                    </w:rPr>
                    <w:t>桶泄漏</w:t>
                  </w:r>
                  <w:r>
                    <w:rPr>
                      <w:rFonts w:hint="eastAsia"/>
                      <w:color w:val="auto"/>
                      <w:highlight w:val="none"/>
                      <w:lang w:eastAsia="zh-CN"/>
                    </w:rPr>
                    <w:t>、</w:t>
                  </w:r>
                  <w:r>
                    <w:rPr>
                      <w:rFonts w:hint="eastAsia"/>
                      <w:color w:val="auto"/>
                      <w:highlight w:val="none"/>
                      <w:lang w:val="en-US" w:eastAsia="zh-CN"/>
                    </w:rPr>
                    <w:t>人为操作不当、</w:t>
                  </w:r>
                  <w:r>
                    <w:rPr>
                      <w:rFonts w:hint="default"/>
                      <w:color w:val="auto"/>
                      <w:highlight w:val="none"/>
                    </w:rPr>
                    <w:t>运输车辆发生事故发生泄漏</w:t>
                  </w:r>
                </w:p>
              </w:tc>
              <w:tc>
                <w:tcPr>
                  <w:tcW w:w="663"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危险废物贮存库</w:t>
                  </w:r>
                </w:p>
              </w:tc>
              <w:tc>
                <w:tcPr>
                  <w:tcW w:w="614"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危险废物（废机油、废吸油毡等）</w:t>
                  </w:r>
                </w:p>
              </w:tc>
              <w:tc>
                <w:tcPr>
                  <w:tcW w:w="1087" w:type="pct"/>
                  <w:noWrap w:val="0"/>
                  <w:vAlign w:val="center"/>
                </w:tcPr>
                <w:p>
                  <w:pPr>
                    <w:pStyle w:val="31"/>
                    <w:bidi w:val="0"/>
                    <w:rPr>
                      <w:rFonts w:hint="default"/>
                      <w:color w:val="auto"/>
                      <w:highlight w:val="none"/>
                    </w:rPr>
                  </w:pPr>
                  <w:r>
                    <w:rPr>
                      <w:rFonts w:hint="default"/>
                      <w:color w:val="auto"/>
                      <w:highlight w:val="none"/>
                    </w:rPr>
                    <w:t>渗入土壤</w:t>
                  </w:r>
                  <w:r>
                    <w:rPr>
                      <w:rFonts w:hint="eastAsia"/>
                      <w:color w:val="auto"/>
                      <w:highlight w:val="none"/>
                      <w:lang w:eastAsia="zh-CN"/>
                    </w:rPr>
                    <w:t>、</w:t>
                  </w:r>
                  <w:r>
                    <w:rPr>
                      <w:rFonts w:hint="eastAsia"/>
                      <w:color w:val="auto"/>
                      <w:highlight w:val="none"/>
                      <w:lang w:val="en-US" w:eastAsia="zh-CN"/>
                    </w:rPr>
                    <w:t>地下水</w:t>
                  </w:r>
                  <w:r>
                    <w:rPr>
                      <w:rFonts w:hint="default"/>
                      <w:color w:val="auto"/>
                      <w:highlight w:val="none"/>
                    </w:rPr>
                    <w:t>及排入周边水体</w:t>
                  </w:r>
                </w:p>
              </w:tc>
              <w:tc>
                <w:tcPr>
                  <w:tcW w:w="975" w:type="pct"/>
                  <w:noWrap w:val="0"/>
                  <w:vAlign w:val="center"/>
                </w:tcPr>
                <w:p>
                  <w:pPr>
                    <w:pStyle w:val="31"/>
                    <w:bidi w:val="0"/>
                    <w:rPr>
                      <w:rFonts w:hint="default"/>
                      <w:color w:val="auto"/>
                      <w:highlight w:val="none"/>
                    </w:rPr>
                  </w:pPr>
                  <w:r>
                    <w:rPr>
                      <w:rFonts w:hint="default"/>
                      <w:color w:val="auto"/>
                      <w:highlight w:val="none"/>
                    </w:rPr>
                    <w:t>对周边</w:t>
                  </w:r>
                  <w:r>
                    <w:rPr>
                      <w:rFonts w:hint="eastAsia"/>
                      <w:color w:val="auto"/>
                      <w:highlight w:val="none"/>
                      <w:lang w:val="en-US" w:eastAsia="zh-CN"/>
                    </w:rPr>
                    <w:t>土壤、</w:t>
                  </w:r>
                  <w:r>
                    <w:rPr>
                      <w:rFonts w:hint="default"/>
                      <w:color w:val="auto"/>
                      <w:highlight w:val="none"/>
                    </w:rPr>
                    <w:t>地下水及周边</w:t>
                  </w:r>
                  <w:r>
                    <w:rPr>
                      <w:rFonts w:hint="eastAsia"/>
                      <w:color w:val="auto"/>
                      <w:highlight w:val="none"/>
                      <w:lang w:val="en-US" w:eastAsia="zh-CN"/>
                    </w:rPr>
                    <w:t>地表水</w:t>
                  </w:r>
                  <w:r>
                    <w:rPr>
                      <w:rFonts w:hint="default"/>
                      <w:color w:val="auto"/>
                      <w:highlight w:val="none"/>
                    </w:rPr>
                    <w:t>可能造成</w:t>
                  </w:r>
                  <w:r>
                    <w:rPr>
                      <w:rFonts w:hint="eastAsia"/>
                      <w:color w:val="auto"/>
                      <w:highlight w:val="none"/>
                      <w:lang w:val="en-US" w:eastAsia="zh-CN"/>
                    </w:rPr>
                    <w:t>较大</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21" w:hRule="atLeast"/>
                <w:jc w:val="center"/>
              </w:trPr>
              <w:tc>
                <w:tcPr>
                  <w:tcW w:w="534" w:type="pct"/>
                  <w:noWrap w:val="0"/>
                  <w:vAlign w:val="center"/>
                </w:tcPr>
                <w:p>
                  <w:pPr>
                    <w:pStyle w:val="31"/>
                    <w:bidi w:val="0"/>
                    <w:rPr>
                      <w:rFonts w:hint="default"/>
                      <w:color w:val="auto"/>
                      <w:highlight w:val="none"/>
                      <w:lang w:val="en-US" w:eastAsia="zh-CN"/>
                    </w:rPr>
                  </w:pPr>
                  <w:r>
                    <w:rPr>
                      <w:rFonts w:hint="default"/>
                      <w:color w:val="auto"/>
                      <w:highlight w:val="none"/>
                    </w:rPr>
                    <w:t>火灾事故</w:t>
                  </w:r>
                </w:p>
              </w:tc>
              <w:tc>
                <w:tcPr>
                  <w:tcW w:w="1124" w:type="pct"/>
                  <w:noWrap w:val="0"/>
                  <w:vAlign w:val="center"/>
                </w:tcPr>
                <w:p>
                  <w:pPr>
                    <w:pStyle w:val="31"/>
                    <w:bidi w:val="0"/>
                    <w:rPr>
                      <w:rFonts w:hint="default"/>
                      <w:color w:val="auto"/>
                      <w:highlight w:val="none"/>
                      <w:lang w:val="en-US" w:eastAsia="zh-CN"/>
                    </w:rPr>
                  </w:pPr>
                  <w:r>
                    <w:rPr>
                      <w:rFonts w:hint="default"/>
                      <w:color w:val="auto"/>
                      <w:highlight w:val="none"/>
                    </w:rPr>
                    <w:t>电线短路</w:t>
                  </w:r>
                  <w:r>
                    <w:rPr>
                      <w:rFonts w:hint="eastAsia"/>
                      <w:color w:val="auto"/>
                      <w:highlight w:val="none"/>
                      <w:lang w:eastAsia="zh-CN"/>
                    </w:rPr>
                    <w:t>、</w:t>
                  </w:r>
                  <w:r>
                    <w:rPr>
                      <w:rFonts w:hint="default"/>
                      <w:color w:val="auto"/>
                      <w:highlight w:val="none"/>
                    </w:rPr>
                    <w:t>静电火花等</w:t>
                  </w:r>
                  <w:r>
                    <w:rPr>
                      <w:rFonts w:hint="eastAsia"/>
                      <w:color w:val="auto"/>
                      <w:highlight w:val="none"/>
                      <w:lang w:eastAsia="zh-CN"/>
                    </w:rPr>
                    <w:t>，</w:t>
                  </w:r>
                  <w:r>
                    <w:rPr>
                      <w:rFonts w:hint="eastAsia"/>
                      <w:color w:val="auto"/>
                      <w:highlight w:val="none"/>
                      <w:lang w:val="en-US" w:eastAsia="zh-CN"/>
                    </w:rPr>
                    <w:t>废机油等泄漏</w:t>
                  </w:r>
                  <w:r>
                    <w:rPr>
                      <w:rFonts w:hint="default"/>
                      <w:color w:val="auto"/>
                      <w:highlight w:val="none"/>
                    </w:rPr>
                    <w:t>遇明火或高热发生火灾</w:t>
                  </w:r>
                </w:p>
              </w:tc>
              <w:tc>
                <w:tcPr>
                  <w:tcW w:w="663"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危险废物贮存库</w:t>
                  </w:r>
                </w:p>
              </w:tc>
              <w:tc>
                <w:tcPr>
                  <w:tcW w:w="614" w:type="pct"/>
                  <w:noWrap w:val="0"/>
                  <w:vAlign w:val="center"/>
                </w:tcPr>
                <w:p>
                  <w:pPr>
                    <w:pStyle w:val="31"/>
                    <w:bidi w:val="0"/>
                    <w:rPr>
                      <w:rFonts w:hint="default"/>
                      <w:color w:val="auto"/>
                      <w:highlight w:val="none"/>
                      <w:lang w:val="en-US" w:eastAsia="zh-CN"/>
                    </w:rPr>
                  </w:pPr>
                  <w:r>
                    <w:rPr>
                      <w:rFonts w:hint="eastAsia"/>
                      <w:color w:val="auto"/>
                      <w:highlight w:val="none"/>
                      <w:lang w:val="en-US" w:eastAsia="zh-CN"/>
                    </w:rPr>
                    <w:t>废机油</w:t>
                  </w:r>
                </w:p>
              </w:tc>
              <w:tc>
                <w:tcPr>
                  <w:tcW w:w="1087" w:type="pct"/>
                  <w:noWrap w:val="0"/>
                  <w:vAlign w:val="center"/>
                </w:tcPr>
                <w:p>
                  <w:pPr>
                    <w:pStyle w:val="31"/>
                    <w:bidi w:val="0"/>
                    <w:rPr>
                      <w:rFonts w:hint="default"/>
                      <w:color w:val="auto"/>
                      <w:highlight w:val="none"/>
                      <w:lang w:val="en-US" w:eastAsia="zh-CN"/>
                    </w:rPr>
                  </w:pPr>
                  <w:r>
                    <w:rPr>
                      <w:rFonts w:hint="default"/>
                      <w:color w:val="auto"/>
                      <w:highlight w:val="none"/>
                    </w:rPr>
                    <w:t>火灾产生的热辐射、浓烟、有害气体等直接进入环境，火灾扑救</w:t>
                  </w:r>
                  <w:r>
                    <w:rPr>
                      <w:rFonts w:hint="eastAsia"/>
                      <w:color w:val="auto"/>
                      <w:highlight w:val="none"/>
                      <w:lang w:val="en-US" w:eastAsia="zh-CN"/>
                    </w:rPr>
                    <w:t>采用干粉或二氧化碳灭火器，不产生</w:t>
                  </w:r>
                  <w:r>
                    <w:rPr>
                      <w:rFonts w:hint="default"/>
                      <w:color w:val="auto"/>
                      <w:highlight w:val="none"/>
                    </w:rPr>
                    <w:t>消防废水</w:t>
                  </w:r>
                </w:p>
              </w:tc>
              <w:tc>
                <w:tcPr>
                  <w:tcW w:w="975" w:type="pct"/>
                  <w:noWrap w:val="0"/>
                  <w:vAlign w:val="center"/>
                </w:tcPr>
                <w:p>
                  <w:pPr>
                    <w:pStyle w:val="31"/>
                    <w:bidi w:val="0"/>
                    <w:rPr>
                      <w:rFonts w:hint="default"/>
                      <w:color w:val="auto"/>
                      <w:highlight w:val="none"/>
                      <w:lang w:val="en-US" w:eastAsia="zh-CN"/>
                    </w:rPr>
                  </w:pPr>
                  <w:r>
                    <w:rPr>
                      <w:rFonts w:hint="default"/>
                      <w:color w:val="auto"/>
                      <w:highlight w:val="none"/>
                    </w:rPr>
                    <w:t>对</w:t>
                  </w:r>
                  <w:r>
                    <w:rPr>
                      <w:rFonts w:hint="eastAsia"/>
                      <w:color w:val="auto"/>
                      <w:highlight w:val="none"/>
                      <w:lang w:val="en-US" w:eastAsia="zh-CN"/>
                    </w:rPr>
                    <w:t>周边环境空气等造成一定影响</w:t>
                  </w:r>
                </w:p>
              </w:tc>
            </w:tr>
          </w:tbl>
          <w:p>
            <w:pPr>
              <w:pStyle w:val="4"/>
              <w:bidi w:val="0"/>
              <w:rPr>
                <w:rFonts w:hint="eastAsia"/>
                <w:color w:val="auto"/>
                <w:highlight w:val="none"/>
                <w:lang w:val="en-US" w:eastAsia="zh-CN"/>
              </w:rPr>
            </w:pPr>
            <w:bookmarkStart w:id="34" w:name="_Toc215736207"/>
            <w:r>
              <w:rPr>
                <w:rFonts w:hint="eastAsia"/>
                <w:color w:val="auto"/>
                <w:highlight w:val="none"/>
              </w:rPr>
              <w:t>4.</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eastAsia="zh-CN"/>
              </w:rPr>
              <w:t>环境敏感目标概况</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eastAsia="zh-CN"/>
              </w:rPr>
              <w:t>项目周边主要环境敏感目标为西北侧约</w:t>
            </w:r>
            <w:r>
              <w:rPr>
                <w:rFonts w:hint="eastAsia" w:cs="Times New Roman"/>
                <w:color w:val="auto"/>
                <w:sz w:val="24"/>
                <w:highlight w:val="none"/>
                <w:lang w:val="en-US" w:eastAsia="zh-CN"/>
              </w:rPr>
              <w:t>260</w:t>
            </w:r>
            <w:r>
              <w:rPr>
                <w:rFonts w:hint="eastAsia" w:ascii="Times New Roman" w:hAnsi="Times New Roman" w:eastAsia="宋体" w:cs="Times New Roman"/>
                <w:color w:val="auto"/>
                <w:sz w:val="24"/>
                <w:highlight w:val="none"/>
                <w:lang w:val="en-US" w:eastAsia="zh-CN"/>
              </w:rPr>
              <w:t>m的</w:t>
            </w:r>
            <w:r>
              <w:rPr>
                <w:rFonts w:hint="eastAsia" w:cs="Times New Roman"/>
                <w:color w:val="auto"/>
                <w:sz w:val="24"/>
                <w:highlight w:val="none"/>
                <w:lang w:val="en-US" w:eastAsia="zh-CN"/>
              </w:rPr>
              <w:t>石溪村</w:t>
            </w:r>
            <w:r>
              <w:rPr>
                <w:rFonts w:hint="eastAsia" w:ascii="Times New Roman" w:hAnsi="Times New Roman" w:eastAsia="宋体" w:cs="Times New Roman"/>
                <w:color w:val="auto"/>
                <w:sz w:val="24"/>
                <w:highlight w:val="none"/>
                <w:lang w:val="zh-CN" w:eastAsia="zh-CN"/>
              </w:rPr>
              <w:t>，具体见表</w:t>
            </w:r>
            <w:r>
              <w:rPr>
                <w:rFonts w:hint="eastAsia" w:ascii="Times New Roman" w:hAnsi="Times New Roman" w:eastAsia="宋体" w:cs="Times New Roman"/>
                <w:color w:val="auto"/>
                <w:sz w:val="24"/>
                <w:highlight w:val="none"/>
                <w:lang w:val="en-US" w:eastAsia="zh-CN"/>
              </w:rPr>
              <w:t>3.6-1。</w:t>
            </w:r>
          </w:p>
          <w:p>
            <w:pPr>
              <w:pStyle w:val="4"/>
              <w:bidi w:val="0"/>
              <w:rPr>
                <w:rFonts w:hint="default"/>
                <w:color w:val="auto"/>
                <w:highlight w:val="none"/>
                <w:lang w:val="en-US" w:eastAsia="zh-CN"/>
              </w:rPr>
            </w:pPr>
            <w:r>
              <w:rPr>
                <w:rFonts w:hint="eastAsia"/>
                <w:color w:val="auto"/>
                <w:highlight w:val="none"/>
              </w:rPr>
              <w:t>4.</w:t>
            </w:r>
            <w:r>
              <w:rPr>
                <w:rFonts w:hint="eastAsia"/>
                <w:color w:val="auto"/>
                <w:highlight w:val="none"/>
                <w:lang w:val="en-US" w:eastAsia="zh-CN"/>
              </w:rPr>
              <w:t>7.4</w:t>
            </w:r>
            <w:r>
              <w:rPr>
                <w:rFonts w:hint="eastAsia"/>
                <w:color w:val="auto"/>
                <w:highlight w:val="none"/>
              </w:rPr>
              <w:t xml:space="preserve"> </w:t>
            </w:r>
            <w:r>
              <w:rPr>
                <w:color w:val="auto"/>
                <w:highlight w:val="none"/>
              </w:rPr>
              <w:t>环境风险</w:t>
            </w:r>
            <w:r>
              <w:rPr>
                <w:rFonts w:hint="eastAsia"/>
                <w:color w:val="auto"/>
                <w:highlight w:val="none"/>
                <w:lang w:val="en-US" w:eastAsia="zh-CN"/>
              </w:rPr>
              <w:t>影响分析</w:t>
            </w:r>
          </w:p>
          <w:p>
            <w:pPr>
              <w:spacing w:line="360" w:lineRule="auto"/>
              <w:ind w:firstLine="482" w:firstLineChars="200"/>
              <w:jc w:val="left"/>
              <w:rPr>
                <w:rFonts w:ascii="Times New Roman" w:hAnsi="Times New Roman" w:eastAsia="宋体" w:cs="Times New Roman"/>
                <w:b/>
                <w:bCs/>
                <w:color w:val="auto"/>
                <w:sz w:val="24"/>
                <w:szCs w:val="24"/>
                <w:highlight w:val="none"/>
                <w:lang w:val="zh-CN"/>
              </w:rPr>
            </w:pPr>
            <w:r>
              <w:rPr>
                <w:rFonts w:hint="eastAsia" w:ascii="Times New Roman" w:hAnsi="Times New Roman" w:eastAsia="宋体" w:cs="Times New Roman"/>
                <w:b/>
                <w:bCs/>
                <w:color w:val="auto"/>
                <w:sz w:val="24"/>
                <w:szCs w:val="24"/>
                <w:highlight w:val="none"/>
                <w:lang w:val="zh-CN"/>
              </w:rPr>
              <w:t>（</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zh-CN"/>
              </w:rPr>
              <w:t>）危险废物泄漏</w:t>
            </w:r>
            <w:r>
              <w:rPr>
                <w:rFonts w:ascii="Times New Roman" w:hAnsi="Times New Roman" w:eastAsia="宋体" w:cs="Times New Roman"/>
                <w:b/>
                <w:bCs/>
                <w:color w:val="auto"/>
                <w:sz w:val="24"/>
                <w:szCs w:val="24"/>
                <w:highlight w:val="none"/>
                <w:lang w:val="zh-CN"/>
              </w:rPr>
              <w:t>风险影响分析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eastAsia="zh-CN"/>
              </w:rPr>
              <w:t>本项目危险废物，特别是液态危险废物（废机油），在贮运过程中，可能因为储存容器破损、人为操作不当等原因泄漏；在运输过程中因交通事故等原因造成泄漏。</w:t>
            </w:r>
          </w:p>
          <w:p>
            <w:pPr>
              <w:spacing w:line="360" w:lineRule="auto"/>
              <w:ind w:firstLine="480" w:firstLineChars="200"/>
              <w:jc w:val="left"/>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本项目</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hint="eastAsia" w:ascii="Times New Roman" w:hAnsi="Times New Roman" w:eastAsia="宋体" w:cs="Times New Roman"/>
                <w:color w:val="auto"/>
                <w:sz w:val="24"/>
                <w:szCs w:val="24"/>
                <w:highlight w:val="none"/>
                <w:lang w:val="zh-CN"/>
              </w:rPr>
              <w:t>严格按照《危险废物贮存污染控制标准》（GB18597-2023），对地面、裙角等进行防渗处理，危险废物采用密闭容器装存，并及时委托资质单位清运处置，故在</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ascii="Times New Roman" w:hAnsi="Times New Roman" w:eastAsia="宋体" w:cs="Times New Roman"/>
                <w:color w:val="auto"/>
                <w:sz w:val="24"/>
                <w:szCs w:val="24"/>
                <w:highlight w:val="none"/>
                <w:lang w:val="zh-CN"/>
              </w:rPr>
              <w:t>管理和泄漏事故防范，可以</w:t>
            </w:r>
            <w:r>
              <w:rPr>
                <w:rFonts w:hint="eastAsia" w:ascii="Times New Roman" w:hAnsi="Times New Roman" w:eastAsia="宋体" w:cs="Times New Roman"/>
                <w:color w:val="auto"/>
                <w:sz w:val="24"/>
                <w:szCs w:val="24"/>
                <w:highlight w:val="none"/>
                <w:lang w:val="zh-CN"/>
              </w:rPr>
              <w:t>减少</w:t>
            </w:r>
            <w:r>
              <w:rPr>
                <w:rFonts w:ascii="Times New Roman" w:hAnsi="Times New Roman" w:eastAsia="宋体" w:cs="Times New Roman"/>
                <w:color w:val="auto"/>
                <w:sz w:val="24"/>
                <w:szCs w:val="24"/>
                <w:highlight w:val="none"/>
                <w:lang w:val="zh-CN"/>
              </w:rPr>
              <w:t>泄漏事故的发生</w:t>
            </w:r>
            <w:r>
              <w:rPr>
                <w:rFonts w:hint="eastAsia" w:ascii="Times New Roman" w:hAnsi="Times New Roman" w:eastAsia="宋体" w:cs="Times New Roman"/>
                <w:color w:val="auto"/>
                <w:sz w:val="24"/>
                <w:szCs w:val="24"/>
                <w:highlight w:val="none"/>
                <w:lang w:val="zh-CN"/>
              </w:rPr>
              <w:t>，即使发生泄漏事故，通过地面防渗层和液态容器底部防渗托盘拦截，泄漏危险废物不会外溢至室外，不会直接进入地表水水体或渗漏进入土壤和地下水环境，对周边环境影响小。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2"/>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zh-CN"/>
              </w:rPr>
              <w:t>废气事故排放风险影响分析</w:t>
            </w:r>
          </w:p>
          <w:p>
            <w:pPr>
              <w:spacing w:line="360" w:lineRule="auto"/>
              <w:ind w:firstLine="480" w:firstLineChars="200"/>
              <w:jc w:val="left"/>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项目生产废气配套治理措施处理后达标排放；在废气装置</w:t>
            </w:r>
            <w:r>
              <w:rPr>
                <w:rFonts w:hint="eastAsia" w:ascii="Times New Roman" w:hAnsi="Times New Roman" w:eastAsia="宋体" w:cs="Times New Roman"/>
                <w:color w:val="auto"/>
                <w:sz w:val="24"/>
                <w:szCs w:val="24"/>
                <w:highlight w:val="none"/>
                <w:lang w:val="zh-CN"/>
              </w:rPr>
              <w:t>故障</w:t>
            </w:r>
            <w:r>
              <w:rPr>
                <w:rFonts w:hint="eastAsia" w:ascii="Times New Roman" w:hAnsi="Times New Roman" w:eastAsia="宋体" w:cs="Times New Roman"/>
                <w:color w:val="auto"/>
                <w:sz w:val="24"/>
                <w:szCs w:val="24"/>
                <w:highlight w:val="none"/>
                <w:lang w:val="en-US" w:eastAsia="zh-CN"/>
              </w:rPr>
              <w:t>等事故情况下，废气中各污染物未经处理排放，排放源强将增大。</w:t>
            </w:r>
            <w:r>
              <w:rPr>
                <w:rFonts w:hint="eastAsia" w:ascii="Times New Roman" w:hAnsi="Times New Roman" w:eastAsia="宋体" w:cs="Times New Roman"/>
                <w:color w:val="auto"/>
                <w:sz w:val="24"/>
                <w:szCs w:val="24"/>
                <w:highlight w:val="none"/>
                <w:lang w:val="zh-CN"/>
              </w:rPr>
              <w:t>项目</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废气收集治理措施的日常维护，定期更换</w:t>
            </w:r>
            <w:r>
              <w:rPr>
                <w:rFonts w:hint="eastAsia" w:cs="Times New Roman"/>
                <w:color w:val="auto"/>
                <w:sz w:val="24"/>
                <w:szCs w:val="24"/>
                <w:highlight w:val="none"/>
                <w:lang w:val="zh-CN"/>
              </w:rPr>
              <w:t>过滤材料</w:t>
            </w:r>
            <w:r>
              <w:rPr>
                <w:rFonts w:hint="eastAsia" w:ascii="Times New Roman" w:hAnsi="Times New Roman" w:eastAsia="宋体" w:cs="Times New Roman"/>
                <w:color w:val="auto"/>
                <w:sz w:val="24"/>
                <w:szCs w:val="24"/>
                <w:highlight w:val="none"/>
                <w:lang w:val="zh-CN"/>
              </w:rPr>
              <w:t>，在废气装置故障等</w:t>
            </w:r>
            <w:r>
              <w:rPr>
                <w:rFonts w:hint="eastAsia" w:cs="Times New Roman"/>
                <w:color w:val="auto"/>
                <w:sz w:val="24"/>
                <w:szCs w:val="24"/>
                <w:highlight w:val="none"/>
                <w:lang w:val="zh-CN"/>
              </w:rPr>
              <w:t>事故</w:t>
            </w:r>
            <w:r>
              <w:rPr>
                <w:rFonts w:hint="eastAsia" w:ascii="Times New Roman" w:hAnsi="Times New Roman" w:eastAsia="宋体" w:cs="Times New Roman"/>
                <w:color w:val="auto"/>
                <w:sz w:val="24"/>
                <w:szCs w:val="24"/>
                <w:highlight w:val="none"/>
                <w:lang w:val="zh-CN"/>
              </w:rPr>
              <w:t>情况下立即停止相关生产工段作业，待装置完成维修后</w:t>
            </w:r>
            <w:r>
              <w:rPr>
                <w:rFonts w:hint="eastAsia" w:cs="Times New Roman"/>
                <w:color w:val="auto"/>
                <w:sz w:val="24"/>
                <w:szCs w:val="24"/>
                <w:highlight w:val="none"/>
                <w:lang w:val="zh-CN"/>
              </w:rPr>
              <w:t>再</w:t>
            </w:r>
            <w:r>
              <w:rPr>
                <w:rFonts w:hint="eastAsia" w:ascii="Times New Roman" w:hAnsi="Times New Roman" w:eastAsia="宋体" w:cs="Times New Roman"/>
                <w:color w:val="auto"/>
                <w:sz w:val="24"/>
                <w:szCs w:val="24"/>
                <w:highlight w:val="none"/>
                <w:lang w:val="zh-CN"/>
              </w:rPr>
              <w:t>启动，可减少废气事故排放影响，对周边环境影响较小。</w:t>
            </w:r>
          </w:p>
          <w:p>
            <w:pPr>
              <w:spacing w:line="360" w:lineRule="auto"/>
              <w:ind w:firstLine="482" w:firstLineChars="200"/>
              <w:jc w:val="left"/>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w:t>
            </w: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zh-CN"/>
              </w:rPr>
              <w:t>）废水泄漏风险影响分析</w:t>
            </w:r>
          </w:p>
          <w:p>
            <w:pPr>
              <w:spacing w:line="360" w:lineRule="auto"/>
              <w:ind w:firstLine="480" w:firstLineChars="200"/>
              <w:jc w:val="left"/>
              <w:rPr>
                <w:rFonts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项目产生的生产废水经生产废水处理系统处理后全部回用，在</w:t>
            </w:r>
            <w:r>
              <w:rPr>
                <w:rFonts w:hint="eastAsia" w:ascii="Times New Roman" w:hAnsi="Times New Roman" w:eastAsia="宋体" w:cs="Times New Roman"/>
                <w:color w:val="auto"/>
                <w:sz w:val="24"/>
                <w:highlight w:val="none"/>
                <w:lang w:val="zh-CN" w:eastAsia="zh-CN"/>
              </w:rPr>
              <w:t>处理</w:t>
            </w:r>
            <w:r>
              <w:rPr>
                <w:rFonts w:hint="eastAsia" w:ascii="Times New Roman" w:hAnsi="Times New Roman" w:eastAsia="宋体" w:cs="Times New Roman"/>
                <w:color w:val="auto"/>
                <w:sz w:val="24"/>
                <w:highlight w:val="none"/>
                <w:lang w:val="zh-CN"/>
              </w:rPr>
              <w:t>过程中，若废水处理设施、管道破裂、人为操作失误等可能发生泄漏。项目生产废水</w:t>
            </w:r>
            <w:r>
              <w:rPr>
                <w:rFonts w:hint="eastAsia" w:cs="Times New Roman"/>
                <w:color w:val="auto"/>
                <w:sz w:val="24"/>
                <w:highlight w:val="none"/>
                <w:lang w:val="zh-CN"/>
              </w:rPr>
              <w:t>不含有毒有害和腐蚀性成分</w:t>
            </w:r>
            <w:r>
              <w:rPr>
                <w:rFonts w:hint="eastAsia" w:ascii="Times New Roman" w:hAnsi="Times New Roman" w:eastAsia="宋体" w:cs="Times New Roman"/>
                <w:color w:val="auto"/>
                <w:sz w:val="24"/>
                <w:highlight w:val="none"/>
                <w:lang w:val="zh-CN"/>
              </w:rPr>
              <w:t>，废水处理设施均硬化防渗，即使发生泄漏，通过及时收集，并对破裂处进行检修，影响较小。日常通过加强废水处理设施、管道检查，减少泄漏事故的发生。</w:t>
            </w:r>
          </w:p>
          <w:p>
            <w:pPr>
              <w:pStyle w:val="4"/>
              <w:bidi w:val="0"/>
              <w:rPr>
                <w:rFonts w:hint="default"/>
                <w:color w:val="auto"/>
                <w:lang w:val="en-US" w:eastAsia="zh-CN"/>
              </w:rPr>
            </w:pPr>
            <w:r>
              <w:rPr>
                <w:rFonts w:hint="eastAsia"/>
                <w:color w:val="auto"/>
                <w:lang w:val="en-US" w:eastAsia="zh-CN"/>
              </w:rPr>
              <w:t xml:space="preserve">4.7.5 </w:t>
            </w:r>
            <w:r>
              <w:rPr>
                <w:rFonts w:hint="default"/>
                <w:color w:val="auto"/>
                <w:lang w:val="en-US" w:eastAsia="zh-CN"/>
              </w:rPr>
              <w:t>环境风险防范措施</w:t>
            </w:r>
          </w:p>
          <w:p>
            <w:pPr>
              <w:spacing w:line="360" w:lineRule="auto"/>
              <w:ind w:firstLine="480" w:firstLineChars="200"/>
              <w:jc w:val="left"/>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szCs w:val="24"/>
                <w:highlight w:val="none"/>
              </w:rPr>
              <w:t>风险事故</w:t>
            </w:r>
            <w:r>
              <w:rPr>
                <w:rFonts w:ascii="Times New Roman" w:hAnsi="Times New Roman" w:eastAsia="宋体"/>
                <w:color w:val="auto"/>
                <w:sz w:val="24"/>
                <w:szCs w:val="24"/>
                <w:highlight w:val="none"/>
                <w:lang w:val="zh-CN"/>
              </w:rPr>
              <w:t>对周边环境造成影响，应严格按照相关要求进行设计与施工，同时项目还应加强安全管理。</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（1）废气事故排放</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定期对废气处理设施从设备到运输管道进行检修，发现问题及时解决。</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w:t>
            </w:r>
            <w:r>
              <w:rPr>
                <w:rFonts w:hint="eastAsia" w:ascii="Times New Roman" w:hAnsi="Times New Roman" w:eastAsia="宋体" w:cs="Times New Roman"/>
                <w:color w:val="auto"/>
                <w:kern w:val="0"/>
                <w:sz w:val="24"/>
                <w:szCs w:val="24"/>
                <w:highlight w:val="none"/>
                <w:u w:val="none"/>
                <w:lang w:val="en-US" w:eastAsia="zh-CN"/>
              </w:rPr>
              <w:t>各生产岗位制定严格的操作规程和注意事项，车间工人需熟悉工作流程，严格按操作规程进行运行控制，防止操作失误导致废气事故排放。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宋体" w:cs="Times New Roman"/>
                <w:color w:val="auto"/>
                <w:kern w:val="0"/>
                <w:sz w:val="24"/>
                <w:szCs w:val="24"/>
                <w:highlight w:val="none"/>
                <w:u w:val="none"/>
                <w:lang w:val="en-US" w:eastAsia="zh-CN"/>
              </w:rPr>
              <w:t>③</w:t>
            </w:r>
            <w:r>
              <w:rPr>
                <w:rFonts w:hint="eastAsia" w:ascii="Times New Roman" w:hAnsi="Times New Roman" w:eastAsia="宋体" w:cs="Times New Roman"/>
                <w:color w:val="auto"/>
                <w:kern w:val="0"/>
                <w:sz w:val="24"/>
                <w:szCs w:val="24"/>
                <w:highlight w:val="none"/>
                <w:u w:val="none"/>
                <w:lang w:val="en-US" w:eastAsia="zh-CN"/>
              </w:rPr>
              <w:t>定期更换过滤</w:t>
            </w:r>
            <w:r>
              <w:rPr>
                <w:rFonts w:hint="eastAsia" w:cs="Times New Roman"/>
                <w:color w:val="auto"/>
                <w:kern w:val="0"/>
                <w:sz w:val="24"/>
                <w:szCs w:val="24"/>
                <w:highlight w:val="none"/>
                <w:u w:val="none"/>
                <w:lang w:val="en-US" w:eastAsia="zh-CN"/>
              </w:rPr>
              <w:t>材料</w:t>
            </w:r>
            <w:r>
              <w:rPr>
                <w:rFonts w:hint="eastAsia" w:ascii="Times New Roman" w:hAnsi="Times New Roman" w:eastAsia="宋体" w:cs="Times New Roman"/>
                <w:color w:val="auto"/>
                <w:kern w:val="0"/>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按废气自行监测要求，定期委托有资质单位进行检测。</w:t>
            </w:r>
          </w:p>
          <w:p>
            <w:pPr>
              <w:autoSpaceDE w:val="0"/>
              <w:autoSpaceDN w:val="0"/>
              <w:adjustRightInd w:val="0"/>
              <w:spacing w:line="360" w:lineRule="auto"/>
              <w:ind w:firstLine="482" w:firstLineChars="200"/>
              <w:jc w:val="both"/>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2）废水事故排放风险防范措施</w:t>
            </w:r>
          </w:p>
          <w:p>
            <w:pPr>
              <w:autoSpaceDE w:val="0"/>
              <w:autoSpaceDN w:val="0"/>
              <w:adjustRightInd w:val="0"/>
              <w:spacing w:line="360" w:lineRule="auto"/>
              <w:ind w:firstLine="480" w:firstLineChars="200"/>
              <w:jc w:val="both"/>
              <w:rPr>
                <w:rFonts w:hint="eastAsia" w:ascii="Times New Roman" w:hAnsi="Times New Roman" w:eastAsia="宋体"/>
                <w:color w:val="auto"/>
                <w:sz w:val="24"/>
              </w:rPr>
            </w:pPr>
            <w:r>
              <w:rPr>
                <w:rFonts w:hint="eastAsia" w:ascii="Times New Roman" w:hAnsi="Times New Roman" w:eastAsia="宋体"/>
                <w:color w:val="auto"/>
                <w:sz w:val="24"/>
              </w:rPr>
              <w:t>①定期对</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rPr>
              <w:t>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w:t>
            </w:r>
            <w:r>
              <w:rPr>
                <w:rFonts w:hint="eastAsia" w:ascii="Times New Roman" w:hAnsi="Times New Roman" w:eastAsia="宋体"/>
                <w:color w:val="auto"/>
                <w:sz w:val="24"/>
              </w:rPr>
              <w:t>进行检查和维修。废水处理站各构筑物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废水管道按防渗要求建设。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eastAsia" w:ascii="Times New Roman" w:hAnsi="Times New Roman" w:eastAsia="宋体"/>
                <w:color w:val="auto"/>
                <w:sz w:val="24"/>
              </w:rPr>
              <w:t>②</w:t>
            </w:r>
            <w:r>
              <w:rPr>
                <w:rFonts w:hint="eastAsia" w:ascii="Times New Roman" w:hAnsi="Times New Roman" w:eastAsia="宋体"/>
                <w:color w:val="auto"/>
                <w:sz w:val="24"/>
                <w:lang w:val="en-US" w:eastAsia="zh-CN"/>
              </w:rPr>
              <w:t>生产废水</w:t>
            </w:r>
            <w:r>
              <w:rPr>
                <w:rFonts w:hint="eastAsia" w:ascii="Times New Roman" w:hAnsi="Times New Roman" w:eastAsia="宋体"/>
                <w:color w:val="auto"/>
                <w:sz w:val="24"/>
              </w:rPr>
              <w:t>严禁偷排、漏排现象，</w:t>
            </w:r>
            <w:r>
              <w:rPr>
                <w:rFonts w:hint="eastAsia" w:ascii="Times New Roman" w:hAnsi="Times New Roman" w:eastAsia="宋体"/>
                <w:color w:val="auto"/>
                <w:sz w:val="24"/>
                <w:lang w:val="en-US" w:eastAsia="zh-CN"/>
              </w:rPr>
              <w:t>应</w:t>
            </w:r>
            <w:r>
              <w:rPr>
                <w:rFonts w:hint="eastAsia" w:ascii="Times New Roman" w:hAnsi="Times New Roman" w:eastAsia="宋体"/>
                <w:color w:val="auto"/>
                <w:sz w:val="24"/>
              </w:rPr>
              <w:t>经处理后</w:t>
            </w:r>
            <w:r>
              <w:rPr>
                <w:rFonts w:hint="eastAsia" w:ascii="Times New Roman" w:hAnsi="Times New Roman" w:eastAsia="宋体"/>
                <w:color w:val="auto"/>
                <w:sz w:val="24"/>
                <w:lang w:eastAsia="zh-CN"/>
              </w:rPr>
              <w:t>全部回用</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lang w:val="en-US" w:eastAsia="zh-CN"/>
              </w:rPr>
              <w:t>进出口设置阀门控制。</w:t>
            </w:r>
          </w:p>
          <w:p>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rPr>
              <w:t>③项目应急物资仓库应储备堵漏工具及物资</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如抽水泵、沙袋等</w:t>
            </w:r>
            <w:r>
              <w:rPr>
                <w:rFonts w:hint="eastAsia" w:ascii="Times New Roman" w:hAnsi="Times New Roman" w:eastAsia="宋体"/>
                <w:color w:val="auto"/>
                <w:sz w:val="24"/>
                <w:lang w:eastAsia="zh-CN"/>
              </w:rPr>
              <w:t>）。</w:t>
            </w:r>
          </w:p>
          <w:p>
            <w:pPr>
              <w:autoSpaceDE w:val="0"/>
              <w:autoSpaceDN w:val="0"/>
              <w:adjustRightIn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b/>
                <w:bCs/>
                <w:color w:val="auto"/>
                <w:sz w:val="24"/>
                <w:szCs w:val="24"/>
                <w:highlight w:val="none"/>
                <w:lang w:eastAsia="zh-CN"/>
              </w:rPr>
              <w:t>（</w:t>
            </w:r>
            <w:r>
              <w:rPr>
                <w:rFonts w:hint="eastAsia"/>
                <w:b/>
                <w:bCs/>
                <w:color w:val="auto"/>
                <w:sz w:val="24"/>
                <w:szCs w:val="24"/>
                <w:highlight w:val="none"/>
                <w:lang w:val="en-US" w:eastAsia="zh-CN"/>
              </w:rPr>
              <w:t>3</w:t>
            </w:r>
            <w:r>
              <w:rPr>
                <w:rFonts w:hint="eastAsia" w:ascii="Times New Roman" w:hAnsi="Times New Roman" w:eastAsia="宋体"/>
                <w:b/>
                <w:bCs/>
                <w:color w:val="auto"/>
                <w:sz w:val="24"/>
                <w:szCs w:val="24"/>
                <w:highlight w:val="none"/>
                <w:lang w:val="en-US" w:eastAsia="zh-CN"/>
              </w:rPr>
              <w:t>）</w:t>
            </w:r>
            <w:r>
              <w:rPr>
                <w:rFonts w:hint="eastAsia" w:ascii="Times New Roman" w:hAnsi="Times New Roman" w:eastAsia="宋体" w:cs="Times New Roman"/>
                <w:b/>
                <w:bCs/>
                <w:color w:val="auto"/>
                <w:kern w:val="0"/>
                <w:sz w:val="24"/>
                <w:szCs w:val="24"/>
                <w:highlight w:val="none"/>
                <w:u w:val="none"/>
                <w:lang w:val="en-US" w:eastAsia="zh-CN"/>
              </w:rPr>
              <w:t>危险废物泄漏</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危险废物</w:t>
            </w:r>
            <w:r>
              <w:rPr>
                <w:rFonts w:hint="eastAsia" w:cs="Times New Roman"/>
                <w:color w:val="auto"/>
                <w:kern w:val="0"/>
                <w:sz w:val="24"/>
                <w:szCs w:val="24"/>
                <w:highlight w:val="none"/>
                <w:u w:val="none"/>
                <w:lang w:val="en-US" w:eastAsia="zh-CN"/>
              </w:rPr>
              <w:t>贮存</w:t>
            </w:r>
            <w:r>
              <w:rPr>
                <w:rFonts w:hint="eastAsia" w:ascii="Times New Roman" w:hAnsi="Times New Roman" w:eastAsia="宋体" w:cs="Times New Roman"/>
                <w:color w:val="auto"/>
                <w:kern w:val="0"/>
                <w:sz w:val="24"/>
                <w:szCs w:val="24"/>
                <w:highlight w:val="none"/>
                <w:u w:val="none"/>
                <w:lang w:val="en-US" w:eastAsia="zh-CN"/>
              </w:rPr>
              <w:t>间应按照《危险废物贮存污染控制标准》（GB 18597-2023）要求建设，</w:t>
            </w:r>
            <w:r>
              <w:rPr>
                <w:rFonts w:hint="default" w:ascii="Times New Roman" w:hAnsi="Times New Roman" w:eastAsia="宋体" w:cs="Times New Roman"/>
                <w:color w:val="auto"/>
                <w:sz w:val="24"/>
                <w:szCs w:val="24"/>
                <w:highlight w:val="none"/>
                <w:lang w:val="en-US" w:eastAsia="zh-CN"/>
              </w:rPr>
              <w:t>具备防风、防雨、防晒、</w:t>
            </w:r>
            <w:r>
              <w:rPr>
                <w:rFonts w:hint="eastAsia" w:ascii="Times New Roman" w:hAnsi="Times New Roman" w:eastAsia="宋体" w:cs="Times New Roman"/>
                <w:color w:val="auto"/>
                <w:sz w:val="24"/>
                <w:szCs w:val="24"/>
                <w:highlight w:val="none"/>
                <w:lang w:val="en-US" w:eastAsia="zh-CN"/>
              </w:rPr>
              <w:t>防渗漏措施，</w:t>
            </w:r>
            <w:r>
              <w:rPr>
                <w:rFonts w:hint="eastAsia" w:ascii="Times New Roman" w:hAnsi="Times New Roman" w:eastAsia="宋体" w:cs="Times New Roman"/>
                <w:color w:val="auto"/>
                <w:kern w:val="0"/>
                <w:sz w:val="24"/>
                <w:szCs w:val="24"/>
                <w:highlight w:val="none"/>
                <w:u w:val="none"/>
                <w:lang w:val="en-US" w:eastAsia="zh-CN"/>
              </w:rPr>
              <w:t>液态容器底部设置防渗托盘防渗。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②设置警示标识等</w:t>
            </w:r>
            <w:r>
              <w:rPr>
                <w:rFonts w:hint="eastAsia" w:ascii="Times New Roman" w:hAnsi="Times New Roman" w:eastAsia="宋体" w:cs="Times New Roman"/>
                <w:color w:val="auto"/>
                <w:kern w:val="0"/>
                <w:sz w:val="24"/>
                <w:szCs w:val="24"/>
                <w:highlight w:val="none"/>
                <w:u w:val="none"/>
                <w:lang w:val="en-US" w:eastAsia="zh-CN"/>
              </w:rPr>
              <w:t>。设置专人管理；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③危险废物</w:t>
            </w:r>
            <w:r>
              <w:rPr>
                <w:rFonts w:hint="eastAsia" w:cs="Times New Roman"/>
                <w:color w:val="auto"/>
                <w:kern w:val="0"/>
                <w:sz w:val="24"/>
                <w:szCs w:val="24"/>
                <w:highlight w:val="none"/>
                <w:u w:val="none"/>
                <w:lang w:val="en-US" w:eastAsia="zh-CN"/>
              </w:rPr>
              <w:t>贮存库</w:t>
            </w:r>
            <w:r>
              <w:rPr>
                <w:rFonts w:hint="default" w:ascii="Times New Roman" w:hAnsi="Times New Roman" w:eastAsia="宋体" w:cs="Times New Roman"/>
                <w:color w:val="auto"/>
                <w:kern w:val="0"/>
                <w:sz w:val="24"/>
                <w:szCs w:val="24"/>
                <w:highlight w:val="none"/>
                <w:u w:val="none"/>
                <w:lang w:val="en-US" w:eastAsia="zh-CN"/>
              </w:rPr>
              <w:t>严禁明火，严格遵守操作规程，避免因操作失误发生事故</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④</w:t>
            </w:r>
            <w:r>
              <w:rPr>
                <w:rFonts w:hint="default" w:ascii="Times New Roman" w:hAnsi="Times New Roman" w:eastAsia="宋体" w:cs="Times New Roman"/>
                <w:color w:val="auto"/>
                <w:kern w:val="0"/>
                <w:sz w:val="24"/>
                <w:szCs w:val="24"/>
                <w:highlight w:val="none"/>
                <w:u w:val="none"/>
                <w:lang w:val="en-US" w:eastAsia="zh-CN"/>
              </w:rPr>
              <w:t>贮存所内配备通讯设备、照明设备、安全防护服装及工具，并有应急防护措施；配备相应的堵漏材料</w:t>
            </w:r>
            <w:r>
              <w:rPr>
                <w:rFonts w:hint="eastAsia"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eastAsia="宋体" w:cs="Times New Roman"/>
                <w:color w:val="auto"/>
                <w:kern w:val="0"/>
                <w:sz w:val="24"/>
                <w:szCs w:val="24"/>
                <w:highlight w:val="none"/>
                <w:u w:val="none"/>
                <w:lang w:val="en-US" w:eastAsia="zh-CN"/>
              </w:rPr>
              <w:t>沙袋、吸油毡等</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④根据</w:t>
            </w:r>
            <w:r>
              <w:rPr>
                <w:rFonts w:hint="eastAsia" w:ascii="Times New Roman" w:hAnsi="Times New Roman" w:eastAsia="宋体" w:cs="Times New Roman"/>
                <w:color w:val="auto"/>
                <w:kern w:val="0"/>
                <w:sz w:val="24"/>
                <w:szCs w:val="24"/>
                <w:highlight w:val="none"/>
                <w:u w:val="none"/>
                <w:lang w:val="en-US" w:eastAsia="zh-CN"/>
              </w:rPr>
              <w:t>危险废物的</w:t>
            </w:r>
            <w:r>
              <w:rPr>
                <w:rFonts w:hint="default" w:ascii="Times New Roman" w:hAnsi="Times New Roman" w:eastAsia="宋体" w:cs="Times New Roman"/>
                <w:color w:val="auto"/>
                <w:kern w:val="0"/>
                <w:sz w:val="24"/>
                <w:szCs w:val="24"/>
                <w:highlight w:val="none"/>
                <w:u w:val="none"/>
                <w:lang w:val="en-US" w:eastAsia="zh-CN"/>
              </w:rPr>
              <w:t>特性</w:t>
            </w:r>
            <w:r>
              <w:rPr>
                <w:rFonts w:hint="eastAsia" w:ascii="Times New Roman" w:hAnsi="Times New Roman" w:eastAsia="宋体" w:cs="Times New Roman"/>
                <w:color w:val="auto"/>
                <w:kern w:val="0"/>
                <w:sz w:val="24"/>
                <w:szCs w:val="24"/>
                <w:highlight w:val="none"/>
                <w:u w:val="none"/>
                <w:lang w:val="en-US" w:eastAsia="zh-CN"/>
              </w:rPr>
              <w:t>进行</w:t>
            </w:r>
            <w:r>
              <w:rPr>
                <w:rFonts w:hint="default" w:ascii="Times New Roman" w:hAnsi="Times New Roman" w:eastAsia="宋体" w:cs="Times New Roman"/>
                <w:color w:val="auto"/>
                <w:kern w:val="0"/>
                <w:sz w:val="24"/>
                <w:szCs w:val="24"/>
                <w:highlight w:val="none"/>
                <w:u w:val="none"/>
                <w:lang w:val="en-US" w:eastAsia="zh-CN"/>
              </w:rPr>
              <w:t>分区、分类、分库贮存。各类</w:t>
            </w:r>
            <w:r>
              <w:rPr>
                <w:rFonts w:hint="eastAsia" w:ascii="Times New Roman" w:hAnsi="Times New Roman" w:eastAsia="宋体" w:cs="Times New Roman"/>
                <w:color w:val="auto"/>
                <w:kern w:val="0"/>
                <w:sz w:val="24"/>
                <w:szCs w:val="24"/>
                <w:highlight w:val="none"/>
                <w:u w:val="none"/>
                <w:lang w:val="en-US" w:eastAsia="zh-CN"/>
              </w:rPr>
              <w:t>危险废物等</w:t>
            </w:r>
            <w:r>
              <w:rPr>
                <w:rFonts w:hint="default" w:ascii="Times New Roman" w:hAnsi="Times New Roman" w:eastAsia="宋体" w:cs="Times New Roman"/>
                <w:color w:val="auto"/>
                <w:kern w:val="0"/>
                <w:sz w:val="24"/>
                <w:szCs w:val="24"/>
                <w:highlight w:val="none"/>
                <w:u w:val="none"/>
                <w:lang w:val="en-US" w:eastAsia="zh-CN"/>
              </w:rPr>
              <w:t>不得与禁忌化学品混合贮存</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⑥</w:t>
            </w:r>
            <w:r>
              <w:rPr>
                <w:rFonts w:hint="eastAsia" w:ascii="Times New Roman" w:hAnsi="Times New Roman" w:eastAsia="宋体" w:cs="Times New Roman"/>
                <w:color w:val="auto"/>
                <w:kern w:val="0"/>
                <w:sz w:val="24"/>
                <w:szCs w:val="24"/>
                <w:highlight w:val="none"/>
                <w:u w:val="none"/>
                <w:lang w:val="en-US" w:eastAsia="zh-CN"/>
              </w:rPr>
              <w:t>制定危险废物管理计划及建立危废台账，加强危险废物管理；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⑦及时对危险废物委托资质单位清运处置，对储存容器定期检查，对破损容器及时更换，同时对危废间防渗层定期检查，对破损防渗层进行修补。</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w:t>
            </w:r>
            <w:r>
              <w:rPr>
                <w:rFonts w:hint="eastAsia" w:cs="Times New Roman"/>
                <w:b/>
                <w:bCs/>
                <w:color w:val="auto"/>
                <w:kern w:val="0"/>
                <w:sz w:val="24"/>
                <w:szCs w:val="24"/>
                <w:highlight w:val="none"/>
                <w:u w:val="none"/>
                <w:lang w:val="en-US" w:eastAsia="zh-CN"/>
              </w:rPr>
              <w:t>4</w:t>
            </w:r>
            <w:r>
              <w:rPr>
                <w:rFonts w:hint="eastAsia" w:ascii="Times New Roman" w:hAnsi="Times New Roman" w:eastAsia="宋体" w:cs="Times New Roman"/>
                <w:b/>
                <w:bCs/>
                <w:color w:val="auto"/>
                <w:kern w:val="0"/>
                <w:sz w:val="24"/>
                <w:szCs w:val="24"/>
                <w:highlight w:val="none"/>
                <w:u w:val="none"/>
                <w:lang w:val="en-US" w:eastAsia="zh-CN"/>
              </w:rPr>
              <w:t>）</w:t>
            </w:r>
            <w:r>
              <w:rPr>
                <w:rFonts w:hint="default" w:ascii="Times New Roman" w:hAnsi="Times New Roman" w:eastAsia="宋体" w:cs="Times New Roman"/>
                <w:b/>
                <w:bCs/>
                <w:color w:val="auto"/>
                <w:kern w:val="0"/>
                <w:sz w:val="24"/>
                <w:szCs w:val="24"/>
                <w:highlight w:val="none"/>
                <w:u w:val="none"/>
                <w:lang w:val="en-US" w:eastAsia="zh-CN"/>
              </w:rPr>
              <w:t>火灾事故风险防范措施</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①加强消防设施和灭火器材的配备，严格落实有关消防技术规范的规定，加强人员疏散设施管理，保证疏散通道畅通。</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②定期进行防火安全检查，确保消防设施完整好用。</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③</w:t>
            </w:r>
            <w:r>
              <w:rPr>
                <w:rFonts w:hint="default" w:ascii="Times New Roman" w:hAnsi="Times New Roman" w:eastAsia="宋体" w:cs="Times New Roman"/>
                <w:bCs/>
                <w:color w:val="auto"/>
                <w:sz w:val="24"/>
                <w:szCs w:val="24"/>
                <w:highlight w:val="none"/>
                <w:u w:val="none"/>
              </w:rPr>
              <w:t>公司要求职工应遵守各项规章制度，杜绝“三违”</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违章作业、违章指挥、违反劳动纪律</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，作业时要遵守各项规定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如动火、高处作业、进入设备作业等规定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、要求，确保安全生产。</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eastAsia="zh-CN"/>
              </w:rPr>
            </w:pPr>
            <w:r>
              <w:rPr>
                <w:rFonts w:hint="default" w:ascii="Times New Roman" w:hAnsi="Times New Roman" w:eastAsia="宋体" w:cs="Times New Roman"/>
                <w:bCs/>
                <w:color w:val="auto"/>
                <w:sz w:val="24"/>
                <w:szCs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szCs w:val="24"/>
                <w:highlight w:val="none"/>
                <w:u w:val="none"/>
                <w:lang w:eastAsia="zh-CN"/>
              </w:rPr>
              <w:t>车间</w:t>
            </w:r>
            <w:r>
              <w:rPr>
                <w:rFonts w:hint="default" w:ascii="Times New Roman" w:hAnsi="Times New Roman" w:eastAsia="宋体" w:cs="Times New Roman"/>
                <w:bCs/>
                <w:color w:val="auto"/>
                <w:sz w:val="24"/>
                <w:szCs w:val="24"/>
                <w:highlight w:val="none"/>
                <w:u w:val="none"/>
              </w:rPr>
              <w:t>内</w:t>
            </w:r>
            <w:r>
              <w:rPr>
                <w:rFonts w:hint="eastAsia" w:cs="Times New Roman"/>
                <w:bCs/>
                <w:color w:val="auto"/>
                <w:sz w:val="24"/>
                <w:szCs w:val="24"/>
                <w:highlight w:val="none"/>
                <w:u w:val="none"/>
                <w:lang w:eastAsia="zh-CN"/>
              </w:rPr>
              <w:t>、</w:t>
            </w:r>
            <w:r>
              <w:rPr>
                <w:rFonts w:hint="eastAsia" w:ascii="Times New Roman" w:hAnsi="Times New Roman" w:eastAsia="宋体" w:cs="Times New Roman"/>
                <w:bCs/>
                <w:color w:val="auto"/>
                <w:sz w:val="24"/>
                <w:szCs w:val="24"/>
                <w:highlight w:val="none"/>
                <w:u w:val="none"/>
                <w:lang w:val="en-US" w:eastAsia="zh-CN"/>
              </w:rPr>
              <w:t>仓库内、固废</w:t>
            </w:r>
            <w:r>
              <w:rPr>
                <w:rFonts w:hint="eastAsia" w:cs="Times New Roman"/>
                <w:bCs/>
                <w:color w:val="auto"/>
                <w:sz w:val="24"/>
                <w:szCs w:val="24"/>
                <w:highlight w:val="none"/>
                <w:u w:val="none"/>
                <w:lang w:val="en-US" w:eastAsia="zh-CN"/>
              </w:rPr>
              <w:t>贮存库</w:t>
            </w:r>
            <w:r>
              <w:rPr>
                <w:rFonts w:hint="default" w:ascii="Times New Roman" w:hAnsi="Times New Roman" w:eastAsia="宋体" w:cs="Times New Roman"/>
                <w:bCs/>
                <w:color w:val="auto"/>
                <w:sz w:val="24"/>
                <w:szCs w:val="24"/>
                <w:highlight w:val="none"/>
                <w:u w:val="none"/>
              </w:rPr>
              <w:t>严禁烟火，按要求设置防火标志</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严格动火审批制度，进料车辆必须戴阻火器</w:t>
            </w:r>
            <w:r>
              <w:rPr>
                <w:rFonts w:hint="eastAsia" w:ascii="Times New Roman" w:hAnsi="Times New Roman" w:eastAsia="宋体" w:cs="Times New Roman"/>
                <w:bCs/>
                <w:color w:val="auto"/>
                <w:sz w:val="24"/>
                <w:szCs w:val="24"/>
                <w:highlight w:val="none"/>
                <w:u w:val="none"/>
                <w:lang w:eastAsia="zh-CN"/>
              </w:rPr>
              <w:t>。</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bCs/>
                <w:color w:val="auto"/>
                <w:sz w:val="24"/>
                <w:szCs w:val="24"/>
                <w:highlight w:val="none"/>
                <w:u w:val="none"/>
              </w:rPr>
              <w:t>⑤</w:t>
            </w:r>
            <w:r>
              <w:rPr>
                <w:rFonts w:hint="eastAsia" w:ascii="Times New Roman" w:hAnsi="Times New Roman" w:eastAsia="宋体" w:cs="Times New Roman"/>
                <w:bCs/>
                <w:color w:val="auto"/>
                <w:sz w:val="24"/>
                <w:szCs w:val="24"/>
                <w:highlight w:val="none"/>
                <w:u w:val="none"/>
                <w:lang w:val="en-US" w:eastAsia="zh-CN"/>
              </w:rPr>
              <w:t>危险废物</w:t>
            </w:r>
            <w:r>
              <w:rPr>
                <w:rFonts w:hint="eastAsia" w:cs="Times New Roman"/>
                <w:bCs/>
                <w:color w:val="auto"/>
                <w:sz w:val="24"/>
                <w:szCs w:val="24"/>
                <w:highlight w:val="none"/>
                <w:u w:val="none"/>
                <w:lang w:val="en-US" w:eastAsia="zh-CN"/>
              </w:rPr>
              <w:t>贮存库按规定</w:t>
            </w:r>
            <w:r>
              <w:rPr>
                <w:rFonts w:hint="eastAsia" w:ascii="Times New Roman" w:hAnsi="Times New Roman" w:eastAsia="宋体" w:cs="Times New Roman"/>
                <w:bCs/>
                <w:color w:val="auto"/>
                <w:sz w:val="24"/>
                <w:szCs w:val="24"/>
                <w:highlight w:val="none"/>
                <w:u w:val="none"/>
                <w:lang w:val="en-US" w:eastAsia="zh-CN"/>
              </w:rPr>
              <w:t>设置防火装置、通讯设备、照明设施、安全防护装置等。</w:t>
            </w: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7.6 事故应急池设置</w:t>
            </w:r>
          </w:p>
          <w:p>
            <w:pPr>
              <w:bidi w:val="0"/>
              <w:rPr>
                <w:rFonts w:hint="default"/>
                <w:color w:val="auto"/>
                <w:lang w:val="en-US" w:eastAsia="zh-CN"/>
              </w:rPr>
            </w:pPr>
            <w:r>
              <w:rPr>
                <w:rFonts w:hint="default"/>
                <w:color w:val="auto"/>
                <w:lang w:val="en-US" w:eastAsia="zh-CN"/>
              </w:rPr>
              <w:t>项目生产废水处理系统采用</w:t>
            </w:r>
            <w:r>
              <w:rPr>
                <w:rFonts w:hint="eastAsia"/>
                <w:color w:val="auto"/>
                <w:lang w:val="en-US" w:eastAsia="zh-CN"/>
              </w:rPr>
              <w:t>斜坡</w:t>
            </w:r>
            <w:r>
              <w:rPr>
                <w:rFonts w:hint="default"/>
                <w:color w:val="auto"/>
                <w:lang w:val="en-US" w:eastAsia="zh-CN"/>
              </w:rPr>
              <w:t>沉淀</w:t>
            </w:r>
            <w:r>
              <w:rPr>
                <w:rFonts w:hint="eastAsia"/>
                <w:color w:val="auto"/>
                <w:lang w:val="en-US" w:eastAsia="zh-CN"/>
              </w:rPr>
              <w:t>池，共设3座</w:t>
            </w:r>
            <w:r>
              <w:rPr>
                <w:rFonts w:hint="default"/>
                <w:color w:val="auto"/>
                <w:lang w:val="en-US" w:eastAsia="zh-CN"/>
              </w:rPr>
              <w:t>，事故时一般为单池故障，</w:t>
            </w:r>
            <w:r>
              <w:rPr>
                <w:rFonts w:hint="eastAsia"/>
                <w:color w:val="auto"/>
                <w:lang w:val="en-US" w:eastAsia="zh-CN"/>
              </w:rPr>
              <w:t>故障时可通过阀门停止进水，故障池</w:t>
            </w:r>
            <w:r>
              <w:rPr>
                <w:rFonts w:hint="default"/>
                <w:color w:val="auto"/>
                <w:lang w:val="en-US" w:eastAsia="zh-CN"/>
              </w:rPr>
              <w:t>生产废水可在其他沉淀池中转移暂存，不需进入</w:t>
            </w:r>
            <w:r>
              <w:rPr>
                <w:rFonts w:hint="eastAsia"/>
                <w:color w:val="auto"/>
                <w:lang w:val="en-US" w:eastAsia="zh-CN"/>
              </w:rPr>
              <w:t>应急</w:t>
            </w:r>
            <w:r>
              <w:rPr>
                <w:rFonts w:hint="default"/>
                <w:color w:val="auto"/>
                <w:lang w:val="en-US" w:eastAsia="zh-CN"/>
              </w:rPr>
              <w:t>收集系统</w:t>
            </w:r>
            <w:r>
              <w:rPr>
                <w:rFonts w:hint="eastAsia"/>
                <w:color w:val="auto"/>
                <w:lang w:val="en-US" w:eastAsia="zh-CN"/>
              </w:rPr>
              <w:t>。</w:t>
            </w:r>
          </w:p>
          <w:p>
            <w:pPr>
              <w:bidi w:val="0"/>
              <w:rPr>
                <w:rFonts w:hint="default"/>
                <w:color w:val="auto"/>
                <w:lang w:val="en-US" w:eastAsia="zh-CN"/>
              </w:rPr>
            </w:pPr>
            <w:r>
              <w:rPr>
                <w:rFonts w:hint="default"/>
                <w:color w:val="auto"/>
                <w:lang w:val="en-US" w:eastAsia="zh-CN"/>
              </w:rPr>
              <w:t>废矿物油燃烧产生二氧化碳、一氧化碳、烟尘等废气，对周边空气造成污染。根据油类物质的理化性质，其火灾事故主要采用二氧化碳灭火器、干粉灭火器进行灭火处理，不宜采用水灭火</w:t>
            </w:r>
            <w:r>
              <w:rPr>
                <w:rFonts w:hint="eastAsia"/>
                <w:color w:val="auto"/>
                <w:lang w:val="en-US" w:eastAsia="zh-CN"/>
              </w:rPr>
              <w:t>。</w:t>
            </w:r>
            <w:r>
              <w:rPr>
                <w:rFonts w:hint="default"/>
                <w:color w:val="auto"/>
                <w:lang w:val="en-US" w:eastAsia="zh-CN"/>
              </w:rPr>
              <w:t>因此</w:t>
            </w:r>
            <w:r>
              <w:rPr>
                <w:rFonts w:hint="eastAsia"/>
                <w:color w:val="auto"/>
                <w:lang w:val="en-US" w:eastAsia="zh-CN"/>
              </w:rPr>
              <w:t>项目</w:t>
            </w:r>
            <w:r>
              <w:rPr>
                <w:rFonts w:hint="default"/>
                <w:color w:val="auto"/>
                <w:lang w:val="en-US" w:eastAsia="zh-CN"/>
              </w:rPr>
              <w:t>无消防废水产生。</w:t>
            </w:r>
          </w:p>
          <w:p>
            <w:pPr>
              <w:bidi w:val="0"/>
              <w:rPr>
                <w:rFonts w:hint="default"/>
                <w:color w:val="auto"/>
                <w:lang w:val="en-US" w:eastAsia="zh-CN"/>
              </w:rPr>
            </w:pPr>
            <w:r>
              <w:rPr>
                <w:rFonts w:hint="eastAsia"/>
                <w:color w:val="auto"/>
                <w:lang w:val="en-US" w:eastAsia="zh-CN"/>
              </w:rPr>
              <w:t>因此，项目不需设置事故应急池。</w:t>
            </w:r>
          </w:p>
          <w:p>
            <w:pPr>
              <w:pStyle w:val="4"/>
              <w:bidi w:val="0"/>
              <w:rPr>
                <w:rFonts w:hint="default"/>
                <w:color w:val="auto"/>
                <w:lang w:val="en-US" w:eastAsia="zh-CN"/>
              </w:rPr>
            </w:pPr>
            <w:r>
              <w:rPr>
                <w:rFonts w:hint="eastAsia"/>
                <w:color w:val="auto"/>
                <w:lang w:val="en-US" w:eastAsia="zh-CN"/>
              </w:rPr>
              <w:t>4.7.7 风险分析结论</w:t>
            </w:r>
          </w:p>
          <w:p>
            <w:pPr>
              <w:bidi w:val="0"/>
              <w:rPr>
                <w:rFonts w:hint="default"/>
                <w:color w:val="auto"/>
                <w:lang w:val="en-US" w:eastAsia="zh-CN"/>
              </w:rPr>
            </w:pPr>
            <w:r>
              <w:rPr>
                <w:rFonts w:hint="default"/>
                <w:color w:val="auto"/>
                <w:lang w:val="en-US" w:eastAsia="zh-CN"/>
              </w:rPr>
              <w:t>本项目在配备相应的应急物资，加强厂区防火管理，加强环保设施运行维护，完善事故风险防范措施的前提下，事故发生概率低，本项目环境风险在可接受的范围内。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表4.</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-3 项目环境风险简单分析内容表</w:t>
            </w:r>
          </w:p>
          <w:tbl>
            <w:tblPr>
              <w:tblStyle w:val="20"/>
              <w:tblW w:w="4998" w:type="pct"/>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9"/>
              <w:gridCol w:w="2541"/>
              <w:gridCol w:w="435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31"/>
                    <w:bidi w:val="0"/>
                    <w:rPr>
                      <w:color w:val="auto"/>
                    </w:rPr>
                  </w:pPr>
                  <w:r>
                    <w:rPr>
                      <w:color w:val="auto"/>
                    </w:rPr>
                    <w:t>建设项目名称</w:t>
                  </w:r>
                </w:p>
              </w:tc>
              <w:tc>
                <w:tcPr>
                  <w:tcW w:w="4249" w:type="pct"/>
                  <w:gridSpan w:val="2"/>
                  <w:tcBorders>
                    <w:tl2br w:val="nil"/>
                    <w:tr2bl w:val="nil"/>
                  </w:tcBorders>
                  <w:noWrap w:val="0"/>
                  <w:vAlign w:val="center"/>
                </w:tcPr>
                <w:p>
                  <w:pPr>
                    <w:pStyle w:val="31"/>
                    <w:bidi w:val="0"/>
                    <w:rPr>
                      <w:color w:val="auto"/>
                    </w:rPr>
                  </w:pPr>
                  <w:r>
                    <w:rPr>
                      <w:rFonts w:hint="eastAsia"/>
                      <w:color w:val="auto"/>
                      <w:lang w:val="en-US" w:eastAsia="zh-CN"/>
                    </w:rPr>
                    <w:t>福建融瀚建材有限公司年加工预拌商品混凝土80万立方米、砼结构件20万立方米、年回收加工建筑垃圾60万立方米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31"/>
                    <w:bidi w:val="0"/>
                    <w:rPr>
                      <w:color w:val="auto"/>
                    </w:rPr>
                  </w:pPr>
                  <w:r>
                    <w:rPr>
                      <w:color w:val="auto"/>
                    </w:rPr>
                    <w:t>建设地点</w:t>
                  </w:r>
                </w:p>
              </w:tc>
              <w:tc>
                <w:tcPr>
                  <w:tcW w:w="4249" w:type="pct"/>
                  <w:gridSpan w:val="2"/>
                  <w:tcBorders>
                    <w:tl2br w:val="nil"/>
                    <w:tr2bl w:val="nil"/>
                  </w:tcBorders>
                  <w:noWrap w:val="0"/>
                  <w:vAlign w:val="center"/>
                </w:tcPr>
                <w:p>
                  <w:pPr>
                    <w:pStyle w:val="31"/>
                    <w:bidi w:val="0"/>
                    <w:rPr>
                      <w:color w:val="auto"/>
                    </w:rPr>
                  </w:pPr>
                  <w:r>
                    <w:rPr>
                      <w:rFonts w:hint="eastAsia"/>
                      <w:color w:val="auto"/>
                      <w:lang w:eastAsia="zh-CN"/>
                    </w:rPr>
                    <w:t>福建省福州市</w:t>
                  </w:r>
                  <w:r>
                    <w:rPr>
                      <w:rFonts w:hint="eastAsia"/>
                      <w:color w:val="auto"/>
                      <w:lang w:val="en-US" w:eastAsia="zh-CN"/>
                    </w:rPr>
                    <w:t>福清市海口镇南厝村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31"/>
                    <w:bidi w:val="0"/>
                    <w:rPr>
                      <w:color w:val="auto"/>
                    </w:rPr>
                  </w:pPr>
                  <w:r>
                    <w:rPr>
                      <w:color w:val="auto"/>
                    </w:rPr>
                    <w:t>地理坐标</w:t>
                  </w:r>
                </w:p>
              </w:tc>
              <w:tc>
                <w:tcPr>
                  <w:tcW w:w="4249" w:type="pct"/>
                  <w:gridSpan w:val="2"/>
                  <w:tcBorders>
                    <w:tl2br w:val="nil"/>
                    <w:tr2bl w:val="nil"/>
                  </w:tcBorders>
                  <w:noWrap w:val="0"/>
                  <w:vAlign w:val="center"/>
                </w:tcPr>
                <w:p>
                  <w:pPr>
                    <w:pStyle w:val="31"/>
                    <w:bidi w:val="0"/>
                    <w:rPr>
                      <w:color w:val="auto"/>
                    </w:rPr>
                  </w:pPr>
                  <w:r>
                    <w:rPr>
                      <w:rFonts w:hint="default" w:ascii="Times New Roman" w:hAnsi="Times New Roman" w:eastAsia="宋体" w:cs="Times New Roman"/>
                      <w:color w:val="auto"/>
                      <w:szCs w:val="21"/>
                      <w:lang w:eastAsia="zh-CN"/>
                    </w:rPr>
                    <w:t>经度：119°25'24.2</w:t>
                  </w:r>
                  <w:r>
                    <w:rPr>
                      <w:rFonts w:hint="eastAsia" w:cs="Times New Roman"/>
                      <w:color w:val="auto"/>
                      <w:szCs w:val="21"/>
                      <w:lang w:val="en-US" w:eastAsia="zh-CN"/>
                    </w:rPr>
                    <w:t>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纬度：25°39'40.92</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50" w:type="pct"/>
                  <w:vMerge w:val="restart"/>
                  <w:tcBorders>
                    <w:tl2br w:val="nil"/>
                    <w:tr2bl w:val="nil"/>
                  </w:tcBorders>
                  <w:noWrap w:val="0"/>
                  <w:vAlign w:val="center"/>
                </w:tcPr>
                <w:p>
                  <w:pPr>
                    <w:pStyle w:val="31"/>
                    <w:bidi w:val="0"/>
                    <w:rPr>
                      <w:color w:val="auto"/>
                    </w:rPr>
                  </w:pPr>
                  <w:r>
                    <w:rPr>
                      <w:color w:val="auto"/>
                    </w:rPr>
                    <w:t>主要危险物质及分布</w:t>
                  </w:r>
                </w:p>
              </w:tc>
              <w:tc>
                <w:tcPr>
                  <w:tcW w:w="1565" w:type="pct"/>
                  <w:tcBorders>
                    <w:tl2br w:val="nil"/>
                    <w:tr2bl w:val="nil"/>
                  </w:tcBorders>
                  <w:noWrap w:val="0"/>
                  <w:vAlign w:val="center"/>
                </w:tcPr>
                <w:p>
                  <w:pPr>
                    <w:pStyle w:val="31"/>
                    <w:bidi w:val="0"/>
                    <w:rPr>
                      <w:rFonts w:hint="eastAsia"/>
                      <w:color w:val="auto"/>
                      <w:lang w:eastAsia="zh-CN"/>
                    </w:rPr>
                  </w:pPr>
                  <w:r>
                    <w:rPr>
                      <w:rFonts w:hint="eastAsia"/>
                      <w:color w:val="auto"/>
                      <w:lang w:eastAsia="zh-CN"/>
                    </w:rPr>
                    <w:t>贮存位置</w:t>
                  </w:r>
                </w:p>
              </w:tc>
              <w:tc>
                <w:tcPr>
                  <w:tcW w:w="2683" w:type="pct"/>
                  <w:tcBorders>
                    <w:tl2br w:val="nil"/>
                    <w:tr2bl w:val="nil"/>
                  </w:tcBorders>
                  <w:noWrap w:val="0"/>
                  <w:vAlign w:val="center"/>
                </w:tcPr>
                <w:p>
                  <w:pPr>
                    <w:pStyle w:val="31"/>
                    <w:bidi w:val="0"/>
                    <w:rPr>
                      <w:color w:val="auto"/>
                    </w:rPr>
                  </w:pPr>
                  <w:r>
                    <w:rPr>
                      <w:rFonts w:hint="eastAsia"/>
                      <w:color w:val="auto"/>
                      <w:lang w:eastAsia="zh-CN"/>
                    </w:rPr>
                    <w:t>危险物质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50" w:type="pct"/>
                  <w:vMerge w:val="continue"/>
                  <w:tcBorders>
                    <w:tl2br w:val="nil"/>
                    <w:tr2bl w:val="nil"/>
                  </w:tcBorders>
                  <w:noWrap w:val="0"/>
                  <w:vAlign w:val="center"/>
                </w:tcPr>
                <w:p>
                  <w:pPr>
                    <w:pStyle w:val="31"/>
                    <w:bidi w:val="0"/>
                    <w:rPr>
                      <w:color w:val="auto"/>
                    </w:rPr>
                  </w:pPr>
                </w:p>
              </w:tc>
              <w:tc>
                <w:tcPr>
                  <w:tcW w:w="1565" w:type="pct"/>
                  <w:tcBorders>
                    <w:tl2br w:val="nil"/>
                    <w:tr2bl w:val="nil"/>
                  </w:tcBorders>
                  <w:noWrap w:val="0"/>
                  <w:vAlign w:val="center"/>
                </w:tcPr>
                <w:p>
                  <w:pPr>
                    <w:pStyle w:val="31"/>
                    <w:bidi w:val="0"/>
                    <w:rPr>
                      <w:rFonts w:hint="eastAsia"/>
                      <w:color w:val="auto"/>
                      <w:lang w:eastAsia="zh-CN"/>
                    </w:rPr>
                  </w:pPr>
                  <w:r>
                    <w:rPr>
                      <w:rFonts w:hint="eastAsia"/>
                      <w:color w:val="auto"/>
                      <w:lang w:eastAsia="zh-CN"/>
                    </w:rPr>
                    <w:t>危险废物贮存库</w:t>
                  </w:r>
                </w:p>
              </w:tc>
              <w:tc>
                <w:tcPr>
                  <w:tcW w:w="2683" w:type="pct"/>
                  <w:tcBorders>
                    <w:tl2br w:val="nil"/>
                    <w:tr2bl w:val="nil"/>
                  </w:tcBorders>
                  <w:noWrap w:val="0"/>
                  <w:vAlign w:val="center"/>
                </w:tcPr>
                <w:p>
                  <w:pPr>
                    <w:pStyle w:val="31"/>
                    <w:bidi w:val="0"/>
                    <w:rPr>
                      <w:rFonts w:hint="default"/>
                      <w:color w:val="auto"/>
                      <w:lang w:val="en-US" w:eastAsia="zh-CN"/>
                    </w:rPr>
                  </w:pPr>
                  <w:r>
                    <w:rPr>
                      <w:rFonts w:hint="eastAsia"/>
                      <w:color w:val="auto"/>
                      <w:lang w:val="en-US" w:eastAsia="zh-CN"/>
                    </w:rPr>
                    <w:t>废机油、废吸油毡、废油桶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31"/>
                    <w:bidi w:val="0"/>
                    <w:rPr>
                      <w:color w:val="auto"/>
                    </w:rPr>
                  </w:pPr>
                  <w:r>
                    <w:rPr>
                      <w:color w:val="auto"/>
                    </w:rPr>
                    <w:t>环境影响途径及危害后果</w:t>
                  </w:r>
                </w:p>
              </w:tc>
              <w:tc>
                <w:tcPr>
                  <w:tcW w:w="4249" w:type="pct"/>
                  <w:gridSpan w:val="2"/>
                  <w:tcBorders>
                    <w:tl2br w:val="nil"/>
                    <w:tr2bl w:val="nil"/>
                  </w:tcBorders>
                  <w:noWrap w:val="0"/>
                  <w:vAlign w:val="center"/>
                </w:tcPr>
                <w:p>
                  <w:pPr>
                    <w:pStyle w:val="31"/>
                    <w:bidi w:val="0"/>
                    <w:rPr>
                      <w:rFonts w:hint="eastAsia"/>
                      <w:color w:val="auto"/>
                    </w:rPr>
                  </w:pPr>
                  <w:r>
                    <w:rPr>
                      <w:rFonts w:hint="eastAsia"/>
                      <w:color w:val="auto"/>
                    </w:rPr>
                    <w:t>本项目</w:t>
                  </w:r>
                  <w:r>
                    <w:rPr>
                      <w:rFonts w:hint="eastAsia"/>
                      <w:color w:val="auto"/>
                      <w:lang w:eastAsia="zh-CN"/>
                    </w:rPr>
                    <w:t>危险单元生产废水污水处理系统，可能因故障、管道破裂、人为操作失误等导致废水事故排放，影响周边地表水体。危险废物贮存库可能发生因容器破裂等原因导致的危险废物泄漏事故，对周边土壤、地下水、地表水造成影响；废气处理设施故障可能导致废气事故排放，对周边大气环境造成影响；厂内危险废物贮存库等可能发生</w:t>
                  </w:r>
                  <w:r>
                    <w:rPr>
                      <w:rFonts w:hint="eastAsia"/>
                      <w:color w:val="auto"/>
                    </w:rPr>
                    <w:t>电线短路、静电火花</w:t>
                  </w:r>
                  <w:r>
                    <w:rPr>
                      <w:rFonts w:hint="eastAsia"/>
                      <w:color w:val="auto"/>
                      <w:lang w:eastAsia="zh-CN"/>
                    </w:rPr>
                    <w:t>，</w:t>
                  </w:r>
                  <w:r>
                    <w:rPr>
                      <w:rFonts w:hint="eastAsia"/>
                      <w:color w:val="auto"/>
                    </w:rPr>
                    <w:t>遇明火或高热等发生火灾事故及其次生/伴生事故，对周边环境造成的影响。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31"/>
                    <w:bidi w:val="0"/>
                    <w:rPr>
                      <w:color w:val="auto"/>
                    </w:rPr>
                  </w:pPr>
                  <w:r>
                    <w:rPr>
                      <w:color w:val="auto"/>
                    </w:rPr>
                    <w:t>风险防范措施要求</w:t>
                  </w:r>
                </w:p>
              </w:tc>
              <w:tc>
                <w:tcPr>
                  <w:tcW w:w="4249" w:type="pct"/>
                  <w:gridSpan w:val="2"/>
                  <w:tcBorders>
                    <w:tl2br w:val="nil"/>
                    <w:tr2bl w:val="nil"/>
                  </w:tcBorders>
                  <w:noWrap w:val="0"/>
                  <w:vAlign w:val="center"/>
                </w:tcPr>
                <w:p>
                  <w:pPr>
                    <w:pStyle w:val="31"/>
                    <w:bidi w:val="0"/>
                    <w:jc w:val="left"/>
                    <w:rPr>
                      <w:color w:val="auto"/>
                    </w:rPr>
                  </w:pPr>
                  <w:r>
                    <w:rPr>
                      <w:color w:val="auto"/>
                    </w:rPr>
                    <w:t>本项目拟采取以下风险防范措施：</w:t>
                  </w:r>
                </w:p>
                <w:p>
                  <w:pPr>
                    <w:pStyle w:val="31"/>
                    <w:bidi w:val="0"/>
                    <w:jc w:val="left"/>
                    <w:rPr>
                      <w:rFonts w:hint="eastAsia"/>
                      <w:color w:val="auto"/>
                      <w:lang w:eastAsia="zh-CN"/>
                    </w:rPr>
                  </w:pPr>
                  <w:r>
                    <w:rPr>
                      <w:rFonts w:hint="eastAsia"/>
                      <w:color w:val="auto"/>
                      <w:lang w:eastAsia="zh-CN"/>
                    </w:rPr>
                    <w:t>对厂区按要求进行分区防渗，危险废物贮存库按重点防渗要求</w:t>
                  </w:r>
                  <w:r>
                    <w:rPr>
                      <w:rFonts w:hint="eastAsia"/>
                      <w:color w:val="auto"/>
                      <w:lang w:val="en-US" w:eastAsia="zh-CN"/>
                    </w:rPr>
                    <w:t>建设</w:t>
                  </w:r>
                  <w:r>
                    <w:rPr>
                      <w:rFonts w:hint="eastAsia"/>
                      <w:color w:val="auto"/>
                      <w:lang w:eastAsia="zh-CN"/>
                    </w:rPr>
                    <w:t>；危险废物贮存库液态危险废物容器底部设置防渗漏托盘；</w:t>
                  </w:r>
                </w:p>
                <w:p>
                  <w:pPr>
                    <w:pStyle w:val="31"/>
                    <w:bidi w:val="0"/>
                    <w:jc w:val="left"/>
                    <w:rPr>
                      <w:rFonts w:hint="eastAsia"/>
                      <w:color w:val="auto"/>
                      <w:lang w:eastAsia="zh-CN"/>
                    </w:rPr>
                  </w:pPr>
                  <w:r>
                    <w:rPr>
                      <w:rFonts w:hint="eastAsia"/>
                      <w:color w:val="auto"/>
                      <w:lang w:eastAsia="zh-CN"/>
                    </w:rPr>
                    <w:t>定期对设施、管道进行检修及维护保养；定期更换废气处理设施内过滤材料；</w:t>
                  </w:r>
                </w:p>
                <w:p>
                  <w:pPr>
                    <w:pStyle w:val="31"/>
                    <w:bidi w:val="0"/>
                    <w:jc w:val="left"/>
                    <w:rPr>
                      <w:rFonts w:hint="eastAsia"/>
                      <w:color w:val="auto"/>
                    </w:rPr>
                  </w:pPr>
                  <w:r>
                    <w:rPr>
                      <w:rFonts w:hint="eastAsia"/>
                      <w:color w:val="auto"/>
                      <w:lang w:eastAsia="zh-CN"/>
                    </w:rPr>
                    <w:t>各生产岗位制定严格的操作规程和注意事项；设置警示标识等，</w:t>
                  </w:r>
                  <w:r>
                    <w:rPr>
                      <w:rFonts w:hint="eastAsia"/>
                      <w:color w:val="auto"/>
                    </w:rPr>
                    <w:t>定期进行防火安全检查</w:t>
                  </w:r>
                  <w:r>
                    <w:rPr>
                      <w:rFonts w:hint="eastAsia"/>
                      <w:color w:val="auto"/>
                      <w:lang w:eastAsia="zh-CN"/>
                    </w:rPr>
                    <w:t>；；</w:t>
                  </w:r>
                </w:p>
                <w:p>
                  <w:pPr>
                    <w:pStyle w:val="31"/>
                    <w:bidi w:val="0"/>
                    <w:jc w:val="left"/>
                    <w:rPr>
                      <w:rFonts w:hint="eastAsia"/>
                      <w:color w:val="auto"/>
                      <w:lang w:eastAsia="zh-CN"/>
                    </w:rPr>
                  </w:pPr>
                  <w:r>
                    <w:rPr>
                      <w:rFonts w:hint="eastAsia"/>
                      <w:color w:val="auto"/>
                    </w:rPr>
                    <w:t>配备相应的</w:t>
                  </w:r>
                  <w:r>
                    <w:rPr>
                      <w:rFonts w:hint="eastAsia"/>
                      <w:color w:val="auto"/>
                      <w:lang w:eastAsia="zh-CN"/>
                    </w:rPr>
                    <w:t>应急物资</w:t>
                  </w:r>
                  <w:r>
                    <w:rPr>
                      <w:rFonts w:hint="eastAsia"/>
                      <w:color w:val="auto"/>
                    </w:rPr>
                    <w:t>(</w:t>
                  </w:r>
                  <w:r>
                    <w:rPr>
                      <w:rFonts w:hint="eastAsia"/>
                      <w:color w:val="auto"/>
                      <w:lang w:eastAsia="zh-CN"/>
                    </w:rPr>
                    <w:t>沙袋</w:t>
                  </w:r>
                  <w:r>
                    <w:rPr>
                      <w:rFonts w:hint="eastAsia"/>
                      <w:color w:val="auto"/>
                    </w:rPr>
                    <w:t>、吸油毡</w:t>
                  </w:r>
                  <w:r>
                    <w:rPr>
                      <w:rFonts w:hint="eastAsia"/>
                      <w:color w:val="auto"/>
                      <w:lang w:eastAsia="zh-CN"/>
                    </w:rPr>
                    <w:t>、</w:t>
                  </w:r>
                  <w:r>
                    <w:rPr>
                      <w:rFonts w:hint="eastAsia"/>
                      <w:color w:val="auto"/>
                      <w:lang w:val="en-US" w:eastAsia="zh-CN"/>
                    </w:rPr>
                    <w:t>干粉或二氧化碳灭火器</w:t>
                  </w:r>
                  <w:r>
                    <w:rPr>
                      <w:rFonts w:hint="eastAsia"/>
                      <w:color w:val="auto"/>
                    </w:rPr>
                    <w:t>等)</w:t>
                  </w:r>
                  <w:r>
                    <w:rPr>
                      <w:rFonts w:hint="eastAsia"/>
                      <w:color w:val="auto"/>
                      <w:lang w:eastAsia="zh-CN"/>
                    </w:rPr>
                    <w:t>、生产废水处理系统进出水口设置阀门；</w:t>
                  </w:r>
                </w:p>
                <w:p>
                  <w:pPr>
                    <w:pStyle w:val="31"/>
                    <w:bidi w:val="0"/>
                    <w:jc w:val="left"/>
                    <w:rPr>
                      <w:rFonts w:hint="eastAsia"/>
                      <w:color w:val="auto"/>
                      <w:lang w:val="en-US" w:eastAsia="zh-CN"/>
                    </w:rPr>
                  </w:pPr>
                  <w:r>
                    <w:rPr>
                      <w:rFonts w:hint="eastAsia"/>
                      <w:color w:val="auto"/>
                      <w:lang w:val="en-US" w:eastAsia="zh-CN"/>
                    </w:rPr>
                    <w:t>制定相应的环境管理制度、隐患排查制度以及制定环境应急预案、配备相应的环境应急物资</w:t>
                  </w:r>
                  <w:r>
                    <w:rPr>
                      <w:rFonts w:hint="eastAsia"/>
                      <w:color w:val="auto"/>
                      <w:lang w:eastAsia="zh-CN"/>
                    </w:rPr>
                    <w:t>。</w:t>
                  </w:r>
                </w:p>
              </w:tc>
            </w:tr>
            <w:bookmarkEnd w:id="34"/>
          </w:tbl>
          <w:p>
            <w:pPr>
              <w:pStyle w:val="3"/>
              <w:bidi w:val="0"/>
              <w:rPr>
                <w:color w:val="auto"/>
              </w:rPr>
            </w:pPr>
            <w:r>
              <w:rPr>
                <w:rFonts w:hint="eastAsia"/>
                <w:color w:val="auto"/>
              </w:rPr>
              <w:t>4.</w:t>
            </w:r>
            <w:r>
              <w:rPr>
                <w:rFonts w:hint="eastAsia"/>
                <w:color w:val="auto"/>
                <w:lang w:val="en-US" w:eastAsia="zh-CN"/>
              </w:rPr>
              <w:t>8</w:t>
            </w:r>
            <w:r>
              <w:rPr>
                <w:rFonts w:hint="eastAsia"/>
                <w:color w:val="auto"/>
              </w:rPr>
              <w:t xml:space="preserve"> 环保投资估算</w:t>
            </w:r>
          </w:p>
          <w:p>
            <w:pPr>
              <w:bidi w:val="0"/>
              <w:rPr>
                <w:color w:val="auto"/>
              </w:rPr>
            </w:pPr>
            <w:r>
              <w:rPr>
                <w:color w:val="auto"/>
              </w:rPr>
              <w:t>本项目环保投资估算具体明细见表</w:t>
            </w:r>
            <w:r>
              <w:rPr>
                <w:rFonts w:hint="eastAsia"/>
                <w:color w:val="auto"/>
              </w:rPr>
              <w:t>4.</w:t>
            </w:r>
            <w:r>
              <w:rPr>
                <w:rFonts w:hint="eastAsia"/>
                <w:color w:val="auto"/>
                <w:lang w:val="en-US" w:eastAsia="zh-CN"/>
              </w:rPr>
              <w:t>8</w:t>
            </w:r>
            <w:r>
              <w:rPr>
                <w:color w:val="auto"/>
              </w:rPr>
              <w:t>-1。</w:t>
            </w:r>
          </w:p>
          <w:p>
            <w:pPr>
              <w:pStyle w:val="33"/>
              <w:bidi w:val="0"/>
              <w:rPr>
                <w:color w:val="auto"/>
              </w:rPr>
            </w:pPr>
            <w:r>
              <w:rPr>
                <w:rFonts w:hint="eastAsia"/>
                <w:color w:val="auto"/>
              </w:rPr>
              <w:t>4.</w:t>
            </w:r>
            <w:r>
              <w:rPr>
                <w:rFonts w:hint="eastAsia"/>
                <w:color w:val="auto"/>
                <w:lang w:val="en-US" w:eastAsia="zh-CN"/>
              </w:rPr>
              <w:t>8</w:t>
            </w:r>
            <w:r>
              <w:rPr>
                <w:color w:val="auto"/>
              </w:rPr>
              <w:t>-1 环保措施投资明细表</w:t>
            </w:r>
          </w:p>
          <w:tbl>
            <w:tblPr>
              <w:tblStyle w:val="20"/>
              <w:tblW w:w="80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2"/>
              <w:gridCol w:w="1193"/>
              <w:gridCol w:w="3720"/>
              <w:gridCol w:w="1537"/>
              <w:gridCol w:w="10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31"/>
                    <w:bidi w:val="0"/>
                    <w:rPr>
                      <w:color w:val="auto"/>
                    </w:rPr>
                  </w:pPr>
                  <w:r>
                    <w:rPr>
                      <w:color w:val="auto"/>
                    </w:rPr>
                    <w:t>序号</w:t>
                  </w:r>
                </w:p>
              </w:tc>
              <w:tc>
                <w:tcPr>
                  <w:tcW w:w="1193" w:type="dxa"/>
                  <w:noWrap w:val="0"/>
                  <w:vAlign w:val="center"/>
                </w:tcPr>
                <w:p>
                  <w:pPr>
                    <w:pStyle w:val="31"/>
                    <w:bidi w:val="0"/>
                    <w:rPr>
                      <w:color w:val="auto"/>
                    </w:rPr>
                  </w:pPr>
                  <w:r>
                    <w:rPr>
                      <w:color w:val="auto"/>
                    </w:rPr>
                    <w:t>污染源</w:t>
                  </w:r>
                </w:p>
              </w:tc>
              <w:tc>
                <w:tcPr>
                  <w:tcW w:w="3720" w:type="dxa"/>
                  <w:noWrap w:val="0"/>
                  <w:vAlign w:val="center"/>
                </w:tcPr>
                <w:p>
                  <w:pPr>
                    <w:pStyle w:val="31"/>
                    <w:bidi w:val="0"/>
                    <w:rPr>
                      <w:color w:val="auto"/>
                    </w:rPr>
                  </w:pPr>
                  <w:r>
                    <w:rPr>
                      <w:color w:val="auto"/>
                    </w:rPr>
                    <w:t>治理措施</w:t>
                  </w:r>
                </w:p>
              </w:tc>
              <w:tc>
                <w:tcPr>
                  <w:tcW w:w="1537" w:type="dxa"/>
                  <w:noWrap w:val="0"/>
                  <w:vAlign w:val="center"/>
                </w:tcPr>
                <w:p>
                  <w:pPr>
                    <w:pStyle w:val="31"/>
                    <w:bidi w:val="0"/>
                    <w:rPr>
                      <w:rFonts w:hint="eastAsia"/>
                      <w:color w:val="auto"/>
                      <w:lang w:val="en-US" w:eastAsia="zh-CN"/>
                    </w:rPr>
                  </w:pPr>
                  <w:r>
                    <w:rPr>
                      <w:rFonts w:hint="eastAsia"/>
                      <w:color w:val="auto"/>
                      <w:lang w:val="en-US" w:eastAsia="zh-CN"/>
                    </w:rPr>
                    <w:t>设施</w:t>
                  </w:r>
                </w:p>
              </w:tc>
              <w:tc>
                <w:tcPr>
                  <w:tcW w:w="1024" w:type="dxa"/>
                  <w:noWrap w:val="0"/>
                  <w:vAlign w:val="center"/>
                </w:tcPr>
                <w:p>
                  <w:pPr>
                    <w:pStyle w:val="31"/>
                    <w:bidi w:val="0"/>
                    <w:rPr>
                      <w:color w:val="auto"/>
                    </w:rPr>
                  </w:pPr>
                  <w:r>
                    <w:rPr>
                      <w:color w:val="auto"/>
                    </w:rPr>
                    <w:t>投资金额(万元)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pPr>
                    <w:pStyle w:val="31"/>
                    <w:bidi w:val="0"/>
                    <w:rPr>
                      <w:color w:val="auto"/>
                    </w:rPr>
                  </w:pPr>
                  <w:r>
                    <w:rPr>
                      <w:color w:val="auto"/>
                    </w:rPr>
                    <w:t>1</w:t>
                  </w:r>
                </w:p>
              </w:tc>
              <w:tc>
                <w:tcPr>
                  <w:tcW w:w="1193" w:type="dxa"/>
                  <w:vMerge w:val="restart"/>
                  <w:noWrap w:val="0"/>
                  <w:vAlign w:val="center"/>
                </w:tcPr>
                <w:p>
                  <w:pPr>
                    <w:pStyle w:val="31"/>
                    <w:bidi w:val="0"/>
                    <w:rPr>
                      <w:color w:val="auto"/>
                    </w:rPr>
                  </w:pPr>
                  <w:r>
                    <w:rPr>
                      <w:color w:val="auto"/>
                    </w:rPr>
                    <w:t>废水</w:t>
                  </w:r>
                </w:p>
              </w:tc>
              <w:tc>
                <w:tcPr>
                  <w:tcW w:w="3720" w:type="dxa"/>
                  <w:noWrap w:val="0"/>
                  <w:vAlign w:val="center"/>
                </w:tcPr>
                <w:p>
                  <w:pPr>
                    <w:pStyle w:val="31"/>
                    <w:bidi w:val="0"/>
                    <w:rPr>
                      <w:rFonts w:hint="default"/>
                      <w:color w:val="auto"/>
                      <w:lang w:val="en-US" w:eastAsia="zh-CN"/>
                    </w:rPr>
                  </w:pPr>
                  <w:r>
                    <w:rPr>
                      <w:rFonts w:hint="eastAsia"/>
                      <w:color w:val="auto"/>
                      <w:lang w:val="en-US" w:eastAsia="zh-CN"/>
                    </w:rPr>
                    <w:t>洗车废水经洗车台配套沉淀池</w:t>
                  </w:r>
                  <w:r>
                    <w:rPr>
                      <w:rFonts w:hint="eastAsia"/>
                      <w:color w:val="auto"/>
                      <w:highlight w:val="none"/>
                      <w:lang w:val="en-US" w:eastAsia="zh-CN"/>
                    </w:rPr>
                    <w:t>（12m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lang w:val="en-US" w:eastAsia="zh-CN"/>
                    </w:rPr>
                    <w:t>处理后回用于车辆冲洗，不外排</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洗车废水沉淀池、相关管道</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eastAsia"/>
                      <w:color w:val="auto"/>
                      <w:lang w:val="en-US" w:eastAsia="zh-CN"/>
                    </w:rPr>
                  </w:pPr>
                  <w:r>
                    <w:rPr>
                      <w:rFonts w:hint="eastAsia"/>
                      <w:color w:val="auto"/>
                      <w:lang w:val="en-US" w:eastAsia="zh-CN"/>
                    </w:rPr>
                    <w:t>设备清洗废水、生产区地面冲洗废水、试验清洗废水、生产区初期雨水经生产废水处理系统（三个斜坡沉淀池，容积合计216m</w:t>
                  </w:r>
                  <w:r>
                    <w:rPr>
                      <w:rFonts w:hint="eastAsia"/>
                      <w:color w:val="auto"/>
                      <w:vertAlign w:val="superscript"/>
                      <w:lang w:val="en-US" w:eastAsia="zh-CN"/>
                    </w:rPr>
                    <w:t>3</w:t>
                  </w:r>
                  <w:r>
                    <w:rPr>
                      <w:rFonts w:hint="eastAsia"/>
                      <w:color w:val="auto"/>
                      <w:lang w:val="en-US" w:eastAsia="zh-CN"/>
                    </w:rPr>
                    <w:t>）处理后，上清液回用于搅拌，不外排。厂区南侧靠近南厝河一侧设置一处300m</w:t>
                  </w:r>
                  <w:r>
                    <w:rPr>
                      <w:rFonts w:hint="eastAsia"/>
                      <w:color w:val="auto"/>
                      <w:vertAlign w:val="superscript"/>
                      <w:lang w:val="en-US" w:eastAsia="zh-CN"/>
                    </w:rPr>
                    <w:t>3</w:t>
                  </w:r>
                  <w:r>
                    <w:rPr>
                      <w:rFonts w:hint="eastAsia"/>
                      <w:color w:val="auto"/>
                      <w:lang w:val="en-US" w:eastAsia="zh-CN"/>
                    </w:rPr>
                    <w:t>初期雨水收集池与初期雨水控制阀门，生产区四周设置导流沟渠</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生产废水处理系统、雨水收集池、相关污水管道、导流沟渠、阀门</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default"/>
                      <w:color w:val="auto"/>
                      <w:lang w:val="en-US" w:eastAsia="zh-CN"/>
                    </w:rPr>
                  </w:pPr>
                  <w:r>
                    <w:rPr>
                      <w:rFonts w:hint="eastAsia"/>
                      <w:color w:val="auto"/>
                      <w:lang w:val="en-US" w:eastAsia="zh-CN"/>
                    </w:rPr>
                    <w:t>职工生活污水</w:t>
                  </w:r>
                  <w:r>
                    <w:rPr>
                      <w:rFonts w:hint="eastAsia"/>
                      <w:color w:val="auto"/>
                      <w:highlight w:val="none"/>
                      <w:lang w:val="en-US" w:eastAsia="zh-CN"/>
                    </w:rPr>
                    <w:t>进入1#宿舍楼南侧化粪池+一体化污水处理设施处理，出水回用于厂区绿化灌溉和混凝土搅拌</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化粪池、一体化污水处理设施相关污水管道</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pPr>
                    <w:pStyle w:val="31"/>
                    <w:bidi w:val="0"/>
                    <w:rPr>
                      <w:rFonts w:hint="default"/>
                      <w:color w:val="auto"/>
                      <w:lang w:val="en-US" w:eastAsia="zh-CN"/>
                    </w:rPr>
                  </w:pPr>
                  <w:r>
                    <w:rPr>
                      <w:rFonts w:hint="eastAsia"/>
                      <w:color w:val="auto"/>
                      <w:lang w:val="en-US" w:eastAsia="zh-CN"/>
                    </w:rPr>
                    <w:t>2</w:t>
                  </w:r>
                </w:p>
              </w:tc>
              <w:tc>
                <w:tcPr>
                  <w:tcW w:w="1193" w:type="dxa"/>
                  <w:vMerge w:val="restart"/>
                  <w:noWrap w:val="0"/>
                  <w:vAlign w:val="center"/>
                </w:tcPr>
                <w:p>
                  <w:pPr>
                    <w:pStyle w:val="31"/>
                    <w:bidi w:val="0"/>
                    <w:rPr>
                      <w:rFonts w:hint="eastAsia"/>
                      <w:color w:val="auto"/>
                      <w:lang w:val="en-US" w:eastAsia="zh-CN"/>
                    </w:rPr>
                  </w:pPr>
                  <w:r>
                    <w:rPr>
                      <w:rFonts w:hint="eastAsia"/>
                      <w:color w:val="auto"/>
                      <w:lang w:val="en-US" w:eastAsia="zh-CN"/>
                    </w:rPr>
                    <w:t>废气</w:t>
                  </w:r>
                </w:p>
              </w:tc>
              <w:tc>
                <w:tcPr>
                  <w:tcW w:w="3720" w:type="dxa"/>
                  <w:noWrap w:val="0"/>
                  <w:vAlign w:val="center"/>
                </w:tcPr>
                <w:p>
                  <w:pPr>
                    <w:pStyle w:val="31"/>
                    <w:bidi w:val="0"/>
                    <w:rPr>
                      <w:rFonts w:hint="default"/>
                      <w:color w:val="auto"/>
                      <w:lang w:val="en-US" w:eastAsia="zh-CN"/>
                    </w:rPr>
                  </w:pPr>
                  <w:r>
                    <w:rPr>
                      <w:rFonts w:hint="eastAsia"/>
                      <w:color w:val="auto"/>
                      <w:lang w:val="en-US" w:eastAsia="zh-CN"/>
                    </w:rPr>
                    <w:t>骨料仓封闭设置（三面及顶部围蔽，仅保留进出料面敞开），</w:t>
                  </w:r>
                  <w:r>
                    <w:rPr>
                      <w:rFonts w:hint="default"/>
                      <w:color w:val="auto"/>
                      <w:lang w:val="en-US" w:eastAsia="zh-CN"/>
                    </w:rPr>
                    <w:t>配套喷淋装置喷淋抑尘。</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封闭骨料仓(纳入主体投资）、喷淋装置</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eastAsia"/>
                      <w:color w:val="auto"/>
                      <w:lang w:val="en-US" w:eastAsia="zh-CN"/>
                    </w:rPr>
                  </w:pPr>
                  <w:r>
                    <w:rPr>
                      <w:rFonts w:hint="eastAsia"/>
                      <w:color w:val="auto"/>
                      <w:lang w:val="en-US" w:eastAsia="zh-CN"/>
                    </w:rPr>
                    <w:t>道路定时人工洒水抑尘及清扫、出入口设置洗车台</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定时洒水、洗车台</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70"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color w:val="auto"/>
                    </w:rPr>
                  </w:pPr>
                  <w:r>
                    <w:rPr>
                      <w:rFonts w:hint="eastAsia"/>
                      <w:color w:val="auto"/>
                      <w:lang w:val="en-US" w:eastAsia="zh-CN"/>
                    </w:rPr>
                    <w:t>搅拌站整体封闭设置并配套喷淋装置抑尘，搅拌机密闭运行，加水湿式搅拌</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封闭搅拌楼(纳入主体投资）、喷淋装置</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default"/>
                      <w:color w:val="auto"/>
                      <w:lang w:val="en-US" w:eastAsia="zh-CN"/>
                    </w:rPr>
                  </w:pPr>
                  <w:r>
                    <w:rPr>
                      <w:rFonts w:hint="eastAsia"/>
                      <w:color w:val="auto"/>
                      <w:lang w:val="en-US" w:eastAsia="zh-CN"/>
                    </w:rPr>
                    <w:t>粉料仓呼吸尘经各仓配套袋式除尘器除尘后无组织排放，在搅拌楼内部</w:t>
                  </w:r>
                  <w:r>
                    <w:rPr>
                      <w:rFonts w:hint="default"/>
                      <w:color w:val="auto"/>
                      <w:lang w:val="en-US" w:eastAsia="zh-CN"/>
                    </w:rPr>
                    <w:t>配套喷淋装置喷淋抑尘</w:t>
                  </w:r>
                  <w:r>
                    <w:rPr>
                      <w:rFonts w:hint="eastAsia"/>
                      <w:color w:val="auto"/>
                      <w:lang w:val="en-US" w:eastAsia="zh-CN"/>
                    </w:rPr>
                    <w:t>。</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袋式除尘器，喷淋装置</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eastAsia"/>
                      <w:color w:val="auto"/>
                      <w:lang w:val="en-US" w:eastAsia="zh-CN"/>
                    </w:rPr>
                  </w:pPr>
                  <w:r>
                    <w:rPr>
                      <w:rFonts w:hint="eastAsia"/>
                      <w:color w:val="auto"/>
                      <w:lang w:val="en-US" w:eastAsia="zh-CN"/>
                    </w:rPr>
                    <w:t>输送带仅保留进卸料口，走廊采用彩钢全封闭，砂石进料区、输送带进出料口配套喷淋装置抑尘</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封闭输送带、喷淋装置</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4"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default"/>
                      <w:color w:val="auto"/>
                      <w:lang w:val="en-US" w:eastAsia="zh-CN"/>
                    </w:rPr>
                  </w:pPr>
                  <w:r>
                    <w:rPr>
                      <w:rFonts w:hint="eastAsia"/>
                      <w:color w:val="auto"/>
                      <w:lang w:val="en-US" w:eastAsia="zh-CN"/>
                    </w:rPr>
                    <w:t>焊接烟尘车间内无组织排放，日常生产开窗通风</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无组织排放</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31"/>
                    <w:bidi w:val="0"/>
                    <w:rPr>
                      <w:rFonts w:hint="eastAsia"/>
                      <w:color w:val="auto"/>
                      <w:lang w:val="en-US" w:eastAsia="zh-CN"/>
                    </w:rPr>
                  </w:pPr>
                </w:p>
              </w:tc>
              <w:tc>
                <w:tcPr>
                  <w:tcW w:w="1193" w:type="dxa"/>
                  <w:vMerge w:val="continue"/>
                  <w:noWrap w:val="0"/>
                  <w:vAlign w:val="center"/>
                </w:tcPr>
                <w:p>
                  <w:pPr>
                    <w:pStyle w:val="31"/>
                    <w:bidi w:val="0"/>
                    <w:rPr>
                      <w:color w:val="auto"/>
                    </w:rPr>
                  </w:pPr>
                </w:p>
              </w:tc>
              <w:tc>
                <w:tcPr>
                  <w:tcW w:w="3720" w:type="dxa"/>
                  <w:noWrap w:val="0"/>
                  <w:vAlign w:val="center"/>
                </w:tcPr>
                <w:p>
                  <w:pPr>
                    <w:pStyle w:val="31"/>
                    <w:bidi w:val="0"/>
                    <w:rPr>
                      <w:rFonts w:hint="eastAsia"/>
                      <w:color w:val="auto"/>
                      <w:lang w:val="en-US" w:eastAsia="zh-CN"/>
                    </w:rPr>
                  </w:pPr>
                  <w:r>
                    <w:rPr>
                      <w:rFonts w:hint="eastAsia"/>
                      <w:color w:val="auto"/>
                      <w:lang w:val="en-US" w:eastAsia="zh-CN"/>
                    </w:rPr>
                    <w:t>厂内配置1台雾炮机，在装卸作业时喷雾降尘。厂区靠近生产区的北侧、东北侧围墙设置喷淋装置，进一步降尘。</w:t>
                  </w:r>
                </w:p>
              </w:tc>
              <w:tc>
                <w:tcPr>
                  <w:tcW w:w="1537" w:type="dxa"/>
                  <w:noWrap w:val="0"/>
                  <w:vAlign w:val="center"/>
                </w:tcPr>
                <w:p>
                  <w:pPr>
                    <w:pStyle w:val="31"/>
                    <w:bidi w:val="0"/>
                    <w:rPr>
                      <w:rFonts w:hint="default"/>
                      <w:color w:val="auto"/>
                      <w:lang w:val="en-US" w:eastAsia="zh-CN"/>
                    </w:rPr>
                  </w:pPr>
                  <w:r>
                    <w:rPr>
                      <w:rFonts w:hint="eastAsia"/>
                      <w:color w:val="auto"/>
                      <w:lang w:val="en-US" w:eastAsia="zh-CN"/>
                    </w:rPr>
                    <w:t>雾炮机、围墙喷淋装置</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602" w:type="dxa"/>
                  <w:noWrap w:val="0"/>
                  <w:vAlign w:val="center"/>
                </w:tcPr>
                <w:p>
                  <w:pPr>
                    <w:pStyle w:val="31"/>
                    <w:bidi w:val="0"/>
                    <w:rPr>
                      <w:color w:val="auto"/>
                    </w:rPr>
                  </w:pPr>
                  <w:r>
                    <w:rPr>
                      <w:color w:val="auto"/>
                    </w:rPr>
                    <w:t>3</w:t>
                  </w:r>
                </w:p>
              </w:tc>
              <w:tc>
                <w:tcPr>
                  <w:tcW w:w="1193" w:type="dxa"/>
                  <w:noWrap w:val="0"/>
                  <w:vAlign w:val="center"/>
                </w:tcPr>
                <w:p>
                  <w:pPr>
                    <w:pStyle w:val="31"/>
                    <w:bidi w:val="0"/>
                    <w:rPr>
                      <w:color w:val="auto"/>
                    </w:rPr>
                  </w:pPr>
                  <w:r>
                    <w:rPr>
                      <w:color w:val="auto"/>
                    </w:rPr>
                    <w:t>噪声</w:t>
                  </w:r>
                </w:p>
              </w:tc>
              <w:tc>
                <w:tcPr>
                  <w:tcW w:w="5257" w:type="dxa"/>
                  <w:gridSpan w:val="2"/>
                  <w:noWrap w:val="0"/>
                  <w:vAlign w:val="center"/>
                </w:tcPr>
                <w:p>
                  <w:pPr>
                    <w:pStyle w:val="31"/>
                    <w:bidi w:val="0"/>
                    <w:rPr>
                      <w:rFonts w:hint="eastAsia"/>
                      <w:color w:val="auto"/>
                    </w:rPr>
                  </w:pPr>
                  <w:r>
                    <w:rPr>
                      <w:rFonts w:hint="eastAsia"/>
                      <w:color w:val="auto"/>
                    </w:rPr>
                    <w:t>厂房隔声、设备基础设置</w:t>
                  </w:r>
                  <w:r>
                    <w:rPr>
                      <w:color w:val="auto"/>
                    </w:rPr>
                    <w:t>减振垫等综合降噪措施</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31"/>
                    <w:bidi w:val="0"/>
                    <w:rPr>
                      <w:color w:val="auto"/>
                    </w:rPr>
                  </w:pPr>
                  <w:r>
                    <w:rPr>
                      <w:color w:val="auto"/>
                    </w:rPr>
                    <w:t>4</w:t>
                  </w:r>
                </w:p>
              </w:tc>
              <w:tc>
                <w:tcPr>
                  <w:tcW w:w="1193" w:type="dxa"/>
                  <w:noWrap w:val="0"/>
                  <w:vAlign w:val="center"/>
                </w:tcPr>
                <w:p>
                  <w:pPr>
                    <w:pStyle w:val="31"/>
                    <w:bidi w:val="0"/>
                    <w:rPr>
                      <w:color w:val="auto"/>
                    </w:rPr>
                  </w:pPr>
                  <w:r>
                    <w:rPr>
                      <w:color w:val="auto"/>
                    </w:rPr>
                    <w:t>固体废物</w:t>
                  </w:r>
                </w:p>
              </w:tc>
              <w:tc>
                <w:tcPr>
                  <w:tcW w:w="5257" w:type="dxa"/>
                  <w:gridSpan w:val="2"/>
                  <w:noWrap w:val="0"/>
                  <w:vAlign w:val="center"/>
                </w:tcPr>
                <w:p>
                  <w:pPr>
                    <w:pStyle w:val="31"/>
                    <w:bidi w:val="0"/>
                    <w:rPr>
                      <w:color w:val="auto"/>
                    </w:rPr>
                  </w:pPr>
                  <w:r>
                    <w:rPr>
                      <w:color w:val="auto"/>
                    </w:rPr>
                    <w:t>垃圾收集装置，</w:t>
                  </w:r>
                  <w:r>
                    <w:rPr>
                      <w:rFonts w:hint="eastAsia"/>
                      <w:color w:val="auto"/>
                    </w:rPr>
                    <w:t>一般工业固废暂存间、</w:t>
                  </w:r>
                  <w:r>
                    <w:rPr>
                      <w:color w:val="auto"/>
                    </w:rPr>
                    <w:t>危险废物</w:t>
                  </w:r>
                  <w:r>
                    <w:rPr>
                      <w:rFonts w:hint="eastAsia"/>
                      <w:color w:val="auto"/>
                      <w:lang w:eastAsia="zh-CN"/>
                    </w:rPr>
                    <w:t>贮存库</w:t>
                  </w:r>
                  <w:r>
                    <w:rPr>
                      <w:color w:val="auto"/>
                    </w:rPr>
                    <w:t>及委托处置</w:t>
                  </w:r>
                  <w:r>
                    <w:rPr>
                      <w:rFonts w:hint="eastAsia"/>
                      <w:color w:val="auto"/>
                    </w:rPr>
                    <w:t>等</w:t>
                  </w:r>
                </w:p>
              </w:tc>
              <w:tc>
                <w:tcPr>
                  <w:tcW w:w="1024" w:type="dxa"/>
                  <w:noWrap w:val="0"/>
                  <w:vAlign w:val="center"/>
                </w:tcPr>
                <w:p>
                  <w:pPr>
                    <w:pStyle w:val="31"/>
                    <w:bidi w:val="0"/>
                    <w:rPr>
                      <w:rFonts w:hint="default"/>
                      <w:color w:val="auto"/>
                      <w:lang w:val="en-US"/>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31"/>
                    <w:bidi w:val="0"/>
                    <w:rPr>
                      <w:rFonts w:hint="eastAsia"/>
                      <w:color w:val="auto"/>
                      <w:lang w:val="en-US" w:eastAsia="zh-CN"/>
                    </w:rPr>
                  </w:pPr>
                  <w:r>
                    <w:rPr>
                      <w:rFonts w:hint="eastAsia"/>
                      <w:color w:val="auto"/>
                      <w:lang w:val="en-US" w:eastAsia="zh-CN"/>
                    </w:rPr>
                    <w:t>5</w:t>
                  </w:r>
                </w:p>
              </w:tc>
              <w:tc>
                <w:tcPr>
                  <w:tcW w:w="1193" w:type="dxa"/>
                  <w:noWrap w:val="0"/>
                  <w:vAlign w:val="center"/>
                </w:tcPr>
                <w:p>
                  <w:pPr>
                    <w:pStyle w:val="31"/>
                    <w:bidi w:val="0"/>
                    <w:rPr>
                      <w:rFonts w:hint="eastAsia"/>
                      <w:color w:val="auto"/>
                      <w:lang w:eastAsia="zh-CN"/>
                    </w:rPr>
                  </w:pPr>
                  <w:r>
                    <w:rPr>
                      <w:rFonts w:hint="eastAsia"/>
                      <w:color w:val="auto"/>
                      <w:lang w:eastAsia="zh-CN"/>
                    </w:rPr>
                    <w:t>地下水及土壤</w:t>
                  </w:r>
                </w:p>
              </w:tc>
              <w:tc>
                <w:tcPr>
                  <w:tcW w:w="5257" w:type="dxa"/>
                  <w:gridSpan w:val="2"/>
                  <w:noWrap w:val="0"/>
                  <w:vAlign w:val="center"/>
                </w:tcPr>
                <w:p>
                  <w:pPr>
                    <w:pStyle w:val="31"/>
                    <w:bidi w:val="0"/>
                    <w:rPr>
                      <w:rFonts w:hint="default"/>
                      <w:color w:val="auto"/>
                      <w:lang w:val="en-US" w:eastAsia="zh-CN"/>
                    </w:rPr>
                  </w:pPr>
                  <w:r>
                    <w:rPr>
                      <w:rFonts w:hint="eastAsia"/>
                      <w:color w:val="auto"/>
                      <w:lang w:val="en-US" w:eastAsia="zh-CN"/>
                    </w:rPr>
                    <w:t>地面硬化（纳入主体投资）、分区防渗</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602" w:type="dxa"/>
                  <w:noWrap w:val="0"/>
                  <w:vAlign w:val="center"/>
                </w:tcPr>
                <w:p>
                  <w:pPr>
                    <w:pStyle w:val="31"/>
                    <w:bidi w:val="0"/>
                    <w:rPr>
                      <w:rFonts w:hint="default"/>
                      <w:color w:val="auto"/>
                      <w:lang w:val="en-US" w:eastAsia="zh-CN"/>
                    </w:rPr>
                  </w:pPr>
                  <w:r>
                    <w:rPr>
                      <w:rFonts w:hint="eastAsia"/>
                      <w:color w:val="auto"/>
                      <w:lang w:val="en-US" w:eastAsia="zh-CN"/>
                    </w:rPr>
                    <w:t>6</w:t>
                  </w:r>
                </w:p>
              </w:tc>
              <w:tc>
                <w:tcPr>
                  <w:tcW w:w="1193" w:type="dxa"/>
                  <w:noWrap w:val="0"/>
                  <w:vAlign w:val="center"/>
                </w:tcPr>
                <w:p>
                  <w:pPr>
                    <w:pStyle w:val="31"/>
                    <w:bidi w:val="0"/>
                    <w:rPr>
                      <w:rFonts w:hint="default"/>
                      <w:color w:val="auto"/>
                      <w:lang w:val="en-US" w:eastAsia="zh-CN"/>
                    </w:rPr>
                  </w:pPr>
                  <w:r>
                    <w:rPr>
                      <w:rFonts w:hint="eastAsia"/>
                      <w:color w:val="auto"/>
                      <w:lang w:val="en-US" w:eastAsia="zh-CN"/>
                    </w:rPr>
                    <w:t>环境风险</w:t>
                  </w:r>
                </w:p>
              </w:tc>
              <w:tc>
                <w:tcPr>
                  <w:tcW w:w="5257" w:type="dxa"/>
                  <w:gridSpan w:val="2"/>
                  <w:noWrap w:val="0"/>
                  <w:vAlign w:val="center"/>
                </w:tcPr>
                <w:p>
                  <w:pPr>
                    <w:pStyle w:val="31"/>
                    <w:bidi w:val="0"/>
                    <w:rPr>
                      <w:rFonts w:hint="default"/>
                      <w:color w:val="auto"/>
                      <w:lang w:val="en-GB" w:eastAsia="zh-CN"/>
                    </w:rPr>
                  </w:pPr>
                  <w:r>
                    <w:rPr>
                      <w:rFonts w:hint="eastAsia"/>
                      <w:color w:val="auto"/>
                      <w:lang w:val="en-US" w:eastAsia="zh-CN"/>
                    </w:rPr>
                    <w:t>配套应急物资，制定相应的环境管理制度、隐患排查制度以及应急制度，以及配备相应的环境应急物资</w:t>
                  </w:r>
                  <w:r>
                    <w:rPr>
                      <w:rFonts w:hint="eastAsia"/>
                      <w:color w:val="auto"/>
                      <w:lang w:eastAsia="zh-CN"/>
                    </w:rPr>
                    <w:t>。</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52" w:type="dxa"/>
                  <w:gridSpan w:val="4"/>
                  <w:noWrap w:val="0"/>
                  <w:vAlign w:val="center"/>
                </w:tcPr>
                <w:p>
                  <w:pPr>
                    <w:pStyle w:val="31"/>
                    <w:bidi w:val="0"/>
                    <w:rPr>
                      <w:color w:val="auto"/>
                    </w:rPr>
                  </w:pPr>
                  <w:r>
                    <w:rPr>
                      <w:color w:val="auto"/>
                    </w:rPr>
                    <w:t>合  计</w:t>
                  </w:r>
                </w:p>
              </w:tc>
              <w:tc>
                <w:tcPr>
                  <w:tcW w:w="1024" w:type="dxa"/>
                  <w:noWrap w:val="0"/>
                  <w:vAlign w:val="center"/>
                </w:tcPr>
                <w:p>
                  <w:pPr>
                    <w:pStyle w:val="31"/>
                    <w:bidi w:val="0"/>
                    <w:rPr>
                      <w:rFonts w:hint="default"/>
                      <w:color w:val="auto"/>
                      <w:lang w:val="en-US" w:eastAsia="zh-CN"/>
                    </w:rPr>
                  </w:pPr>
                  <w:r>
                    <w:rPr>
                      <w:rFonts w:hint="eastAsia"/>
                      <w:color w:val="auto"/>
                      <w:lang w:val="en-US" w:eastAsia="zh-CN"/>
                    </w:rPr>
                    <w:t>93</w:t>
                  </w:r>
                </w:p>
              </w:tc>
            </w:tr>
          </w:tbl>
          <w:p>
            <w:pPr>
              <w:bidi w:val="0"/>
              <w:rPr>
                <w:rFonts w:hint="default" w:ascii="Times New Roman" w:hAnsi="Times New Roman" w:eastAsia="宋体" w:cs="Times New Roman"/>
                <w:color w:val="auto"/>
                <w:lang w:val="en-US" w:eastAsia="zh-CN"/>
              </w:rPr>
            </w:pPr>
            <w:r>
              <w:rPr>
                <w:rFonts w:hint="eastAsia"/>
                <w:color w:val="auto"/>
                <w:lang w:val="en-US" w:eastAsia="zh-CN"/>
              </w:rPr>
              <w:t>注：3#物料库、搅拌楼、地面硬化纳入项目主体投资，因此不计入环保投资中。</w:t>
            </w:r>
          </w:p>
        </w:tc>
      </w:tr>
    </w:tbl>
    <w:p>
      <w:pPr>
        <w:pStyle w:val="17"/>
        <w:jc w:val="both"/>
        <w:outlineLvl w:val="9"/>
        <w:rPr>
          <w:rFonts w:hint="default" w:ascii="Times New Roman" w:hAnsi="Times New Roman" w:eastAsia="宋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jc w:val="center"/>
        <w:outlineLvl w:val="0"/>
        <w:rPr>
          <w:rFonts w:hint="default" w:ascii="Times New Roman" w:hAnsi="Times New Roman" w:eastAsia="宋体" w:cs="Times New Roman"/>
          <w:b/>
          <w:bCs/>
          <w:snapToGrid w:val="0"/>
          <w:color w:val="auto"/>
          <w:sz w:val="30"/>
          <w:szCs w:val="30"/>
          <w:highlight w:val="none"/>
        </w:rPr>
      </w:pPr>
      <w:bookmarkStart w:id="35" w:name="_Toc18137"/>
      <w:bookmarkStart w:id="36" w:name="_Toc10623"/>
      <w:r>
        <w:rPr>
          <w:rFonts w:hint="default" w:ascii="Times New Roman" w:hAnsi="Times New Roman" w:eastAsia="宋体" w:cs="Times New Roman"/>
          <w:b/>
          <w:bCs/>
          <w:snapToGrid w:val="0"/>
          <w:color w:val="auto"/>
          <w:sz w:val="30"/>
          <w:szCs w:val="30"/>
          <w:highlight w:val="none"/>
        </w:rPr>
        <w:t>五、</w:t>
      </w:r>
      <w:bookmarkStart w:id="37" w:name="_Hlk54167917"/>
      <w:r>
        <w:rPr>
          <w:rFonts w:hint="default" w:ascii="Times New Roman" w:hAnsi="Times New Roman" w:eastAsia="宋体" w:cs="Times New Roman"/>
          <w:b/>
          <w:bCs/>
          <w:snapToGrid w:val="0"/>
          <w:color w:val="auto"/>
          <w:sz w:val="30"/>
          <w:szCs w:val="30"/>
          <w:highlight w:val="none"/>
        </w:rPr>
        <w:t>环境保护措施监督检查清单</w:t>
      </w:r>
      <w:bookmarkEnd w:id="35"/>
      <w:bookmarkEnd w:id="36"/>
      <w:bookmarkEnd w:id="37"/>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6"/>
        <w:gridCol w:w="1108"/>
        <w:gridCol w:w="3256"/>
        <w:gridCol w:w="2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060" w:type="dxa"/>
            <w:tcBorders>
              <w:tl2br w:val="single" w:color="auto" w:sz="4" w:space="0"/>
            </w:tcBorders>
            <w:noWrap w:val="0"/>
            <w:vAlign w:val="top"/>
          </w:tcPr>
          <w:p>
            <w:pPr>
              <w:pStyle w:val="31"/>
              <w:bidi w:val="0"/>
              <w:jc w:val="right"/>
              <w:rPr>
                <w:rFonts w:hint="default"/>
                <w:color w:val="auto"/>
              </w:rPr>
            </w:pPr>
            <w:r>
              <w:rPr>
                <w:rFonts w:hint="default"/>
                <w:color w:val="auto"/>
              </w:rPr>
              <w:t>内容</w:t>
            </w:r>
          </w:p>
          <w:p>
            <w:pPr>
              <w:pStyle w:val="31"/>
              <w:bidi w:val="0"/>
              <w:jc w:val="left"/>
              <w:rPr>
                <w:rFonts w:hint="default"/>
                <w:color w:val="auto"/>
              </w:rPr>
            </w:pPr>
          </w:p>
          <w:p>
            <w:pPr>
              <w:pStyle w:val="31"/>
              <w:bidi w:val="0"/>
              <w:jc w:val="left"/>
              <w:rPr>
                <w:rFonts w:hint="default"/>
                <w:color w:val="auto"/>
              </w:rPr>
            </w:pPr>
          </w:p>
          <w:p>
            <w:pPr>
              <w:pStyle w:val="31"/>
              <w:bidi w:val="0"/>
              <w:jc w:val="left"/>
              <w:rPr>
                <w:rFonts w:hint="default"/>
                <w:color w:val="auto"/>
              </w:rPr>
            </w:pPr>
            <w:r>
              <w:rPr>
                <w:rFonts w:hint="default"/>
                <w:color w:val="auto"/>
              </w:rPr>
              <w:t>要素</w:t>
            </w:r>
          </w:p>
        </w:tc>
        <w:tc>
          <w:tcPr>
            <w:tcW w:w="1066" w:type="dxa"/>
            <w:noWrap w:val="0"/>
            <w:vAlign w:val="center"/>
          </w:tcPr>
          <w:p>
            <w:pPr>
              <w:pStyle w:val="31"/>
              <w:bidi w:val="0"/>
              <w:rPr>
                <w:rFonts w:hint="default"/>
                <w:color w:val="auto"/>
              </w:rPr>
            </w:pPr>
            <w:r>
              <w:rPr>
                <w:rFonts w:hint="default"/>
                <w:color w:val="auto"/>
              </w:rPr>
              <w:t>排放口(编号、名称)/污染源</w:t>
            </w:r>
          </w:p>
        </w:tc>
        <w:tc>
          <w:tcPr>
            <w:tcW w:w="1108" w:type="dxa"/>
            <w:noWrap w:val="0"/>
            <w:vAlign w:val="center"/>
          </w:tcPr>
          <w:p>
            <w:pPr>
              <w:pStyle w:val="31"/>
              <w:bidi w:val="0"/>
              <w:rPr>
                <w:rFonts w:hint="default"/>
                <w:color w:val="auto"/>
              </w:rPr>
            </w:pPr>
            <w:r>
              <w:rPr>
                <w:rFonts w:hint="default"/>
                <w:color w:val="auto"/>
              </w:rPr>
              <w:t>污染物</w:t>
            </w:r>
          </w:p>
          <w:p>
            <w:pPr>
              <w:pStyle w:val="31"/>
              <w:bidi w:val="0"/>
              <w:rPr>
                <w:rFonts w:hint="default"/>
                <w:color w:val="auto"/>
              </w:rPr>
            </w:pPr>
            <w:r>
              <w:rPr>
                <w:rFonts w:hint="default"/>
                <w:color w:val="auto"/>
              </w:rPr>
              <w:t>项目</w:t>
            </w:r>
          </w:p>
        </w:tc>
        <w:tc>
          <w:tcPr>
            <w:tcW w:w="3256" w:type="dxa"/>
            <w:noWrap w:val="0"/>
            <w:vAlign w:val="center"/>
          </w:tcPr>
          <w:p>
            <w:pPr>
              <w:pStyle w:val="31"/>
              <w:bidi w:val="0"/>
              <w:rPr>
                <w:rFonts w:hint="default"/>
                <w:color w:val="auto"/>
              </w:rPr>
            </w:pPr>
            <w:r>
              <w:rPr>
                <w:rFonts w:hint="default"/>
                <w:color w:val="auto"/>
              </w:rPr>
              <w:t>环境保护措施</w:t>
            </w:r>
          </w:p>
        </w:tc>
        <w:tc>
          <w:tcPr>
            <w:tcW w:w="2310" w:type="dxa"/>
            <w:noWrap w:val="0"/>
            <w:vAlign w:val="center"/>
          </w:tcPr>
          <w:p>
            <w:pPr>
              <w:pStyle w:val="31"/>
              <w:bidi w:val="0"/>
              <w:rPr>
                <w:rFonts w:hint="default"/>
                <w:color w:val="auto"/>
              </w:rPr>
            </w:pPr>
            <w:r>
              <w:rPr>
                <w:rFonts w:hint="default"/>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0" w:type="dxa"/>
            <w:noWrap w:val="0"/>
            <w:vAlign w:val="center"/>
          </w:tcPr>
          <w:p>
            <w:pPr>
              <w:pStyle w:val="31"/>
              <w:bidi w:val="0"/>
              <w:rPr>
                <w:rFonts w:hint="default"/>
                <w:color w:val="auto"/>
              </w:rPr>
            </w:pPr>
            <w:r>
              <w:rPr>
                <w:rFonts w:hint="default" w:ascii="Times New Roman" w:hAnsi="Times New Roman" w:eastAsia="宋体" w:cs="Times New Roman"/>
                <w:color w:val="auto"/>
                <w:sz w:val="21"/>
                <w:szCs w:val="21"/>
              </w:rPr>
              <w:t>大气环境</w:t>
            </w:r>
          </w:p>
        </w:tc>
        <w:tc>
          <w:tcPr>
            <w:tcW w:w="1066" w:type="dxa"/>
            <w:noWrap w:val="0"/>
            <w:vAlign w:val="center"/>
          </w:tcPr>
          <w:p>
            <w:pPr>
              <w:pStyle w:val="31"/>
              <w:bidi w:val="0"/>
              <w:rPr>
                <w:rFonts w:hint="eastAsia"/>
                <w:color w:val="auto"/>
                <w:lang w:val="en-US" w:eastAsia="zh-CN"/>
              </w:rPr>
            </w:pPr>
            <w:r>
              <w:rPr>
                <w:rFonts w:hint="eastAsia"/>
                <w:color w:val="auto"/>
                <w:lang w:val="en-US" w:eastAsia="zh-CN"/>
              </w:rPr>
              <w:t>厂界</w:t>
            </w:r>
          </w:p>
          <w:p>
            <w:pPr>
              <w:pStyle w:val="31"/>
              <w:bidi w:val="0"/>
              <w:rPr>
                <w:rFonts w:hint="default"/>
                <w:color w:val="auto"/>
                <w:lang w:val="en-US" w:eastAsia="zh-CN"/>
              </w:rPr>
            </w:pPr>
            <w:r>
              <w:rPr>
                <w:rFonts w:hint="eastAsia"/>
                <w:color w:val="auto"/>
                <w:lang w:val="en-US" w:eastAsia="zh-CN"/>
              </w:rPr>
              <w:t>无组织</w:t>
            </w:r>
          </w:p>
        </w:tc>
        <w:tc>
          <w:tcPr>
            <w:tcW w:w="1108" w:type="dxa"/>
            <w:noWrap w:val="0"/>
            <w:vAlign w:val="center"/>
          </w:tcPr>
          <w:p>
            <w:pPr>
              <w:pStyle w:val="31"/>
              <w:bidi w:val="0"/>
              <w:rPr>
                <w:rFonts w:hint="default"/>
                <w:color w:val="auto"/>
                <w:lang w:val="en-US" w:eastAsia="zh-CN"/>
              </w:rPr>
            </w:pPr>
            <w:r>
              <w:rPr>
                <w:rFonts w:hint="eastAsia"/>
                <w:color w:val="auto"/>
                <w:lang w:val="en-US" w:eastAsia="zh-CN"/>
              </w:rPr>
              <w:t>颗粒物</w:t>
            </w:r>
          </w:p>
        </w:tc>
        <w:tc>
          <w:tcPr>
            <w:tcW w:w="3256" w:type="dxa"/>
            <w:noWrap w:val="0"/>
            <w:vAlign w:val="center"/>
          </w:tcPr>
          <w:p>
            <w:pPr>
              <w:pStyle w:val="31"/>
              <w:bidi w:val="0"/>
              <w:jc w:val="left"/>
              <w:rPr>
                <w:rFonts w:hint="eastAsia"/>
                <w:color w:val="auto"/>
                <w:lang w:val="en-US" w:eastAsia="zh-CN"/>
              </w:rPr>
            </w:pPr>
            <w:r>
              <w:rPr>
                <w:rFonts w:hint="default"/>
                <w:color w:val="auto"/>
                <w:lang w:val="en-US" w:eastAsia="zh-CN"/>
              </w:rPr>
              <w:t>①</w:t>
            </w:r>
            <w:r>
              <w:rPr>
                <w:rFonts w:hint="eastAsia"/>
                <w:color w:val="auto"/>
                <w:lang w:val="en-US" w:eastAsia="zh-CN"/>
              </w:rPr>
              <w:t>砂石料堆场密闭设置（三面及顶部围蔽，仅保留进出料面敞开），配套喷淋装置抑尘；</w:t>
            </w:r>
          </w:p>
          <w:p>
            <w:pPr>
              <w:pStyle w:val="31"/>
              <w:bidi w:val="0"/>
              <w:jc w:val="left"/>
              <w:rPr>
                <w:rFonts w:hint="default"/>
                <w:color w:val="auto"/>
                <w:lang w:val="en-US" w:eastAsia="zh-CN"/>
              </w:rPr>
            </w:pPr>
            <w:r>
              <w:rPr>
                <w:rFonts w:hint="default"/>
                <w:color w:val="auto"/>
                <w:lang w:val="en-US" w:eastAsia="zh-CN"/>
              </w:rPr>
              <w:t>②厂区道路硬化、定时人工洒水抑尘和清扫、出入口设置洗车台对进出车辆进行冲洗</w:t>
            </w:r>
            <w:r>
              <w:rPr>
                <w:rFonts w:hint="eastAsia"/>
                <w:color w:val="auto"/>
                <w:lang w:val="en-US" w:eastAsia="zh-CN"/>
              </w:rPr>
              <w:t>；</w:t>
            </w:r>
          </w:p>
          <w:p>
            <w:pPr>
              <w:pStyle w:val="31"/>
              <w:bidi w:val="0"/>
              <w:jc w:val="left"/>
              <w:rPr>
                <w:rFonts w:hint="eastAsia"/>
                <w:color w:val="auto"/>
                <w:lang w:val="en-US" w:eastAsia="zh-CN"/>
              </w:rPr>
            </w:pPr>
            <w:r>
              <w:rPr>
                <w:rFonts w:hint="default"/>
                <w:color w:val="auto"/>
                <w:lang w:val="en-US" w:eastAsia="zh-CN"/>
              </w:rPr>
              <w:t>③</w:t>
            </w:r>
            <w:r>
              <w:rPr>
                <w:rFonts w:hint="eastAsia"/>
                <w:color w:val="auto"/>
                <w:lang w:val="en-US" w:eastAsia="zh-CN"/>
              </w:rPr>
              <w:t>搅拌站整体封</w:t>
            </w:r>
            <w:r>
              <w:rPr>
                <w:rFonts w:hint="eastAsia"/>
                <w:color w:val="auto"/>
                <w:sz w:val="21"/>
                <w:szCs w:val="21"/>
                <w:lang w:val="en-US" w:eastAsia="zh-CN"/>
              </w:rPr>
              <w:t>闭设置并配套喷淋装置抑尘，</w:t>
            </w:r>
            <w:r>
              <w:rPr>
                <w:rFonts w:hint="eastAsia" w:ascii="Times New Roman" w:hAnsi="Times New Roman" w:eastAsia="宋体" w:cs="Times New Roman"/>
                <w:color w:val="auto"/>
                <w:kern w:val="0"/>
                <w:sz w:val="21"/>
                <w:szCs w:val="21"/>
                <w:highlight w:val="none"/>
                <w:lang w:val="en-US" w:eastAsia="zh-CN" w:bidi="ar-SA"/>
              </w:rPr>
              <w:t>搅拌站进料口配套喷淋装置抑尘，</w:t>
            </w:r>
            <w:r>
              <w:rPr>
                <w:rFonts w:hint="eastAsia"/>
                <w:color w:val="auto"/>
                <w:sz w:val="21"/>
                <w:szCs w:val="21"/>
                <w:lang w:val="en-US" w:eastAsia="zh-CN"/>
              </w:rPr>
              <w:t>搅拌机密闭运行，加水湿式搅拌；</w:t>
            </w:r>
          </w:p>
          <w:p>
            <w:pPr>
              <w:pStyle w:val="31"/>
              <w:bidi w:val="0"/>
              <w:jc w:val="left"/>
              <w:rPr>
                <w:rFonts w:hint="default"/>
                <w:color w:val="auto"/>
                <w:lang w:val="en-US" w:eastAsia="zh-CN"/>
              </w:rPr>
            </w:pPr>
            <w:r>
              <w:rPr>
                <w:rFonts w:hint="default"/>
                <w:color w:val="auto"/>
                <w:lang w:val="en-US" w:eastAsia="zh-CN"/>
              </w:rPr>
              <w:t>④</w:t>
            </w:r>
            <w:r>
              <w:rPr>
                <w:rFonts w:hint="eastAsia"/>
                <w:color w:val="auto"/>
                <w:lang w:val="en-US" w:eastAsia="zh-CN"/>
              </w:rPr>
              <w:t>粉料仓顶置脉冲布袋除尘器对呼吸尘进行收集后车间内无组织排放，同时粉料仓所在的2#搅拌楼内部设有喷淋除尘装置。</w:t>
            </w:r>
          </w:p>
          <w:p>
            <w:pPr>
              <w:pStyle w:val="31"/>
              <w:bidi w:val="0"/>
              <w:jc w:val="left"/>
              <w:rPr>
                <w:rFonts w:hint="default"/>
                <w:color w:val="auto"/>
                <w:lang w:val="en-US" w:eastAsia="zh-CN"/>
              </w:rPr>
            </w:pPr>
            <w:r>
              <w:rPr>
                <w:rFonts w:hint="eastAsia"/>
                <w:color w:val="auto"/>
                <w:lang w:val="en-US" w:eastAsia="zh-CN"/>
              </w:rPr>
              <w:t>⑤输送带仅保留进卸料口，走廊封闭，进料区、输送带进出料口配套喷淋装置抑尘；</w:t>
            </w:r>
          </w:p>
          <w:p>
            <w:pPr>
              <w:pStyle w:val="31"/>
              <w:bidi w:val="0"/>
              <w:jc w:val="left"/>
              <w:rPr>
                <w:rFonts w:hint="default"/>
                <w:color w:val="auto"/>
                <w:lang w:val="en-US" w:eastAsia="zh-CN"/>
              </w:rPr>
            </w:pPr>
            <w:r>
              <w:rPr>
                <w:rFonts w:hint="eastAsia"/>
                <w:color w:val="auto"/>
                <w:lang w:val="en-US" w:eastAsia="zh-CN"/>
              </w:rPr>
              <w:t>⑥焊接烟尘车间内无组织排放；加强日常作业管理，切割、焊接等工序在相应车间内进行，并及时清扫重力沉降在地面的积尘；</w:t>
            </w:r>
          </w:p>
          <w:p>
            <w:pPr>
              <w:pStyle w:val="31"/>
              <w:bidi w:val="0"/>
              <w:jc w:val="left"/>
              <w:rPr>
                <w:rFonts w:hint="default"/>
                <w:color w:val="auto"/>
                <w:lang w:val="en-US" w:eastAsia="zh-CN"/>
              </w:rPr>
            </w:pPr>
            <w:r>
              <w:rPr>
                <w:rFonts w:hint="eastAsia"/>
                <w:color w:val="auto"/>
                <w:lang w:val="en-US" w:eastAsia="zh-CN"/>
              </w:rPr>
              <w:t>⑦厂区配套雾炮机，靠生产区的北、东北侧围墙配套喷淋抑尘装置，进一步降尘；</w:t>
            </w:r>
          </w:p>
          <w:p>
            <w:pPr>
              <w:pStyle w:val="31"/>
              <w:bidi w:val="0"/>
              <w:jc w:val="left"/>
              <w:rPr>
                <w:rFonts w:hint="default"/>
                <w:color w:val="auto"/>
                <w:lang w:val="en-US" w:eastAsia="zh-CN"/>
              </w:rPr>
            </w:pPr>
            <w:r>
              <w:rPr>
                <w:rFonts w:hint="eastAsia"/>
                <w:color w:val="auto"/>
                <w:lang w:val="en-US" w:eastAsia="zh-CN"/>
              </w:rPr>
              <w:t>⑧定期对废气设施进行</w:t>
            </w:r>
            <w:r>
              <w:rPr>
                <w:rFonts w:hint="default"/>
                <w:color w:val="auto"/>
                <w:lang w:val="en-US" w:eastAsia="zh-CN"/>
              </w:rPr>
              <w:t>维护保养</w:t>
            </w:r>
            <w:r>
              <w:rPr>
                <w:rFonts w:hint="eastAsia"/>
                <w:color w:val="auto"/>
                <w:lang w:val="en-US" w:eastAsia="zh-CN"/>
              </w:rPr>
              <w:t>。</w:t>
            </w:r>
          </w:p>
        </w:tc>
        <w:tc>
          <w:tcPr>
            <w:tcW w:w="2310" w:type="dxa"/>
            <w:noWrap w:val="0"/>
            <w:vAlign w:val="center"/>
          </w:tcPr>
          <w:p>
            <w:pPr>
              <w:pStyle w:val="31"/>
              <w:bidi w:val="0"/>
              <w:rPr>
                <w:rFonts w:hint="default"/>
                <w:color w:val="auto"/>
                <w:lang w:val="en-US" w:eastAsia="zh-CN"/>
              </w:rPr>
            </w:pPr>
            <w:r>
              <w:rPr>
                <w:rFonts w:hint="eastAsia"/>
                <w:color w:val="auto"/>
                <w:lang w:val="en-US" w:eastAsia="zh-CN"/>
              </w:rPr>
              <w:t>厂界无组织颗粒物从严执行《水泥工业大气污染物排放标准》（DB35/1311-2013）表3排放限值（即颗粒物</w:t>
            </w:r>
            <w:r>
              <w:rPr>
                <w:rFonts w:hint="default"/>
                <w:color w:val="auto"/>
                <w:lang w:val="en-US" w:eastAsia="zh-CN"/>
              </w:rPr>
              <w:t>≤</w:t>
            </w:r>
            <w:r>
              <w:rPr>
                <w:rFonts w:hint="eastAsia"/>
                <w:color w:val="auto"/>
                <w:lang w:val="en-US" w:eastAsia="zh-CN"/>
              </w:rPr>
              <w:t>0.5</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pPr>
              <w:pStyle w:val="31"/>
              <w:bidi w:val="0"/>
              <w:rPr>
                <w:rFonts w:hint="default"/>
                <w:color w:val="auto"/>
              </w:rPr>
            </w:pPr>
            <w:r>
              <w:rPr>
                <w:rFonts w:hint="default"/>
                <w:color w:val="auto"/>
              </w:rPr>
              <w:t>地表水</w:t>
            </w:r>
          </w:p>
          <w:p>
            <w:pPr>
              <w:pStyle w:val="31"/>
              <w:bidi w:val="0"/>
              <w:rPr>
                <w:rFonts w:hint="default"/>
                <w:color w:val="auto"/>
              </w:rPr>
            </w:pPr>
            <w:r>
              <w:rPr>
                <w:rFonts w:hint="default"/>
                <w:color w:val="auto"/>
              </w:rPr>
              <w:t>环境</w:t>
            </w:r>
          </w:p>
        </w:tc>
        <w:tc>
          <w:tcPr>
            <w:tcW w:w="1066" w:type="dxa"/>
            <w:noWrap w:val="0"/>
            <w:vAlign w:val="center"/>
          </w:tcPr>
          <w:p>
            <w:pPr>
              <w:pStyle w:val="31"/>
              <w:bidi w:val="0"/>
              <w:rPr>
                <w:rFonts w:hint="default"/>
                <w:color w:val="auto"/>
                <w:lang w:val="en-US" w:eastAsia="zh-CN"/>
              </w:rPr>
            </w:pPr>
            <w:r>
              <w:rPr>
                <w:rFonts w:hint="eastAsia"/>
                <w:color w:val="auto"/>
                <w:lang w:val="en-US" w:eastAsia="zh-CN"/>
              </w:rPr>
              <w:t>洗车废水</w:t>
            </w:r>
          </w:p>
        </w:tc>
        <w:tc>
          <w:tcPr>
            <w:tcW w:w="1108" w:type="dxa"/>
            <w:noWrap w:val="0"/>
            <w:vAlign w:val="center"/>
          </w:tcPr>
          <w:p>
            <w:pPr>
              <w:pStyle w:val="31"/>
              <w:bidi w:val="0"/>
              <w:rPr>
                <w:rFonts w:hint="default"/>
                <w:color w:val="auto"/>
                <w:lang w:val="en-US" w:eastAsia="zh-CN"/>
              </w:rPr>
            </w:pPr>
            <w:r>
              <w:rPr>
                <w:rFonts w:hint="default"/>
                <w:color w:val="auto"/>
              </w:rPr>
              <w:t>COD、</w:t>
            </w:r>
            <w:r>
              <w:rPr>
                <w:rFonts w:hint="eastAsia"/>
                <w:color w:val="auto"/>
                <w:lang w:val="en-US" w:eastAsia="zh-CN"/>
              </w:rPr>
              <w:t>SS</w:t>
            </w:r>
            <w:r>
              <w:rPr>
                <w:rFonts w:hint="default"/>
                <w:color w:val="auto"/>
              </w:rPr>
              <w:t>、</w:t>
            </w:r>
            <w:r>
              <w:rPr>
                <w:rFonts w:hint="eastAsia"/>
                <w:color w:val="auto"/>
                <w:lang w:val="en-US" w:eastAsia="zh-CN"/>
              </w:rPr>
              <w:t>石油类</w:t>
            </w:r>
          </w:p>
        </w:tc>
        <w:tc>
          <w:tcPr>
            <w:tcW w:w="3256" w:type="dxa"/>
            <w:noWrap w:val="0"/>
            <w:vAlign w:val="center"/>
          </w:tcPr>
          <w:p>
            <w:pPr>
              <w:pStyle w:val="31"/>
              <w:bidi w:val="0"/>
              <w:rPr>
                <w:rFonts w:hint="default"/>
                <w:color w:val="auto"/>
                <w:lang w:val="en-US" w:eastAsia="zh-CN"/>
              </w:rPr>
            </w:pPr>
            <w:r>
              <w:rPr>
                <w:rFonts w:hint="eastAsia"/>
                <w:color w:val="auto"/>
                <w:lang w:val="en-US" w:eastAsia="zh-CN"/>
              </w:rPr>
              <w:t>洗车废水经洗车台配套沉淀池处理后回用于车辆冲洗，不外排，沉淀池表层浮油采用吸油毡定期清理，废吸油毡作为危险废物，暂存于危险废物贮存库内，委托资质单位定期清运处置</w:t>
            </w:r>
          </w:p>
        </w:tc>
        <w:tc>
          <w:tcPr>
            <w:tcW w:w="2310" w:type="dxa"/>
            <w:noWrap w:val="0"/>
            <w:vAlign w:val="center"/>
          </w:tcPr>
          <w:p>
            <w:pPr>
              <w:pStyle w:val="31"/>
              <w:bidi w:val="0"/>
              <w:rPr>
                <w:rFonts w:hint="default"/>
                <w:color w:val="auto"/>
                <w:lang w:val="en-US" w:eastAsia="zh-CN"/>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60" w:type="dxa"/>
            <w:vMerge w:val="continue"/>
            <w:noWrap w:val="0"/>
            <w:vAlign w:val="center"/>
          </w:tcPr>
          <w:p>
            <w:pPr>
              <w:pStyle w:val="31"/>
              <w:bidi w:val="0"/>
              <w:rPr>
                <w:rFonts w:hint="default"/>
                <w:color w:val="auto"/>
              </w:rPr>
            </w:pPr>
          </w:p>
        </w:tc>
        <w:tc>
          <w:tcPr>
            <w:tcW w:w="1066" w:type="dxa"/>
            <w:noWrap w:val="0"/>
            <w:vAlign w:val="center"/>
          </w:tcPr>
          <w:p>
            <w:pPr>
              <w:pStyle w:val="31"/>
              <w:bidi w:val="0"/>
              <w:rPr>
                <w:rFonts w:hint="default"/>
                <w:color w:val="auto"/>
                <w:lang w:val="en-US" w:eastAsia="zh-CN"/>
              </w:rPr>
            </w:pPr>
            <w:r>
              <w:rPr>
                <w:rFonts w:hint="eastAsia"/>
                <w:color w:val="auto"/>
                <w:lang w:val="en-US" w:eastAsia="zh-CN"/>
              </w:rPr>
              <w:t>设备清洗废水</w:t>
            </w:r>
          </w:p>
        </w:tc>
        <w:tc>
          <w:tcPr>
            <w:tcW w:w="1108" w:type="dxa"/>
            <w:noWrap w:val="0"/>
            <w:vAlign w:val="center"/>
          </w:tcPr>
          <w:p>
            <w:pPr>
              <w:pStyle w:val="31"/>
              <w:bidi w:val="0"/>
              <w:rPr>
                <w:rFonts w:hint="eastAsia"/>
                <w:color w:val="auto"/>
                <w:lang w:val="en-US" w:eastAsia="zh-CN"/>
              </w:rPr>
            </w:pPr>
            <w:r>
              <w:rPr>
                <w:rFonts w:hint="eastAsia"/>
                <w:color w:val="auto"/>
                <w:lang w:val="en-US" w:eastAsia="zh-CN"/>
              </w:rPr>
              <w:t>COD、SS</w:t>
            </w:r>
          </w:p>
        </w:tc>
        <w:tc>
          <w:tcPr>
            <w:tcW w:w="3256" w:type="dxa"/>
            <w:vMerge w:val="restart"/>
            <w:noWrap w:val="0"/>
            <w:vAlign w:val="center"/>
          </w:tcPr>
          <w:p>
            <w:pPr>
              <w:pStyle w:val="31"/>
              <w:bidi w:val="0"/>
              <w:rPr>
                <w:rFonts w:hint="eastAsia"/>
                <w:color w:val="auto"/>
                <w:lang w:eastAsia="zh-CN"/>
              </w:rPr>
            </w:pPr>
            <w:r>
              <w:rPr>
                <w:rFonts w:hint="eastAsia"/>
                <w:color w:val="auto"/>
                <w:lang w:eastAsia="zh-CN"/>
              </w:rPr>
              <w:t>经</w:t>
            </w:r>
            <w:r>
              <w:rPr>
                <w:rFonts w:hint="eastAsia"/>
                <w:color w:val="auto"/>
                <w:lang w:val="en-US" w:eastAsia="zh-CN"/>
              </w:rPr>
              <w:t>生产废水处理系统（斜坡沉淀池）处理后，上清液回用于搅拌，不外排</w:t>
            </w:r>
          </w:p>
        </w:tc>
        <w:tc>
          <w:tcPr>
            <w:tcW w:w="2310" w:type="dxa"/>
            <w:vMerge w:val="restart"/>
            <w:noWrap w:val="0"/>
            <w:vAlign w:val="center"/>
          </w:tcPr>
          <w:p>
            <w:pPr>
              <w:pStyle w:val="31"/>
              <w:bidi w:val="0"/>
              <w:rPr>
                <w:rFonts w:hint="default"/>
                <w:color w:val="auto"/>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31"/>
              <w:bidi w:val="0"/>
              <w:rPr>
                <w:rFonts w:hint="default"/>
                <w:color w:val="auto"/>
              </w:rPr>
            </w:pPr>
          </w:p>
        </w:tc>
        <w:tc>
          <w:tcPr>
            <w:tcW w:w="1066" w:type="dxa"/>
            <w:noWrap w:val="0"/>
            <w:vAlign w:val="center"/>
          </w:tcPr>
          <w:p>
            <w:pPr>
              <w:pStyle w:val="31"/>
              <w:bidi w:val="0"/>
              <w:rPr>
                <w:rFonts w:hint="default"/>
                <w:color w:val="auto"/>
                <w:lang w:val="en-US" w:eastAsia="zh-CN"/>
              </w:rPr>
            </w:pPr>
            <w:r>
              <w:rPr>
                <w:rFonts w:hint="eastAsia"/>
                <w:color w:val="auto"/>
                <w:lang w:val="en-US" w:eastAsia="zh-CN"/>
              </w:rPr>
              <w:t>生产区地面冲洗废水</w:t>
            </w:r>
          </w:p>
        </w:tc>
        <w:tc>
          <w:tcPr>
            <w:tcW w:w="1108" w:type="dxa"/>
            <w:noWrap w:val="0"/>
            <w:vAlign w:val="center"/>
          </w:tcPr>
          <w:p>
            <w:pPr>
              <w:pStyle w:val="31"/>
              <w:bidi w:val="0"/>
              <w:rPr>
                <w:rFonts w:hint="eastAsia"/>
                <w:color w:val="auto"/>
                <w:lang w:val="en-US" w:eastAsia="zh-CN"/>
              </w:rPr>
            </w:pPr>
            <w:r>
              <w:rPr>
                <w:rFonts w:hint="eastAsia"/>
                <w:color w:val="auto"/>
                <w:lang w:val="en-US" w:eastAsia="zh-CN"/>
              </w:rPr>
              <w:t>COD、SS</w:t>
            </w:r>
          </w:p>
        </w:tc>
        <w:tc>
          <w:tcPr>
            <w:tcW w:w="3256" w:type="dxa"/>
            <w:vMerge w:val="continue"/>
            <w:noWrap w:val="0"/>
            <w:vAlign w:val="center"/>
          </w:tcPr>
          <w:p>
            <w:pPr>
              <w:pStyle w:val="31"/>
              <w:bidi w:val="0"/>
              <w:rPr>
                <w:rFonts w:hint="eastAsia"/>
                <w:color w:val="auto"/>
                <w:lang w:eastAsia="zh-CN"/>
              </w:rPr>
            </w:pPr>
          </w:p>
        </w:tc>
        <w:tc>
          <w:tcPr>
            <w:tcW w:w="2310" w:type="dxa"/>
            <w:vMerge w:val="continue"/>
            <w:noWrap w:val="0"/>
            <w:vAlign w:val="center"/>
          </w:tcPr>
          <w:p>
            <w:pPr>
              <w:pStyle w:val="31"/>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31"/>
              <w:bidi w:val="0"/>
              <w:rPr>
                <w:rFonts w:hint="default"/>
                <w:color w:val="auto"/>
              </w:rPr>
            </w:pPr>
          </w:p>
        </w:tc>
        <w:tc>
          <w:tcPr>
            <w:tcW w:w="1066" w:type="dxa"/>
            <w:noWrap w:val="0"/>
            <w:vAlign w:val="center"/>
          </w:tcPr>
          <w:p>
            <w:pPr>
              <w:pStyle w:val="31"/>
              <w:bidi w:val="0"/>
              <w:rPr>
                <w:rFonts w:hint="eastAsia"/>
                <w:color w:val="auto"/>
                <w:lang w:val="en-US" w:eastAsia="zh-CN"/>
              </w:rPr>
            </w:pPr>
            <w:r>
              <w:rPr>
                <w:rFonts w:hint="eastAsia"/>
                <w:color w:val="auto"/>
                <w:lang w:val="en-US" w:eastAsia="zh-CN"/>
              </w:rPr>
              <w:t>试验清洗废水</w:t>
            </w:r>
          </w:p>
        </w:tc>
        <w:tc>
          <w:tcPr>
            <w:tcW w:w="1108" w:type="dxa"/>
            <w:noWrap w:val="0"/>
            <w:vAlign w:val="center"/>
          </w:tcPr>
          <w:p>
            <w:pPr>
              <w:pStyle w:val="31"/>
              <w:bidi w:val="0"/>
              <w:rPr>
                <w:rFonts w:hint="eastAsia"/>
                <w:color w:val="auto"/>
                <w:lang w:val="en-US" w:eastAsia="zh-CN"/>
              </w:rPr>
            </w:pPr>
            <w:r>
              <w:rPr>
                <w:rFonts w:hint="eastAsia"/>
                <w:color w:val="auto"/>
                <w:lang w:val="en-US" w:eastAsia="zh-CN"/>
              </w:rPr>
              <w:t>COD、SS</w:t>
            </w:r>
          </w:p>
        </w:tc>
        <w:tc>
          <w:tcPr>
            <w:tcW w:w="3256" w:type="dxa"/>
            <w:vMerge w:val="continue"/>
            <w:noWrap w:val="0"/>
            <w:vAlign w:val="center"/>
          </w:tcPr>
          <w:p>
            <w:pPr>
              <w:pStyle w:val="31"/>
              <w:bidi w:val="0"/>
              <w:rPr>
                <w:rFonts w:hint="eastAsia"/>
                <w:color w:val="auto"/>
                <w:lang w:eastAsia="zh-CN"/>
              </w:rPr>
            </w:pPr>
          </w:p>
        </w:tc>
        <w:tc>
          <w:tcPr>
            <w:tcW w:w="2310" w:type="dxa"/>
            <w:vMerge w:val="continue"/>
            <w:noWrap w:val="0"/>
            <w:vAlign w:val="center"/>
          </w:tcPr>
          <w:p>
            <w:pPr>
              <w:pStyle w:val="31"/>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31"/>
              <w:bidi w:val="0"/>
              <w:rPr>
                <w:rFonts w:hint="default"/>
                <w:color w:val="auto"/>
              </w:rPr>
            </w:pPr>
          </w:p>
        </w:tc>
        <w:tc>
          <w:tcPr>
            <w:tcW w:w="1066" w:type="dxa"/>
            <w:noWrap w:val="0"/>
            <w:vAlign w:val="center"/>
          </w:tcPr>
          <w:p>
            <w:pPr>
              <w:pStyle w:val="31"/>
              <w:bidi w:val="0"/>
              <w:rPr>
                <w:rFonts w:hint="default"/>
                <w:color w:val="auto"/>
                <w:lang w:val="en-US" w:eastAsia="zh-CN"/>
              </w:rPr>
            </w:pPr>
            <w:r>
              <w:rPr>
                <w:rFonts w:hint="eastAsia"/>
                <w:color w:val="auto"/>
                <w:lang w:val="en-US" w:eastAsia="zh-CN"/>
              </w:rPr>
              <w:t>生产区初期雨水</w:t>
            </w:r>
          </w:p>
        </w:tc>
        <w:tc>
          <w:tcPr>
            <w:tcW w:w="1108" w:type="dxa"/>
            <w:noWrap w:val="0"/>
            <w:vAlign w:val="center"/>
          </w:tcPr>
          <w:p>
            <w:pPr>
              <w:pStyle w:val="31"/>
              <w:bidi w:val="0"/>
              <w:rPr>
                <w:rFonts w:hint="eastAsia"/>
                <w:color w:val="auto"/>
                <w:lang w:val="en-US" w:eastAsia="zh-CN"/>
              </w:rPr>
            </w:pPr>
            <w:r>
              <w:rPr>
                <w:rFonts w:hint="default"/>
                <w:color w:val="auto"/>
              </w:rPr>
              <w:t>COD、</w:t>
            </w:r>
            <w:r>
              <w:rPr>
                <w:rFonts w:hint="eastAsia"/>
                <w:color w:val="auto"/>
                <w:lang w:val="en-US" w:eastAsia="zh-CN"/>
              </w:rPr>
              <w:t>SS</w:t>
            </w:r>
          </w:p>
        </w:tc>
        <w:tc>
          <w:tcPr>
            <w:tcW w:w="3256" w:type="dxa"/>
            <w:noWrap w:val="0"/>
            <w:vAlign w:val="center"/>
          </w:tcPr>
          <w:p>
            <w:pPr>
              <w:pStyle w:val="31"/>
              <w:bidi w:val="0"/>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经生产区四周排水沟渠收集进入雨水收集池暂存，分批</w:t>
            </w:r>
            <w:r>
              <w:rPr>
                <w:rFonts w:hint="eastAsia" w:cs="Times New Roman"/>
                <w:color w:val="auto"/>
                <w:sz w:val="21"/>
                <w:szCs w:val="21"/>
                <w:highlight w:val="none"/>
                <w:lang w:val="en-US" w:eastAsia="zh-CN"/>
              </w:rPr>
              <w:t>引至</w:t>
            </w:r>
            <w:r>
              <w:rPr>
                <w:rFonts w:hint="eastAsia"/>
                <w:color w:val="auto"/>
                <w:lang w:val="en-US" w:eastAsia="zh-CN"/>
              </w:rPr>
              <w:t>斜坡沉淀池</w:t>
            </w:r>
            <w:r>
              <w:rPr>
                <w:rFonts w:hint="eastAsia" w:ascii="Times New Roman" w:hAnsi="Times New Roman" w:eastAsia="宋体" w:cs="Times New Roman"/>
                <w:color w:val="auto"/>
                <w:sz w:val="21"/>
                <w:szCs w:val="21"/>
                <w:highlight w:val="none"/>
                <w:lang w:val="en-US" w:eastAsia="zh-CN"/>
              </w:rPr>
              <w:t>处理后，全部回用，不外排</w:t>
            </w:r>
          </w:p>
        </w:tc>
        <w:tc>
          <w:tcPr>
            <w:tcW w:w="2310" w:type="dxa"/>
            <w:vMerge w:val="continue"/>
            <w:noWrap w:val="0"/>
            <w:vAlign w:val="center"/>
          </w:tcPr>
          <w:p>
            <w:pPr>
              <w:pStyle w:val="31"/>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31"/>
              <w:bidi w:val="0"/>
              <w:rPr>
                <w:rFonts w:hint="default"/>
                <w:color w:val="auto"/>
              </w:rPr>
            </w:pPr>
          </w:p>
        </w:tc>
        <w:tc>
          <w:tcPr>
            <w:tcW w:w="1066" w:type="dxa"/>
            <w:noWrap w:val="0"/>
            <w:vAlign w:val="center"/>
          </w:tcPr>
          <w:p>
            <w:pPr>
              <w:pStyle w:val="31"/>
              <w:bidi w:val="0"/>
              <w:rPr>
                <w:rFonts w:hint="default"/>
                <w:color w:val="auto"/>
                <w:lang w:val="en-US" w:eastAsia="zh-CN"/>
              </w:rPr>
            </w:pPr>
            <w:r>
              <w:rPr>
                <w:rFonts w:hint="eastAsia"/>
                <w:color w:val="auto"/>
                <w:lang w:val="en-US" w:eastAsia="zh-CN"/>
              </w:rPr>
              <w:t>生活污水</w:t>
            </w:r>
          </w:p>
        </w:tc>
        <w:tc>
          <w:tcPr>
            <w:tcW w:w="1108" w:type="dxa"/>
            <w:noWrap w:val="0"/>
            <w:vAlign w:val="center"/>
          </w:tcPr>
          <w:p>
            <w:pPr>
              <w:pStyle w:val="31"/>
              <w:bidi w:val="0"/>
              <w:rPr>
                <w:rFonts w:hint="default"/>
                <w:color w:val="auto"/>
                <w:lang w:val="en-US"/>
              </w:rPr>
            </w:pPr>
            <w:r>
              <w:rPr>
                <w:rFonts w:hint="default"/>
                <w:color w:val="auto"/>
              </w:rPr>
              <w:t>COD、BOD</w:t>
            </w:r>
            <w:r>
              <w:rPr>
                <w:rFonts w:hint="default"/>
                <w:color w:val="auto"/>
                <w:vertAlign w:val="subscript"/>
              </w:rPr>
              <w:t>5</w:t>
            </w:r>
            <w:r>
              <w:rPr>
                <w:rFonts w:hint="eastAsia"/>
                <w:color w:val="auto"/>
                <w:lang w:eastAsia="zh-CN"/>
              </w:rPr>
              <w:t>、</w:t>
            </w:r>
            <w:r>
              <w:rPr>
                <w:rFonts w:hint="eastAsia"/>
                <w:color w:val="auto"/>
                <w:lang w:val="en-US" w:eastAsia="zh-CN"/>
              </w:rPr>
              <w:t>SS</w:t>
            </w:r>
            <w:r>
              <w:rPr>
                <w:rFonts w:hint="default"/>
                <w:color w:val="auto"/>
              </w:rPr>
              <w:t>、</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3256" w:type="dxa"/>
            <w:noWrap w:val="0"/>
            <w:vAlign w:val="center"/>
          </w:tcPr>
          <w:p>
            <w:pPr>
              <w:pStyle w:val="31"/>
              <w:bidi w:val="0"/>
              <w:rPr>
                <w:rFonts w:hint="default"/>
                <w:color w:val="auto"/>
                <w:lang w:val="en-US" w:eastAsia="zh-CN"/>
              </w:rPr>
            </w:pPr>
            <w:r>
              <w:rPr>
                <w:rFonts w:hint="default"/>
                <w:color w:val="auto"/>
                <w:highlight w:val="none"/>
                <w:lang w:val="en-US" w:eastAsia="zh-CN"/>
              </w:rPr>
              <w:t>化粪池</w:t>
            </w:r>
            <w:r>
              <w:rPr>
                <w:rFonts w:hint="eastAsia"/>
                <w:color w:val="auto"/>
                <w:highlight w:val="none"/>
                <w:lang w:val="en-US" w:eastAsia="zh-CN"/>
              </w:rPr>
              <w:t>+一体化污水处理设施</w:t>
            </w:r>
            <w:r>
              <w:rPr>
                <w:rFonts w:hint="default"/>
                <w:color w:val="auto"/>
                <w:highlight w:val="none"/>
                <w:lang w:val="en-US" w:eastAsia="zh-CN"/>
              </w:rPr>
              <w:t>处理，出</w:t>
            </w:r>
            <w:r>
              <w:rPr>
                <w:rFonts w:hint="default"/>
                <w:color w:val="auto"/>
                <w:lang w:val="en-US" w:eastAsia="zh-CN"/>
              </w:rPr>
              <w:t>水</w:t>
            </w:r>
            <w:r>
              <w:rPr>
                <w:rFonts w:hint="eastAsia"/>
                <w:color w:val="auto"/>
                <w:lang w:val="en-US" w:eastAsia="zh-CN"/>
              </w:rPr>
              <w:t>回用于绿化灌溉</w:t>
            </w:r>
            <w:r>
              <w:rPr>
                <w:rFonts w:hint="eastAsia"/>
                <w:color w:val="auto"/>
                <w:highlight w:val="none"/>
                <w:lang w:val="en-US" w:eastAsia="zh-CN"/>
              </w:rPr>
              <w:t>和混凝土搅拌</w:t>
            </w:r>
          </w:p>
        </w:tc>
        <w:tc>
          <w:tcPr>
            <w:tcW w:w="2310" w:type="dxa"/>
            <w:noWrap w:val="0"/>
            <w:vAlign w:val="center"/>
          </w:tcPr>
          <w:p>
            <w:pPr>
              <w:pStyle w:val="31"/>
              <w:bidi w:val="0"/>
              <w:rPr>
                <w:rFonts w:hint="default"/>
                <w:color w:val="auto"/>
                <w:lang w:val="en-US" w:eastAsia="zh-CN"/>
              </w:rPr>
            </w:pPr>
            <w:r>
              <w:rPr>
                <w:rFonts w:hint="eastAsia"/>
                <w:color w:val="auto"/>
                <w:lang w:val="en-US" w:eastAsia="zh-CN"/>
              </w:rPr>
              <w:t>回用水执行</w:t>
            </w:r>
            <w:r>
              <w:rPr>
                <w:rFonts w:hint="eastAsia"/>
                <w:color w:val="auto"/>
                <w:lang w:val="en-GB" w:eastAsia="zh-CN"/>
              </w:rPr>
              <w:t>《城市污水再生利用 绿地灌溉水质》（GB/T25499-2010）（</w:t>
            </w: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r>
              <w:rPr>
                <w:rFonts w:hint="eastAsia" w:ascii="Times New Roman" w:hAnsi="Times New Roman" w:eastAsia="宋体" w:cs="Times New Roman"/>
                <w:b w:val="0"/>
                <w:bCs w:val="0"/>
                <w:color w:val="auto"/>
                <w:kern w:val="18"/>
                <w:sz w:val="21"/>
                <w:szCs w:val="21"/>
                <w:highlight w:val="none"/>
                <w:lang w:val="en-US" w:eastAsia="zh-CN"/>
              </w:rPr>
              <w:t>≤20</w:t>
            </w:r>
            <w:r>
              <w:rPr>
                <w:color w:val="auto"/>
              </w:rPr>
              <w:t>mg/</w:t>
            </w:r>
            <w:r>
              <w:rPr>
                <w:rFonts w:hint="eastAsia"/>
                <w:color w:val="auto"/>
                <w:lang w:val="en-US" w:eastAsia="zh-CN"/>
              </w:rPr>
              <w:t>L</w:t>
            </w:r>
            <w:r>
              <w:rPr>
                <w:rFonts w:hint="eastAsia" w:ascii="Times New Roman" w:hAnsi="Times New Roman" w:eastAsia="宋体" w:cs="Times New Roman"/>
                <w:b w:val="0"/>
                <w:bCs w:val="0"/>
                <w:color w:val="auto"/>
                <w:kern w:val="18"/>
                <w:sz w:val="21"/>
                <w:szCs w:val="21"/>
                <w:highlight w:val="none"/>
                <w:lang w:val="en-US" w:eastAsia="zh-CN"/>
              </w:rPr>
              <w:t>、</w:t>
            </w:r>
            <w:r>
              <w:rPr>
                <w:rFonts w:hint="default"/>
                <w:color w:val="auto"/>
                <w:sz w:val="21"/>
                <w:szCs w:val="21"/>
                <w:lang w:val="en-US" w:eastAsia="zh-CN"/>
              </w:rPr>
              <w:t>BOD</w:t>
            </w:r>
            <w:r>
              <w:rPr>
                <w:rFonts w:hint="default"/>
                <w:color w:val="auto"/>
                <w:sz w:val="21"/>
                <w:szCs w:val="21"/>
                <w:highlight w:val="none"/>
                <w:vertAlign w:val="subscript"/>
                <w:lang w:val="en-US" w:eastAsia="zh-CN"/>
              </w:rPr>
              <w:t>5</w:t>
            </w:r>
            <w:r>
              <w:rPr>
                <w:rFonts w:hint="eastAsia" w:ascii="Times New Roman" w:hAnsi="Times New Roman" w:eastAsia="宋体" w:cs="Times New Roman"/>
                <w:b w:val="0"/>
                <w:bCs w:val="0"/>
                <w:color w:val="auto"/>
                <w:kern w:val="18"/>
                <w:sz w:val="21"/>
                <w:szCs w:val="21"/>
                <w:highlight w:val="none"/>
                <w:lang w:val="en-US" w:eastAsia="zh-CN"/>
              </w:rPr>
              <w:t>≤20</w:t>
            </w:r>
            <w:r>
              <w:rPr>
                <w:color w:val="auto"/>
              </w:rPr>
              <w:t>mg/</w:t>
            </w:r>
            <w:r>
              <w:rPr>
                <w:rFonts w:hint="eastAsia"/>
                <w:color w:val="auto"/>
                <w:lang w:val="en-US" w:eastAsia="zh-CN"/>
              </w:rPr>
              <w:t>L</w:t>
            </w:r>
            <w:r>
              <w:rPr>
                <w:rFonts w:hint="eastAsia" w:ascii="Times New Roman" w:hAnsi="Times New Roman" w:eastAsia="宋体" w:cs="Times New Roman"/>
                <w:b w:val="0"/>
                <w:bCs w:val="0"/>
                <w:color w:val="auto"/>
                <w:kern w:val="18"/>
                <w:sz w:val="21"/>
                <w:szCs w:val="21"/>
                <w:highlight w:val="none"/>
                <w:lang w:val="en-US" w:eastAsia="zh-CN"/>
              </w:rPr>
              <w:t>、</w:t>
            </w:r>
            <w:r>
              <w:rPr>
                <w:rFonts w:hint="default" w:ascii="Times New Roman" w:hAnsi="Times New Roman" w:eastAsia="宋体" w:cs="Times New Roman"/>
                <w:color w:val="auto"/>
                <w:kern w:val="18"/>
                <w:sz w:val="21"/>
                <w:szCs w:val="21"/>
                <w:highlight w:val="none"/>
              </w:rPr>
              <w:t>pH</w:t>
            </w:r>
            <w:r>
              <w:rPr>
                <w:rFonts w:hint="eastAsia" w:ascii="Times New Roman" w:hAnsi="Times New Roman" w:eastAsia="宋体" w:cs="Times New Roman"/>
                <w:b w:val="0"/>
                <w:bCs w:val="0"/>
                <w:color w:val="auto"/>
                <w:kern w:val="18"/>
                <w:sz w:val="21"/>
                <w:szCs w:val="21"/>
                <w:highlight w:val="none"/>
                <w:lang w:val="en-US" w:eastAsia="zh-CN"/>
              </w:rPr>
              <w:t>6.0~9.0</w:t>
            </w:r>
            <w:r>
              <w:rPr>
                <w:rFonts w:hint="eastAsia"/>
                <w:color w:val="auto"/>
                <w:lang w:val="en-GB"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060" w:type="dxa"/>
            <w:noWrap w:val="0"/>
            <w:vAlign w:val="center"/>
          </w:tcPr>
          <w:p>
            <w:pPr>
              <w:pStyle w:val="31"/>
              <w:bidi w:val="0"/>
              <w:rPr>
                <w:rFonts w:hint="default"/>
                <w:color w:val="auto"/>
              </w:rPr>
            </w:pPr>
            <w:r>
              <w:rPr>
                <w:rFonts w:hint="default"/>
                <w:color w:val="auto"/>
              </w:rPr>
              <w:t>声环境</w:t>
            </w:r>
          </w:p>
        </w:tc>
        <w:tc>
          <w:tcPr>
            <w:tcW w:w="1066" w:type="dxa"/>
            <w:noWrap w:val="0"/>
            <w:vAlign w:val="center"/>
          </w:tcPr>
          <w:p>
            <w:pPr>
              <w:pStyle w:val="31"/>
              <w:bidi w:val="0"/>
              <w:rPr>
                <w:rFonts w:hint="default"/>
                <w:color w:val="auto"/>
                <w:lang w:val="en-US" w:eastAsia="zh-CN"/>
              </w:rPr>
            </w:pPr>
            <w:r>
              <w:rPr>
                <w:rFonts w:hint="default"/>
                <w:color w:val="auto"/>
              </w:rPr>
              <w:t>厂界四周</w:t>
            </w:r>
            <w:r>
              <w:rPr>
                <w:rFonts w:hint="eastAsia"/>
                <w:color w:val="auto"/>
                <w:lang w:eastAsia="zh-CN"/>
              </w:rPr>
              <w:t>外</w:t>
            </w:r>
            <w:r>
              <w:rPr>
                <w:rFonts w:hint="eastAsia"/>
                <w:color w:val="auto"/>
                <w:lang w:val="en-US" w:eastAsia="zh-CN"/>
              </w:rPr>
              <w:t>1m</w:t>
            </w:r>
          </w:p>
        </w:tc>
        <w:tc>
          <w:tcPr>
            <w:tcW w:w="1108" w:type="dxa"/>
            <w:noWrap w:val="0"/>
            <w:vAlign w:val="center"/>
          </w:tcPr>
          <w:p>
            <w:pPr>
              <w:pStyle w:val="31"/>
              <w:bidi w:val="0"/>
              <w:rPr>
                <w:rFonts w:hint="default"/>
                <w:color w:val="auto"/>
              </w:rPr>
            </w:pPr>
            <w:r>
              <w:rPr>
                <w:rFonts w:hint="default"/>
                <w:color w:val="auto"/>
              </w:rPr>
              <w:t>等效A</w:t>
            </w:r>
          </w:p>
          <w:p>
            <w:pPr>
              <w:pStyle w:val="31"/>
              <w:bidi w:val="0"/>
              <w:rPr>
                <w:rFonts w:hint="default"/>
                <w:color w:val="auto"/>
              </w:rPr>
            </w:pPr>
            <w:r>
              <w:rPr>
                <w:rFonts w:hint="default"/>
                <w:color w:val="auto"/>
              </w:rPr>
              <w:t>声级</w:t>
            </w:r>
          </w:p>
        </w:tc>
        <w:tc>
          <w:tcPr>
            <w:tcW w:w="3256" w:type="dxa"/>
            <w:noWrap w:val="0"/>
            <w:vAlign w:val="center"/>
          </w:tcPr>
          <w:p>
            <w:pPr>
              <w:pStyle w:val="31"/>
              <w:bidi w:val="0"/>
              <w:rPr>
                <w:rFonts w:hint="default"/>
                <w:color w:val="auto"/>
              </w:rPr>
            </w:pPr>
            <w:r>
              <w:rPr>
                <w:rFonts w:hint="default"/>
                <w:color w:val="auto"/>
                <w:lang w:val="en-GB" w:eastAsia="zh-CN"/>
              </w:rPr>
              <w:t>选用低噪声设备，加强设备维护，</w:t>
            </w:r>
            <w:r>
              <w:rPr>
                <w:rFonts w:hint="default"/>
                <w:color w:val="auto"/>
                <w:lang w:val="en-GB"/>
              </w:rPr>
              <w:t>高噪声设备设置基础减振、隔声等措施</w:t>
            </w:r>
          </w:p>
        </w:tc>
        <w:tc>
          <w:tcPr>
            <w:tcW w:w="2310" w:type="dxa"/>
            <w:noWrap w:val="0"/>
            <w:vAlign w:val="center"/>
          </w:tcPr>
          <w:p>
            <w:pPr>
              <w:pStyle w:val="31"/>
              <w:bidi w:val="0"/>
              <w:rPr>
                <w:rFonts w:hint="default"/>
                <w:color w:val="auto"/>
                <w:lang w:val="en-US" w:eastAsia="zh-CN"/>
              </w:rPr>
            </w:pPr>
            <w:r>
              <w:rPr>
                <w:rFonts w:hint="eastAsia"/>
                <w:color w:val="auto"/>
                <w:lang w:eastAsia="zh-CN"/>
              </w:rPr>
              <w:t>厂</w:t>
            </w:r>
            <w:r>
              <w:rPr>
                <w:rFonts w:hint="eastAsia"/>
                <w:color w:val="auto"/>
                <w:highlight w:val="none"/>
                <w:lang w:eastAsia="zh-CN"/>
              </w:rPr>
              <w:t>界</w:t>
            </w:r>
            <w:r>
              <w:rPr>
                <w:rFonts w:hint="eastAsia"/>
                <w:color w:val="auto"/>
                <w:highlight w:val="none"/>
                <w:lang w:val="en-US" w:eastAsia="zh-CN"/>
              </w:rPr>
              <w:t>噪声执行</w:t>
            </w:r>
            <w:r>
              <w:rPr>
                <w:rFonts w:hint="default"/>
                <w:color w:val="auto"/>
                <w:highlight w:val="none"/>
              </w:rPr>
              <w:t>《工业企业厂界环境噪声排放标准》(GB12348-2008)中</w:t>
            </w:r>
            <w:r>
              <w:rPr>
                <w:rFonts w:hint="eastAsia"/>
                <w:color w:val="auto"/>
                <w:highlight w:val="none"/>
                <w:lang w:val="en-US" w:eastAsia="zh-CN"/>
              </w:rPr>
              <w:t>2</w:t>
            </w:r>
            <w:r>
              <w:rPr>
                <w:rFonts w:hint="default"/>
                <w:color w:val="auto"/>
                <w:highlight w:val="none"/>
                <w:lang w:val="en-US" w:eastAsia="zh-CN"/>
              </w:rPr>
              <w:t>类标准</w:t>
            </w:r>
            <w:r>
              <w:rPr>
                <w:rFonts w:hint="default"/>
                <w:color w:val="auto"/>
                <w:highlight w:val="none"/>
              </w:rPr>
              <w:t>(昼间≤</w:t>
            </w:r>
            <w:r>
              <w:rPr>
                <w:rFonts w:hint="eastAsia"/>
                <w:color w:val="auto"/>
                <w:highlight w:val="none"/>
                <w:lang w:val="en-US" w:eastAsia="zh-CN"/>
              </w:rPr>
              <w:t>60</w:t>
            </w:r>
            <w:r>
              <w:rPr>
                <w:rFonts w:hint="default"/>
                <w:color w:val="auto"/>
                <w:highlight w:val="none"/>
              </w:rPr>
              <w:t>dB(A)</w:t>
            </w:r>
            <w:r>
              <w:rPr>
                <w:rFonts w:hint="eastAsia"/>
                <w:color w:val="auto"/>
                <w:highlight w:val="none"/>
                <w:lang w:val="en-US" w:eastAsia="zh-CN"/>
              </w:rPr>
              <w:t>)，夜间不生产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31"/>
              <w:bidi w:val="0"/>
              <w:rPr>
                <w:rFonts w:hint="default"/>
                <w:color w:val="auto"/>
              </w:rPr>
            </w:pPr>
            <w:r>
              <w:rPr>
                <w:rFonts w:hint="default"/>
                <w:color w:val="auto"/>
              </w:rPr>
              <w:t>电磁辐射</w:t>
            </w:r>
          </w:p>
        </w:tc>
        <w:tc>
          <w:tcPr>
            <w:tcW w:w="1066" w:type="dxa"/>
            <w:noWrap w:val="0"/>
            <w:vAlign w:val="center"/>
          </w:tcPr>
          <w:p>
            <w:pPr>
              <w:pStyle w:val="31"/>
              <w:bidi w:val="0"/>
              <w:rPr>
                <w:rFonts w:hint="default"/>
                <w:color w:val="auto"/>
                <w:lang w:val="en-US" w:eastAsia="zh-CN"/>
              </w:rPr>
            </w:pPr>
            <w:r>
              <w:rPr>
                <w:rFonts w:hint="default"/>
                <w:color w:val="auto"/>
              </w:rPr>
              <w:t>/</w:t>
            </w:r>
          </w:p>
        </w:tc>
        <w:tc>
          <w:tcPr>
            <w:tcW w:w="1108" w:type="dxa"/>
            <w:noWrap w:val="0"/>
            <w:vAlign w:val="center"/>
          </w:tcPr>
          <w:p>
            <w:pPr>
              <w:pStyle w:val="31"/>
              <w:bidi w:val="0"/>
              <w:rPr>
                <w:rFonts w:hint="default"/>
                <w:color w:val="auto"/>
                <w:lang w:val="en-US" w:eastAsia="zh-CN"/>
              </w:rPr>
            </w:pPr>
            <w:r>
              <w:rPr>
                <w:rFonts w:hint="default"/>
                <w:color w:val="auto"/>
              </w:rPr>
              <w:t>/</w:t>
            </w:r>
          </w:p>
        </w:tc>
        <w:tc>
          <w:tcPr>
            <w:tcW w:w="3256" w:type="dxa"/>
            <w:noWrap w:val="0"/>
            <w:vAlign w:val="center"/>
          </w:tcPr>
          <w:p>
            <w:pPr>
              <w:pStyle w:val="31"/>
              <w:bidi w:val="0"/>
              <w:rPr>
                <w:rFonts w:hint="default"/>
                <w:color w:val="auto"/>
                <w:lang w:val="en-US" w:eastAsia="zh-CN"/>
              </w:rPr>
            </w:pPr>
            <w:r>
              <w:rPr>
                <w:rFonts w:hint="default"/>
                <w:color w:val="auto"/>
              </w:rPr>
              <w:t>/</w:t>
            </w:r>
          </w:p>
        </w:tc>
        <w:tc>
          <w:tcPr>
            <w:tcW w:w="2310" w:type="dxa"/>
            <w:noWrap w:val="0"/>
            <w:vAlign w:val="center"/>
          </w:tcPr>
          <w:p>
            <w:pPr>
              <w:pStyle w:val="31"/>
              <w:bidi w:val="0"/>
              <w:rPr>
                <w:rFonts w:hint="default"/>
                <w:color w:val="auto"/>
                <w:lang w:val="en-US" w:eastAsia="zh-CN"/>
              </w:rPr>
            </w:pPr>
            <w:r>
              <w:rPr>
                <w:rFonts w:hint="default"/>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31"/>
              <w:bidi w:val="0"/>
              <w:rPr>
                <w:rFonts w:hint="default"/>
                <w:color w:val="auto"/>
              </w:rPr>
            </w:pPr>
            <w:r>
              <w:rPr>
                <w:rFonts w:hint="default"/>
                <w:color w:val="auto"/>
              </w:rPr>
              <w:t>固体废物</w:t>
            </w:r>
          </w:p>
        </w:tc>
        <w:tc>
          <w:tcPr>
            <w:tcW w:w="7740" w:type="dxa"/>
            <w:gridSpan w:val="4"/>
            <w:noWrap w:val="0"/>
            <w:vAlign w:val="center"/>
          </w:tcPr>
          <w:p>
            <w:pPr>
              <w:bidi w:val="0"/>
              <w:rPr>
                <w:rFonts w:hint="default"/>
                <w:color w:val="auto"/>
                <w:lang w:val="en-GB" w:eastAsia="zh-CN"/>
              </w:rPr>
            </w:pPr>
            <w:r>
              <w:rPr>
                <w:rFonts w:hint="default"/>
                <w:color w:val="auto"/>
                <w:lang w:val="en-GB" w:eastAsia="zh-CN"/>
              </w:rPr>
              <w:t>一般工业固废：</w:t>
            </w:r>
            <w:r>
              <w:rPr>
                <w:rFonts w:hint="eastAsia"/>
                <w:color w:val="auto"/>
                <w:lang w:val="en-US" w:eastAsia="zh-CN"/>
              </w:rPr>
              <w:t>废混凝土、工艺收集尘经收集及时回用于生产；</w:t>
            </w:r>
            <w:r>
              <w:rPr>
                <w:rFonts w:hint="default"/>
                <w:color w:val="auto"/>
                <w:lang w:val="en-GB"/>
              </w:rPr>
              <w:t>设置一般工业固废暂存间，</w:t>
            </w:r>
            <w:r>
              <w:rPr>
                <w:rFonts w:hint="eastAsia"/>
                <w:color w:val="auto"/>
                <w:lang w:val="en-US" w:eastAsia="zh-CN"/>
              </w:rPr>
              <w:t>废钢材、不合格品</w:t>
            </w:r>
            <w:r>
              <w:rPr>
                <w:rFonts w:hint="eastAsia"/>
                <w:color w:val="auto"/>
                <w:lang w:val="en-GB" w:eastAsia="zh-CN"/>
              </w:rPr>
              <w:t>等一般工业固废</w:t>
            </w:r>
            <w:r>
              <w:rPr>
                <w:rFonts w:hint="eastAsia"/>
                <w:color w:val="auto"/>
                <w:lang w:val="en-US" w:eastAsia="zh-CN"/>
              </w:rPr>
              <w:t>经分类收集暂存后，交由合规单位回收综合利用</w:t>
            </w:r>
            <w:r>
              <w:rPr>
                <w:rFonts w:hint="default"/>
                <w:color w:val="auto"/>
                <w:lang w:val="en-GB" w:eastAsia="zh-CN"/>
              </w:rPr>
              <w:t>；一般工业固废</w:t>
            </w:r>
            <w:r>
              <w:rPr>
                <w:rFonts w:hint="eastAsia"/>
                <w:color w:val="auto"/>
                <w:lang w:val="en-US" w:eastAsia="zh-CN"/>
              </w:rPr>
              <w:t>应符合</w:t>
            </w:r>
            <w:r>
              <w:rPr>
                <w:rFonts w:hint="eastAsia"/>
                <w:color w:val="auto"/>
                <w:lang w:val="en-GB"/>
              </w:rPr>
              <w:t>《一般工业固体废物贮存和填埋污染控制标准》</w:t>
            </w:r>
            <w:r>
              <w:rPr>
                <w:rFonts w:hint="eastAsia"/>
                <w:color w:val="auto"/>
              </w:rPr>
              <w:t>(</w:t>
            </w:r>
            <w:r>
              <w:rPr>
                <w:rFonts w:hint="eastAsia"/>
                <w:color w:val="auto"/>
                <w:lang w:val="en-GB"/>
              </w:rPr>
              <w:t>GB 18599-2020</w:t>
            </w:r>
            <w:r>
              <w:rPr>
                <w:rFonts w:hint="eastAsia"/>
                <w:color w:val="auto"/>
              </w:rPr>
              <w:t>)</w:t>
            </w:r>
            <w:r>
              <w:rPr>
                <w:color w:val="auto"/>
                <w:lang w:val="en-GB"/>
              </w:rPr>
              <w:t>的相关要求</w:t>
            </w:r>
            <w:r>
              <w:rPr>
                <w:rFonts w:hint="default"/>
                <w:color w:val="auto"/>
                <w:lang w:val="en-GB" w:eastAsia="zh-CN"/>
              </w:rPr>
              <w:t>；</w:t>
            </w:r>
          </w:p>
          <w:p>
            <w:pPr>
              <w:bidi w:val="0"/>
              <w:rPr>
                <w:rFonts w:hint="default"/>
                <w:color w:val="auto"/>
                <w:lang w:val="en-US" w:eastAsia="zh-CN"/>
              </w:rPr>
            </w:pPr>
            <w:r>
              <w:rPr>
                <w:rFonts w:hint="default"/>
                <w:color w:val="auto"/>
                <w:lang w:eastAsia="zh-CN"/>
              </w:rPr>
              <w:t>危险废物：设置</w:t>
            </w:r>
            <w:r>
              <w:rPr>
                <w:rFonts w:hint="default"/>
                <w:color w:val="auto"/>
              </w:rPr>
              <w:t>危险废物</w:t>
            </w:r>
            <w:r>
              <w:rPr>
                <w:rFonts w:hint="eastAsia"/>
                <w:color w:val="auto"/>
                <w:lang w:eastAsia="zh-CN"/>
              </w:rPr>
              <w:t>贮存库</w:t>
            </w:r>
            <w:r>
              <w:rPr>
                <w:rFonts w:hint="default"/>
                <w:color w:val="auto"/>
              </w:rPr>
              <w:t>，</w:t>
            </w:r>
            <w:r>
              <w:rPr>
                <w:rFonts w:hint="eastAsia"/>
                <w:color w:val="auto"/>
                <w:lang w:eastAsia="zh-CN"/>
              </w:rPr>
              <w:t>废</w:t>
            </w:r>
            <w:r>
              <w:rPr>
                <w:rFonts w:hint="eastAsia"/>
                <w:color w:val="auto"/>
                <w:lang w:val="en-US" w:eastAsia="zh-CN"/>
              </w:rPr>
              <w:t>机油、废油桶、废吸油毡等危险废物经</w:t>
            </w:r>
            <w:r>
              <w:rPr>
                <w:rFonts w:hint="default"/>
                <w:color w:val="auto"/>
                <w:lang w:val="en-GB"/>
              </w:rPr>
              <w:t>妥善收集</w:t>
            </w:r>
            <w:r>
              <w:rPr>
                <w:rFonts w:hint="eastAsia"/>
                <w:color w:val="auto"/>
                <w:lang w:val="en-GB" w:eastAsia="zh-CN"/>
              </w:rPr>
              <w:t>，</w:t>
            </w:r>
            <w:r>
              <w:rPr>
                <w:rFonts w:hint="eastAsia"/>
                <w:color w:val="auto"/>
                <w:lang w:val="en-US" w:eastAsia="zh-CN"/>
              </w:rPr>
              <w:t>在危险废物贮存库内分类分区暂存，</w:t>
            </w:r>
            <w:r>
              <w:rPr>
                <w:rFonts w:hint="default"/>
                <w:color w:val="auto"/>
              </w:rPr>
              <w:t>定期委托有资质的单位进行处置</w:t>
            </w:r>
            <w:r>
              <w:rPr>
                <w:rFonts w:hint="eastAsia"/>
                <w:color w:val="auto"/>
                <w:lang w:eastAsia="zh-CN"/>
              </w:rPr>
              <w:t>，</w:t>
            </w:r>
            <w:r>
              <w:rPr>
                <w:rFonts w:hint="default"/>
                <w:color w:val="auto"/>
              </w:rPr>
              <w:t>危险废物</w:t>
            </w:r>
            <w:r>
              <w:rPr>
                <w:rFonts w:hint="eastAsia"/>
                <w:color w:val="auto"/>
                <w:lang w:eastAsia="zh-CN"/>
              </w:rPr>
              <w:t>贮存库</w:t>
            </w:r>
            <w:r>
              <w:rPr>
                <w:rFonts w:hint="eastAsia"/>
                <w:color w:val="auto"/>
                <w:lang w:val="en-US" w:eastAsia="zh-CN"/>
              </w:rPr>
              <w:t>应符合</w:t>
            </w:r>
            <w:r>
              <w:rPr>
                <w:rFonts w:hint="default"/>
                <w:color w:val="auto"/>
                <w:lang w:val="en-GB"/>
              </w:rPr>
              <w:t>《危险废物贮存污染控制标准》(GB 18597-20</w:t>
            </w:r>
            <w:r>
              <w:rPr>
                <w:rFonts w:hint="eastAsia"/>
                <w:color w:val="auto"/>
                <w:lang w:val="en-US" w:eastAsia="zh-CN"/>
              </w:rPr>
              <w:t>23</w:t>
            </w:r>
            <w:r>
              <w:rPr>
                <w:rFonts w:hint="default"/>
                <w:color w:val="auto"/>
                <w:lang w:val="en-GB"/>
              </w:rPr>
              <w:t>)要求</w:t>
            </w:r>
            <w:r>
              <w:rPr>
                <w:rFonts w:hint="default"/>
                <w:color w:val="auto"/>
                <w:lang w:val="en-GB" w:eastAsia="zh-CN"/>
              </w:rPr>
              <w:t>；</w:t>
            </w:r>
            <w:r>
              <w:rPr>
                <w:rFonts w:hint="eastAsia"/>
                <w:color w:val="auto"/>
                <w:lang w:val="en-US" w:eastAsia="zh-CN"/>
              </w:rPr>
              <w:t>含油废抹布及手套混入生活垃圾，由当地环卫部门统一清运处理。</w:t>
            </w:r>
          </w:p>
          <w:p>
            <w:pPr>
              <w:bidi w:val="0"/>
              <w:rPr>
                <w:rFonts w:hint="eastAsia"/>
                <w:color w:val="auto"/>
                <w:lang w:eastAsia="zh-CN"/>
              </w:rPr>
            </w:pPr>
            <w:r>
              <w:rPr>
                <w:rFonts w:hint="default"/>
                <w:color w:val="auto"/>
                <w:lang w:eastAsia="zh-CN"/>
              </w:rPr>
              <w:t>生活垃圾：</w:t>
            </w:r>
            <w:r>
              <w:rPr>
                <w:rFonts w:hint="default"/>
                <w:color w:val="auto"/>
              </w:rPr>
              <w:t>由垃圾桶收集，由</w:t>
            </w:r>
            <w:r>
              <w:rPr>
                <w:rFonts w:hint="eastAsia"/>
                <w:color w:val="auto"/>
                <w:lang w:val="en-US" w:eastAsia="zh-CN"/>
              </w:rPr>
              <w:t>当地</w:t>
            </w:r>
            <w:r>
              <w:rPr>
                <w:rFonts w:hint="default"/>
                <w:color w:val="auto"/>
              </w:rPr>
              <w:t>环卫部门统一清运处理</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31"/>
              <w:bidi w:val="0"/>
              <w:rPr>
                <w:rFonts w:hint="default"/>
                <w:color w:val="auto"/>
              </w:rPr>
            </w:pPr>
            <w:r>
              <w:rPr>
                <w:rFonts w:hint="default"/>
                <w:color w:val="auto"/>
              </w:rPr>
              <w:t>土壤及地下水污染防治措施</w:t>
            </w:r>
          </w:p>
        </w:tc>
        <w:tc>
          <w:tcPr>
            <w:tcW w:w="7740" w:type="dxa"/>
            <w:gridSpan w:val="4"/>
            <w:noWrap w:val="0"/>
            <w:vAlign w:val="center"/>
          </w:tcPr>
          <w:p>
            <w:pPr>
              <w:bidi w:val="0"/>
              <w:rPr>
                <w:rFonts w:hint="eastAsia" w:eastAsia="宋体"/>
                <w:color w:val="auto"/>
                <w:lang w:eastAsia="zh-CN"/>
              </w:rPr>
            </w:pPr>
            <w:r>
              <w:rPr>
                <w:rFonts w:hint="default"/>
                <w:color w:val="auto"/>
              </w:rPr>
              <w:t>合理进行防渗区域划分</w:t>
            </w:r>
            <w:r>
              <w:rPr>
                <w:rFonts w:hint="default"/>
                <w:color w:val="auto"/>
                <w:lang w:eastAsia="zh-CN"/>
              </w:rPr>
              <w:t>，</w:t>
            </w:r>
            <w:r>
              <w:rPr>
                <w:rFonts w:hint="eastAsia"/>
                <w:color w:val="auto"/>
                <w:lang w:eastAsia="zh-CN"/>
              </w:rPr>
              <w:t>危险废物贮存库</w:t>
            </w:r>
            <w:r>
              <w:rPr>
                <w:rFonts w:hint="default"/>
                <w:color w:val="auto"/>
                <w:lang w:eastAsia="zh-CN"/>
              </w:rPr>
              <w:t>按</w:t>
            </w:r>
            <w:r>
              <w:rPr>
                <w:rFonts w:hint="default"/>
                <w:color w:val="auto"/>
              </w:rPr>
              <w:t>重点污染区防渗要求</w:t>
            </w:r>
            <w:r>
              <w:rPr>
                <w:rFonts w:hint="default"/>
                <w:color w:val="auto"/>
                <w:lang w:eastAsia="zh-CN"/>
              </w:rPr>
              <w:t>进行建设</w:t>
            </w:r>
            <w:r>
              <w:rPr>
                <w:rFonts w:hint="eastAsia"/>
                <w:color w:val="auto"/>
                <w:lang w:eastAsia="zh-CN"/>
              </w:rPr>
              <w:t>；</w:t>
            </w:r>
            <w:r>
              <w:rPr>
                <w:rFonts w:hint="default"/>
                <w:color w:val="auto"/>
                <w:lang w:eastAsia="zh-CN"/>
              </w:rPr>
              <w:t>一般工业固废间</w:t>
            </w:r>
            <w:r>
              <w:rPr>
                <w:rFonts w:hint="eastAsia"/>
                <w:color w:val="auto"/>
                <w:lang w:eastAsia="zh-CN"/>
              </w:rPr>
              <w:t>、</w:t>
            </w:r>
            <w:r>
              <w:rPr>
                <w:rFonts w:hint="eastAsia"/>
                <w:color w:val="auto"/>
                <w:lang w:val="en-US" w:eastAsia="zh-CN"/>
              </w:rPr>
              <w:t>搅拌楼、化粪池、一体化污水处理设施、生产废水处理系统、洗车废水沉淀池、雨水收集池</w:t>
            </w:r>
            <w:r>
              <w:rPr>
                <w:rFonts w:hint="default"/>
                <w:color w:val="auto"/>
                <w:lang w:eastAsia="zh-CN"/>
              </w:rPr>
              <w:t>等按</w:t>
            </w:r>
            <w:r>
              <w:rPr>
                <w:rFonts w:hint="default"/>
                <w:color w:val="auto"/>
              </w:rPr>
              <w:t>一般污染区防渗要求</w:t>
            </w:r>
            <w:r>
              <w:rPr>
                <w:rFonts w:hint="default"/>
                <w:color w:val="auto"/>
                <w:lang w:eastAsia="zh-CN"/>
              </w:rPr>
              <w:t>进行建设，</w:t>
            </w:r>
            <w:r>
              <w:rPr>
                <w:rFonts w:hint="default"/>
                <w:color w:val="auto"/>
              </w:rPr>
              <w:t>且具有防雨、防渗、防风、防日晒</w:t>
            </w:r>
            <w:r>
              <w:rPr>
                <w:rFonts w:hint="default"/>
                <w:color w:val="auto"/>
                <w:lang w:eastAsia="zh-CN"/>
              </w:rPr>
              <w:t>等</w:t>
            </w:r>
            <w:r>
              <w:rPr>
                <w:rFonts w:hint="default"/>
                <w:color w:val="auto"/>
              </w:rPr>
              <w:t>功能</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31"/>
              <w:bidi w:val="0"/>
              <w:rPr>
                <w:rFonts w:hint="default"/>
                <w:color w:val="auto"/>
              </w:rPr>
            </w:pPr>
            <w:r>
              <w:rPr>
                <w:rFonts w:hint="default"/>
                <w:color w:val="auto"/>
              </w:rPr>
              <w:t>生态保护措施</w:t>
            </w:r>
          </w:p>
        </w:tc>
        <w:tc>
          <w:tcPr>
            <w:tcW w:w="7740" w:type="dxa"/>
            <w:gridSpan w:val="4"/>
            <w:noWrap w:val="0"/>
            <w:vAlign w:val="center"/>
          </w:tcPr>
          <w:p>
            <w:pPr>
              <w:bidi w:val="0"/>
              <w:jc w:val="center"/>
              <w:rPr>
                <w:rFonts w:hint="default"/>
                <w:color w:val="auto"/>
                <w:lang w:val="en-US" w:eastAsia="zh-CN"/>
              </w:rPr>
            </w:pPr>
            <w:r>
              <w:rPr>
                <w:rFonts w:hint="default"/>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060" w:type="dxa"/>
            <w:noWrap w:val="0"/>
            <w:vAlign w:val="center"/>
          </w:tcPr>
          <w:p>
            <w:pPr>
              <w:pStyle w:val="31"/>
              <w:bidi w:val="0"/>
              <w:rPr>
                <w:rFonts w:hint="default"/>
                <w:color w:val="auto"/>
              </w:rPr>
            </w:pPr>
            <w:r>
              <w:rPr>
                <w:rFonts w:hint="default"/>
                <w:color w:val="auto"/>
              </w:rPr>
              <w:t>环境风险</w:t>
            </w:r>
          </w:p>
          <w:p>
            <w:pPr>
              <w:pStyle w:val="31"/>
              <w:bidi w:val="0"/>
              <w:rPr>
                <w:rFonts w:hint="default"/>
                <w:color w:val="auto"/>
              </w:rPr>
            </w:pPr>
            <w:r>
              <w:rPr>
                <w:rFonts w:hint="default"/>
                <w:color w:val="auto"/>
              </w:rPr>
              <w:t>防范措施</w:t>
            </w:r>
          </w:p>
        </w:tc>
        <w:tc>
          <w:tcPr>
            <w:tcW w:w="7740" w:type="dxa"/>
            <w:gridSpan w:val="4"/>
            <w:noWrap w:val="0"/>
            <w:vAlign w:val="center"/>
          </w:tcPr>
          <w:p>
            <w:pPr>
              <w:bidi w:val="0"/>
              <w:rPr>
                <w:rFonts w:hint="eastAsia"/>
                <w:color w:val="auto"/>
                <w:lang w:val="en-US" w:eastAsia="zh-CN"/>
              </w:rPr>
            </w:pPr>
            <w:r>
              <w:rPr>
                <w:rFonts w:hint="eastAsia"/>
                <w:color w:val="auto"/>
                <w:lang w:val="en-US" w:eastAsia="zh-CN"/>
              </w:rPr>
              <w:t>厂区分区防渗，划分禁火区</w:t>
            </w:r>
            <w:r>
              <w:rPr>
                <w:rFonts w:hint="default"/>
                <w:color w:val="auto"/>
              </w:rPr>
              <w:t>严禁烟火</w:t>
            </w:r>
            <w:r>
              <w:rPr>
                <w:rFonts w:hint="eastAsia"/>
                <w:color w:val="auto"/>
                <w:lang w:eastAsia="zh-CN"/>
              </w:rPr>
              <w:t>，配套灭火器等应急物资，</w:t>
            </w:r>
            <w:r>
              <w:rPr>
                <w:rFonts w:hint="eastAsia"/>
                <w:color w:val="auto"/>
                <w:lang w:val="en-US" w:eastAsia="zh-CN"/>
              </w:rPr>
              <w:t>编制企业环境突发事件应急预案</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pPr>
              <w:pStyle w:val="31"/>
              <w:bidi w:val="0"/>
              <w:rPr>
                <w:rFonts w:hint="default"/>
                <w:color w:val="auto"/>
              </w:rPr>
            </w:pPr>
            <w:r>
              <w:rPr>
                <w:rFonts w:hint="default"/>
                <w:color w:val="auto"/>
              </w:rPr>
              <w:t>其他环境</w:t>
            </w:r>
          </w:p>
          <w:p>
            <w:pPr>
              <w:pStyle w:val="31"/>
              <w:bidi w:val="0"/>
              <w:rPr>
                <w:rFonts w:hint="default"/>
                <w:color w:val="auto"/>
              </w:rPr>
            </w:pPr>
            <w:r>
              <w:rPr>
                <w:rFonts w:hint="default"/>
                <w:color w:val="auto"/>
              </w:rPr>
              <w:t>管理要求</w:t>
            </w:r>
          </w:p>
        </w:tc>
        <w:tc>
          <w:tcPr>
            <w:tcW w:w="7740" w:type="dxa"/>
            <w:gridSpan w:val="4"/>
            <w:noWrap w:val="0"/>
            <w:vAlign w:val="center"/>
          </w:tcPr>
          <w:p>
            <w:pPr>
              <w:bidi w:val="0"/>
              <w:rPr>
                <w:rFonts w:hint="default"/>
                <w:color w:val="auto"/>
                <w:lang w:val="en-US" w:eastAsia="zh-CN"/>
              </w:rPr>
            </w:pPr>
            <w:r>
              <w:rPr>
                <w:rFonts w:hint="default"/>
                <w:color w:val="auto"/>
                <w:lang w:val="en-US" w:eastAsia="zh-CN"/>
              </w:rPr>
              <w:t>1、</w:t>
            </w:r>
            <w:r>
              <w:rPr>
                <w:rFonts w:hint="default"/>
                <w:color w:val="auto"/>
              </w:rPr>
              <w:t>竣工环境保护验收</w:t>
            </w:r>
          </w:p>
          <w:p>
            <w:pPr>
              <w:bidi w:val="0"/>
              <w:rPr>
                <w:rFonts w:hint="default"/>
                <w:color w:val="auto"/>
                <w:lang w:val="en-US" w:eastAsia="zh-CN"/>
              </w:rPr>
            </w:pPr>
            <w:r>
              <w:rPr>
                <w:rFonts w:hint="default"/>
                <w:color w:val="auto"/>
              </w:rPr>
              <w:t>根据《建设项目竣工环境保护验收暂行办法》的规定，建设项目竣工后，建设单位应当如实查验、监测、记载建设项目环境保护设施的建设和调试情况，编制验收监测报告</w:t>
            </w:r>
            <w:r>
              <w:rPr>
                <w:rFonts w:hint="default"/>
                <w:color w:val="auto"/>
                <w:lang w:eastAsia="zh-CN"/>
              </w:rPr>
              <w:t>表</w:t>
            </w:r>
            <w:r>
              <w:rPr>
                <w:rFonts w:hint="default"/>
                <w:color w:val="auto"/>
                <w:lang w:val="en-US" w:eastAsia="zh-CN"/>
              </w:rPr>
              <w:t>。</w:t>
            </w:r>
          </w:p>
          <w:p>
            <w:pPr>
              <w:bidi w:val="0"/>
              <w:rPr>
                <w:rFonts w:hint="default"/>
                <w:color w:val="auto"/>
                <w:lang w:val="en-US" w:eastAsia="zh-CN"/>
              </w:rPr>
            </w:pPr>
            <w:r>
              <w:rPr>
                <w:rFonts w:hint="default"/>
                <w:color w:val="auto"/>
                <w:lang w:val="en-US" w:eastAsia="zh-CN"/>
              </w:rPr>
              <w:t>2、</w:t>
            </w:r>
            <w:r>
              <w:rPr>
                <w:rFonts w:hint="default"/>
                <w:color w:val="auto"/>
              </w:rPr>
              <w:t>排污许可</w:t>
            </w:r>
            <w:r>
              <w:rPr>
                <w:rFonts w:hint="default"/>
                <w:color w:val="auto"/>
                <w:lang w:eastAsia="zh-CN"/>
              </w:rPr>
              <w:t>管理要求</w:t>
            </w:r>
          </w:p>
          <w:p>
            <w:pPr>
              <w:bidi w:val="0"/>
              <w:rPr>
                <w:rFonts w:hint="default"/>
                <w:color w:val="auto"/>
              </w:rPr>
            </w:pPr>
            <w:r>
              <w:rPr>
                <w:rFonts w:hint="default"/>
                <w:color w:val="auto"/>
              </w:rPr>
              <w:t>根据《固定污染源排污许可分类管理名录(2019年版)》(生态环境部</w:t>
            </w:r>
            <w:r>
              <w:rPr>
                <w:rFonts w:hint="eastAsia"/>
                <w:color w:val="auto"/>
                <w:lang w:val="en-US" w:eastAsia="zh-CN"/>
              </w:rPr>
              <w:t xml:space="preserve"> </w:t>
            </w:r>
            <w:r>
              <w:rPr>
                <w:rFonts w:hint="default"/>
                <w:color w:val="auto"/>
              </w:rPr>
              <w:t>第11号)可知，本项目实行排污许可</w:t>
            </w:r>
            <w:r>
              <w:rPr>
                <w:rFonts w:hint="eastAsia"/>
                <w:color w:val="auto"/>
                <w:lang w:val="en-US" w:eastAsia="zh-CN"/>
              </w:rPr>
              <w:t>登记</w:t>
            </w:r>
            <w:r>
              <w:rPr>
                <w:rFonts w:hint="default"/>
                <w:color w:val="auto"/>
                <w:lang w:eastAsia="zh-CN"/>
              </w:rPr>
              <w:t>管理</w:t>
            </w:r>
            <w:r>
              <w:rPr>
                <w:rFonts w:hint="default"/>
                <w:color w:val="auto"/>
              </w:rPr>
              <w:t>；因此，建设单位应当在启动生产设施或者发生实际排污之前在全国排污许可证管理信息平台进行排污许可</w:t>
            </w:r>
            <w:r>
              <w:rPr>
                <w:rFonts w:hint="eastAsia"/>
                <w:color w:val="auto"/>
                <w:lang w:val="en-US" w:eastAsia="zh-CN"/>
              </w:rPr>
              <w:t>登记</w:t>
            </w:r>
            <w:r>
              <w:rPr>
                <w:rFonts w:hint="default"/>
                <w:color w:val="auto"/>
              </w:rPr>
              <w:t>。</w:t>
            </w:r>
          </w:p>
          <w:p>
            <w:pPr>
              <w:bidi w:val="0"/>
              <w:rPr>
                <w:rFonts w:hint="eastAsia"/>
                <w:color w:val="auto"/>
                <w:lang w:val="en-US" w:eastAsia="zh-CN"/>
              </w:rPr>
            </w:pPr>
            <w:r>
              <w:rPr>
                <w:rFonts w:hint="eastAsia"/>
                <w:color w:val="auto"/>
                <w:lang w:val="en-US" w:eastAsia="zh-CN"/>
              </w:rPr>
              <w:t>排污口规范化管理要求</w:t>
            </w:r>
          </w:p>
          <w:p>
            <w:pPr>
              <w:bidi w:val="0"/>
              <w:rPr>
                <w:rFonts w:hint="default"/>
                <w:color w:val="auto"/>
              </w:rPr>
            </w:pPr>
            <w:r>
              <w:rPr>
                <w:rFonts w:hint="eastAsia"/>
                <w:color w:val="auto"/>
                <w:lang w:eastAsia="zh-CN"/>
              </w:rPr>
              <w:t>项目</w:t>
            </w:r>
            <w:r>
              <w:rPr>
                <w:rFonts w:hint="eastAsia"/>
                <w:color w:val="auto"/>
                <w:lang w:val="en-US" w:eastAsia="zh-CN"/>
              </w:rPr>
              <w:t>排污口规范化</w:t>
            </w:r>
            <w:r>
              <w:rPr>
                <w:rFonts w:hint="default"/>
                <w:color w:val="auto"/>
              </w:rPr>
              <w:t>图标</w:t>
            </w:r>
            <w:r>
              <w:rPr>
                <w:rFonts w:hint="eastAsia"/>
                <w:color w:val="auto"/>
                <w:lang w:eastAsia="zh-CN"/>
              </w:rPr>
              <w:t>按照</w:t>
            </w:r>
            <w:r>
              <w:rPr>
                <w:rFonts w:hint="default"/>
                <w:color w:val="auto"/>
              </w:rPr>
              <w:t>《环境保护图形标志—排放口(源)》(GB15563.1-1995)</w:t>
            </w:r>
            <w:r>
              <w:rPr>
                <w:rFonts w:hint="eastAsia"/>
                <w:color w:val="auto"/>
                <w:lang w:val="en-US" w:eastAsia="zh-CN"/>
              </w:rPr>
              <w:t>及其修改单</w:t>
            </w:r>
            <w:r>
              <w:rPr>
                <w:rFonts w:hint="eastAsia"/>
                <w:color w:val="auto"/>
                <w:lang w:eastAsia="zh-CN"/>
              </w:rPr>
              <w:t>要求进行，具体详见表</w:t>
            </w:r>
            <w:r>
              <w:rPr>
                <w:rFonts w:hint="eastAsia"/>
                <w:color w:val="auto"/>
                <w:lang w:val="en-US" w:eastAsia="zh-CN"/>
              </w:rPr>
              <w:t>5-1。同时根据《排污单位污染物排放口二维码标识技术规范》(HJ 1297-2023)，设置规范的排放口二维码标识。</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5-1</w:t>
            </w:r>
            <w:r>
              <w:rPr>
                <w:rFonts w:hint="default"/>
                <w:color w:val="auto"/>
                <w:sz w:val="24"/>
                <w:szCs w:val="24"/>
              </w:rPr>
              <w:t xml:space="preserve"> 排污口图形符号(提示标志)一览表</w:t>
            </w:r>
          </w:p>
          <w:tbl>
            <w:tblPr>
              <w:tblStyle w:val="2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1232"/>
              <w:gridCol w:w="1232"/>
              <w:gridCol w:w="1232"/>
              <w:gridCol w:w="1280"/>
              <w:gridCol w:w="1185"/>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pPr>
                    <w:pStyle w:val="31"/>
                    <w:bidi w:val="0"/>
                    <w:rPr>
                      <w:color w:val="auto"/>
                      <w:lang w:val="en-GB"/>
                    </w:rPr>
                  </w:pPr>
                  <w:r>
                    <w:rPr>
                      <w:color w:val="auto"/>
                      <w:lang w:val="en-GB"/>
                    </w:rPr>
                    <w:t>排放部位</w:t>
                  </w:r>
                </w:p>
                <w:p>
                  <w:pPr>
                    <w:pStyle w:val="31"/>
                    <w:bidi w:val="0"/>
                    <w:rPr>
                      <w:color w:val="auto"/>
                      <w:lang w:val="en-GB"/>
                    </w:rPr>
                  </w:pPr>
                  <w:r>
                    <w:rPr>
                      <w:color w:val="auto"/>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污水排</w:t>
                  </w:r>
                </w:p>
                <w:p>
                  <w:pPr>
                    <w:pStyle w:val="31"/>
                    <w:bidi w:val="0"/>
                    <w:rPr>
                      <w:color w:val="auto"/>
                      <w:lang w:val="en-GB"/>
                    </w:rPr>
                  </w:pPr>
                  <w:r>
                    <w:rPr>
                      <w:color w:val="auto"/>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废气排</w:t>
                  </w:r>
                </w:p>
                <w:p>
                  <w:pPr>
                    <w:pStyle w:val="31"/>
                    <w:bidi w:val="0"/>
                    <w:rPr>
                      <w:color w:val="auto"/>
                      <w:lang w:val="en-GB"/>
                    </w:rPr>
                  </w:pPr>
                  <w:r>
                    <w:rPr>
                      <w:color w:val="auto"/>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噪声排</w:t>
                  </w:r>
                </w:p>
                <w:p>
                  <w:pPr>
                    <w:pStyle w:val="31"/>
                    <w:bidi w:val="0"/>
                    <w:rPr>
                      <w:color w:val="auto"/>
                      <w:lang w:val="en-GB"/>
                    </w:rPr>
                  </w:pPr>
                  <w:r>
                    <w:rPr>
                      <w:color w:val="auto"/>
                      <w:lang w:val="en-GB"/>
                    </w:rPr>
                    <w:t>放源</w:t>
                  </w:r>
                </w:p>
              </w:tc>
              <w:tc>
                <w:tcPr>
                  <w:tcW w:w="850" w:type="pct"/>
                  <w:tcBorders>
                    <w:top w:val="single" w:color="auto" w:sz="12" w:space="0"/>
                    <w:left w:val="single" w:color="auto" w:sz="6" w:space="0"/>
                    <w:bottom w:val="single" w:color="auto" w:sz="6" w:space="0"/>
                    <w:right w:val="single" w:color="auto" w:sz="6" w:space="0"/>
                  </w:tcBorders>
                  <w:noWrap w:val="0"/>
                  <w:vAlign w:val="center"/>
                </w:tcPr>
                <w:p>
                  <w:pPr>
                    <w:pStyle w:val="31"/>
                    <w:bidi w:val="0"/>
                    <w:rPr>
                      <w:rFonts w:hint="eastAsia"/>
                      <w:color w:val="auto"/>
                      <w:lang w:val="en-US" w:eastAsia="zh-CN"/>
                    </w:rPr>
                  </w:pPr>
                  <w:r>
                    <w:rPr>
                      <w:color w:val="auto"/>
                      <w:lang w:val="en-GB"/>
                    </w:rPr>
                    <w:t>一般</w:t>
                  </w:r>
                  <w:r>
                    <w:rPr>
                      <w:rFonts w:hint="eastAsia"/>
                      <w:color w:val="auto"/>
                      <w:lang w:val="en-US" w:eastAsia="zh-CN"/>
                    </w:rPr>
                    <w:t>固体</w:t>
                  </w:r>
                </w:p>
                <w:p>
                  <w:pPr>
                    <w:pStyle w:val="31"/>
                    <w:bidi w:val="0"/>
                    <w:rPr>
                      <w:color w:val="auto"/>
                      <w:lang w:val="en-GB"/>
                    </w:rPr>
                  </w:pPr>
                  <w:r>
                    <w:rPr>
                      <w:rFonts w:hint="eastAsia"/>
                      <w:color w:val="auto"/>
                      <w:lang w:val="en-US" w:eastAsia="zh-CN"/>
                    </w:rPr>
                    <w:t>废物</w:t>
                  </w:r>
                </w:p>
              </w:tc>
              <w:tc>
                <w:tcPr>
                  <w:tcW w:w="787" w:type="pct"/>
                  <w:tcBorders>
                    <w:top w:val="single" w:color="auto" w:sz="12" w:space="0"/>
                    <w:left w:val="single" w:color="auto" w:sz="6" w:space="0"/>
                    <w:bottom w:val="single" w:color="auto" w:sz="6" w:space="0"/>
                    <w:right w:val="nil"/>
                  </w:tcBorders>
                  <w:noWrap w:val="0"/>
                  <w:vAlign w:val="center"/>
                </w:tcPr>
                <w:p>
                  <w:pPr>
                    <w:pStyle w:val="31"/>
                    <w:bidi w:val="0"/>
                    <w:rPr>
                      <w:color w:val="auto"/>
                      <w:lang w:val="en-GB"/>
                    </w:rPr>
                  </w:pPr>
                  <w:r>
                    <w:rPr>
                      <w:color w:val="auto"/>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color w:val="auto"/>
                      <w:lang w:val="en-GB"/>
                    </w:rPr>
                  </w:pPr>
                  <w:r>
                    <w:rPr>
                      <w:rFonts w:hint="eastAsia"/>
                      <w:color w:val="auto"/>
                      <w:lang w:val="en-US" w:eastAsia="zh-CN"/>
                    </w:rPr>
                    <w:t>提示</w:t>
                  </w:r>
                  <w:r>
                    <w:rPr>
                      <w:color w:val="auto"/>
                      <w:lang w:val="en-GB"/>
                    </w:rPr>
                    <w:t>图形</w:t>
                  </w:r>
                </w:p>
                <w:p>
                  <w:pPr>
                    <w:pStyle w:val="31"/>
                    <w:bidi w:val="0"/>
                    <w:rPr>
                      <w:color w:val="auto"/>
                      <w:lang w:val="en-GB"/>
                    </w:rPr>
                  </w:pPr>
                  <w:r>
                    <w:rPr>
                      <w:color w:val="auto"/>
                      <w:lang w:val="en-GB"/>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539750" cy="539750"/>
                        <wp:effectExtent l="0" t="0" r="12700" b="12700"/>
                        <wp:docPr id="27"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54" descr="1"/>
                                <pic:cNvPicPr>
                                  <a:picLocks noChangeAspect="1"/>
                                </pic:cNvPicPr>
                              </pic:nvPicPr>
                              <pic:blipFill>
                                <a:blip r:embed="rId25"/>
                                <a:stretch>
                                  <a:fillRect/>
                                </a:stretch>
                              </pic:blipFill>
                              <pic:spPr>
                                <a:xfrm>
                                  <a:off x="0" y="0"/>
                                  <a:ext cx="539750" cy="53975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621030" cy="539750"/>
                        <wp:effectExtent l="0" t="0" r="7620" b="12700"/>
                        <wp:docPr id="28"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55" descr="点击看大图及详细资料"/>
                                <pic:cNvPicPr>
                                  <a:picLocks noChangeAspect="1"/>
                                </pic:cNvPicPr>
                              </pic:nvPicPr>
                              <pic:blipFill>
                                <a:blip r:embed="rId26"/>
                                <a:stretch>
                                  <a:fillRect/>
                                </a:stretch>
                              </pic:blipFill>
                              <pic:spPr>
                                <a:xfrm>
                                  <a:off x="0" y="0"/>
                                  <a:ext cx="621030" cy="53975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574675" cy="539750"/>
                        <wp:effectExtent l="0" t="0" r="15875" b="12700"/>
                        <wp:docPr id="21"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56" descr="点击看大图及详细资料"/>
                                <pic:cNvPicPr>
                                  <a:picLocks noChangeAspect="1"/>
                                </pic:cNvPicPr>
                              </pic:nvPicPr>
                              <pic:blipFill>
                                <a:blip r:embed="rId27"/>
                                <a:stretch>
                                  <a:fillRect/>
                                </a:stretch>
                              </pic:blipFill>
                              <pic:spPr>
                                <a:xfrm>
                                  <a:off x="0" y="0"/>
                                  <a:ext cx="574675" cy="539750"/>
                                </a:xfrm>
                                <a:prstGeom prst="rect">
                                  <a:avLst/>
                                </a:prstGeom>
                                <a:noFill/>
                                <a:ln>
                                  <a:noFill/>
                                </a:ln>
                              </pic:spPr>
                            </pic:pic>
                          </a:graphicData>
                        </a:graphic>
                      </wp:inline>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633095" cy="539750"/>
                        <wp:effectExtent l="0" t="0" r="14605"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rcRect t="1997"/>
                                <a:stretch>
                                  <a:fillRect/>
                                </a:stretch>
                              </pic:blipFill>
                              <pic:spPr>
                                <a:xfrm>
                                  <a:off x="0" y="0"/>
                                  <a:ext cx="633095" cy="539750"/>
                                </a:xfrm>
                                <a:prstGeom prst="rect">
                                  <a:avLst/>
                                </a:prstGeom>
                                <a:noFill/>
                                <a:ln>
                                  <a:noFill/>
                                </a:ln>
                              </pic:spPr>
                            </pic:pic>
                          </a:graphicData>
                        </a:graphic>
                      </wp:inline>
                    </w:drawing>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color w:val="auto"/>
                      <w:lang w:val="en-GB"/>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1072"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color w:val="auto"/>
                      <w:lang w:val="en-GB"/>
                    </w:rPr>
                  </w:pPr>
                  <w:r>
                    <w:rPr>
                      <w:rFonts w:hint="eastAsia"/>
                      <w:color w:val="auto"/>
                      <w:lang w:val="en-US" w:eastAsia="zh-CN"/>
                    </w:rPr>
                    <w:t>警告</w:t>
                  </w:r>
                  <w:r>
                    <w:rPr>
                      <w:color w:val="auto"/>
                      <w:lang w:val="en-GB"/>
                    </w:rPr>
                    <w:t>图形</w:t>
                  </w:r>
                </w:p>
                <w:p>
                  <w:pPr>
                    <w:pStyle w:val="31"/>
                    <w:bidi w:val="0"/>
                    <w:rPr>
                      <w:rFonts w:hint="default"/>
                      <w:color w:val="auto"/>
                      <w:lang w:val="en-US" w:eastAsia="zh-CN"/>
                    </w:rPr>
                  </w:pPr>
                  <w:r>
                    <w:rPr>
                      <w:rFonts w:hint="eastAsia"/>
                      <w:color w:val="auto"/>
                      <w:lang w:val="en-US" w:eastAsia="zh-CN"/>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643255" cy="572135"/>
                        <wp:effectExtent l="0" t="0" r="4445" b="184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9"/>
                                <a:stretch>
                                  <a:fillRect/>
                                </a:stretch>
                              </pic:blipFill>
                              <pic:spPr>
                                <a:xfrm>
                                  <a:off x="0" y="0"/>
                                  <a:ext cx="643255" cy="572135"/>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645160" cy="572770"/>
                        <wp:effectExtent l="0" t="0" r="2540" b="177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0"/>
                                <a:stretch>
                                  <a:fillRect/>
                                </a:stretch>
                              </pic:blipFill>
                              <pic:spPr>
                                <a:xfrm>
                                  <a:off x="0" y="0"/>
                                  <a:ext cx="645160" cy="57277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rPr>
                    <w:drawing>
                      <wp:inline distT="0" distB="0" distL="114300" distR="114300">
                        <wp:extent cx="642620" cy="601980"/>
                        <wp:effectExtent l="0" t="0" r="5080" b="76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1"/>
                                <a:stretch>
                                  <a:fillRect/>
                                </a:stretch>
                              </pic:blipFill>
                              <pic:spPr>
                                <a:xfrm>
                                  <a:off x="0" y="0"/>
                                  <a:ext cx="642620" cy="601980"/>
                                </a:xfrm>
                                <a:prstGeom prst="rect">
                                  <a:avLst/>
                                </a:prstGeom>
                                <a:noFill/>
                                <a:ln>
                                  <a:noFill/>
                                </a:ln>
                              </pic:spPr>
                            </pic:pic>
                          </a:graphicData>
                        </a:graphic>
                      </wp:inline>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rPr>
                  </w:pPr>
                  <w:r>
                    <w:rPr>
                      <w:color w:val="auto"/>
                    </w:rPr>
                    <w:drawing>
                      <wp:inline distT="0" distB="0" distL="114300" distR="114300">
                        <wp:extent cx="673735" cy="615950"/>
                        <wp:effectExtent l="0" t="0" r="12065" b="1270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2"/>
                                <a:stretch>
                                  <a:fillRect/>
                                </a:stretch>
                              </pic:blipFill>
                              <pic:spPr>
                                <a:xfrm>
                                  <a:off x="0" y="0"/>
                                  <a:ext cx="673735" cy="615950"/>
                                </a:xfrm>
                                <a:prstGeom prst="rect">
                                  <a:avLst/>
                                </a:prstGeom>
                                <a:noFill/>
                                <a:ln>
                                  <a:noFill/>
                                </a:ln>
                              </pic:spPr>
                            </pic:pic>
                          </a:graphicData>
                        </a:graphic>
                      </wp:inline>
                    </w:drawing>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color w:val="auto"/>
                      <w:lang w:val="en-GB"/>
                    </w:rPr>
                  </w:pPr>
                  <w:r>
                    <w:rPr>
                      <w:color w:val="auto"/>
                    </w:rPr>
                    <w:drawing>
                      <wp:inline distT="0" distB="0" distL="114300" distR="114300">
                        <wp:extent cx="664845" cy="616585"/>
                        <wp:effectExtent l="0" t="0" r="1905" b="1206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3"/>
                                <a:stretch>
                                  <a:fillRect/>
                                </a:stretch>
                              </pic:blipFill>
                              <pic:spPr>
                                <a:xfrm>
                                  <a:off x="0" y="0"/>
                                  <a:ext cx="664845" cy="6165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功能</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default"/>
                      <w:color w:val="auto"/>
                      <w:lang w:val="en-US" w:eastAsia="zh-CN"/>
                    </w:rPr>
                  </w:pPr>
                  <w:r>
                    <w:rPr>
                      <w:rFonts w:hint="eastAsia"/>
                      <w:color w:val="auto"/>
                      <w:lang w:val="en-US" w:eastAsia="zh-CN"/>
                    </w:rPr>
                    <w:t>表示污水向水体排放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GB" w:eastAsia="zh-CN"/>
                    </w:rPr>
                  </w:pPr>
                  <w:r>
                    <w:rPr>
                      <w:rFonts w:hint="eastAsia"/>
                      <w:color w:val="auto"/>
                      <w:lang w:val="en-US" w:eastAsia="zh-CN"/>
                    </w:rPr>
                    <w:t>表示废气向大气环境排放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default"/>
                      <w:color w:val="auto"/>
                      <w:lang w:val="en-US" w:eastAsia="zh-CN"/>
                    </w:rPr>
                  </w:pPr>
                  <w:r>
                    <w:rPr>
                      <w:rFonts w:hint="eastAsia"/>
                      <w:color w:val="auto"/>
                      <w:lang w:val="en-US" w:eastAsia="zh-CN"/>
                    </w:rPr>
                    <w:t>表示噪声向外环境排放</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default"/>
                      <w:color w:val="auto"/>
                      <w:lang w:val="en-US" w:eastAsia="zh-CN"/>
                    </w:rPr>
                  </w:pPr>
                  <w:r>
                    <w:rPr>
                      <w:rFonts w:hint="eastAsia"/>
                      <w:color w:val="auto"/>
                      <w:lang w:val="en-US" w:eastAsia="zh-CN"/>
                    </w:rPr>
                    <w:t>表示一般固体废物贮存、处置场</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default"/>
                      <w:color w:val="auto"/>
                      <w:lang w:val="en-US" w:eastAsia="zh-CN"/>
                    </w:rPr>
                  </w:pPr>
                  <w:r>
                    <w:rPr>
                      <w:rFonts w:hint="eastAsia"/>
                      <w:color w:val="auto"/>
                      <w:lang w:val="en-US" w:eastAsia="zh-CN"/>
                    </w:rPr>
                    <w:t>表示危险废物贮存、处置场</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default"/>
                      <w:color w:val="auto"/>
                      <w:lang w:val="en-US" w:eastAsia="zh-CN"/>
                    </w:rPr>
                  </w:pPr>
                  <w:r>
                    <w:rPr>
                      <w:rFonts w:hint="eastAsia"/>
                      <w:color w:val="auto"/>
                      <w:lang w:val="en-US" w:eastAsia="zh-CN"/>
                    </w:rPr>
                    <w:t>提示标志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正方形</w:t>
                  </w:r>
                </w:p>
                <w:p>
                  <w:pPr>
                    <w:pStyle w:val="31"/>
                    <w:bidi w:val="0"/>
                    <w:rPr>
                      <w:color w:val="auto"/>
                      <w:lang w:val="en-GB"/>
                    </w:rPr>
                  </w:pPr>
                  <w:r>
                    <w:rPr>
                      <w:color w:val="auto"/>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正方形</w:t>
                  </w:r>
                </w:p>
                <w:p>
                  <w:pPr>
                    <w:pStyle w:val="31"/>
                    <w:bidi w:val="0"/>
                    <w:rPr>
                      <w:color w:val="auto"/>
                      <w:lang w:val="en-GB"/>
                    </w:rPr>
                  </w:pPr>
                  <w:r>
                    <w:rPr>
                      <w:color w:val="auto"/>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正方形</w:t>
                  </w:r>
                </w:p>
                <w:p>
                  <w:pPr>
                    <w:pStyle w:val="31"/>
                    <w:bidi w:val="0"/>
                    <w:rPr>
                      <w:color w:val="auto"/>
                      <w:lang w:val="en-GB"/>
                    </w:rPr>
                  </w:pPr>
                  <w:r>
                    <w:rPr>
                      <w:color w:val="auto"/>
                      <w:lang w:val="en-GB"/>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rPr>
                  </w:pPr>
                  <w:r>
                    <w:rPr>
                      <w:color w:val="auto"/>
                      <w:lang w:val="en-GB"/>
                    </w:rPr>
                    <w:t>正方形</w:t>
                  </w:r>
                </w:p>
                <w:p>
                  <w:pPr>
                    <w:pStyle w:val="31"/>
                    <w:bidi w:val="0"/>
                    <w:rPr>
                      <w:color w:val="auto"/>
                      <w:lang w:val="en-GB"/>
                    </w:rPr>
                  </w:pPr>
                  <w:r>
                    <w:rPr>
                      <w:color w:val="auto"/>
                      <w:lang w:val="en-GB"/>
                    </w:rPr>
                    <w:t>边框</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default"/>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eastAsia"/>
                      <w:color w:val="auto"/>
                      <w:lang w:val="en-US" w:eastAsia="zh-CN"/>
                    </w:rPr>
                  </w:pPr>
                  <w:r>
                    <w:rPr>
                      <w:color w:val="auto"/>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绿色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绿色</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eastAsia"/>
                      <w:color w:val="auto"/>
                      <w:lang w:val="en-US" w:eastAsia="zh-CN"/>
                    </w:rPr>
                  </w:pPr>
                  <w:r>
                    <w:rPr>
                      <w:color w:val="auto"/>
                      <w:lang w:val="en-GB"/>
                    </w:rPr>
                    <w:t>图形颜色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白色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color w:val="auto"/>
                      <w:lang w:val="en-GB"/>
                    </w:rPr>
                    <w:t>白色</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警告标志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三角形</w:t>
                  </w:r>
                </w:p>
                <w:p>
                  <w:pPr>
                    <w:pStyle w:val="31"/>
                    <w:bidi w:val="0"/>
                    <w:rPr>
                      <w:rFonts w:hint="default"/>
                      <w:color w:val="auto"/>
                      <w:lang w:val="en-US" w:eastAsia="zh-CN"/>
                    </w:rPr>
                  </w:pPr>
                  <w:r>
                    <w:rPr>
                      <w:rFonts w:hint="eastAsia"/>
                      <w:color w:val="auto"/>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三角形</w:t>
                  </w:r>
                </w:p>
                <w:p>
                  <w:pPr>
                    <w:pStyle w:val="31"/>
                    <w:bidi w:val="0"/>
                    <w:rPr>
                      <w:color w:val="auto"/>
                      <w:lang w:val="en-GB"/>
                    </w:rPr>
                  </w:pPr>
                  <w:r>
                    <w:rPr>
                      <w:rFonts w:hint="eastAsia"/>
                      <w:color w:val="auto"/>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三角形</w:t>
                  </w:r>
                </w:p>
                <w:p>
                  <w:pPr>
                    <w:pStyle w:val="31"/>
                    <w:bidi w:val="0"/>
                    <w:rPr>
                      <w:color w:val="auto"/>
                      <w:lang w:val="en-GB"/>
                    </w:rPr>
                  </w:pPr>
                  <w:r>
                    <w:rPr>
                      <w:rFonts w:hint="eastAsia"/>
                      <w:color w:val="auto"/>
                      <w:lang w:val="en-US" w:eastAsia="zh-CN"/>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US" w:eastAsia="zh-CN"/>
                    </w:rPr>
                  </w:pPr>
                  <w:r>
                    <w:rPr>
                      <w:rFonts w:hint="eastAsia"/>
                      <w:color w:val="auto"/>
                      <w:lang w:val="en-US" w:eastAsia="zh-CN"/>
                    </w:rPr>
                    <w:t>三角形</w:t>
                  </w:r>
                </w:p>
                <w:p>
                  <w:pPr>
                    <w:pStyle w:val="31"/>
                    <w:bidi w:val="0"/>
                    <w:rPr>
                      <w:color w:val="auto"/>
                      <w:lang w:val="en-GB"/>
                    </w:rPr>
                  </w:pPr>
                  <w:r>
                    <w:rPr>
                      <w:rFonts w:hint="eastAsia"/>
                      <w:color w:val="auto"/>
                      <w:lang w:val="en-US" w:eastAsia="zh-CN"/>
                    </w:rPr>
                    <w:t>边框</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eastAsia"/>
                      <w:color w:val="auto"/>
                      <w:lang w:val="en-US" w:eastAsia="zh-CN"/>
                    </w:rPr>
                  </w:pPr>
                  <w:r>
                    <w:rPr>
                      <w:rFonts w:hint="eastAsia"/>
                      <w:color w:val="auto"/>
                      <w:lang w:val="en-US" w:eastAsia="zh-CN"/>
                    </w:rPr>
                    <w:t>三角形</w:t>
                  </w:r>
                </w:p>
                <w:p>
                  <w:pPr>
                    <w:pStyle w:val="31"/>
                    <w:bidi w:val="0"/>
                    <w:rPr>
                      <w:rFonts w:hint="eastAsia"/>
                      <w:color w:val="auto"/>
                      <w:lang w:val="en-US" w:eastAsia="zh-CN"/>
                    </w:rPr>
                  </w:pPr>
                  <w:r>
                    <w:rPr>
                      <w:rFonts w:hint="eastAsia"/>
                      <w:color w:val="auto"/>
                      <w:lang w:val="en-US" w:eastAsia="zh-CN"/>
                    </w:rPr>
                    <w:t>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31"/>
                    <w:bidi w:val="0"/>
                    <w:rPr>
                      <w:rFonts w:hint="eastAsia"/>
                      <w:color w:val="auto"/>
                      <w:lang w:val="en-GB" w:eastAsia="zh-CN"/>
                    </w:rPr>
                  </w:pPr>
                  <w:r>
                    <w:rPr>
                      <w:color w:val="auto"/>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rFonts w:hint="eastAsia"/>
                      <w:color w:val="auto"/>
                      <w:lang w:val="en-GB" w:eastAsia="zh-CN"/>
                    </w:rPr>
                  </w:pPr>
                  <w:r>
                    <w:rPr>
                      <w:rFonts w:hint="eastAsia"/>
                      <w:color w:val="auto"/>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rFonts w:hint="eastAsia"/>
                      <w:color w:val="auto"/>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rFonts w:hint="eastAsia"/>
                      <w:color w:val="auto"/>
                      <w:lang w:val="en-US" w:eastAsia="zh-CN"/>
                    </w:rPr>
                    <w:t>黄色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31"/>
                    <w:bidi w:val="0"/>
                    <w:rPr>
                      <w:color w:val="auto"/>
                      <w:lang w:val="en-GB" w:eastAsia="zh-CN"/>
                    </w:rPr>
                  </w:pPr>
                  <w:r>
                    <w:rPr>
                      <w:rFonts w:hint="eastAsia"/>
                      <w:color w:val="auto"/>
                      <w:lang w:val="en-US" w:eastAsia="zh-CN"/>
                    </w:rPr>
                    <w:t>黄色</w:t>
                  </w:r>
                </w:p>
              </w:tc>
              <w:tc>
                <w:tcPr>
                  <w:tcW w:w="787" w:type="pct"/>
                  <w:tcBorders>
                    <w:top w:val="single" w:color="auto" w:sz="6" w:space="0"/>
                    <w:left w:val="single" w:color="auto" w:sz="6" w:space="0"/>
                    <w:bottom w:val="single" w:color="auto" w:sz="6" w:space="0"/>
                    <w:right w:val="nil"/>
                  </w:tcBorders>
                  <w:noWrap w:val="0"/>
                  <w:vAlign w:val="center"/>
                </w:tcPr>
                <w:p>
                  <w:pPr>
                    <w:pStyle w:val="31"/>
                    <w:bidi w:val="0"/>
                    <w:rPr>
                      <w:rFonts w:hint="eastAsia"/>
                      <w:color w:val="auto"/>
                      <w:lang w:val="en-GB" w:eastAsia="zh-CN"/>
                    </w:rPr>
                  </w:pPr>
                  <w:r>
                    <w:rPr>
                      <w:rFonts w:hint="eastAsia"/>
                      <w:color w:val="auto"/>
                      <w:lang w:val="en-US" w:eastAsia="zh-CN"/>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12" w:space="0"/>
                    <w:right w:val="single" w:color="auto" w:sz="6" w:space="0"/>
                  </w:tcBorders>
                  <w:noWrap w:val="0"/>
                  <w:vAlign w:val="center"/>
                </w:tcPr>
                <w:p>
                  <w:pPr>
                    <w:pStyle w:val="31"/>
                    <w:bidi w:val="0"/>
                    <w:rPr>
                      <w:rFonts w:hint="eastAsia"/>
                      <w:color w:val="auto"/>
                      <w:lang w:val="en-GB" w:eastAsia="zh-CN"/>
                    </w:rPr>
                  </w:pPr>
                  <w:r>
                    <w:rPr>
                      <w:color w:val="auto"/>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31"/>
                    <w:bidi w:val="0"/>
                    <w:rPr>
                      <w:color w:val="auto"/>
                      <w:lang w:val="en-GB" w:eastAsia="zh-CN"/>
                    </w:rPr>
                  </w:pPr>
                  <w:r>
                    <w:rPr>
                      <w:color w:val="auto"/>
                      <w:lang w:val="en-GB"/>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31"/>
                    <w:bidi w:val="0"/>
                    <w:rPr>
                      <w:color w:val="auto"/>
                      <w:lang w:val="en-GB" w:eastAsia="zh-CN"/>
                    </w:rPr>
                  </w:pPr>
                  <w:r>
                    <w:rPr>
                      <w:color w:val="auto"/>
                      <w:lang w:val="en-GB"/>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31"/>
                    <w:bidi w:val="0"/>
                    <w:rPr>
                      <w:color w:val="auto"/>
                      <w:lang w:val="en-GB" w:eastAsia="zh-CN"/>
                    </w:rPr>
                  </w:pPr>
                  <w:r>
                    <w:rPr>
                      <w:color w:val="auto"/>
                      <w:lang w:val="en-GB"/>
                    </w:rPr>
                    <w:t>黑色</w:t>
                  </w:r>
                </w:p>
              </w:tc>
              <w:tc>
                <w:tcPr>
                  <w:tcW w:w="850" w:type="pct"/>
                  <w:tcBorders>
                    <w:top w:val="single" w:color="auto" w:sz="6" w:space="0"/>
                    <w:left w:val="single" w:color="auto" w:sz="6" w:space="0"/>
                    <w:bottom w:val="single" w:color="auto" w:sz="12" w:space="0"/>
                    <w:right w:val="single" w:color="auto" w:sz="6" w:space="0"/>
                  </w:tcBorders>
                  <w:noWrap w:val="0"/>
                  <w:vAlign w:val="center"/>
                </w:tcPr>
                <w:p>
                  <w:pPr>
                    <w:pStyle w:val="31"/>
                    <w:bidi w:val="0"/>
                    <w:rPr>
                      <w:color w:val="auto"/>
                      <w:lang w:val="en-GB" w:eastAsia="zh-CN"/>
                    </w:rPr>
                  </w:pPr>
                  <w:r>
                    <w:rPr>
                      <w:color w:val="auto"/>
                      <w:lang w:val="en-GB"/>
                    </w:rPr>
                    <w:t>黑色</w:t>
                  </w:r>
                </w:p>
              </w:tc>
              <w:tc>
                <w:tcPr>
                  <w:tcW w:w="787" w:type="pct"/>
                  <w:tcBorders>
                    <w:top w:val="single" w:color="auto" w:sz="6" w:space="0"/>
                    <w:left w:val="single" w:color="auto" w:sz="6" w:space="0"/>
                    <w:bottom w:val="single" w:color="auto" w:sz="12" w:space="0"/>
                    <w:right w:val="nil"/>
                  </w:tcBorders>
                  <w:noWrap w:val="0"/>
                  <w:vAlign w:val="center"/>
                </w:tcPr>
                <w:p>
                  <w:pPr>
                    <w:pStyle w:val="31"/>
                    <w:bidi w:val="0"/>
                    <w:rPr>
                      <w:rFonts w:hint="eastAsia"/>
                      <w:color w:val="auto"/>
                      <w:lang w:val="en-GB" w:eastAsia="zh-CN"/>
                    </w:rPr>
                  </w:pPr>
                  <w:r>
                    <w:rPr>
                      <w:color w:val="auto"/>
                      <w:lang w:val="en-GB"/>
                    </w:rPr>
                    <w:t>黑色</w:t>
                  </w:r>
                </w:p>
              </w:tc>
            </w:tr>
          </w:tbl>
          <w:p>
            <w:pPr>
              <w:bidi w:val="0"/>
              <w:rPr>
                <w:rFonts w:hint="default"/>
                <w:color w:val="auto"/>
                <w:lang w:val="en-US" w:eastAsia="zh-CN"/>
              </w:rPr>
            </w:pPr>
            <w:bookmarkStart w:id="38" w:name="_Toc490031280"/>
            <w:bookmarkStart w:id="39" w:name="_Toc492278677"/>
            <w:r>
              <w:rPr>
                <w:rFonts w:hint="default"/>
                <w:color w:val="auto"/>
                <w:lang w:val="en-US" w:eastAsia="zh-CN"/>
              </w:rPr>
              <w:t>环保信息公开要求</w:t>
            </w:r>
            <w:bookmarkEnd w:id="38"/>
            <w:bookmarkEnd w:id="39"/>
            <w:r>
              <w:rPr>
                <w:rFonts w:hint="eastAsia"/>
                <w:color w:val="auto"/>
                <w:lang w:val="en-US" w:eastAsia="zh-CN"/>
              </w:rPr>
              <w:t>：</w:t>
            </w:r>
          </w:p>
          <w:p>
            <w:pPr>
              <w:bidi w:val="0"/>
              <w:rPr>
                <w:rFonts w:hint="eastAsia"/>
                <w:color w:val="auto"/>
                <w:lang w:val="en-US" w:eastAsia="zh-CN"/>
              </w:rPr>
            </w:pPr>
            <w:r>
              <w:rPr>
                <w:rFonts w:hint="eastAsia"/>
                <w:color w:val="auto"/>
                <w:lang w:val="en-US" w:eastAsia="zh-CN"/>
              </w:rPr>
              <w:t>参照</w:t>
            </w:r>
            <w:r>
              <w:rPr>
                <w:rFonts w:hint="default"/>
                <w:color w:val="auto"/>
                <w:lang w:val="en-US" w:eastAsia="zh-CN"/>
              </w:rPr>
              <w:t>2021年11月26日生态环境部</w:t>
            </w:r>
            <w:r>
              <w:rPr>
                <w:rFonts w:hint="eastAsia"/>
                <w:color w:val="auto"/>
                <w:lang w:val="en-US" w:eastAsia="zh-CN"/>
              </w:rPr>
              <w:t>发布的</w:t>
            </w:r>
            <w:r>
              <w:rPr>
                <w:rFonts w:hint="default"/>
                <w:color w:val="auto"/>
                <w:lang w:val="en-US" w:eastAsia="zh-CN"/>
              </w:rPr>
              <w:t>《企业环境信息依法披露管理办法》</w:t>
            </w:r>
            <w:r>
              <w:rPr>
                <w:rFonts w:hint="eastAsia"/>
                <w:color w:val="auto"/>
                <w:lang w:val="en-US" w:eastAsia="zh-CN"/>
              </w:rPr>
              <w:t>(生态环境部令第24号)要求可知，企业应当建立健全环境信息依法披露管理制度，规范工作规程，明确工作职责，建立准确的环境信息管理台账，妥善保存相关原始记录，科学统计归集相关环境信息。</w:t>
            </w:r>
            <w:r>
              <w:rPr>
                <w:rFonts w:hint="default"/>
                <w:color w:val="auto"/>
                <w:lang w:val="en-US" w:eastAsia="zh-CN"/>
              </w:rPr>
              <w:t>企业年度环境信息依法披露报告应当包括以下内容</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（1）企业基本信息，包括企业生产和生态环境保护等方面的基础信息；</w:t>
            </w:r>
          </w:p>
          <w:p>
            <w:pPr>
              <w:bidi w:val="0"/>
              <w:rPr>
                <w:rFonts w:hint="eastAsia"/>
                <w:color w:val="auto"/>
                <w:lang w:val="en-US" w:eastAsia="zh-CN"/>
              </w:rPr>
            </w:pPr>
            <w:r>
              <w:rPr>
                <w:rFonts w:hint="eastAsia"/>
                <w:color w:val="auto"/>
                <w:lang w:val="en-US" w:eastAsia="zh-CN"/>
              </w:rPr>
              <w:t>（2）企业环境管理信息，包括生态环境行政许可、环境保护税、环境污染责任保险、环保信用评价等方面的信息；</w:t>
            </w:r>
          </w:p>
          <w:p>
            <w:pPr>
              <w:bidi w:val="0"/>
              <w:rPr>
                <w:rFonts w:hint="eastAsia"/>
                <w:color w:val="auto"/>
                <w:lang w:val="en-US" w:eastAsia="zh-CN"/>
              </w:rPr>
            </w:pPr>
            <w:r>
              <w:rPr>
                <w:rFonts w:hint="eastAsia"/>
                <w:color w:val="auto"/>
                <w:lang w:val="en-US" w:eastAsia="zh-CN"/>
              </w:rPr>
              <w:t>（3）污染物产生、治理与排放信息，包括污染防治设施，污染物排放，有毒有害物质排放，工业固体废物和危险废物产生、贮存、流向、利用、处置，自行监测等方面的信息；</w:t>
            </w:r>
          </w:p>
          <w:p>
            <w:pPr>
              <w:bidi w:val="0"/>
              <w:rPr>
                <w:rFonts w:hint="eastAsia"/>
                <w:color w:val="auto"/>
                <w:lang w:val="en-US" w:eastAsia="zh-CN"/>
              </w:rPr>
            </w:pPr>
            <w:r>
              <w:rPr>
                <w:rFonts w:hint="eastAsia"/>
                <w:color w:val="auto"/>
                <w:lang w:val="en-US" w:eastAsia="zh-CN"/>
              </w:rPr>
              <w:t>（4）碳排放信息，包括排放量、排放设施等方面的信息；</w:t>
            </w:r>
          </w:p>
          <w:p>
            <w:pPr>
              <w:bidi w:val="0"/>
              <w:rPr>
                <w:rFonts w:hint="eastAsia"/>
                <w:color w:val="auto"/>
                <w:lang w:val="en-US" w:eastAsia="zh-CN"/>
              </w:rPr>
            </w:pPr>
            <w:r>
              <w:rPr>
                <w:rFonts w:hint="eastAsia"/>
                <w:color w:val="auto"/>
                <w:lang w:val="en-US" w:eastAsia="zh-CN"/>
              </w:rPr>
              <w:t>（5）生态环境应急信息，包括突发环境事件应急预案、重污染天气应急响应等方面的信息；</w:t>
            </w:r>
          </w:p>
          <w:p>
            <w:pPr>
              <w:bidi w:val="0"/>
              <w:rPr>
                <w:rFonts w:hint="eastAsia"/>
                <w:color w:val="auto"/>
                <w:lang w:val="en-US" w:eastAsia="zh-CN"/>
              </w:rPr>
            </w:pPr>
            <w:r>
              <w:rPr>
                <w:rFonts w:hint="eastAsia"/>
                <w:color w:val="auto"/>
                <w:lang w:val="en-US" w:eastAsia="zh-CN"/>
              </w:rPr>
              <w:t>（6）生态环境违法信息；</w:t>
            </w:r>
          </w:p>
          <w:p>
            <w:pPr>
              <w:bidi w:val="0"/>
              <w:rPr>
                <w:rFonts w:hint="eastAsia"/>
                <w:color w:val="auto"/>
                <w:lang w:val="en-US" w:eastAsia="zh-CN"/>
              </w:rPr>
            </w:pPr>
            <w:r>
              <w:rPr>
                <w:rFonts w:hint="eastAsia"/>
                <w:color w:val="auto"/>
                <w:lang w:val="en-US" w:eastAsia="zh-CN"/>
              </w:rPr>
              <w:t>（7）本年度临时环境信息依法披露情况；</w:t>
            </w:r>
          </w:p>
          <w:p>
            <w:pPr>
              <w:bidi w:val="0"/>
              <w:rPr>
                <w:rFonts w:hint="default"/>
                <w:color w:val="auto"/>
                <w:lang w:val="en-US" w:eastAsia="zh-CN"/>
              </w:rPr>
            </w:pPr>
            <w:r>
              <w:rPr>
                <w:rFonts w:hint="eastAsia"/>
                <w:color w:val="auto"/>
                <w:lang w:val="en-US" w:eastAsia="zh-CN"/>
              </w:rPr>
              <w:t>（8）法律法规规定的其他环境信息。</w:t>
            </w:r>
          </w:p>
          <w:p>
            <w:pPr>
              <w:bidi w:val="0"/>
              <w:rPr>
                <w:rFonts w:hint="default"/>
                <w:color w:val="auto"/>
              </w:rPr>
            </w:pPr>
            <w:r>
              <w:rPr>
                <w:rFonts w:hint="eastAsia"/>
                <w:color w:val="auto"/>
                <w:lang w:val="en-US" w:eastAsia="zh-CN"/>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pPr>
        <w:pStyle w:val="17"/>
        <w:jc w:val="center"/>
        <w:outlineLvl w:val="9"/>
        <w:rPr>
          <w:rFonts w:hint="default" w:ascii="Times New Roman" w:hAnsi="Times New Roman" w:eastAsia="宋体" w:cs="Times New Roman"/>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jc w:val="center"/>
        <w:outlineLvl w:val="0"/>
        <w:rPr>
          <w:rFonts w:hint="eastAsia" w:ascii="Times New Roman" w:hAnsi="Times New Roman" w:eastAsia="宋体" w:cs="Times New Roman"/>
          <w:b/>
          <w:bCs/>
          <w:snapToGrid w:val="0"/>
          <w:color w:val="auto"/>
          <w:sz w:val="30"/>
          <w:szCs w:val="30"/>
          <w:lang w:eastAsia="zh-CN"/>
        </w:rPr>
      </w:pPr>
      <w:bookmarkStart w:id="40" w:name="_Toc10736"/>
      <w:bookmarkStart w:id="41" w:name="_Toc15841"/>
      <w:r>
        <w:rPr>
          <w:rFonts w:hint="default" w:ascii="Times New Roman" w:hAnsi="Times New Roman" w:eastAsia="宋体" w:cs="Times New Roman"/>
          <w:b/>
          <w:bCs/>
          <w:snapToGrid w:val="0"/>
          <w:color w:val="auto"/>
          <w:sz w:val="30"/>
          <w:szCs w:val="30"/>
        </w:rPr>
        <w:t>六、结论</w:t>
      </w:r>
      <w:bookmarkEnd w:id="40"/>
      <w:bookmarkEnd w:id="4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3"/>
              <w:bidi w:val="0"/>
              <w:rPr>
                <w:rFonts w:hint="default"/>
                <w:color w:val="auto"/>
              </w:rPr>
            </w:pPr>
            <w:bookmarkStart w:id="42" w:name="_Toc8175"/>
            <w:r>
              <w:rPr>
                <w:rFonts w:hint="default"/>
                <w:color w:val="auto"/>
                <w:lang w:val="en-US" w:eastAsia="zh-CN"/>
              </w:rPr>
              <w:t>6.1</w:t>
            </w:r>
            <w:r>
              <w:rPr>
                <w:rFonts w:hint="default"/>
                <w:color w:val="auto"/>
              </w:rPr>
              <w:t xml:space="preserve"> 总结论</w:t>
            </w:r>
            <w:bookmarkEnd w:id="42"/>
          </w:p>
          <w:p>
            <w:pPr>
              <w:bidi w:val="0"/>
              <w:rPr>
                <w:rFonts w:hint="default"/>
                <w:color w:val="auto"/>
                <w:lang w:val="en-US" w:eastAsia="zh-CN"/>
              </w:rPr>
            </w:pPr>
            <w:r>
              <w:rPr>
                <w:rFonts w:hint="eastAsia"/>
                <w:color w:val="auto"/>
                <w:lang w:val="en-US" w:eastAsia="zh-CN"/>
              </w:rPr>
              <w:t>福建融瀚建材有限公司年加工预拌商品混凝土80万立方米、砼结构件20万立方米、年回收加工建筑垃圾60万立方米项目分二期建设，本次评价范围为一期年加工预拌商品混凝土80万立方米、砼结构件20万立方米，不含二期年回收加工建筑垃圾60万立方米。</w:t>
            </w:r>
          </w:p>
          <w:p>
            <w:pPr>
              <w:bidi w:val="0"/>
              <w:rPr>
                <w:rFonts w:hint="default"/>
                <w:color w:val="auto"/>
                <w:lang w:eastAsia="zh-CN"/>
              </w:rPr>
            </w:pPr>
            <w:r>
              <w:rPr>
                <w:rFonts w:hint="eastAsia"/>
                <w:color w:val="auto"/>
                <w:lang w:val="en-US" w:eastAsia="zh-CN"/>
              </w:rPr>
              <w:t>福建融瀚建材有限公司一期年加工预拌商品混凝土80万立方米、砼结构件20万立方米的建设内容符合</w:t>
            </w:r>
            <w:r>
              <w:rPr>
                <w:rFonts w:hint="default"/>
                <w:color w:val="auto"/>
                <w:lang w:val="en-US" w:eastAsia="zh-CN"/>
              </w:rPr>
              <w:t>国家产业政策，</w:t>
            </w:r>
            <w:r>
              <w:rPr>
                <w:rFonts w:hint="eastAsia"/>
                <w:color w:val="auto"/>
                <w:lang w:val="en-US" w:eastAsia="zh-CN"/>
              </w:rPr>
              <w:t>符合</w:t>
            </w:r>
            <w:r>
              <w:rPr>
                <w:rFonts w:hint="eastAsia" w:ascii="Times New Roman" w:hAnsi="Times New Roman" w:eastAsia="宋体" w:cs="Times New Roman"/>
                <w:color w:val="auto"/>
                <w:sz w:val="24"/>
                <w:szCs w:val="24"/>
                <w:lang w:val="en-US" w:eastAsia="zh-CN"/>
              </w:rPr>
              <w:t>福清市</w:t>
            </w:r>
            <w:r>
              <w:rPr>
                <w:rFonts w:hint="eastAsia"/>
                <w:color w:val="auto"/>
                <w:lang w:val="en-US" w:eastAsia="zh-CN"/>
              </w:rPr>
              <w:t>国土空间规划和</w:t>
            </w:r>
            <w:r>
              <w:rPr>
                <w:rFonts w:hint="default"/>
                <w:color w:val="auto"/>
                <w:lang w:val="en-US" w:eastAsia="zh-CN"/>
              </w:rPr>
              <w:t>生态环境分区管控要求</w:t>
            </w:r>
            <w:r>
              <w:rPr>
                <w:rFonts w:hint="eastAsia"/>
                <w:color w:val="auto"/>
                <w:lang w:val="en-US" w:eastAsia="zh-CN"/>
              </w:rPr>
              <w:t>，选址基本合理。</w:t>
            </w:r>
            <w:r>
              <w:rPr>
                <w:rFonts w:hint="default"/>
                <w:color w:val="auto"/>
                <w:lang w:eastAsia="zh-CN"/>
              </w:rPr>
              <w:t>通过对本项目的环境影响分析，项目运营过程中</w:t>
            </w:r>
            <w:r>
              <w:rPr>
                <w:rFonts w:hint="eastAsia"/>
                <w:color w:val="auto"/>
                <w:lang w:val="en-US" w:eastAsia="zh-CN"/>
              </w:rPr>
              <w:t>废水</w:t>
            </w:r>
            <w:r>
              <w:rPr>
                <w:rFonts w:hint="default"/>
                <w:color w:val="auto"/>
                <w:lang w:eastAsia="zh-CN"/>
              </w:rPr>
              <w:t>、废气、噪声、固废等污染物对周围环境空气质量、水环境、声环境</w:t>
            </w:r>
            <w:r>
              <w:rPr>
                <w:rFonts w:hint="eastAsia"/>
                <w:color w:val="auto"/>
                <w:lang w:eastAsia="zh-CN"/>
              </w:rPr>
              <w:t>、</w:t>
            </w:r>
            <w:r>
              <w:rPr>
                <w:rFonts w:hint="eastAsia"/>
                <w:color w:val="auto"/>
                <w:lang w:val="en-US" w:eastAsia="zh-CN"/>
              </w:rPr>
              <w:t>地下水和土壤环境</w:t>
            </w:r>
            <w:r>
              <w:rPr>
                <w:rFonts w:hint="default"/>
                <w:color w:val="auto"/>
                <w:lang w:eastAsia="zh-CN"/>
              </w:rPr>
              <w:t>等</w:t>
            </w:r>
            <w:r>
              <w:rPr>
                <w:rFonts w:hint="eastAsia"/>
                <w:color w:val="auto"/>
                <w:lang w:val="en-US" w:eastAsia="zh-CN"/>
              </w:rPr>
              <w:t>会</w:t>
            </w:r>
            <w:r>
              <w:rPr>
                <w:rFonts w:hint="default"/>
                <w:color w:val="auto"/>
                <w:lang w:eastAsia="zh-CN"/>
              </w:rPr>
              <w:t>造成一定不利影响，经采取综合性、积极有效的防治措施并确保污染物达标排放后，可避免或减少这些不利影响，影响均在环境可接受的范围内。</w:t>
            </w:r>
          </w:p>
          <w:p>
            <w:pPr>
              <w:bidi w:val="0"/>
              <w:rPr>
                <w:rFonts w:hint="default"/>
                <w:color w:val="auto"/>
                <w:lang w:val="en-US" w:eastAsia="zh-CN"/>
              </w:rPr>
            </w:pPr>
            <w:r>
              <w:rPr>
                <w:rFonts w:hint="default"/>
                <w:color w:val="auto"/>
                <w:lang w:val="en-US" w:eastAsia="zh-CN"/>
              </w:rPr>
              <w:t>综上所述，在严格执行环保“三同时”制度，全面落实环境影响报告表提出的各项污染防治措施、加强环境风险管理并确保各类污染物达标排放的前提下，从环境影响的角度分析，项目建设可行。</w:t>
            </w:r>
          </w:p>
          <w:p>
            <w:pPr>
              <w:spacing w:line="360" w:lineRule="auto"/>
              <w:ind w:firstLine="480" w:firstLineChars="200"/>
              <w:jc w:val="both"/>
              <w:rPr>
                <w:rFonts w:hint="eastAsia" w:ascii="Times New Roman" w:hAnsi="Times New Roman" w:eastAsia="宋体" w:cs="Times New Roman"/>
                <w:color w:val="auto"/>
                <w:sz w:val="24"/>
                <w:lang w:eastAsia="zh-CN"/>
              </w:rPr>
            </w:pPr>
          </w:p>
          <w:p>
            <w:pPr>
              <w:pStyle w:val="7"/>
              <w:rPr>
                <w:rFonts w:hint="eastAsia" w:ascii="Times New Roman" w:hAnsi="Times New Roman" w:eastAsia="宋体"/>
                <w:color w:val="auto"/>
                <w:sz w:val="24"/>
                <w:szCs w:val="32"/>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编制单位：</w:t>
            </w:r>
            <w:r>
              <w:rPr>
                <w:rFonts w:hint="eastAsia" w:ascii="Times New Roman" w:hAnsi="Times New Roman" w:eastAsia="宋体" w:cs="Times New Roman"/>
                <w:b/>
                <w:bCs/>
                <w:color w:val="auto"/>
                <w:sz w:val="24"/>
                <w:szCs w:val="24"/>
                <w:lang w:val="en-US" w:eastAsia="zh-CN"/>
              </w:rPr>
              <w:t>福建绿川环保科技有限公司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eastAsia="zh-CN"/>
              </w:rPr>
              <w:t>编制时间：</w:t>
            </w:r>
            <w:r>
              <w:rPr>
                <w:rFonts w:hint="eastAsia" w:ascii="Times New Roman" w:hAnsi="Times New Roman" w:eastAsia="宋体" w:cs="Times New Roman"/>
                <w:b/>
                <w:bCs/>
                <w:color w:val="auto"/>
                <w:sz w:val="24"/>
                <w:szCs w:val="24"/>
                <w:lang w:val="en-US" w:eastAsia="zh-CN"/>
              </w:rPr>
              <w:t>202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年</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月</w:t>
            </w:r>
          </w:p>
        </w:tc>
      </w:tr>
    </w:tbl>
    <w:p>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eastAsia="宋体" w:cs="Times New Roman"/>
          <w:b/>
          <w:bCs/>
          <w:snapToGrid w:val="0"/>
          <w:color w:val="auto"/>
          <w:sz w:val="28"/>
          <w:szCs w:val="28"/>
        </w:rPr>
      </w:pPr>
      <w:bookmarkStart w:id="43" w:name="_Toc17299"/>
      <w:bookmarkStart w:id="44" w:name="_Toc31987"/>
      <w:r>
        <w:rPr>
          <w:rFonts w:hint="default" w:ascii="Times New Roman" w:hAnsi="Times New Roman" w:eastAsia="宋体" w:cs="Times New Roman"/>
          <w:b/>
          <w:bCs/>
          <w:snapToGrid w:val="0"/>
          <w:color w:val="auto"/>
          <w:sz w:val="28"/>
          <w:szCs w:val="28"/>
        </w:rPr>
        <w:t>附表</w:t>
      </w:r>
      <w:bookmarkEnd w:id="43"/>
      <w:bookmarkEnd w:id="44"/>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8"/>
          <w:szCs w:val="38"/>
        </w:rPr>
      </w:pPr>
      <w:bookmarkStart w:id="45" w:name="_Toc26637"/>
      <w:bookmarkStart w:id="46" w:name="_Toc13590"/>
      <w:bookmarkStart w:id="47" w:name="_Toc17241"/>
      <w:bookmarkStart w:id="48" w:name="_Toc18062"/>
      <w:r>
        <w:rPr>
          <w:rFonts w:hint="default" w:ascii="Times New Roman" w:hAnsi="Times New Roman" w:eastAsia="宋体" w:cs="Times New Roman"/>
          <w:b/>
          <w:bCs/>
          <w:snapToGrid w:val="0"/>
          <w:color w:val="auto"/>
          <w:sz w:val="38"/>
          <w:szCs w:val="38"/>
        </w:rPr>
        <w:t>建设项目污染物排放量汇总表</w:t>
      </w:r>
      <w:bookmarkEnd w:id="45"/>
      <w:bookmarkEnd w:id="46"/>
      <w:bookmarkEnd w:id="47"/>
      <w:bookmarkEnd w:id="48"/>
    </w:p>
    <w:tbl>
      <w:tblPr>
        <w:tblStyle w:val="20"/>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933"/>
        <w:gridCol w:w="1609"/>
        <w:gridCol w:w="1100"/>
        <w:gridCol w:w="1573"/>
        <w:gridCol w:w="1812"/>
        <w:gridCol w:w="1266"/>
        <w:gridCol w:w="1724"/>
        <w:gridCol w:w="17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single" w:color="auto" w:sz="4" w:space="0"/>
            </w:tcBorders>
            <w:noWrap w:val="0"/>
            <w:tcMar>
              <w:left w:w="28" w:type="dxa"/>
              <w:right w:w="28" w:type="dxa"/>
            </w:tcMar>
            <w:vAlign w:val="center"/>
          </w:tcPr>
          <w:p>
            <w:pPr>
              <w:pStyle w:val="31"/>
              <w:bidi w:val="0"/>
              <w:jc w:val="right"/>
              <w:rPr>
                <w:rFonts w:hint="default"/>
                <w:color w:val="auto"/>
              </w:rPr>
            </w:pPr>
            <w:r>
              <w:rPr>
                <w:rFonts w:hint="default"/>
                <w:color w:val="auto"/>
              </w:rPr>
              <w:t>项目</w:t>
            </w:r>
          </w:p>
          <w:p>
            <w:pPr>
              <w:pStyle w:val="31"/>
              <w:bidi w:val="0"/>
              <w:jc w:val="both"/>
              <w:rPr>
                <w:rFonts w:hint="default"/>
                <w:color w:val="auto"/>
              </w:rPr>
            </w:pPr>
            <w:r>
              <w:rPr>
                <w:rFonts w:hint="default"/>
                <w:color w:val="auto"/>
              </w:rPr>
              <w:t>分类</w:t>
            </w:r>
          </w:p>
        </w:tc>
        <w:tc>
          <w:tcPr>
            <w:tcW w:w="687" w:type="pct"/>
            <w:noWrap w:val="0"/>
            <w:tcMar>
              <w:left w:w="28" w:type="dxa"/>
              <w:right w:w="28" w:type="dxa"/>
            </w:tcMar>
            <w:vAlign w:val="center"/>
          </w:tcPr>
          <w:p>
            <w:pPr>
              <w:pStyle w:val="31"/>
              <w:bidi w:val="0"/>
              <w:rPr>
                <w:rFonts w:hint="default"/>
                <w:color w:val="auto"/>
              </w:rPr>
            </w:pPr>
            <w:r>
              <w:rPr>
                <w:rFonts w:hint="default"/>
                <w:color w:val="auto"/>
              </w:rPr>
              <w:t>污染物名称</w:t>
            </w:r>
          </w:p>
        </w:tc>
        <w:tc>
          <w:tcPr>
            <w:tcW w:w="572" w:type="pct"/>
            <w:noWrap w:val="0"/>
            <w:tcMar>
              <w:left w:w="28" w:type="dxa"/>
              <w:right w:w="28" w:type="dxa"/>
            </w:tcMar>
            <w:vAlign w:val="center"/>
          </w:tcPr>
          <w:p>
            <w:pPr>
              <w:pStyle w:val="31"/>
              <w:bidi w:val="0"/>
              <w:rPr>
                <w:rFonts w:hint="default"/>
                <w:color w:val="auto"/>
              </w:rPr>
            </w:pPr>
            <w:r>
              <w:rPr>
                <w:rFonts w:hint="default"/>
                <w:color w:val="auto"/>
              </w:rPr>
              <w:t>现有工程</w:t>
            </w:r>
          </w:p>
          <w:p>
            <w:pPr>
              <w:pStyle w:val="31"/>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p>
        </w:tc>
        <w:tc>
          <w:tcPr>
            <w:tcW w:w="391" w:type="pct"/>
            <w:noWrap w:val="0"/>
            <w:tcMar>
              <w:left w:w="28" w:type="dxa"/>
              <w:right w:w="28" w:type="dxa"/>
            </w:tcMar>
            <w:vAlign w:val="center"/>
          </w:tcPr>
          <w:p>
            <w:pPr>
              <w:pStyle w:val="31"/>
              <w:bidi w:val="0"/>
              <w:rPr>
                <w:rFonts w:hint="default"/>
                <w:color w:val="auto"/>
              </w:rPr>
            </w:pPr>
            <w:r>
              <w:rPr>
                <w:rFonts w:hint="default"/>
                <w:color w:val="auto"/>
              </w:rPr>
              <w:t>现有工程</w:t>
            </w:r>
          </w:p>
          <w:p>
            <w:pPr>
              <w:pStyle w:val="31"/>
              <w:bidi w:val="0"/>
              <w:rPr>
                <w:rFonts w:hint="default"/>
                <w:color w:val="auto"/>
              </w:rPr>
            </w:pPr>
            <w:r>
              <w:rPr>
                <w:rFonts w:hint="default"/>
                <w:color w:val="auto"/>
              </w:rPr>
              <w:t>许可排放量</w:t>
            </w: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p>
        </w:tc>
        <w:tc>
          <w:tcPr>
            <w:tcW w:w="559" w:type="pct"/>
            <w:noWrap w:val="0"/>
            <w:tcMar>
              <w:left w:w="28" w:type="dxa"/>
              <w:right w:w="28" w:type="dxa"/>
            </w:tcMar>
            <w:vAlign w:val="center"/>
          </w:tcPr>
          <w:p>
            <w:pPr>
              <w:pStyle w:val="31"/>
              <w:bidi w:val="0"/>
              <w:rPr>
                <w:rFonts w:hint="default"/>
                <w:color w:val="auto"/>
              </w:rPr>
            </w:pPr>
            <w:r>
              <w:rPr>
                <w:rFonts w:hint="default"/>
                <w:color w:val="auto"/>
              </w:rPr>
              <w:t>在建工程</w:t>
            </w:r>
          </w:p>
          <w:p>
            <w:pPr>
              <w:pStyle w:val="31"/>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p>
        </w:tc>
        <w:tc>
          <w:tcPr>
            <w:tcW w:w="644" w:type="pct"/>
            <w:noWrap w:val="0"/>
            <w:tcMar>
              <w:left w:w="28" w:type="dxa"/>
              <w:right w:w="28" w:type="dxa"/>
            </w:tcMar>
            <w:vAlign w:val="center"/>
          </w:tcPr>
          <w:p>
            <w:pPr>
              <w:pStyle w:val="31"/>
              <w:bidi w:val="0"/>
              <w:rPr>
                <w:rFonts w:hint="default"/>
                <w:color w:val="auto"/>
              </w:rPr>
            </w:pPr>
            <w:r>
              <w:rPr>
                <w:rFonts w:hint="default"/>
                <w:color w:val="auto"/>
              </w:rPr>
              <w:t>本项目</w:t>
            </w:r>
          </w:p>
          <w:p>
            <w:pPr>
              <w:pStyle w:val="31"/>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p>
        </w:tc>
        <w:tc>
          <w:tcPr>
            <w:tcW w:w="450" w:type="pct"/>
            <w:noWrap w:val="0"/>
            <w:tcMar>
              <w:left w:w="28" w:type="dxa"/>
              <w:right w:w="28" w:type="dxa"/>
            </w:tcMar>
            <w:vAlign w:val="center"/>
          </w:tcPr>
          <w:p>
            <w:pPr>
              <w:pStyle w:val="31"/>
              <w:bidi w:val="0"/>
              <w:rPr>
                <w:rFonts w:hint="default"/>
                <w:color w:val="auto"/>
              </w:rPr>
            </w:pPr>
            <w:r>
              <w:rPr>
                <w:rFonts w:hint="default"/>
                <w:color w:val="auto"/>
              </w:rPr>
              <w:t>以新带老削减量</w:t>
            </w:r>
            <w:r>
              <w:rPr>
                <w:rFonts w:hint="eastAsia"/>
                <w:color w:val="auto"/>
                <w:lang w:val="en-US" w:eastAsia="zh-CN"/>
              </w:rPr>
              <w:t>(</w:t>
            </w:r>
            <w:r>
              <w:rPr>
                <w:rFonts w:hint="default"/>
                <w:color w:val="auto"/>
              </w:rPr>
              <w:t>新建项目不填</w:t>
            </w:r>
            <w:r>
              <w:rPr>
                <w:rFonts w:hint="eastAsia"/>
                <w:color w:val="auto"/>
                <w:lang w:val="en-US" w:eastAsia="zh-CN"/>
              </w:rPr>
              <w:t>)</w:t>
            </w: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p>
        </w:tc>
        <w:tc>
          <w:tcPr>
            <w:tcW w:w="613" w:type="pct"/>
            <w:noWrap w:val="0"/>
            <w:tcMar>
              <w:left w:w="28" w:type="dxa"/>
              <w:right w:w="28" w:type="dxa"/>
            </w:tcMar>
            <w:vAlign w:val="center"/>
          </w:tcPr>
          <w:p>
            <w:pPr>
              <w:pStyle w:val="31"/>
              <w:bidi w:val="0"/>
              <w:rPr>
                <w:rFonts w:hint="default"/>
                <w:color w:val="auto"/>
              </w:rPr>
            </w:pPr>
            <w:r>
              <w:rPr>
                <w:rFonts w:hint="default"/>
                <w:color w:val="auto"/>
              </w:rPr>
              <w:t>本项目建成后</w:t>
            </w:r>
          </w:p>
          <w:p>
            <w:pPr>
              <w:pStyle w:val="31"/>
              <w:bidi w:val="0"/>
              <w:rPr>
                <w:rFonts w:hint="default"/>
                <w:color w:val="auto"/>
              </w:rPr>
            </w:pPr>
            <w:r>
              <w:rPr>
                <w:rFonts w:hint="default"/>
                <w:color w:val="auto"/>
              </w:rPr>
              <w:t>全厂排放量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p>
        </w:tc>
        <w:tc>
          <w:tcPr>
            <w:tcW w:w="636" w:type="pct"/>
            <w:noWrap w:val="0"/>
            <w:tcMar>
              <w:left w:w="28" w:type="dxa"/>
              <w:right w:w="28" w:type="dxa"/>
            </w:tcMar>
            <w:vAlign w:val="center"/>
          </w:tcPr>
          <w:p>
            <w:pPr>
              <w:pStyle w:val="31"/>
              <w:bidi w:val="0"/>
              <w:rPr>
                <w:rFonts w:hint="default"/>
                <w:color w:val="auto"/>
              </w:rPr>
            </w:pPr>
            <w:r>
              <w:rPr>
                <w:rFonts w:hint="default"/>
                <w:color w:val="auto"/>
              </w:rPr>
              <w:t>变化量</w:t>
            </w:r>
          </w:p>
          <w:p>
            <w:pPr>
              <w:pStyle w:val="31"/>
              <w:bidi w:val="0"/>
              <w:rPr>
                <w:rFonts w:hint="default"/>
                <w:color w:val="auto"/>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pStyle w:val="31"/>
              <w:bidi w:val="0"/>
              <w:rPr>
                <w:rFonts w:hint="default"/>
                <w:color w:val="auto"/>
              </w:rPr>
            </w:pPr>
            <w:r>
              <w:rPr>
                <w:rFonts w:hint="default"/>
                <w:color w:val="auto"/>
              </w:rPr>
              <w:t>废气</w:t>
            </w:r>
          </w:p>
        </w:tc>
        <w:tc>
          <w:tcPr>
            <w:tcW w:w="687" w:type="pct"/>
            <w:noWrap w:val="0"/>
            <w:vAlign w:val="center"/>
          </w:tcPr>
          <w:p>
            <w:pPr>
              <w:pStyle w:val="31"/>
              <w:bidi w:val="0"/>
              <w:rPr>
                <w:rFonts w:hint="default"/>
                <w:color w:val="auto"/>
                <w:lang w:val="en-US" w:eastAsia="zh-CN"/>
              </w:rPr>
            </w:pPr>
            <w:r>
              <w:rPr>
                <w:rFonts w:hint="eastAsia"/>
                <w:color w:val="auto"/>
                <w:lang w:val="en-US" w:eastAsia="zh-CN"/>
              </w:rPr>
              <w:t>颗粒物（t/a）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1.508</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sz w:val="21"/>
                <w:szCs w:val="21"/>
                <w:lang w:val="en-US" w:eastAsia="zh-CN"/>
              </w:rPr>
              <w:t>5.29742</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1.058</w:t>
            </w:r>
          </w:p>
        </w:tc>
        <w:tc>
          <w:tcPr>
            <w:tcW w:w="613" w:type="pct"/>
            <w:noWrap w:val="0"/>
            <w:vAlign w:val="center"/>
          </w:tcPr>
          <w:p>
            <w:pPr>
              <w:pStyle w:val="31"/>
              <w:bidi w:val="0"/>
              <w:rPr>
                <w:rFonts w:hint="default"/>
                <w:color w:val="auto"/>
                <w:lang w:val="en-US" w:eastAsia="zh-CN"/>
              </w:rPr>
            </w:pPr>
            <w:r>
              <w:rPr>
                <w:rFonts w:hint="eastAsia"/>
                <w:color w:val="auto"/>
                <w:sz w:val="21"/>
                <w:szCs w:val="21"/>
                <w:lang w:val="en-US" w:eastAsia="zh-CN"/>
              </w:rPr>
              <w:t>5.29742</w:t>
            </w:r>
          </w:p>
        </w:tc>
        <w:tc>
          <w:tcPr>
            <w:tcW w:w="636" w:type="pct"/>
            <w:noWrap w:val="0"/>
            <w:vAlign w:val="center"/>
          </w:tcPr>
          <w:p>
            <w:pPr>
              <w:pStyle w:val="31"/>
              <w:bidi w:val="0"/>
              <w:rPr>
                <w:rFonts w:hint="default"/>
                <w:color w:val="auto"/>
                <w:lang w:val="en-US" w:eastAsia="zh-CN"/>
              </w:rPr>
            </w:pPr>
            <w:r>
              <w:rPr>
                <w:rFonts w:hint="eastAsia"/>
                <w:color w:val="auto"/>
                <w:lang w:val="en-US" w:eastAsia="zh-CN"/>
              </w:rPr>
              <w:t>+</w:t>
            </w:r>
            <w:r>
              <w:rPr>
                <w:rFonts w:hint="default"/>
                <w:color w:val="auto"/>
                <w:lang w:eastAsia="zh-CN"/>
              </w:rPr>
              <w:fldChar w:fldCharType="begin"/>
            </w:r>
            <w:r>
              <w:rPr>
                <w:rFonts w:hint="default"/>
                <w:color w:val="auto"/>
                <w:lang w:eastAsia="zh-CN"/>
              </w:rPr>
              <w:instrText xml:space="preserve"> =5.29742-1.508 \* MERGEFORMAT </w:instrText>
            </w:r>
            <w:r>
              <w:rPr>
                <w:rFonts w:hint="default"/>
                <w:color w:val="auto"/>
                <w:lang w:eastAsia="zh-CN"/>
              </w:rPr>
              <w:fldChar w:fldCharType="separate"/>
            </w:r>
            <w:r>
              <w:rPr>
                <w:rFonts w:hint="default"/>
                <w:color w:val="auto"/>
                <w:lang w:eastAsia="zh-CN"/>
              </w:rPr>
              <w:t>3.78942</w:t>
            </w:r>
            <w:r>
              <w:rPr>
                <w:rFonts w:hint="default"/>
                <w:color w:val="auto"/>
                <w:lang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pStyle w:val="31"/>
              <w:bidi w:val="0"/>
              <w:rPr>
                <w:rFonts w:hint="default"/>
                <w:color w:val="auto"/>
                <w:lang w:val="en-US" w:eastAsia="zh-CN"/>
              </w:rPr>
            </w:pPr>
            <w:r>
              <w:rPr>
                <w:rFonts w:hint="eastAsia"/>
                <w:color w:val="auto"/>
                <w:lang w:val="en-US" w:eastAsia="zh-CN"/>
              </w:rPr>
              <w:t>生产废水</w:t>
            </w:r>
          </w:p>
        </w:tc>
        <w:tc>
          <w:tcPr>
            <w:tcW w:w="687" w:type="pct"/>
            <w:noWrap w:val="0"/>
            <w:vAlign w:val="center"/>
          </w:tcPr>
          <w:p>
            <w:pPr>
              <w:pStyle w:val="31"/>
              <w:bidi w:val="0"/>
              <w:rPr>
                <w:rFonts w:hint="default"/>
                <w:color w:val="auto"/>
                <w:lang w:val="en-US" w:eastAsia="zh-CN"/>
              </w:rPr>
            </w:pPr>
            <w:r>
              <w:rPr>
                <w:rFonts w:hint="eastAsia"/>
                <w:color w:val="auto"/>
                <w:lang w:val="en-US" w:eastAsia="zh-CN"/>
              </w:rPr>
              <w:t>废水量</w:t>
            </w:r>
            <w:r>
              <w:rPr>
                <w:rFonts w:hint="default"/>
                <w:color w:val="auto"/>
                <w:lang w:val="en-US" w:eastAsia="zh-CN"/>
              </w:rPr>
              <w:t>(t/a)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w:t>
            </w:r>
          </w:p>
        </w:tc>
        <w:tc>
          <w:tcPr>
            <w:tcW w:w="636" w:type="pct"/>
            <w:noWrap w:val="0"/>
            <w:vAlign w:val="center"/>
          </w:tcPr>
          <w:p>
            <w:pPr>
              <w:pStyle w:val="31"/>
              <w:bidi w:val="0"/>
              <w:rPr>
                <w:rFonts w:hint="default"/>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31"/>
              <w:bidi w:val="0"/>
              <w:rPr>
                <w:rFonts w:hint="eastAsia"/>
                <w:color w:val="auto"/>
                <w:lang w:eastAsia="zh-CN"/>
              </w:rPr>
            </w:pPr>
            <w:r>
              <w:rPr>
                <w:rFonts w:hint="eastAsia"/>
                <w:color w:val="auto"/>
                <w:lang w:eastAsia="zh-CN"/>
              </w:rPr>
              <w:t>生活污水</w:t>
            </w:r>
          </w:p>
        </w:tc>
        <w:tc>
          <w:tcPr>
            <w:tcW w:w="687" w:type="pct"/>
            <w:noWrap w:val="0"/>
            <w:vAlign w:val="center"/>
          </w:tcPr>
          <w:p>
            <w:pPr>
              <w:pStyle w:val="31"/>
              <w:bidi w:val="0"/>
              <w:rPr>
                <w:rFonts w:hint="eastAsia"/>
                <w:color w:val="auto"/>
                <w:lang w:val="en-US" w:eastAsia="zh-CN"/>
              </w:rPr>
            </w:pPr>
            <w:r>
              <w:rPr>
                <w:rFonts w:hint="eastAsia"/>
                <w:color w:val="auto"/>
                <w:lang w:val="en-US" w:eastAsia="zh-CN"/>
              </w:rPr>
              <w:t>废水量</w:t>
            </w:r>
            <w:r>
              <w:rPr>
                <w:rFonts w:hint="default"/>
                <w:color w:val="auto"/>
                <w:lang w:val="en-US" w:eastAsia="zh-CN"/>
              </w:rPr>
              <w:t>(t/a)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eastAsia"/>
                <w:color w:val="auto"/>
                <w:lang w:val="en-US" w:eastAsia="zh-CN"/>
              </w:rPr>
            </w:pPr>
            <w:r>
              <w:rPr>
                <w:rFonts w:hint="eastAsia"/>
                <w:color w:val="auto"/>
                <w:lang w:val="en-US" w:eastAsia="zh-CN"/>
              </w:rPr>
              <w:t>0</w:t>
            </w:r>
          </w:p>
        </w:tc>
        <w:tc>
          <w:tcPr>
            <w:tcW w:w="636" w:type="pct"/>
            <w:noWrap w:val="0"/>
            <w:vAlign w:val="center"/>
          </w:tcPr>
          <w:p>
            <w:pPr>
              <w:pStyle w:val="31"/>
              <w:bidi w:val="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default"/>
                <w:color w:val="auto"/>
                <w:lang w:val="en-US" w:eastAsia="zh-CN"/>
              </w:rPr>
              <w:t>COD(t/a)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default"/>
                <w:color w:val="auto"/>
                <w:lang w:val="en-US" w:eastAsia="zh-CN"/>
              </w:rPr>
              <w:t>BOD</w:t>
            </w:r>
            <w:r>
              <w:rPr>
                <w:rFonts w:hint="default"/>
                <w:color w:val="auto"/>
                <w:vertAlign w:val="subscript"/>
                <w:lang w:val="en-US" w:eastAsia="zh-CN"/>
              </w:rPr>
              <w:t>5</w:t>
            </w:r>
            <w:r>
              <w:rPr>
                <w:rFonts w:hint="default"/>
                <w:color w:val="auto"/>
                <w:lang w:val="en-US" w:eastAsia="zh-CN"/>
              </w:rPr>
              <w:t>(t/a)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default"/>
                <w:color w:val="auto"/>
                <w:lang w:val="en-US" w:eastAsia="zh-CN"/>
              </w:rPr>
              <w:t>SS(t/a)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-N(t/a)</w:t>
            </w:r>
          </w:p>
        </w:tc>
        <w:tc>
          <w:tcPr>
            <w:tcW w:w="572" w:type="pct"/>
            <w:noWrap w:val="0"/>
            <w:vAlign w:val="center"/>
          </w:tcPr>
          <w:p>
            <w:pPr>
              <w:pStyle w:val="31"/>
              <w:bidi w:val="0"/>
              <w:jc w:val="center"/>
              <w:rPr>
                <w:rFonts w:hint="default"/>
                <w:color w:val="auto"/>
              </w:rPr>
            </w:pPr>
            <w:r>
              <w:rPr>
                <w:rFonts w:hint="eastAsia"/>
                <w:color w:val="auto"/>
                <w:lang w:val="en-US" w:eastAsia="zh-CN"/>
              </w:rPr>
              <w:t>0</w:t>
            </w:r>
          </w:p>
        </w:tc>
        <w:tc>
          <w:tcPr>
            <w:tcW w:w="391" w:type="pct"/>
            <w:noWrap w:val="0"/>
            <w:vAlign w:val="center"/>
          </w:tcPr>
          <w:p>
            <w:pPr>
              <w:pStyle w:val="31"/>
              <w:bidi w:val="0"/>
              <w:jc w:val="center"/>
              <w:rPr>
                <w:rFonts w:hint="default"/>
                <w:color w:val="auto"/>
              </w:rPr>
            </w:pPr>
            <w:r>
              <w:rPr>
                <w:rFonts w:hint="eastAsia"/>
                <w:color w:val="auto"/>
                <w:lang w:val="en-US" w:eastAsia="zh-CN"/>
              </w:rPr>
              <w:t>/</w:t>
            </w:r>
          </w:p>
        </w:tc>
        <w:tc>
          <w:tcPr>
            <w:tcW w:w="559" w:type="pct"/>
            <w:noWrap w:val="0"/>
            <w:vAlign w:val="center"/>
          </w:tcPr>
          <w:p>
            <w:pPr>
              <w:pStyle w:val="31"/>
              <w:bidi w:val="0"/>
              <w:jc w:val="center"/>
              <w:rPr>
                <w:rFonts w:hint="default"/>
                <w:color w:val="auto"/>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31"/>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31"/>
              <w:bidi w:val="0"/>
              <w:rPr>
                <w:rFonts w:hint="default"/>
                <w:color w:val="auto"/>
              </w:rPr>
            </w:pPr>
            <w:r>
              <w:rPr>
                <w:rFonts w:hint="default"/>
                <w:color w:val="auto"/>
              </w:rPr>
              <w:t>一般工业固体废物</w:t>
            </w:r>
          </w:p>
        </w:tc>
        <w:tc>
          <w:tcPr>
            <w:tcW w:w="687" w:type="pct"/>
            <w:noWrap w:val="0"/>
            <w:vAlign w:val="center"/>
          </w:tcPr>
          <w:p>
            <w:pPr>
              <w:pStyle w:val="31"/>
              <w:bidi w:val="0"/>
              <w:rPr>
                <w:rFonts w:hint="default"/>
                <w:color w:val="auto"/>
                <w:lang w:val="en-US" w:eastAsia="zh-CN"/>
              </w:rPr>
            </w:pPr>
            <w:r>
              <w:rPr>
                <w:rFonts w:hint="eastAsia"/>
                <w:color w:val="auto"/>
                <w:lang w:val="en-US" w:eastAsia="zh-CN"/>
              </w:rPr>
              <w:t>废混凝土</w:t>
            </w:r>
            <w:r>
              <w:rPr>
                <w:rFonts w:hint="default"/>
                <w:color w:val="auto"/>
                <w:lang w:val="en-US" w:eastAsia="zh-CN"/>
              </w:rPr>
              <w:t>(t/a)</w:t>
            </w:r>
          </w:p>
        </w:tc>
        <w:tc>
          <w:tcPr>
            <w:tcW w:w="572" w:type="pct"/>
            <w:noWrap w:val="0"/>
            <w:vAlign w:val="center"/>
          </w:tcPr>
          <w:p>
            <w:pPr>
              <w:pStyle w:val="31"/>
              <w:bidi w:val="0"/>
              <w:jc w:val="center"/>
              <w:rPr>
                <w:rFonts w:hint="default"/>
                <w:color w:val="auto"/>
                <w:lang w:val="en-US" w:eastAsia="zh-CN"/>
              </w:rPr>
            </w:pPr>
            <w:r>
              <w:rPr>
                <w:rFonts w:hint="eastAsia"/>
                <w:color w:val="auto"/>
                <w:vertAlign w:val="baseline"/>
                <w:lang w:val="en-US" w:eastAsia="zh-CN"/>
              </w:rPr>
              <w:t>4010</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11500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vertAlign w:val="baseline"/>
                <w:lang w:val="en-US" w:eastAsia="zh-CN"/>
              </w:rPr>
              <w:t>4010</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11500</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7490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废钢材</w:t>
            </w:r>
            <w:r>
              <w:rPr>
                <w:rFonts w:hint="default"/>
                <w:color w:val="auto"/>
                <w:lang w:val="en-US" w:eastAsia="zh-CN"/>
              </w:rPr>
              <w:t>(t/a)</w:t>
            </w:r>
          </w:p>
        </w:tc>
        <w:tc>
          <w:tcPr>
            <w:tcW w:w="572" w:type="pct"/>
            <w:noWrap w:val="0"/>
            <w:vAlign w:val="center"/>
          </w:tcPr>
          <w:p>
            <w:pPr>
              <w:pStyle w:val="31"/>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350</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350</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焊渣</w:t>
            </w:r>
            <w:r>
              <w:rPr>
                <w:rFonts w:hint="default"/>
                <w:color w:val="auto"/>
                <w:lang w:val="en-US" w:eastAsia="zh-CN"/>
              </w:rPr>
              <w:t>(t/a)</w:t>
            </w:r>
          </w:p>
        </w:tc>
        <w:tc>
          <w:tcPr>
            <w:tcW w:w="572" w:type="pct"/>
            <w:noWrap w:val="0"/>
            <w:vAlign w:val="center"/>
          </w:tcPr>
          <w:p>
            <w:pPr>
              <w:pStyle w:val="31"/>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0.0157</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0.0157</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0.0157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eastAsia"/>
                <w:color w:val="auto"/>
                <w:lang w:val="en-US" w:eastAsia="zh-CN"/>
              </w:rPr>
              <w:t>不合格品</w:t>
            </w:r>
            <w:r>
              <w:rPr>
                <w:rFonts w:hint="default"/>
                <w:color w:val="auto"/>
                <w:lang w:val="en-US" w:eastAsia="zh-CN"/>
              </w:rPr>
              <w:t>(t/a)</w:t>
            </w:r>
          </w:p>
        </w:tc>
        <w:tc>
          <w:tcPr>
            <w:tcW w:w="572" w:type="pct"/>
            <w:noWrap w:val="0"/>
            <w:vAlign w:val="center"/>
          </w:tcPr>
          <w:p>
            <w:pPr>
              <w:pStyle w:val="31"/>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13244.705</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13244.705</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+13244.705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eastAsia"/>
                <w:color w:val="auto"/>
                <w:lang w:val="en-US" w:eastAsia="zh-CN"/>
              </w:rPr>
              <w:t>废包装材料</w:t>
            </w:r>
            <w:r>
              <w:rPr>
                <w:rFonts w:hint="default"/>
                <w:color w:val="auto"/>
                <w:lang w:val="en-US" w:eastAsia="zh-CN"/>
              </w:rPr>
              <w:t>(t/a)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1</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3</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1</w:t>
            </w:r>
          </w:p>
        </w:tc>
        <w:tc>
          <w:tcPr>
            <w:tcW w:w="613" w:type="pct"/>
            <w:noWrap w:val="0"/>
            <w:vAlign w:val="center"/>
          </w:tcPr>
          <w:p>
            <w:pPr>
              <w:pStyle w:val="31"/>
              <w:bidi w:val="0"/>
              <w:rPr>
                <w:rFonts w:hint="eastAsia"/>
                <w:color w:val="auto"/>
                <w:lang w:val="en-US" w:eastAsia="zh-CN"/>
              </w:rPr>
            </w:pPr>
            <w:r>
              <w:rPr>
                <w:rFonts w:hint="eastAsia"/>
                <w:color w:val="auto"/>
                <w:lang w:val="en-US" w:eastAsia="zh-CN"/>
              </w:rPr>
              <w:t>3</w:t>
            </w:r>
          </w:p>
        </w:tc>
        <w:tc>
          <w:tcPr>
            <w:tcW w:w="1761" w:type="dxa"/>
            <w:noWrap w:val="0"/>
            <w:vAlign w:val="center"/>
          </w:tcPr>
          <w:p>
            <w:pPr>
              <w:pStyle w:val="3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eastAsia"/>
                <w:color w:val="auto"/>
                <w:lang w:val="en-US" w:eastAsia="zh-CN"/>
              </w:rPr>
              <w:t>污水处理污泥</w:t>
            </w:r>
            <w:r>
              <w:rPr>
                <w:rFonts w:hint="default"/>
                <w:color w:val="auto"/>
                <w:lang w:val="en-US" w:eastAsia="zh-CN"/>
              </w:rPr>
              <w:t>(t/a)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1.938</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1.938</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1.938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eastAsia"/>
                <w:color w:val="auto"/>
                <w:lang w:val="en-US" w:eastAsia="zh-CN"/>
              </w:rPr>
            </w:pPr>
            <w:r>
              <w:rPr>
                <w:rFonts w:hint="eastAsia"/>
                <w:color w:val="auto"/>
                <w:lang w:val="en-US" w:eastAsia="zh-CN"/>
              </w:rPr>
              <w:t>工艺收集尘（t/a）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859</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57.555</w:t>
            </w:r>
          </w:p>
        </w:tc>
        <w:tc>
          <w:tcPr>
            <w:tcW w:w="1245" w:type="dxa"/>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859</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57.555</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-801.445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废水处理沉渣（t/a）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1000</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rPr>
                <w:rFonts w:hint="default"/>
                <w:color w:val="auto"/>
                <w:lang w:val="en-US" w:eastAsia="zh-CN"/>
              </w:rPr>
            </w:pPr>
            <w:r>
              <w:rPr>
                <w:rFonts w:hint="eastAsia"/>
                <w:color w:val="auto"/>
                <w:lang w:val="en-US" w:eastAsia="zh-CN"/>
              </w:rPr>
              <w:t>165.53</w:t>
            </w:r>
          </w:p>
        </w:tc>
        <w:tc>
          <w:tcPr>
            <w:tcW w:w="1245" w:type="dxa"/>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1000</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165.53</w:t>
            </w:r>
          </w:p>
        </w:tc>
        <w:tc>
          <w:tcPr>
            <w:tcW w:w="1761" w:type="dxa"/>
            <w:noWrap w:val="0"/>
            <w:vAlign w:val="center"/>
          </w:tcPr>
          <w:p>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-834.47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31"/>
              <w:bidi w:val="0"/>
              <w:rPr>
                <w:rFonts w:hint="default"/>
                <w:color w:val="auto"/>
              </w:rPr>
            </w:pPr>
            <w:r>
              <w:rPr>
                <w:rFonts w:hint="default"/>
                <w:color w:val="auto"/>
              </w:rPr>
              <w:t>危险</w:t>
            </w:r>
          </w:p>
          <w:p>
            <w:pPr>
              <w:pStyle w:val="31"/>
              <w:bidi w:val="0"/>
              <w:rPr>
                <w:rFonts w:hint="default"/>
                <w:color w:val="auto"/>
              </w:rPr>
            </w:pPr>
            <w:r>
              <w:rPr>
                <w:rFonts w:hint="default"/>
                <w:color w:val="auto"/>
              </w:rPr>
              <w:t>废物</w:t>
            </w:r>
          </w:p>
        </w:tc>
        <w:tc>
          <w:tcPr>
            <w:tcW w:w="687" w:type="pct"/>
            <w:noWrap w:val="0"/>
            <w:vAlign w:val="center"/>
          </w:tcPr>
          <w:p>
            <w:pPr>
              <w:pStyle w:val="31"/>
              <w:bidi w:val="0"/>
              <w:rPr>
                <w:rFonts w:hint="default"/>
                <w:color w:val="auto"/>
                <w:lang w:val="en-US" w:eastAsia="zh-CN"/>
              </w:rPr>
            </w:pPr>
            <w:r>
              <w:rPr>
                <w:rFonts w:hint="eastAsia"/>
                <w:color w:val="auto"/>
                <w:lang w:val="en-US" w:eastAsia="zh-CN"/>
              </w:rPr>
              <w:t>废机油</w:t>
            </w:r>
            <w:r>
              <w:rPr>
                <w:rFonts w:hint="default"/>
                <w:color w:val="auto"/>
                <w:lang w:val="en-US" w:eastAsia="zh-CN"/>
              </w:rPr>
              <w:t>(t/a)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ind w:left="0" w:leftChars="0" w:firstLine="0" w:firstLineChars="0"/>
              <w:rPr>
                <w:rFonts w:hint="default"/>
                <w:color w:val="auto"/>
                <w:lang w:val="en-US" w:eastAsia="zh-CN"/>
              </w:rPr>
            </w:pPr>
            <w:r>
              <w:rPr>
                <w:rFonts w:hint="eastAsia"/>
                <w:color w:val="auto"/>
                <w:lang w:val="en-US" w:eastAsia="zh-CN"/>
              </w:rPr>
              <w:t>0.2</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0.2</w:t>
            </w:r>
          </w:p>
        </w:tc>
        <w:tc>
          <w:tcPr>
            <w:tcW w:w="636" w:type="pct"/>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废油桶</w:t>
            </w:r>
            <w:r>
              <w:rPr>
                <w:rFonts w:hint="default"/>
                <w:color w:val="auto"/>
                <w:lang w:val="en-US" w:eastAsia="zh-CN"/>
              </w:rPr>
              <w:t>(t/a)</w:t>
            </w:r>
          </w:p>
        </w:tc>
        <w:tc>
          <w:tcPr>
            <w:tcW w:w="572"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ind w:left="0" w:leftChars="0" w:firstLine="0" w:firstLineChars="0"/>
              <w:rPr>
                <w:rFonts w:hint="default"/>
                <w:color w:val="auto"/>
                <w:lang w:val="en-US" w:eastAsia="zh-CN"/>
              </w:rPr>
            </w:pPr>
            <w:r>
              <w:rPr>
                <w:rFonts w:hint="eastAsia"/>
                <w:color w:val="auto"/>
                <w:lang w:val="en-US" w:eastAsia="zh-CN"/>
              </w:rPr>
              <w:t>0.05</w:t>
            </w:r>
          </w:p>
        </w:tc>
        <w:tc>
          <w:tcPr>
            <w:tcW w:w="450" w:type="pct"/>
            <w:noWrap w:val="0"/>
            <w:vAlign w:val="center"/>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0.05</w:t>
            </w:r>
          </w:p>
        </w:tc>
        <w:tc>
          <w:tcPr>
            <w:tcW w:w="636" w:type="pct"/>
            <w:noWrap w:val="0"/>
            <w:vAlign w:val="center"/>
          </w:tcPr>
          <w:p>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废吸油毡</w:t>
            </w:r>
            <w:r>
              <w:rPr>
                <w:rFonts w:hint="default"/>
                <w:color w:val="auto"/>
                <w:lang w:val="en-US" w:eastAsia="zh-CN"/>
              </w:rPr>
              <w:t>(t/a)</w:t>
            </w:r>
          </w:p>
        </w:tc>
        <w:tc>
          <w:tcPr>
            <w:tcW w:w="572"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391"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ind w:left="0" w:leftChars="0" w:firstLine="0" w:firstLineChars="0"/>
              <w:rPr>
                <w:rFonts w:hint="default"/>
                <w:color w:val="auto"/>
                <w:lang w:val="en-US" w:eastAsia="zh-CN"/>
              </w:rPr>
            </w:pPr>
            <w:r>
              <w:rPr>
                <w:rFonts w:hint="eastAsia"/>
                <w:color w:val="auto"/>
                <w:lang w:val="en-US" w:eastAsia="zh-CN"/>
              </w:rPr>
              <w:t>0.3</w:t>
            </w:r>
          </w:p>
        </w:tc>
        <w:tc>
          <w:tcPr>
            <w:tcW w:w="450" w:type="pct"/>
            <w:noWrap w:val="0"/>
            <w:vAlign w:val="top"/>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0.3</w:t>
            </w:r>
          </w:p>
        </w:tc>
        <w:tc>
          <w:tcPr>
            <w:tcW w:w="636" w:type="pct"/>
            <w:noWrap w:val="0"/>
            <w:vAlign w:val="center"/>
          </w:tcPr>
          <w:p>
            <w:pPr>
              <w:pStyle w:val="31"/>
              <w:bidi w:val="0"/>
              <w:rPr>
                <w:rFonts w:hint="eastAsia"/>
                <w:color w:val="auto"/>
                <w:lang w:val="en-US" w:eastAsia="zh-CN"/>
              </w:rPr>
            </w:pPr>
            <w:r>
              <w:rPr>
                <w:rFonts w:hint="eastAsia"/>
                <w:color w:val="auto"/>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31"/>
              <w:bidi w:val="0"/>
              <w:rPr>
                <w:rFonts w:hint="default"/>
                <w:color w:val="auto"/>
              </w:rPr>
            </w:pPr>
          </w:p>
        </w:tc>
        <w:tc>
          <w:tcPr>
            <w:tcW w:w="687" w:type="pct"/>
            <w:noWrap w:val="0"/>
            <w:vAlign w:val="center"/>
          </w:tcPr>
          <w:p>
            <w:pPr>
              <w:pStyle w:val="31"/>
              <w:bidi w:val="0"/>
              <w:rPr>
                <w:rFonts w:hint="default"/>
                <w:color w:val="auto"/>
                <w:lang w:val="en-US" w:eastAsia="zh-CN"/>
              </w:rPr>
            </w:pPr>
            <w:r>
              <w:rPr>
                <w:rFonts w:hint="eastAsia"/>
                <w:color w:val="auto"/>
                <w:lang w:val="en-US" w:eastAsia="zh-CN"/>
              </w:rPr>
              <w:t>含油废抹布及手套</w:t>
            </w:r>
            <w:r>
              <w:rPr>
                <w:rFonts w:hint="default"/>
                <w:color w:val="auto"/>
                <w:lang w:val="en-US" w:eastAsia="zh-CN"/>
              </w:rPr>
              <w:t>(t/a)</w:t>
            </w:r>
          </w:p>
        </w:tc>
        <w:tc>
          <w:tcPr>
            <w:tcW w:w="572"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391"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559" w:type="pct"/>
            <w:noWrap w:val="0"/>
            <w:vAlign w:val="top"/>
          </w:tcPr>
          <w:p>
            <w:pPr>
              <w:pStyle w:val="31"/>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31"/>
              <w:bidi w:val="0"/>
              <w:ind w:left="0" w:leftChars="0" w:firstLine="0" w:firstLineChars="0"/>
              <w:rPr>
                <w:rFonts w:hint="default"/>
                <w:color w:val="auto"/>
                <w:lang w:val="en-US" w:eastAsia="zh-CN"/>
              </w:rPr>
            </w:pPr>
            <w:r>
              <w:rPr>
                <w:rFonts w:hint="eastAsia"/>
                <w:color w:val="auto"/>
                <w:lang w:val="en-US" w:eastAsia="zh-CN"/>
              </w:rPr>
              <w:t>0.05</w:t>
            </w:r>
          </w:p>
        </w:tc>
        <w:tc>
          <w:tcPr>
            <w:tcW w:w="450" w:type="pct"/>
            <w:noWrap w:val="0"/>
            <w:vAlign w:val="top"/>
          </w:tcPr>
          <w:p>
            <w:pPr>
              <w:pStyle w:val="31"/>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31"/>
              <w:bidi w:val="0"/>
              <w:rPr>
                <w:rFonts w:hint="default"/>
                <w:color w:val="auto"/>
                <w:lang w:val="en-US" w:eastAsia="zh-CN"/>
              </w:rPr>
            </w:pPr>
            <w:r>
              <w:rPr>
                <w:rFonts w:hint="eastAsia"/>
                <w:color w:val="auto"/>
                <w:lang w:val="en-US" w:eastAsia="zh-CN"/>
              </w:rPr>
              <w:t>0.05</w:t>
            </w:r>
          </w:p>
        </w:tc>
        <w:tc>
          <w:tcPr>
            <w:tcW w:w="636" w:type="pct"/>
            <w:noWrap w:val="0"/>
            <w:vAlign w:val="center"/>
          </w:tcPr>
          <w:p>
            <w:pPr>
              <w:pStyle w:val="31"/>
              <w:bidi w:val="0"/>
              <w:rPr>
                <w:rFonts w:hint="default"/>
                <w:color w:val="auto"/>
                <w:lang w:val="en-US" w:eastAsia="zh-CN"/>
              </w:rPr>
            </w:pPr>
            <w:r>
              <w:rPr>
                <w:rFonts w:hint="eastAsia"/>
                <w:color w:val="auto"/>
                <w:lang w:val="en-US" w:eastAsia="zh-CN"/>
              </w:rPr>
              <w:t>+0.05</w:t>
            </w:r>
          </w:p>
        </w:tc>
      </w:tr>
    </w:tbl>
    <w:p>
      <w:pPr>
        <w:keepNext w:val="0"/>
        <w:keepLines w:val="0"/>
        <w:pageBreakBefore w:val="0"/>
        <w:widowControl w:val="0"/>
        <w:kinsoku/>
        <w:wordWrap/>
        <w:overflowPunct/>
        <w:topLinePunct w:val="0"/>
        <w:autoSpaceDE/>
        <w:autoSpaceDN/>
        <w:bidi w:val="0"/>
        <w:adjustRightInd/>
        <w:snapToGrid/>
        <w:spacing w:before="192" w:beforeLines="80" w:after="24" w:line="240" w:lineRule="auto"/>
        <w:jc w:val="left"/>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sectPr>
          <w:foot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31"/>
        <w:bidi w:val="0"/>
        <w:jc w:val="left"/>
        <w:outlineLvl w:val="0"/>
        <w:rPr>
          <w:rFonts w:hint="default"/>
          <w:b/>
          <w:bCs/>
          <w:color w:val="auto"/>
          <w:sz w:val="28"/>
          <w:szCs w:val="36"/>
          <w:lang w:val="en-US" w:eastAsia="zh-CN"/>
        </w:rPr>
      </w:pPr>
      <w:bookmarkStart w:id="49" w:name="_Toc32048"/>
      <w:r>
        <w:rPr>
          <w:rFonts w:hint="eastAsia"/>
          <w:b/>
          <w:bCs/>
          <w:color w:val="auto"/>
          <w:sz w:val="28"/>
          <w:szCs w:val="36"/>
          <w:lang w:val="en-US" w:eastAsia="zh-CN"/>
        </w:rPr>
        <w:t xml:space="preserve">附件十二 </w:t>
      </w:r>
      <w:r>
        <w:rPr>
          <w:rStyle w:val="48"/>
          <w:rFonts w:hint="eastAsia"/>
          <w:b/>
          <w:bCs/>
          <w:color w:val="auto"/>
          <w:lang w:val="en-US" w:eastAsia="zh-CN"/>
        </w:rPr>
        <w:t>信息删除理由说明和删除依据说明</w:t>
      </w:r>
      <w:bookmarkEnd w:id="49"/>
      <w:r>
        <w:rPr>
          <w:rFonts w:ascii="宋体" w:hAnsi="宋体" w:eastAsia="宋体" w:cs="宋体"/>
          <w:b/>
          <w:bCs/>
          <w:color w:val="auto"/>
          <w:sz w:val="24"/>
          <w:szCs w:val="24"/>
        </w:rPr>
        <w:t xml:space="preserve"> </w:t>
      </w:r>
    </w:p>
    <w:p>
      <w:pPr>
        <w:pStyle w:val="31"/>
        <w:bidi w:val="0"/>
        <w:rPr>
          <w:rFonts w:hint="default"/>
          <w:color w:val="auto"/>
          <w:lang w:val="en-US" w:eastAsia="zh-CN"/>
        </w:rPr>
      </w:pPr>
      <w:r>
        <w:rPr>
          <w:color w:val="auto"/>
        </w:rPr>
        <w:drawing>
          <wp:inline distT="0" distB="0" distL="114300" distR="114300">
            <wp:extent cx="5753735" cy="7280910"/>
            <wp:effectExtent l="0" t="0" r="18415" b="15240"/>
            <wp:docPr id="1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1"/>
                    </pic:cNvPicPr>
                  </pic:nvPicPr>
                  <pic:blipFill>
                    <a:blip r:embed="rId34"/>
                    <a:stretch>
                      <a:fillRect/>
                    </a:stretch>
                  </pic:blipFill>
                  <pic:spPr>
                    <a:xfrm>
                      <a:off x="0" y="0"/>
                      <a:ext cx="5753735" cy="7280910"/>
                    </a:xfrm>
                    <a:prstGeom prst="rect">
                      <a:avLst/>
                    </a:prstGeom>
                    <a:noFill/>
                    <a:ln>
                      <a:noFill/>
                    </a:ln>
                  </pic:spPr>
                </pic:pic>
              </a:graphicData>
            </a:graphic>
          </wp:inline>
        </w:drawing>
      </w:r>
    </w:p>
    <w:p>
      <w:pPr>
        <w:pStyle w:val="31"/>
        <w:bidi w:val="0"/>
        <w:rPr>
          <w:rFonts w:hint="default"/>
          <w:color w:val="auto"/>
          <w:lang w:val="en-US" w:eastAsia="zh-CN"/>
        </w:rPr>
      </w:pPr>
      <w:r>
        <w:rPr>
          <w:color w:val="auto"/>
        </w:rPr>
        <w:drawing>
          <wp:inline distT="0" distB="0" distL="114300" distR="114300">
            <wp:extent cx="5752465" cy="8066405"/>
            <wp:effectExtent l="0" t="0" r="635" b="10795"/>
            <wp:docPr id="1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
                    <pic:cNvPicPr>
                      <a:picLocks noChangeAspect="1"/>
                    </pic:cNvPicPr>
                  </pic:nvPicPr>
                  <pic:blipFill>
                    <a:blip r:embed="rId35"/>
                    <a:stretch>
                      <a:fillRect/>
                    </a:stretch>
                  </pic:blipFill>
                  <pic:spPr>
                    <a:xfrm>
                      <a:off x="0" y="0"/>
                      <a:ext cx="5752465" cy="8066405"/>
                    </a:xfrm>
                    <a:prstGeom prst="rect">
                      <a:avLst/>
                    </a:prstGeom>
                    <a:noFill/>
                    <a:ln>
                      <a:noFill/>
                    </a:ln>
                  </pic:spPr>
                </pic:pic>
              </a:graphicData>
            </a:graphic>
          </wp:inline>
        </w:drawing>
      </w:r>
    </w:p>
    <w:p>
      <w:pPr>
        <w:pStyle w:val="31"/>
        <w:bidi w:val="0"/>
        <w:rPr>
          <w:rFonts w:hint="default"/>
          <w:color w:val="auto"/>
          <w:lang w:val="en-US" w:eastAsia="zh-CN"/>
        </w:rPr>
      </w:pPr>
    </w:p>
    <w:p>
      <w:pPr>
        <w:pStyle w:val="31"/>
        <w:bidi w:val="0"/>
        <w:rPr>
          <w:rFonts w:hint="default"/>
          <w:color w:val="auto"/>
          <w:lang w:val="en-US" w:eastAsia="zh-CN"/>
        </w:rPr>
      </w:pPr>
    </w:p>
    <w:p>
      <w:pPr>
        <w:pStyle w:val="31"/>
        <w:bidi w:val="0"/>
        <w:rPr>
          <w:rFonts w:hint="default"/>
          <w:color w:val="auto"/>
          <w:lang w:val="en-US" w:eastAsia="zh-CN"/>
        </w:rPr>
      </w:pPr>
    </w:p>
    <w:p>
      <w:pPr>
        <w:pStyle w:val="31"/>
        <w:bidi w:val="0"/>
        <w:outlineLvl w:val="9"/>
        <w:rPr>
          <w:rFonts w:hint="default"/>
          <w:color w:val="auto"/>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bidi w:val="0"/>
        <w:jc w:val="both"/>
        <w:rPr>
          <w:rFonts w:hint="default"/>
          <w:color w:val="auto"/>
          <w:lang w:val="en-US" w:eastAsia="zh-CN"/>
        </w:rPr>
      </w:pP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Monotype Corsiva">
    <w:panose1 w:val="03010101010201010101"/>
    <w:charset w:val="00"/>
    <w:family w:val="script"/>
    <w:pitch w:val="default"/>
    <w:sig w:usb0="00000287" w:usb1="00000000" w:usb2="00000000" w:usb3="00000000" w:csb0="2000009F" w:csb1="DFD70000"/>
  </w:font>
  <w:font w:name="Arial Unicode MS">
    <w:altName w:val="宋体"/>
    <w:panose1 w:val="020B0604020202020204"/>
    <w:charset w:val="86"/>
    <w:family w:val="auto"/>
    <w:pitch w:val="default"/>
    <w:sig w:usb0="00000000" w:usb1="00000000" w:usb2="0000003F" w:usb3="00000000" w:csb0="603F01FF" w:csb1="FFFF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FA5A"/>
    <w:multiLevelType w:val="singleLevel"/>
    <w:tmpl w:val="81CFFA5A"/>
    <w:lvl w:ilvl="0" w:tentative="0">
      <w:start w:val="2"/>
      <w:numFmt w:val="decimal"/>
      <w:suff w:val="nothing"/>
      <w:lvlText w:val="（%1）"/>
      <w:lvlJc w:val="left"/>
    </w:lvl>
  </w:abstractNum>
  <w:abstractNum w:abstractNumId="1">
    <w:nsid w:val="8B298ADA"/>
    <w:multiLevelType w:val="singleLevel"/>
    <w:tmpl w:val="8B298ADA"/>
    <w:lvl w:ilvl="0" w:tentative="0">
      <w:start w:val="4"/>
      <w:numFmt w:val="chineseCounting"/>
      <w:suff w:val="nothing"/>
      <w:lvlText w:val="%1、"/>
      <w:lvlJc w:val="left"/>
      <w:rPr>
        <w:rFonts w:hint="eastAsia"/>
        <w:b/>
        <w:bCs/>
      </w:rPr>
    </w:lvl>
  </w:abstractNum>
  <w:abstractNum w:abstractNumId="2">
    <w:nsid w:val="9936CCBF"/>
    <w:multiLevelType w:val="singleLevel"/>
    <w:tmpl w:val="9936CCBF"/>
    <w:lvl w:ilvl="0" w:tentative="0">
      <w:start w:val="1"/>
      <w:numFmt w:val="decimal"/>
      <w:suff w:val="nothing"/>
      <w:lvlText w:val="%1、"/>
      <w:lvlJc w:val="left"/>
    </w:lvl>
  </w:abstractNum>
  <w:abstractNum w:abstractNumId="3">
    <w:nsid w:val="FE5CAF8B"/>
    <w:multiLevelType w:val="multilevel"/>
    <w:tmpl w:val="FE5CAF8B"/>
    <w:lvl w:ilvl="0" w:tentative="0">
      <w:start w:val="1"/>
      <w:numFmt w:val="decimal"/>
      <w:isLgl/>
      <w:suff w:val="space"/>
      <w:lvlText w:val="%1 "/>
      <w:lvlJc w:val="left"/>
      <w:rPr>
        <w:rFonts w:hint="eastAsia"/>
      </w:rPr>
    </w:lvl>
    <w:lvl w:ilvl="1" w:tentative="0">
      <w:start w:val="1"/>
      <w:numFmt w:val="decimal"/>
      <w:suff w:val="space"/>
      <w:lvlText w:val="%1.%2 "/>
      <w:lvlJc w:val="left"/>
      <w:rPr>
        <w:rFonts w:hint="eastAsia"/>
      </w:rPr>
    </w:lvl>
    <w:lvl w:ilvl="2" w:tentative="0">
      <w:start w:val="1"/>
      <w:numFmt w:val="decimal"/>
      <w:suff w:val="space"/>
      <w:lvlText w:val="%1.%2.%3 "/>
      <w:lvlJc w:val="left"/>
      <w:rPr>
        <w:rFonts w:hint="default" w:ascii="Times New Roman" w:hAnsi="Times New Roman" w:eastAsia="宋体"/>
        <w:b w:val="0"/>
        <w:bCs w:val="0"/>
        <w:i w:val="0"/>
        <w:iCs w:val="0"/>
        <w:sz w:val="21"/>
        <w:szCs w:val="21"/>
      </w:rPr>
    </w:lvl>
    <w:lvl w:ilvl="3" w:tentative="0">
      <w:start w:val="1"/>
      <w:numFmt w:val="decimal"/>
      <w:pStyle w:val="5"/>
      <w:lvlText w:val="%1.%2.%3.%4 "/>
      <w:lvlJc w:val="left"/>
      <w:pPr>
        <w:tabs>
          <w:tab w:val="left" w:pos="720"/>
        </w:tabs>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4AC69CA"/>
    <w:multiLevelType w:val="singleLevel"/>
    <w:tmpl w:val="14AC69CA"/>
    <w:lvl w:ilvl="0" w:tentative="0">
      <w:start w:val="1"/>
      <w:numFmt w:val="chineseCounting"/>
      <w:suff w:val="nothing"/>
      <w:lvlText w:val="%1、"/>
      <w:lvlJc w:val="left"/>
      <w:rPr>
        <w:rFonts w:hint="eastAsia"/>
      </w:rPr>
    </w:lvl>
  </w:abstractNum>
  <w:abstractNum w:abstractNumId="5">
    <w:nsid w:val="1CCCB413"/>
    <w:multiLevelType w:val="singleLevel"/>
    <w:tmpl w:val="1CCCB413"/>
    <w:lvl w:ilvl="0" w:tentative="0">
      <w:start w:val="1"/>
      <w:numFmt w:val="decimal"/>
      <w:suff w:val="nothing"/>
      <w:lvlText w:val="（%1）"/>
      <w:lvlJc w:val="left"/>
    </w:lvl>
  </w:abstractNum>
  <w:abstractNum w:abstractNumId="6">
    <w:nsid w:val="6833FA05"/>
    <w:multiLevelType w:val="singleLevel"/>
    <w:tmpl w:val="6833FA05"/>
    <w:lvl w:ilvl="0" w:tentative="0">
      <w:start w:val="1"/>
      <w:numFmt w:val="decimal"/>
      <w:suff w:val="nothing"/>
      <w:lvlText w:val="%1、"/>
      <w:lvlJc w:val="left"/>
    </w:lvl>
  </w:abstractNum>
  <w:num w:numId="1">
    <w:abstractNumId w:val="3"/>
  </w:num>
  <w:num w:numId="2">
    <w:abstractNumId w:val="6"/>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D6187"/>
    <w:rsid w:val="00D77D9E"/>
    <w:rsid w:val="01715CA0"/>
    <w:rsid w:val="017936BE"/>
    <w:rsid w:val="02395EC6"/>
    <w:rsid w:val="02B916FA"/>
    <w:rsid w:val="047F77C4"/>
    <w:rsid w:val="0644429B"/>
    <w:rsid w:val="082E3726"/>
    <w:rsid w:val="08367CC1"/>
    <w:rsid w:val="08A9768B"/>
    <w:rsid w:val="08AD3BAB"/>
    <w:rsid w:val="091B2126"/>
    <w:rsid w:val="09244DDD"/>
    <w:rsid w:val="0AAF1155"/>
    <w:rsid w:val="0AC163F6"/>
    <w:rsid w:val="0BD443FD"/>
    <w:rsid w:val="0C142961"/>
    <w:rsid w:val="0C4D5E73"/>
    <w:rsid w:val="0D447EB9"/>
    <w:rsid w:val="0E0B39D9"/>
    <w:rsid w:val="0E770F85"/>
    <w:rsid w:val="0F3A3614"/>
    <w:rsid w:val="0F583DCD"/>
    <w:rsid w:val="107462EF"/>
    <w:rsid w:val="108A1444"/>
    <w:rsid w:val="11A27578"/>
    <w:rsid w:val="11D638BA"/>
    <w:rsid w:val="12B409FA"/>
    <w:rsid w:val="12BB75A1"/>
    <w:rsid w:val="14997EA7"/>
    <w:rsid w:val="14C70789"/>
    <w:rsid w:val="150D4A50"/>
    <w:rsid w:val="15FB4166"/>
    <w:rsid w:val="16065DEF"/>
    <w:rsid w:val="176C18A3"/>
    <w:rsid w:val="18F759EF"/>
    <w:rsid w:val="19A61B96"/>
    <w:rsid w:val="19C37774"/>
    <w:rsid w:val="19DD3CFB"/>
    <w:rsid w:val="19F1171D"/>
    <w:rsid w:val="19F65454"/>
    <w:rsid w:val="1AA036F0"/>
    <w:rsid w:val="1AE83444"/>
    <w:rsid w:val="1D126A49"/>
    <w:rsid w:val="1DAD49C3"/>
    <w:rsid w:val="1DE5415D"/>
    <w:rsid w:val="1EA25BAA"/>
    <w:rsid w:val="1FC14756"/>
    <w:rsid w:val="200A3D4E"/>
    <w:rsid w:val="22C75BE0"/>
    <w:rsid w:val="234F7FFF"/>
    <w:rsid w:val="23B048C6"/>
    <w:rsid w:val="243948BB"/>
    <w:rsid w:val="24547947"/>
    <w:rsid w:val="249F749A"/>
    <w:rsid w:val="24F26AD5"/>
    <w:rsid w:val="251E565A"/>
    <w:rsid w:val="25F3318F"/>
    <w:rsid w:val="266B064C"/>
    <w:rsid w:val="27724F60"/>
    <w:rsid w:val="2A465EF5"/>
    <w:rsid w:val="2AD24BF6"/>
    <w:rsid w:val="2AE00186"/>
    <w:rsid w:val="2B0E58B3"/>
    <w:rsid w:val="2B1D313C"/>
    <w:rsid w:val="2BA80578"/>
    <w:rsid w:val="2BE27A8A"/>
    <w:rsid w:val="2D7E77E3"/>
    <w:rsid w:val="2E3A72C6"/>
    <w:rsid w:val="2F2B4C36"/>
    <w:rsid w:val="2F843677"/>
    <w:rsid w:val="2F9037FD"/>
    <w:rsid w:val="30A02706"/>
    <w:rsid w:val="30F70992"/>
    <w:rsid w:val="30F92976"/>
    <w:rsid w:val="3136299A"/>
    <w:rsid w:val="31BA5D24"/>
    <w:rsid w:val="3207249C"/>
    <w:rsid w:val="32321E1C"/>
    <w:rsid w:val="32531B4E"/>
    <w:rsid w:val="34B60ED2"/>
    <w:rsid w:val="34B940F2"/>
    <w:rsid w:val="34D4418C"/>
    <w:rsid w:val="34F25D61"/>
    <w:rsid w:val="351D3D85"/>
    <w:rsid w:val="3542559A"/>
    <w:rsid w:val="372E5DD5"/>
    <w:rsid w:val="39352F70"/>
    <w:rsid w:val="39B90520"/>
    <w:rsid w:val="3A3533F4"/>
    <w:rsid w:val="3AA54935"/>
    <w:rsid w:val="3AED5FA8"/>
    <w:rsid w:val="3B196D9D"/>
    <w:rsid w:val="3B5B5607"/>
    <w:rsid w:val="3B6A43DD"/>
    <w:rsid w:val="3CA42C54"/>
    <w:rsid w:val="3E014244"/>
    <w:rsid w:val="3E99447C"/>
    <w:rsid w:val="3E9E5F37"/>
    <w:rsid w:val="3EA572C5"/>
    <w:rsid w:val="3ECF75FC"/>
    <w:rsid w:val="3EE65DB0"/>
    <w:rsid w:val="3FEE6A4A"/>
    <w:rsid w:val="40766F2F"/>
    <w:rsid w:val="41066EA2"/>
    <w:rsid w:val="41281AE7"/>
    <w:rsid w:val="41D57EC1"/>
    <w:rsid w:val="422E5823"/>
    <w:rsid w:val="42AE0712"/>
    <w:rsid w:val="42B357A3"/>
    <w:rsid w:val="436D706C"/>
    <w:rsid w:val="437C611B"/>
    <w:rsid w:val="43C3354D"/>
    <w:rsid w:val="43F873F7"/>
    <w:rsid w:val="444D62B8"/>
    <w:rsid w:val="44E54156"/>
    <w:rsid w:val="457B6EA7"/>
    <w:rsid w:val="45BC4EF4"/>
    <w:rsid w:val="45E42D27"/>
    <w:rsid w:val="47A0687C"/>
    <w:rsid w:val="47ED5839"/>
    <w:rsid w:val="48335942"/>
    <w:rsid w:val="48BA4E3E"/>
    <w:rsid w:val="4904250E"/>
    <w:rsid w:val="49543DC1"/>
    <w:rsid w:val="4A025F64"/>
    <w:rsid w:val="4BD123B2"/>
    <w:rsid w:val="4C6409E9"/>
    <w:rsid w:val="4C7B7D25"/>
    <w:rsid w:val="4D01600E"/>
    <w:rsid w:val="4D230F75"/>
    <w:rsid w:val="4DAC4A19"/>
    <w:rsid w:val="4E2F68D1"/>
    <w:rsid w:val="4E402C73"/>
    <w:rsid w:val="4E972591"/>
    <w:rsid w:val="4EC015B1"/>
    <w:rsid w:val="4F443F90"/>
    <w:rsid w:val="4F5C20E5"/>
    <w:rsid w:val="4F986150"/>
    <w:rsid w:val="509205B0"/>
    <w:rsid w:val="516923D4"/>
    <w:rsid w:val="51DD247A"/>
    <w:rsid w:val="52666914"/>
    <w:rsid w:val="52C8137C"/>
    <w:rsid w:val="53176397"/>
    <w:rsid w:val="53191BD8"/>
    <w:rsid w:val="53212333"/>
    <w:rsid w:val="53750A51"/>
    <w:rsid w:val="53E126F6"/>
    <w:rsid w:val="54266161"/>
    <w:rsid w:val="54505185"/>
    <w:rsid w:val="54624EB9"/>
    <w:rsid w:val="55C13BE6"/>
    <w:rsid w:val="56C47577"/>
    <w:rsid w:val="56E26F1A"/>
    <w:rsid w:val="586D64A8"/>
    <w:rsid w:val="58850B9C"/>
    <w:rsid w:val="58FE7456"/>
    <w:rsid w:val="59E06353"/>
    <w:rsid w:val="59F209F7"/>
    <w:rsid w:val="5AAF793F"/>
    <w:rsid w:val="5AEC67FA"/>
    <w:rsid w:val="5B582874"/>
    <w:rsid w:val="5C375640"/>
    <w:rsid w:val="5D3A5B17"/>
    <w:rsid w:val="5DC54D6A"/>
    <w:rsid w:val="5DFB0858"/>
    <w:rsid w:val="5ED61A68"/>
    <w:rsid w:val="5EE97D23"/>
    <w:rsid w:val="5FB702F3"/>
    <w:rsid w:val="603E210B"/>
    <w:rsid w:val="60441932"/>
    <w:rsid w:val="61B1083E"/>
    <w:rsid w:val="621945FC"/>
    <w:rsid w:val="628C1BEE"/>
    <w:rsid w:val="6297671D"/>
    <w:rsid w:val="632A05BD"/>
    <w:rsid w:val="65176D90"/>
    <w:rsid w:val="65972412"/>
    <w:rsid w:val="65DE078B"/>
    <w:rsid w:val="688E327E"/>
    <w:rsid w:val="6B252A70"/>
    <w:rsid w:val="6B9145AA"/>
    <w:rsid w:val="6C100B8B"/>
    <w:rsid w:val="6D0611AC"/>
    <w:rsid w:val="6D9A109B"/>
    <w:rsid w:val="6DBF777E"/>
    <w:rsid w:val="6E8F51E0"/>
    <w:rsid w:val="6EDA3817"/>
    <w:rsid w:val="6EE167E4"/>
    <w:rsid w:val="6FD022E5"/>
    <w:rsid w:val="6FDB6359"/>
    <w:rsid w:val="7074681C"/>
    <w:rsid w:val="707C7E64"/>
    <w:rsid w:val="720A08A1"/>
    <w:rsid w:val="7275609B"/>
    <w:rsid w:val="733A1083"/>
    <w:rsid w:val="75114065"/>
    <w:rsid w:val="757E7565"/>
    <w:rsid w:val="76126652"/>
    <w:rsid w:val="76991BEC"/>
    <w:rsid w:val="76AA651F"/>
    <w:rsid w:val="7798126F"/>
    <w:rsid w:val="77DC592E"/>
    <w:rsid w:val="787A6B4F"/>
    <w:rsid w:val="789B3E8B"/>
    <w:rsid w:val="7A471471"/>
    <w:rsid w:val="7AE81599"/>
    <w:rsid w:val="7B222A21"/>
    <w:rsid w:val="7B311261"/>
    <w:rsid w:val="7BB3231A"/>
    <w:rsid w:val="7BEF3979"/>
    <w:rsid w:val="7C2B3C5E"/>
    <w:rsid w:val="7CB44DAC"/>
    <w:rsid w:val="7CBA4FE2"/>
    <w:rsid w:val="7F7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0"/>
    <w:qFormat/>
    <w:uiPriority w:val="0"/>
    <w:pPr>
      <w:keepNext/>
      <w:tabs>
        <w:tab w:val="left" w:pos="345"/>
      </w:tabs>
      <w:spacing w:before="50" w:beforeLines="50" w:line="360" w:lineRule="auto"/>
      <w:ind w:left="0" w:firstLine="0" w:firstLineChars="0"/>
      <w:jc w:val="left"/>
      <w:outlineLvl w:val="0"/>
    </w:pPr>
    <w:rPr>
      <w:rFonts w:ascii="Times New Roman" w:hAnsi="Times New Roman"/>
      <w:b/>
      <w:sz w:val="32"/>
    </w:rPr>
  </w:style>
  <w:style w:type="paragraph" w:styleId="3">
    <w:name w:val="heading 2"/>
    <w:basedOn w:val="2"/>
    <w:next w:val="1"/>
    <w:link w:val="32"/>
    <w:unhideWhenUsed/>
    <w:qFormat/>
    <w:uiPriority w:val="0"/>
    <w:pPr>
      <w:keepNext/>
      <w:keepLines/>
      <w:spacing w:beforeAutospacing="0" w:after="50" w:afterLines="50" w:afterAutospacing="0" w:line="240" w:lineRule="auto"/>
      <w:ind w:firstLine="0" w:firstLineChars="0"/>
      <w:jc w:val="left"/>
      <w:outlineLvl w:val="1"/>
    </w:pPr>
    <w:rPr>
      <w:rFonts w:ascii="Times New Roman" w:hAnsi="Times New Roman" w:eastAsia="宋体"/>
      <w:sz w:val="30"/>
    </w:rPr>
  </w:style>
  <w:style w:type="paragraph" w:styleId="4">
    <w:name w:val="heading 3"/>
    <w:basedOn w:val="1"/>
    <w:next w:val="1"/>
    <w:unhideWhenUsed/>
    <w:qFormat/>
    <w:uiPriority w:val="0"/>
    <w:pPr>
      <w:spacing w:before="50" w:beforeLines="50" w:beforeAutospacing="0" w:after="50" w:afterLines="50" w:afterAutospacing="0" w:line="240" w:lineRule="auto"/>
      <w:ind w:firstLine="0" w:firstLineChars="0"/>
      <w:jc w:val="left"/>
      <w:outlineLvl w:val="2"/>
    </w:pPr>
    <w:rPr>
      <w:rFonts w:hint="default" w:ascii="Times New Roman" w:hAnsi="Times New Roman" w:eastAsia="宋体" w:cs="宋体"/>
      <w:b/>
      <w:bCs/>
      <w:kern w:val="0"/>
      <w:sz w:val="28"/>
      <w:szCs w:val="27"/>
      <w:lang w:bidi="ar"/>
    </w:rPr>
  </w:style>
  <w:style w:type="paragraph" w:styleId="5">
    <w:name w:val="heading 4"/>
    <w:basedOn w:val="4"/>
    <w:next w:val="1"/>
    <w:semiHidden/>
    <w:unhideWhenUsed/>
    <w:qFormat/>
    <w:uiPriority w:val="0"/>
    <w:pPr>
      <w:numPr>
        <w:ilvl w:val="3"/>
        <w:numId w:val="1"/>
      </w:numPr>
      <w:spacing w:line="360" w:lineRule="auto"/>
      <w:outlineLvl w:val="3"/>
    </w:pPr>
    <w:rPr>
      <w:rFonts w:eastAsia="宋体"/>
      <w:sz w:val="24"/>
    </w:rPr>
  </w:style>
  <w:style w:type="character" w:default="1" w:styleId="22">
    <w:name w:val="Default Paragraph Font"/>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Normal Indent"/>
    <w:basedOn w:val="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styleId="8">
    <w:name w:val="annotation text"/>
    <w:basedOn w:val="1"/>
    <w:qFormat/>
    <w:uiPriority w:val="0"/>
    <w:pPr>
      <w:jc w:val="left"/>
    </w:pPr>
  </w:style>
  <w:style w:type="paragraph" w:styleId="9">
    <w:name w:val="Salutation"/>
    <w:basedOn w:val="1"/>
    <w:next w:val="1"/>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0">
    <w:name w:val="Body Text"/>
    <w:basedOn w:val="1"/>
    <w:next w:val="9"/>
    <w:qFormat/>
    <w:uiPriority w:val="0"/>
    <w:pPr>
      <w:widowControl/>
      <w:snapToGrid w:val="0"/>
      <w:spacing w:before="60" w:after="160" w:line="259" w:lineRule="auto"/>
      <w:ind w:right="113"/>
      <w:jc w:val="both"/>
    </w:pPr>
    <w:rPr>
      <w:rFonts w:ascii="Times New Roman" w:hAnsi="Times New Roman" w:eastAsia="宋体" w:cs="Times New Roman"/>
      <w:kern w:val="0"/>
      <w:sz w:val="18"/>
      <w:szCs w:val="20"/>
      <w:lang w:val="en-US" w:eastAsia="zh-CN" w:bidi="ar-SA"/>
    </w:rPr>
  </w:style>
  <w:style w:type="paragraph" w:styleId="11">
    <w:name w:val="Body Text Indent"/>
    <w:basedOn w:val="1"/>
    <w:next w:val="12"/>
    <w:link w:val="36"/>
    <w:qFormat/>
    <w:uiPriority w:val="0"/>
    <w:pPr>
      <w:spacing w:after="120"/>
      <w:ind w:left="420" w:leftChars="200"/>
    </w:pPr>
    <w:rPr>
      <w:kern w:val="0"/>
      <w:sz w:val="24"/>
      <w:szCs w:val="20"/>
    </w:rPr>
  </w:style>
  <w:style w:type="paragraph" w:styleId="12">
    <w:name w:val="Balloon Text"/>
    <w:basedOn w:val="1"/>
    <w:next w:val="10"/>
    <w:semiHidden/>
    <w:qFormat/>
    <w:uiPriority w:val="0"/>
    <w:rPr>
      <w:kern w:val="0"/>
      <w:sz w:val="18"/>
      <w:szCs w:val="20"/>
    </w:rPr>
  </w:style>
  <w:style w:type="paragraph" w:styleId="13">
    <w:name w:val="Block Text"/>
    <w:basedOn w:val="1"/>
    <w:qFormat/>
    <w:uiPriority w:val="0"/>
    <w:pPr>
      <w:spacing w:line="440" w:lineRule="exact"/>
      <w:ind w:left="105" w:leftChars="50" w:right="105" w:rightChars="50" w:firstLine="556"/>
    </w:pPr>
    <w:rPr>
      <w:rFonts w:ascii="仿宋_GB2312" w:hAnsi="Monotype Corsiva" w:eastAsia="仿宋_GB2312"/>
      <w:bCs/>
      <w:sz w:val="24"/>
    </w:rPr>
  </w:style>
  <w:style w:type="paragraph" w:styleId="14">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5">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lang w:val="en-US" w:eastAsia="zh-CN" w:bidi="ar-SA"/>
    </w:rPr>
  </w:style>
  <w:style w:type="paragraph" w:styleId="16">
    <w:name w:val="toc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8">
    <w:name w:val="Body Text First Indent"/>
    <w:basedOn w:val="10"/>
    <w:next w:val="1"/>
    <w:qFormat/>
    <w:uiPriority w:val="0"/>
    <w:pPr>
      <w:widowControl/>
      <w:snapToGrid w:val="0"/>
      <w:spacing w:before="60" w:after="160" w:line="259" w:lineRule="auto"/>
      <w:ind w:right="113" w:firstLine="420" w:firstLineChars="100"/>
      <w:jc w:val="both"/>
    </w:pPr>
    <w:rPr>
      <w:rFonts w:ascii="Times New Roman" w:hAnsi="Times New Roman" w:eastAsia="宋体" w:cs="Times New Roman"/>
      <w:kern w:val="0"/>
      <w:sz w:val="18"/>
      <w:szCs w:val="20"/>
      <w:lang w:val="en-US" w:eastAsia="zh-CN" w:bidi="ar-SA"/>
    </w:rPr>
  </w:style>
  <w:style w:type="paragraph" w:styleId="19">
    <w:name w:val="Body Text First Indent 2"/>
    <w:basedOn w:val="1"/>
    <w:next w:val="18"/>
    <w:qFormat/>
    <w:uiPriority w:val="0"/>
    <w:pPr>
      <w:keepNext w:val="0"/>
      <w:keepLines w:val="0"/>
      <w:widowControl/>
      <w:suppressLineNumbers w:val="0"/>
      <w:spacing w:before="0" w:beforeAutospacing="0" w:after="120" w:afterAutospacing="0"/>
      <w:ind w:left="420" w:leftChars="200" w:right="0" w:firstLine="420" w:firstLineChars="200"/>
      <w:jc w:val="left"/>
    </w:pPr>
    <w:rPr>
      <w:rFonts w:ascii="Times New Roman" w:hAnsi="Times New Roman" w:eastAsia="宋体" w:cs="Times New Roman"/>
      <w:kern w:val="2"/>
      <w:sz w:val="28"/>
      <w:szCs w:val="28"/>
      <w:lang w:val="en-US" w:eastAsia="zh-CN" w:bidi="ar-SA"/>
    </w:rPr>
  </w:style>
  <w:style w:type="table" w:styleId="21">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annotation reference"/>
    <w:basedOn w:val="22"/>
    <w:semiHidden/>
    <w:qFormat/>
    <w:uiPriority w:val="0"/>
    <w:rPr>
      <w:sz w:val="21"/>
    </w:rPr>
  </w:style>
  <w:style w:type="paragraph" w:customStyle="1" w:styleId="26">
    <w:name w:val="Default"/>
    <w:basedOn w:val="27"/>
    <w:next w:val="6"/>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27">
    <w:name w:val="纯文本1"/>
    <w:basedOn w:val="1"/>
    <w:qFormat/>
    <w:uiPriority w:val="0"/>
    <w:pPr>
      <w:adjustRightInd w:val="0"/>
    </w:pPr>
    <w:rPr>
      <w:rFonts w:ascii="宋体" w:hAnsi="Courier New"/>
      <w:szCs w:val="20"/>
    </w:rPr>
  </w:style>
  <w:style w:type="paragraph" w:customStyle="1" w:styleId="2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9">
    <w:name w:val="图片标题"/>
    <w:basedOn w:val="1"/>
    <w:link w:val="41"/>
    <w:qFormat/>
    <w:uiPriority w:val="0"/>
    <w:pPr>
      <w:spacing w:beforeLines="0" w:line="240" w:lineRule="auto"/>
      <w:ind w:firstLine="0" w:firstLineChars="0"/>
      <w:jc w:val="center"/>
    </w:pPr>
    <w:rPr>
      <w:rFonts w:eastAsia="宋体"/>
      <w:b/>
    </w:rPr>
  </w:style>
  <w:style w:type="character" w:customStyle="1" w:styleId="30">
    <w:name w:val="标题 1 Char"/>
    <w:link w:val="2"/>
    <w:qFormat/>
    <w:uiPriority w:val="0"/>
    <w:rPr>
      <w:rFonts w:ascii="Times New Roman" w:hAnsi="Times New Roman" w:eastAsia="宋体" w:cs="Times New Roman"/>
      <w:b/>
      <w:bCs/>
      <w:kern w:val="44"/>
      <w:sz w:val="30"/>
      <w:szCs w:val="44"/>
      <w:lang w:val="en-US" w:eastAsia="zh-CN" w:bidi="ar-SA"/>
    </w:rPr>
  </w:style>
  <w:style w:type="paragraph" w:customStyle="1" w:styleId="31">
    <w:name w:val="表格文字"/>
    <w:basedOn w:val="1"/>
    <w:qFormat/>
    <w:uiPriority w:val="0"/>
    <w:pPr>
      <w:snapToGrid/>
      <w:spacing w:line="240" w:lineRule="auto"/>
      <w:ind w:left="0" w:leftChars="0" w:firstLine="0" w:firstLineChars="0"/>
      <w:jc w:val="center"/>
    </w:pPr>
    <w:rPr>
      <w:rFonts w:ascii="Times New Roman" w:hAnsi="Times New Roman" w:eastAsia="宋体"/>
      <w:sz w:val="21"/>
    </w:rPr>
  </w:style>
  <w:style w:type="character" w:customStyle="1" w:styleId="32">
    <w:name w:val="标题 2 Char"/>
    <w:link w:val="3"/>
    <w:qFormat/>
    <w:uiPriority w:val="0"/>
    <w:rPr>
      <w:rFonts w:ascii="Times New Roman" w:hAnsi="Times New Roman" w:eastAsia="宋体" w:cs="Times New Roman"/>
      <w:b/>
      <w:sz w:val="30"/>
    </w:rPr>
  </w:style>
  <w:style w:type="paragraph" w:customStyle="1" w:styleId="33">
    <w:name w:val="表头"/>
    <w:basedOn w:val="31"/>
    <w:next w:val="31"/>
    <w:link w:val="42"/>
    <w:qFormat/>
    <w:uiPriority w:val="0"/>
    <w:pPr>
      <w:keepNext/>
      <w:spacing w:before="50" w:beforeLines="50" w:after="50" w:afterLines="50"/>
    </w:pPr>
    <w:rPr>
      <w:rFonts w:ascii="Times New Roman" w:hAnsi="Times New Roman" w:eastAsia="宋体"/>
      <w:b/>
    </w:rPr>
  </w:style>
  <w:style w:type="table" w:customStyle="1" w:styleId="34">
    <w:name w:val="样式6"/>
    <w:basedOn w:val="20"/>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styleId="35">
    <w:name w:val="List Paragraph"/>
    <w:basedOn w:val="1"/>
    <w:unhideWhenUsed/>
    <w:qFormat/>
    <w:uiPriority w:val="99"/>
    <w:pPr>
      <w:ind w:firstLine="420" w:firstLineChars="200"/>
    </w:pPr>
    <w:rPr>
      <w:rFonts w:ascii="Times New Roman" w:hAnsi="Times New Roman" w:eastAsia="宋体"/>
    </w:rPr>
  </w:style>
  <w:style w:type="character" w:customStyle="1" w:styleId="36">
    <w:name w:val="正文文本缩进 Char"/>
    <w:basedOn w:val="22"/>
    <w:link w:val="11"/>
    <w:semiHidden/>
    <w:qFormat/>
    <w:locked/>
    <w:uiPriority w:val="0"/>
    <w:rPr>
      <w:kern w:val="0"/>
      <w:sz w:val="24"/>
      <w:szCs w:val="20"/>
    </w:rPr>
  </w:style>
  <w:style w:type="paragraph" w:customStyle="1" w:styleId="37">
    <w:name w:val="表格内容Q1"/>
    <w:basedOn w:val="1"/>
    <w:qFormat/>
    <w:uiPriority w:val="0"/>
    <w:pPr>
      <w:spacing w:line="240" w:lineRule="auto"/>
      <w:ind w:firstLine="0" w:firstLineChars="0"/>
      <w:jc w:val="center"/>
    </w:pPr>
    <w:rPr>
      <w:kern w:val="0"/>
      <w:sz w:val="18"/>
      <w:szCs w:val="20"/>
    </w:rPr>
  </w:style>
  <w:style w:type="paragraph" w:customStyle="1" w:styleId="38">
    <w:name w:val="a表格"/>
    <w:basedOn w:val="1"/>
    <w:qFormat/>
    <w:uiPriority w:val="0"/>
    <w:pPr>
      <w:snapToGrid w:val="0"/>
      <w:ind w:firstLine="0"/>
      <w:jc w:val="center"/>
    </w:pPr>
    <w:rPr>
      <w:rFonts w:eastAsia="宋体"/>
      <w:sz w:val="21"/>
      <w:szCs w:val="24"/>
    </w:rPr>
  </w:style>
  <w:style w:type="paragraph" w:customStyle="1" w:styleId="3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40">
    <w:name w:val="表格固定文字"/>
    <w:basedOn w:val="1"/>
    <w:qFormat/>
    <w:uiPriority w:val="0"/>
    <w:pPr>
      <w:ind w:firstLine="0"/>
    </w:pPr>
    <w:rPr>
      <w:rFonts w:eastAsia="宋体"/>
      <w:sz w:val="21"/>
      <w:szCs w:val="24"/>
    </w:rPr>
  </w:style>
  <w:style w:type="character" w:customStyle="1" w:styleId="41">
    <w:name w:val="图片标题 Char"/>
    <w:link w:val="29"/>
    <w:qFormat/>
    <w:uiPriority w:val="0"/>
    <w:rPr>
      <w:rFonts w:eastAsia="宋体"/>
      <w:b/>
    </w:rPr>
  </w:style>
  <w:style w:type="character" w:customStyle="1" w:styleId="42">
    <w:name w:val="表头 Char"/>
    <w:link w:val="33"/>
    <w:qFormat/>
    <w:uiPriority w:val="0"/>
    <w:rPr>
      <w:rFonts w:ascii="Times New Roman" w:hAnsi="Times New Roman" w:eastAsia="宋体"/>
      <w:b/>
    </w:rPr>
  </w:style>
  <w:style w:type="paragraph" w:customStyle="1" w:styleId="43">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4">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4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46">
    <w:name w:val="表格内容"/>
    <w:basedOn w:val="47"/>
    <w:qFormat/>
    <w:uiPriority w:val="0"/>
    <w:pPr>
      <w:autoSpaceDE w:val="0"/>
      <w:autoSpaceDN w:val="0"/>
      <w:ind w:firstLine="0"/>
      <w:jc w:val="center"/>
    </w:pPr>
    <w:rPr>
      <w:kern w:val="0"/>
      <w:sz w:val="24"/>
      <w:lang w:bidi="he-IL"/>
    </w:rPr>
  </w:style>
  <w:style w:type="paragraph" w:customStyle="1" w:styleId="47">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character" w:customStyle="1" w:styleId="48">
    <w:name w:val="fontstyle01"/>
    <w:basedOn w:val="22"/>
    <w:qFormat/>
    <w:uiPriority w:val="0"/>
    <w:rPr>
      <w:rFonts w:ascii="宋体" w:hAnsi="宋体" w:eastAsia="宋体" w:cs="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emf"/><Relationship Id="rId23" Type="http://schemas.openxmlformats.org/officeDocument/2006/relationships/image" Target="media/image16.png"/><Relationship Id="rId22" Type="http://schemas.openxmlformats.org/officeDocument/2006/relationships/image" Target="media/image15.e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jpeg"/><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60876</Words>
  <Characters>68505</Characters>
  <Lines>0</Lines>
  <Paragraphs>0</Paragraphs>
  <TotalTime>36</TotalTime>
  <ScaleCrop>false</ScaleCrop>
  <LinksUpToDate>false</LinksUpToDate>
  <CharactersWithSpaces>68810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2025-02-05T02:30:00Z</dcterms:created>
  <dc:creator>MIX（环评陈工）</dc:creator>
  <cp:lastModifiedBy>NTKO</cp:lastModifiedBy>
  <cp:lastPrinted>2025-07-21T02:26:00Z</cp:lastPrinted>
  <dcterms:modified xsi:type="dcterms:W3CDTF">2025-12-01T08:41:23Z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408078B05A954E49A2D298D7B050EB91_13</vt:lpwstr>
  </property>
  <property fmtid="{D5CDD505-2E9C-101B-9397-08002B2CF9AE}" pid="4" name="KSOTemplateDocerSaveRecord">
    <vt:lpwstr>eyJoZGlkIjoiZjFlZTRjMDZjZGE4NWJhNDMwZmZjMzc3ZDUwNTQ1YjAiLCJ1c2VySWQiOiIzNjgxNDQ0NTYifQ==</vt:lpwstr>
  </property>
</Properties>
</file>