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line="240" w:lineRule="atLeast"/>
        <w:ind w:firstLine="880"/>
        <w:jc w:val="center"/>
        <w:rPr>
          <w:rFonts w:cs="Times New Roman"/>
          <w:sz w:val="44"/>
          <w:szCs w:val="44"/>
        </w:rPr>
      </w:pPr>
      <w:bookmarkStart w:id="0" w:name="_Toc26769"/>
      <w:bookmarkStart w:id="1" w:name="_Toc5281"/>
      <w:r>
        <w:drawing>
          <wp:inline distT="0" distB="0" distL="0" distR="0">
            <wp:extent cx="6043295" cy="8555355"/>
            <wp:effectExtent l="0" t="0" r="698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6046249" cy="8559633"/>
                    </a:xfrm>
                    <a:prstGeom prst="rect">
                      <a:avLst/>
                    </a:prstGeom>
                  </pic:spPr>
                </pic:pic>
              </a:graphicData>
            </a:graphic>
          </wp:inline>
        </w:drawing>
      </w:r>
      <w:r>
        <w:rPr>
          <w:rFonts w:cs="Times New Roman"/>
          <w:sz w:val="44"/>
          <w:szCs w:val="44"/>
        </w:rPr>
        <w:t>目    录</w:t>
      </w:r>
      <w:bookmarkEnd w:id="0"/>
      <w:bookmarkEnd w:id="1"/>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rPr>
          <w:rFonts w:ascii="Times New Roman" w:eastAsia="宋体" w:cs="Times New Roman"/>
          <w:b w:val="0"/>
          <w:bCs w:val="0"/>
        </w:rPr>
        <w:fldChar w:fldCharType="begin"/>
      </w:r>
      <w:r>
        <w:rPr>
          <w:rFonts w:ascii="Times New Roman" w:eastAsia="宋体" w:cs="Times New Roman"/>
          <w:b w:val="0"/>
          <w:bCs w:val="0"/>
        </w:rPr>
        <w:instrText xml:space="preserve"> TOC \o "1-2" \h \z \u </w:instrText>
      </w:r>
      <w:r>
        <w:rPr>
          <w:rFonts w:ascii="Times New Roman" w:eastAsia="宋体" w:cs="Times New Roman"/>
          <w:b w:val="0"/>
          <w:bCs w:val="0"/>
        </w:rPr>
        <w:fldChar w:fldCharType="separate"/>
      </w:r>
      <w:r>
        <w:fldChar w:fldCharType="begin"/>
      </w:r>
      <w:r>
        <w:instrText xml:space="preserve"> HYPERLINK \l "_Toc204676215" </w:instrText>
      </w:r>
      <w:r>
        <w:fldChar w:fldCharType="separate"/>
      </w:r>
      <w:r>
        <w:rPr>
          <w:rStyle w:val="61"/>
          <w:rFonts w:ascii="Times New Roman" w:eastAsia="宋体" w:cs="Times New Roman"/>
          <w:color w:val="auto"/>
          <w14:scene3d>
            <w14:lightRig w14:rig="threePt" w14:dir="t">
              <w14:rot w14:lat="0" w14:lon="0" w14:rev="0"/>
            </w14:lightRig>
          </w14:scene3d>
        </w:rPr>
        <w:t>第一章</w:t>
      </w:r>
      <w:r>
        <w:rPr>
          <w:rStyle w:val="61"/>
          <w:rFonts w:ascii="Times New Roman" w:eastAsia="宋体" w:cs="Times New Roman"/>
          <w:color w:val="auto"/>
        </w:rPr>
        <w:t xml:space="preserve"> 概述</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_Toc204676215 \h </w:instrText>
      </w:r>
      <w:r>
        <w:rPr>
          <w:rFonts w:ascii="Times New Roman" w:eastAsia="宋体" w:cs="Times New Roman"/>
        </w:rPr>
        <w:fldChar w:fldCharType="separate"/>
      </w:r>
      <w:r>
        <w:rPr>
          <w:rFonts w:ascii="Times New Roman" w:eastAsia="宋体" w:cs="Times New Roman"/>
        </w:rPr>
        <w:t>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"_Toc204676216" </w:instrText>
      </w:r>
      <w:r>
        <w:fldChar w:fldCharType="separate"/>
      </w:r>
      <w:r>
        <w:rPr>
          <w:rStyle w:val="61"/>
          <w:rFonts w:ascii="Times New Roman" w:eastAsia="宋体" w:cs="Times New Roman"/>
          <w:color w:val="auto"/>
        </w:rPr>
        <w:t>1.1 建设项目由来</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_Toc204676216 \h </w:instrText>
      </w:r>
      <w:r>
        <w:rPr>
          <w:rFonts w:ascii="Times New Roman" w:eastAsia="宋体" w:cs="Times New Roman"/>
        </w:rPr>
        <w:fldChar w:fldCharType="separate"/>
      </w:r>
      <w:r>
        <w:rPr>
          <w:rFonts w:ascii="Times New Roman" w:eastAsia="宋体" w:cs="Times New Roman"/>
        </w:rPr>
        <w:t>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"_Toc204676217" </w:instrText>
      </w:r>
      <w:r>
        <w:fldChar w:fldCharType="separate"/>
      </w:r>
      <w:r>
        <w:rPr>
          <w:rStyle w:val="61"/>
          <w:rFonts w:ascii="Times New Roman" w:eastAsia="宋体" w:cs="Times New Roman"/>
          <w:color w:val="auto"/>
        </w:rPr>
        <w:t>1.2 项目前期工作进展情况</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_Toc204676217 \h </w:instrText>
      </w:r>
      <w:r>
        <w:rPr>
          <w:rFonts w:ascii="Times New Roman" w:eastAsia="宋体" w:cs="Times New Roman"/>
        </w:rPr>
        <w:fldChar w:fldCharType="separate"/>
      </w:r>
      <w:r>
        <w:rPr>
          <w:rFonts w:ascii="Times New Roman" w:eastAsia="宋体" w:cs="Times New Roman"/>
        </w:rPr>
        <w:t>2</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"_Toc204676218" </w:instrText>
      </w:r>
      <w:r>
        <w:fldChar w:fldCharType="separate"/>
      </w:r>
      <w:r>
        <w:rPr>
          <w:rStyle w:val="61"/>
          <w:rFonts w:ascii="Times New Roman" w:eastAsia="宋体" w:cs="Times New Roman"/>
          <w:color w:val="auto"/>
        </w:rPr>
        <w:t>1.3 环境影响评价的工作过程</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_Toc204676218 \h </w:instrText>
      </w:r>
      <w:r>
        <w:rPr>
          <w:rFonts w:ascii="Times New Roman" w:eastAsia="宋体" w:cs="Times New Roman"/>
        </w:rPr>
        <w:fldChar w:fldCharType="separate"/>
      </w:r>
      <w:r>
        <w:rPr>
          <w:rFonts w:ascii="Times New Roman" w:eastAsia="宋体" w:cs="Times New Roman"/>
        </w:rPr>
        <w:t>3</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"_Toc204676219" </w:instrText>
      </w:r>
      <w:r>
        <w:fldChar w:fldCharType="separate"/>
      </w:r>
      <w:r>
        <w:rPr>
          <w:rStyle w:val="61"/>
          <w:rFonts w:ascii="Times New Roman" w:eastAsia="宋体" w:cs="Times New Roman"/>
          <w:color w:val="auto"/>
        </w:rPr>
        <w:t>1.4 分析判定相关情况</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_Toc204676219 \h </w:instrText>
      </w:r>
      <w:r>
        <w:rPr>
          <w:rFonts w:ascii="Times New Roman" w:eastAsia="宋体" w:cs="Times New Roman"/>
        </w:rPr>
        <w:fldChar w:fldCharType="separate"/>
      </w:r>
      <w:r>
        <w:rPr>
          <w:rFonts w:ascii="Times New Roman" w:eastAsia="宋体" w:cs="Times New Roman"/>
        </w:rPr>
        <w:t>5</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"_Toc204676220" </w:instrText>
      </w:r>
      <w:r>
        <w:fldChar w:fldCharType="separate"/>
      </w:r>
      <w:r>
        <w:rPr>
          <w:rStyle w:val="61"/>
          <w:rFonts w:ascii="Times New Roman" w:eastAsia="宋体" w:cs="Times New Roman"/>
          <w:color w:val="auto"/>
        </w:rPr>
        <w:t>1.5 关注的主要环境问题</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_Toc204676220 \h </w:instrText>
      </w:r>
      <w:r>
        <w:rPr>
          <w:rFonts w:ascii="Times New Roman" w:eastAsia="宋体" w:cs="Times New Roman"/>
        </w:rPr>
        <w:fldChar w:fldCharType="separate"/>
      </w:r>
      <w:r>
        <w:rPr>
          <w:rFonts w:ascii="Times New Roman" w:eastAsia="宋体" w:cs="Times New Roman"/>
        </w:rPr>
        <w:t>9</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"_Toc204676221" </w:instrText>
      </w:r>
      <w:r>
        <w:fldChar w:fldCharType="separate"/>
      </w:r>
      <w:r>
        <w:rPr>
          <w:rStyle w:val="61"/>
          <w:rFonts w:ascii="Times New Roman" w:eastAsia="宋体" w:cs="Times New Roman"/>
          <w:color w:val="auto"/>
        </w:rPr>
        <w:t>1.6 环境影响报告书的主要结论</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_Toc204676221 \h </w:instrText>
      </w:r>
      <w:r>
        <w:rPr>
          <w:rFonts w:ascii="Times New Roman" w:eastAsia="宋体" w:cs="Times New Roman"/>
        </w:rPr>
        <w:fldChar w:fldCharType="separate"/>
      </w:r>
      <w:r>
        <w:rPr>
          <w:rFonts w:ascii="Times New Roman" w:eastAsia="宋体" w:cs="Times New Roman"/>
        </w:rPr>
        <w:t>10</w:t>
      </w:r>
      <w:r>
        <w:rPr>
          <w:rFonts w:ascii="Times New Roman" w:eastAsia="宋体" w:cs="Times New Roman"/>
        </w:rPr>
        <w:fldChar w:fldCharType="end"/>
      </w:r>
      <w:r>
        <w:rPr>
          <w:rFonts w:ascii="Times New Roman" w:eastAsia="宋体" w:cs="Times New Roman"/>
        </w:rPr>
        <w:fldChar w:fldCharType="end"/>
      </w:r>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fldChar w:fldCharType="begin"/>
      </w:r>
      <w:r>
        <w:instrText xml:space="preserve"> HYPERLINK \l "_Toc204676222" </w:instrText>
      </w:r>
      <w:r>
        <w:fldChar w:fldCharType="separate"/>
      </w:r>
      <w:r>
        <w:rPr>
          <w:rStyle w:val="61"/>
          <w:rFonts w:ascii="Times New Roman" w:eastAsia="宋体" w:cs="Times New Roman"/>
          <w:color w:val="auto"/>
          <w14:scene3d>
            <w14:lightRig w14:rig="threePt" w14:dir="t">
              <w14:rot w14:lat="0" w14:lon="0" w14:rev="0"/>
            </w14:lightRig>
          </w14:scene3d>
        </w:rPr>
        <w:t>第二章</w:t>
      </w:r>
      <w:r>
        <w:rPr>
          <w:rStyle w:val="61"/>
          <w:rFonts w:ascii="Times New Roman" w:eastAsia="宋体" w:cs="Times New Roman"/>
          <w:color w:val="auto"/>
        </w:rPr>
        <w:t xml:space="preserve"> 总则</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_Toc204676222 \h </w:instrText>
      </w:r>
      <w:r>
        <w:rPr>
          <w:rFonts w:ascii="Times New Roman" w:eastAsia="宋体" w:cs="Times New Roman"/>
        </w:rPr>
        <w:fldChar w:fldCharType="separate"/>
      </w:r>
      <w:r>
        <w:rPr>
          <w:rFonts w:ascii="Times New Roman" w:eastAsia="宋体" w:cs="Times New Roman"/>
        </w:rPr>
        <w:t>11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"_Toc204676223" </w:instrText>
      </w:r>
      <w:r>
        <w:fldChar w:fldCharType="separate"/>
      </w:r>
      <w:r>
        <w:rPr>
          <w:rStyle w:val="61"/>
          <w:rFonts w:ascii="Times New Roman" w:eastAsia="宋体" w:cs="Times New Roman"/>
          <w:color w:val="auto"/>
        </w:rPr>
        <w:t>2.1 编制依据</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_Toc204676223 \h </w:instrText>
      </w:r>
      <w:r>
        <w:rPr>
          <w:rFonts w:ascii="Times New Roman" w:eastAsia="宋体" w:cs="Times New Roman"/>
        </w:rPr>
        <w:fldChar w:fldCharType="separate"/>
      </w:r>
      <w:r>
        <w:rPr>
          <w:rFonts w:ascii="Times New Roman" w:eastAsia="宋体" w:cs="Times New Roman"/>
        </w:rPr>
        <w:t>11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"_Toc204676224" </w:instrText>
      </w:r>
      <w:r>
        <w:fldChar w:fldCharType="separate"/>
      </w:r>
      <w:r>
        <w:rPr>
          <w:rStyle w:val="61"/>
          <w:rFonts w:ascii="Times New Roman" w:eastAsia="宋体" w:cs="Times New Roman"/>
          <w:color w:val="auto"/>
        </w:rPr>
        <w:t>2.2 评价目的与原则</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_Toc204676224 \h </w:instrText>
      </w:r>
      <w:r>
        <w:rPr>
          <w:rFonts w:ascii="Times New Roman" w:eastAsia="宋体" w:cs="Times New Roman"/>
        </w:rPr>
        <w:fldChar w:fldCharType="separate"/>
      </w:r>
      <w:r>
        <w:rPr>
          <w:rFonts w:ascii="Times New Roman" w:eastAsia="宋体" w:cs="Times New Roman"/>
        </w:rPr>
        <w:t>14</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"_Toc204676225" </w:instrText>
      </w:r>
      <w:r>
        <w:fldChar w:fldCharType="separate"/>
      </w:r>
      <w:r>
        <w:rPr>
          <w:rStyle w:val="61"/>
          <w:rFonts w:ascii="Times New Roman" w:eastAsia="宋体" w:cs="Times New Roman"/>
          <w:color w:val="auto"/>
        </w:rPr>
        <w:t>2.3 评价方法与时段</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_Toc204676225 \h </w:instrText>
      </w:r>
      <w:r>
        <w:rPr>
          <w:rFonts w:ascii="Times New Roman" w:eastAsia="宋体" w:cs="Times New Roman"/>
        </w:rPr>
        <w:fldChar w:fldCharType="separate"/>
      </w:r>
      <w:r>
        <w:rPr>
          <w:rFonts w:ascii="Times New Roman" w:eastAsia="宋体" w:cs="Times New Roman"/>
        </w:rPr>
        <w:t>15</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"_Toc204676226" </w:instrText>
      </w:r>
      <w:r>
        <w:fldChar w:fldCharType="separate"/>
      </w:r>
      <w:r>
        <w:rPr>
          <w:rStyle w:val="61"/>
          <w:rFonts w:ascii="Times New Roman" w:eastAsia="宋体" w:cs="Times New Roman"/>
          <w:color w:val="auto"/>
        </w:rPr>
        <w:t>2.4 环境影响因子识别和评价因子筛选</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_Toc204676226 \h </w:instrText>
      </w:r>
      <w:r>
        <w:rPr>
          <w:rFonts w:ascii="Times New Roman" w:eastAsia="宋体" w:cs="Times New Roman"/>
        </w:rPr>
        <w:fldChar w:fldCharType="separate"/>
      </w:r>
      <w:r>
        <w:rPr>
          <w:rFonts w:ascii="Times New Roman" w:eastAsia="宋体" w:cs="Times New Roman"/>
        </w:rPr>
        <w:t>15</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"_Toc204676227" </w:instrText>
      </w:r>
      <w:r>
        <w:fldChar w:fldCharType="separate"/>
      </w:r>
      <w:r>
        <w:rPr>
          <w:rStyle w:val="61"/>
          <w:rFonts w:ascii="Times New Roman" w:eastAsia="宋体" w:cs="Times New Roman"/>
          <w:color w:val="auto"/>
        </w:rPr>
        <w:t>2.5 环境功能区划及评价标准</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_Toc204676227 \h </w:instrText>
      </w:r>
      <w:r>
        <w:rPr>
          <w:rFonts w:ascii="Times New Roman" w:eastAsia="宋体" w:cs="Times New Roman"/>
        </w:rPr>
        <w:fldChar w:fldCharType="separate"/>
      </w:r>
      <w:r>
        <w:rPr>
          <w:rFonts w:ascii="Times New Roman" w:eastAsia="宋体" w:cs="Times New Roman"/>
        </w:rPr>
        <w:t>17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"_Toc204676228" </w:instrText>
      </w:r>
      <w:r>
        <w:fldChar w:fldCharType="separate"/>
      </w:r>
      <w:r>
        <w:rPr>
          <w:rStyle w:val="61"/>
          <w:rFonts w:ascii="Times New Roman" w:eastAsia="宋体" w:cs="Times New Roman"/>
          <w:color w:val="auto"/>
        </w:rPr>
        <w:t>2.6 评价等级及范围</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_Toc204676228 \h </w:instrText>
      </w:r>
      <w:r>
        <w:rPr>
          <w:rFonts w:ascii="Times New Roman" w:eastAsia="宋体" w:cs="Times New Roman"/>
        </w:rPr>
        <w:fldChar w:fldCharType="separate"/>
      </w:r>
      <w:r>
        <w:rPr>
          <w:rFonts w:ascii="Times New Roman" w:eastAsia="宋体" w:cs="Times New Roman"/>
        </w:rPr>
        <w:t>20</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"_Toc204676229" </w:instrText>
      </w:r>
      <w:r>
        <w:fldChar w:fldCharType="separate"/>
      </w:r>
      <w:r>
        <w:rPr>
          <w:rStyle w:val="61"/>
          <w:rFonts w:ascii="Times New Roman" w:eastAsia="宋体" w:cs="Times New Roman"/>
          <w:color w:val="auto"/>
        </w:rPr>
        <w:t>2.7 环境保护目标</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_Toc204676229 \h </w:instrText>
      </w:r>
      <w:r>
        <w:rPr>
          <w:rFonts w:ascii="Times New Roman" w:eastAsia="宋体" w:cs="Times New Roman"/>
        </w:rPr>
        <w:fldChar w:fldCharType="separate"/>
      </w:r>
      <w:r>
        <w:rPr>
          <w:rFonts w:ascii="Times New Roman" w:eastAsia="宋体" w:cs="Times New Roman"/>
        </w:rPr>
        <w:t>21</w:t>
      </w:r>
      <w:r>
        <w:rPr>
          <w:rFonts w:ascii="Times New Roman" w:eastAsia="宋体" w:cs="Times New Roman"/>
        </w:rPr>
        <w:fldChar w:fldCharType="end"/>
      </w:r>
      <w:r>
        <w:rPr>
          <w:rFonts w:ascii="Times New Roman" w:eastAsia="宋体" w:cs="Times New Roman"/>
        </w:rPr>
        <w:fldChar w:fldCharType="end"/>
      </w:r>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fldChar w:fldCharType="begin"/>
      </w:r>
      <w:r>
        <w:instrText xml:space="preserve"> HYPERLINK \l "_Toc204676230" </w:instrText>
      </w:r>
      <w:r>
        <w:fldChar w:fldCharType="separate"/>
      </w:r>
      <w:r>
        <w:rPr>
          <w:rStyle w:val="61"/>
          <w:rFonts w:ascii="Times New Roman" w:eastAsia="宋体" w:cs="Times New Roman"/>
          <w:color w:val="auto"/>
          <w14:scene3d>
            <w14:lightRig w14:rig="threePt" w14:dir="t">
              <w14:rot w14:lat="0" w14:lon="0" w14:rev="0"/>
            </w14:lightRig>
          </w14:scene3d>
        </w:rPr>
        <w:t>第三章</w:t>
      </w:r>
      <w:r>
        <w:rPr>
          <w:rStyle w:val="61"/>
          <w:rFonts w:ascii="Times New Roman" w:eastAsia="宋体" w:cs="Times New Roman"/>
          <w:color w:val="auto"/>
        </w:rPr>
        <w:t xml:space="preserve"> 建设项目工程分析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_Toc204676230 \h </w:instrText>
      </w:r>
      <w:r>
        <w:rPr>
          <w:rFonts w:ascii="Times New Roman" w:eastAsia="宋体" w:cs="Times New Roman"/>
        </w:rPr>
        <w:fldChar w:fldCharType="separate"/>
      </w:r>
      <w:r>
        <w:rPr>
          <w:rFonts w:ascii="Times New Roman" w:eastAsia="宋体" w:cs="Times New Roman"/>
        </w:rPr>
        <w:t>38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"_Toc204676231" </w:instrText>
      </w:r>
      <w:r>
        <w:fldChar w:fldCharType="separate"/>
      </w:r>
      <w:r>
        <w:rPr>
          <w:rStyle w:val="61"/>
          <w:rFonts w:ascii="Times New Roman" w:eastAsia="宋体" w:cs="Times New Roman"/>
          <w:color w:val="auto"/>
        </w:rPr>
        <w:t>3.1 路线方案环境比选</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_Toc204676231 \h </w:instrText>
      </w:r>
      <w:r>
        <w:rPr>
          <w:rFonts w:ascii="Times New Roman" w:eastAsia="宋体" w:cs="Times New Roman"/>
        </w:rPr>
        <w:fldChar w:fldCharType="separate"/>
      </w:r>
      <w:r>
        <w:rPr>
          <w:rFonts w:ascii="Times New Roman" w:eastAsia="宋体" w:cs="Times New Roman"/>
        </w:rPr>
        <w:t>38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"_Toc204676232" </w:instrText>
      </w:r>
      <w:r>
        <w:fldChar w:fldCharType="separate"/>
      </w:r>
      <w:r>
        <w:rPr>
          <w:rStyle w:val="61"/>
          <w:rFonts w:ascii="Times New Roman" w:eastAsia="宋体" w:cs="Times New Roman"/>
          <w:color w:val="auto"/>
        </w:rPr>
        <w:t>3.2 项目基本情况</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_Toc204676232 \h </w:instrText>
      </w:r>
      <w:r>
        <w:rPr>
          <w:rFonts w:ascii="Times New Roman" w:eastAsia="宋体" w:cs="Times New Roman"/>
        </w:rPr>
        <w:fldChar w:fldCharType="separate"/>
      </w:r>
      <w:r>
        <w:rPr>
          <w:rFonts w:ascii="Times New Roman" w:eastAsia="宋体" w:cs="Times New Roman"/>
        </w:rPr>
        <w:t>45</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"_Toc204676233" </w:instrText>
      </w:r>
      <w:r>
        <w:fldChar w:fldCharType="separate"/>
      </w:r>
      <w:r>
        <w:rPr>
          <w:rStyle w:val="61"/>
          <w:rFonts w:ascii="Times New Roman" w:eastAsia="宋体" w:cs="Times New Roman"/>
          <w:color w:val="auto"/>
        </w:rPr>
        <w:t>3.3 工程建设方案</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_Toc204676233 \h </w:instrText>
      </w:r>
      <w:r>
        <w:rPr>
          <w:rFonts w:ascii="Times New Roman" w:eastAsia="宋体" w:cs="Times New Roman"/>
        </w:rPr>
        <w:fldChar w:fldCharType="separate"/>
      </w:r>
      <w:r>
        <w:rPr>
          <w:rFonts w:ascii="Times New Roman" w:eastAsia="宋体" w:cs="Times New Roman"/>
        </w:rPr>
        <w:t>49</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"_Toc204676234" </w:instrText>
      </w:r>
      <w:r>
        <w:fldChar w:fldCharType="separate"/>
      </w:r>
      <w:r>
        <w:rPr>
          <w:rStyle w:val="61"/>
          <w:rFonts w:ascii="Times New Roman" w:eastAsia="宋体" w:cs="Times New Roman"/>
          <w:color w:val="auto"/>
        </w:rPr>
        <w:t>3.4 下穿福厦高铁段落建设情况回顾调查</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_Toc204676234 \h </w:instrText>
      </w:r>
      <w:r>
        <w:rPr>
          <w:rFonts w:ascii="Times New Roman" w:eastAsia="宋体" w:cs="Times New Roman"/>
        </w:rPr>
        <w:fldChar w:fldCharType="separate"/>
      </w:r>
      <w:r>
        <w:rPr>
          <w:rFonts w:ascii="Times New Roman" w:eastAsia="宋体" w:cs="Times New Roman"/>
        </w:rPr>
        <w:t>76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"_Toc204676235" </w:instrText>
      </w:r>
      <w:r>
        <w:fldChar w:fldCharType="separate"/>
      </w:r>
      <w:r>
        <w:rPr>
          <w:rStyle w:val="61"/>
          <w:rFonts w:ascii="Times New Roman" w:eastAsia="宋体" w:cs="Times New Roman"/>
          <w:color w:val="auto"/>
        </w:rPr>
        <w:t>3.5 占地与拆迁情况</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_Toc204676235 \h </w:instrText>
      </w:r>
      <w:r>
        <w:rPr>
          <w:rFonts w:ascii="Times New Roman" w:eastAsia="宋体" w:cs="Times New Roman"/>
        </w:rPr>
        <w:fldChar w:fldCharType="separate"/>
      </w:r>
      <w:r>
        <w:rPr>
          <w:rFonts w:ascii="Times New Roman" w:eastAsia="宋体" w:cs="Times New Roman"/>
        </w:rPr>
        <w:t>80</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"_Toc204676236" </w:instrText>
      </w:r>
      <w:r>
        <w:fldChar w:fldCharType="separate"/>
      </w:r>
      <w:r>
        <w:rPr>
          <w:rStyle w:val="61"/>
          <w:rFonts w:ascii="Times New Roman" w:eastAsia="宋体" w:cs="Times New Roman"/>
          <w:color w:val="auto"/>
        </w:rPr>
        <w:t>3.6 工程土石方平衡</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_Toc204676236 \h </w:instrText>
      </w:r>
      <w:r>
        <w:rPr>
          <w:rFonts w:ascii="Times New Roman" w:eastAsia="宋体" w:cs="Times New Roman"/>
        </w:rPr>
        <w:fldChar w:fldCharType="separate"/>
      </w:r>
      <w:r>
        <w:rPr>
          <w:rFonts w:ascii="Times New Roman" w:eastAsia="宋体" w:cs="Times New Roman"/>
        </w:rPr>
        <w:t>81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"_Toc204676237" </w:instrText>
      </w:r>
      <w:r>
        <w:fldChar w:fldCharType="separate"/>
      </w:r>
      <w:r>
        <w:rPr>
          <w:rStyle w:val="61"/>
          <w:rFonts w:ascii="Times New Roman" w:eastAsia="宋体" w:cs="Times New Roman"/>
          <w:color w:val="auto"/>
        </w:rPr>
        <w:t>3.7 施工组织概述</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_Toc204676237 \h </w:instrText>
      </w:r>
      <w:r>
        <w:rPr>
          <w:rFonts w:ascii="Times New Roman" w:eastAsia="宋体" w:cs="Times New Roman"/>
        </w:rPr>
        <w:fldChar w:fldCharType="separate"/>
      </w:r>
      <w:r>
        <w:rPr>
          <w:rFonts w:ascii="Times New Roman" w:eastAsia="宋体" w:cs="Times New Roman"/>
        </w:rPr>
        <w:t>85</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"_Toc204676238" </w:instrText>
      </w:r>
      <w:r>
        <w:fldChar w:fldCharType="separate"/>
      </w:r>
      <w:r>
        <w:rPr>
          <w:rStyle w:val="61"/>
          <w:rFonts w:ascii="Times New Roman" w:eastAsia="宋体" w:cs="Times New Roman"/>
          <w:color w:val="auto"/>
        </w:rPr>
        <w:t>3.8 交通量设计</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_Toc204676238 \h </w:instrText>
      </w:r>
      <w:r>
        <w:rPr>
          <w:rFonts w:ascii="Times New Roman" w:eastAsia="宋体" w:cs="Times New Roman"/>
        </w:rPr>
        <w:fldChar w:fldCharType="separate"/>
      </w:r>
      <w:r>
        <w:rPr>
          <w:rFonts w:ascii="Times New Roman" w:eastAsia="宋体" w:cs="Times New Roman"/>
        </w:rPr>
        <w:t>98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"_Toc204676239" </w:instrText>
      </w:r>
      <w:r>
        <w:fldChar w:fldCharType="separate"/>
      </w:r>
      <w:r>
        <w:rPr>
          <w:rStyle w:val="61"/>
          <w:rFonts w:ascii="Times New Roman" w:eastAsia="宋体" w:cs="Times New Roman"/>
          <w:color w:val="auto"/>
        </w:rPr>
        <w:t>3.9 工程环境影响及污染源强分析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_Toc204676239 \h </w:instrText>
      </w:r>
      <w:r>
        <w:rPr>
          <w:rFonts w:ascii="Times New Roman" w:eastAsia="宋体" w:cs="Times New Roman"/>
        </w:rPr>
        <w:fldChar w:fldCharType="separate"/>
      </w:r>
      <w:r>
        <w:rPr>
          <w:rFonts w:ascii="Times New Roman" w:eastAsia="宋体" w:cs="Times New Roman"/>
        </w:rPr>
        <w:t>99</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"_Toc204676240" </w:instrText>
      </w:r>
      <w:r>
        <w:fldChar w:fldCharType="separate"/>
      </w:r>
      <w:r>
        <w:rPr>
          <w:rStyle w:val="61"/>
          <w:rFonts w:ascii="Times New Roman" w:eastAsia="宋体" w:cs="Times New Roman"/>
          <w:color w:val="auto"/>
        </w:rPr>
        <w:t>3.10 环境可行性分析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_Toc204676240 \h </w:instrText>
      </w:r>
      <w:r>
        <w:rPr>
          <w:rFonts w:ascii="Times New Roman" w:eastAsia="宋体" w:cs="Times New Roman"/>
        </w:rPr>
        <w:fldChar w:fldCharType="separate"/>
      </w:r>
      <w:r>
        <w:rPr>
          <w:rFonts w:ascii="Times New Roman" w:eastAsia="宋体" w:cs="Times New Roman"/>
        </w:rPr>
        <w:t>109</w:t>
      </w:r>
      <w:r>
        <w:rPr>
          <w:rFonts w:ascii="Times New Roman" w:eastAsia="宋体" w:cs="Times New Roman"/>
        </w:rPr>
        <w:fldChar w:fldCharType="end"/>
      </w:r>
      <w:r>
        <w:rPr>
          <w:rFonts w:ascii="Times New Roman" w:eastAsia="宋体" w:cs="Times New Roman"/>
        </w:rPr>
        <w:fldChar w:fldCharType="end"/>
      </w:r>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fldChar w:fldCharType="begin"/>
      </w:r>
      <w:r>
        <w:instrText xml:space="preserve"> HYPERLINK \l "_Toc204676241" </w:instrText>
      </w:r>
      <w:r>
        <w:fldChar w:fldCharType="separate"/>
      </w:r>
      <w:r>
        <w:rPr>
          <w:rStyle w:val="61"/>
          <w:rFonts w:ascii="Times New Roman" w:eastAsia="宋体" w:cs="Times New Roman"/>
          <w:color w:val="auto"/>
          <w14:scene3d>
            <w14:lightRig w14:rig="threePt" w14:dir="t">
              <w14:rot w14:lat="0" w14:lon="0" w14:rev="0"/>
            </w14:lightRig>
          </w14:scene3d>
        </w:rPr>
        <w:t>第四章</w:t>
      </w:r>
      <w:r>
        <w:rPr>
          <w:rStyle w:val="61"/>
          <w:rFonts w:ascii="Times New Roman" w:eastAsia="宋体" w:cs="Times New Roman"/>
          <w:color w:val="auto"/>
        </w:rPr>
        <w:t xml:space="preserve"> 环境现状调查与评价</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_Toc204676241 \h </w:instrText>
      </w:r>
      <w:r>
        <w:rPr>
          <w:rFonts w:ascii="Times New Roman" w:eastAsia="宋体" w:cs="Times New Roman"/>
        </w:rPr>
        <w:fldChar w:fldCharType="separate"/>
      </w:r>
      <w:r>
        <w:rPr>
          <w:rFonts w:ascii="Times New Roman" w:eastAsia="宋体" w:cs="Times New Roman"/>
        </w:rPr>
        <w:t>123</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"_Toc204676242" </w:instrText>
      </w:r>
      <w:r>
        <w:fldChar w:fldCharType="separate"/>
      </w:r>
      <w:r>
        <w:rPr>
          <w:rStyle w:val="61"/>
          <w:rFonts w:ascii="Times New Roman" w:eastAsia="宋体" w:cs="Times New Roman"/>
          <w:color w:val="auto"/>
        </w:rPr>
        <w:t>4.1 自然环境现状调查</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_Toc204676242 \h </w:instrText>
      </w:r>
      <w:r>
        <w:rPr>
          <w:rFonts w:ascii="Times New Roman" w:eastAsia="宋体" w:cs="Times New Roman"/>
        </w:rPr>
        <w:fldChar w:fldCharType="separate"/>
      </w:r>
      <w:r>
        <w:rPr>
          <w:rFonts w:ascii="Times New Roman" w:eastAsia="宋体" w:cs="Times New Roman"/>
        </w:rPr>
        <w:t>123</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"_Toc204676243" </w:instrText>
      </w:r>
      <w:r>
        <w:fldChar w:fldCharType="separate"/>
      </w:r>
      <w:r>
        <w:rPr>
          <w:rStyle w:val="61"/>
          <w:rFonts w:ascii="Times New Roman" w:eastAsia="宋体" w:cs="Times New Roman"/>
          <w:color w:val="auto"/>
        </w:rPr>
        <w:t>4.2 环境质量现状调查与评价</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_Toc204676243 \h </w:instrText>
      </w:r>
      <w:r>
        <w:rPr>
          <w:rFonts w:ascii="Times New Roman" w:eastAsia="宋体" w:cs="Times New Roman"/>
        </w:rPr>
        <w:fldChar w:fldCharType="separate"/>
      </w:r>
      <w:r>
        <w:rPr>
          <w:rFonts w:ascii="Times New Roman" w:eastAsia="宋体" w:cs="Times New Roman"/>
        </w:rPr>
        <w:t>128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"_Toc204676244" </w:instrText>
      </w:r>
      <w:r>
        <w:fldChar w:fldCharType="separate"/>
      </w:r>
      <w:r>
        <w:rPr>
          <w:rStyle w:val="61"/>
          <w:rFonts w:ascii="Times New Roman" w:eastAsia="宋体" w:cs="Times New Roman"/>
          <w:color w:val="auto"/>
        </w:rPr>
        <w:t>4.3 生态环境现状调查与评价</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_Toc204676244 \h </w:instrText>
      </w:r>
      <w:r>
        <w:rPr>
          <w:rFonts w:ascii="Times New Roman" w:eastAsia="宋体" w:cs="Times New Roman"/>
        </w:rPr>
        <w:fldChar w:fldCharType="separate"/>
      </w:r>
      <w:r>
        <w:rPr>
          <w:rFonts w:ascii="Times New Roman" w:eastAsia="宋体" w:cs="Times New Roman"/>
        </w:rPr>
        <w:t>137</w:t>
      </w:r>
      <w:r>
        <w:rPr>
          <w:rFonts w:ascii="Times New Roman" w:eastAsia="宋体" w:cs="Times New Roman"/>
        </w:rPr>
        <w:fldChar w:fldCharType="end"/>
      </w:r>
      <w:r>
        <w:rPr>
          <w:rFonts w:ascii="Times New Roman" w:eastAsia="宋体" w:cs="Times New Roman"/>
        </w:rPr>
        <w:fldChar w:fldCharType="end"/>
      </w:r>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fldChar w:fldCharType="begin"/>
      </w:r>
      <w:r>
        <w:instrText xml:space="preserve"> HYPERLINK \l "_Toc204676245" </w:instrText>
      </w:r>
      <w:r>
        <w:fldChar w:fldCharType="separate"/>
      </w:r>
      <w:r>
        <w:rPr>
          <w:rStyle w:val="61"/>
          <w:rFonts w:ascii="Times New Roman" w:eastAsia="宋体" w:cs="Times New Roman"/>
          <w:color w:val="auto"/>
          <w14:scene3d>
            <w14:lightRig w14:rig="threePt" w14:dir="t">
              <w14:rot w14:lat="0" w14:lon="0" w14:rev="0"/>
            </w14:lightRig>
          </w14:scene3d>
        </w:rPr>
        <w:t>第五章</w:t>
      </w:r>
      <w:r>
        <w:rPr>
          <w:rStyle w:val="61"/>
          <w:rFonts w:ascii="Times New Roman" w:eastAsia="宋体" w:cs="Times New Roman"/>
          <w:color w:val="auto"/>
        </w:rPr>
        <w:t xml:space="preserve"> 环境影响预测与评价</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_Toc204676245 \h </w:instrText>
      </w:r>
      <w:r>
        <w:rPr>
          <w:rFonts w:ascii="Times New Roman" w:eastAsia="宋体" w:cs="Times New Roman"/>
        </w:rPr>
        <w:fldChar w:fldCharType="separate"/>
      </w:r>
      <w:r>
        <w:rPr>
          <w:rFonts w:ascii="Times New Roman" w:eastAsia="宋体" w:cs="Times New Roman"/>
        </w:rPr>
        <w:t>157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"_Toc204676246" </w:instrText>
      </w:r>
      <w:r>
        <w:fldChar w:fldCharType="separate"/>
      </w:r>
      <w:r>
        <w:rPr>
          <w:rStyle w:val="61"/>
          <w:rFonts w:ascii="Times New Roman" w:eastAsia="宋体" w:cs="Times New Roman"/>
          <w:color w:val="auto"/>
        </w:rPr>
        <w:t>5.1 生态影响评价</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_Toc204676246 \h </w:instrText>
      </w:r>
      <w:r>
        <w:rPr>
          <w:rFonts w:ascii="Times New Roman" w:eastAsia="宋体" w:cs="Times New Roman"/>
        </w:rPr>
        <w:fldChar w:fldCharType="separate"/>
      </w:r>
      <w:r>
        <w:rPr>
          <w:rFonts w:ascii="Times New Roman" w:eastAsia="宋体" w:cs="Times New Roman"/>
        </w:rPr>
        <w:t>157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"_Toc204676247" </w:instrText>
      </w:r>
      <w:r>
        <w:fldChar w:fldCharType="separate"/>
      </w:r>
      <w:r>
        <w:rPr>
          <w:rStyle w:val="61"/>
          <w:rFonts w:ascii="Times New Roman" w:eastAsia="宋体" w:cs="Times New Roman"/>
          <w:color w:val="auto"/>
        </w:rPr>
        <w:t>5.2 地表水环境影响评价</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_Toc204676247 \h </w:instrText>
      </w:r>
      <w:r>
        <w:rPr>
          <w:rFonts w:ascii="Times New Roman" w:eastAsia="宋体" w:cs="Times New Roman"/>
        </w:rPr>
        <w:fldChar w:fldCharType="separate"/>
      </w:r>
      <w:r>
        <w:rPr>
          <w:rFonts w:ascii="Times New Roman" w:eastAsia="宋体" w:cs="Times New Roman"/>
        </w:rPr>
        <w:t>170</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"_Toc204676248" </w:instrText>
      </w:r>
      <w:r>
        <w:fldChar w:fldCharType="separate"/>
      </w:r>
      <w:r>
        <w:rPr>
          <w:rStyle w:val="61"/>
          <w:rFonts w:ascii="Times New Roman" w:eastAsia="宋体" w:cs="Times New Roman"/>
          <w:color w:val="auto"/>
        </w:rPr>
        <w:t>5.3 大气环境影响评价</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_Toc204676248 \h </w:instrText>
      </w:r>
      <w:r>
        <w:rPr>
          <w:rFonts w:ascii="Times New Roman" w:eastAsia="宋体" w:cs="Times New Roman"/>
        </w:rPr>
        <w:fldChar w:fldCharType="separate"/>
      </w:r>
      <w:r>
        <w:rPr>
          <w:rFonts w:ascii="Times New Roman" w:eastAsia="宋体" w:cs="Times New Roman"/>
        </w:rPr>
        <w:t>174</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"_Toc204676249" </w:instrText>
      </w:r>
      <w:r>
        <w:fldChar w:fldCharType="separate"/>
      </w:r>
      <w:r>
        <w:rPr>
          <w:rStyle w:val="61"/>
          <w:rFonts w:ascii="Times New Roman" w:eastAsia="宋体" w:cs="Times New Roman"/>
          <w:color w:val="auto"/>
        </w:rPr>
        <w:t>5.4 声环境影响评价</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_Toc204676249 \h </w:instrText>
      </w:r>
      <w:r>
        <w:rPr>
          <w:rFonts w:ascii="Times New Roman" w:eastAsia="宋体" w:cs="Times New Roman"/>
        </w:rPr>
        <w:fldChar w:fldCharType="separate"/>
      </w:r>
      <w:r>
        <w:rPr>
          <w:rFonts w:ascii="Times New Roman" w:eastAsia="宋体" w:cs="Times New Roman"/>
        </w:rPr>
        <w:t>176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"_Toc204676250" </w:instrText>
      </w:r>
      <w:r>
        <w:fldChar w:fldCharType="separate"/>
      </w:r>
      <w:r>
        <w:rPr>
          <w:rStyle w:val="61"/>
          <w:rFonts w:ascii="Times New Roman" w:eastAsia="宋体" w:cs="Times New Roman"/>
          <w:color w:val="auto"/>
        </w:rPr>
        <w:t>5.5 固体废物环境影响分析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_Toc204676250 \h </w:instrText>
      </w:r>
      <w:r>
        <w:rPr>
          <w:rFonts w:ascii="Times New Roman" w:eastAsia="宋体" w:cs="Times New Roman"/>
        </w:rPr>
        <w:fldChar w:fldCharType="separate"/>
      </w:r>
      <w:r>
        <w:rPr>
          <w:rFonts w:ascii="Times New Roman" w:eastAsia="宋体" w:cs="Times New Roman"/>
        </w:rPr>
        <w:t>199</w:t>
      </w:r>
      <w:r>
        <w:rPr>
          <w:rFonts w:ascii="Times New Roman" w:eastAsia="宋体" w:cs="Times New Roman"/>
        </w:rPr>
        <w:fldChar w:fldCharType="end"/>
      </w:r>
      <w:r>
        <w:rPr>
          <w:rFonts w:ascii="Times New Roman" w:eastAsia="宋体" w:cs="Times New Roman"/>
        </w:rPr>
        <w:fldChar w:fldCharType="end"/>
      </w:r>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fldChar w:fldCharType="begin"/>
      </w:r>
      <w:r>
        <w:instrText xml:space="preserve"> HYPERLINK \l "_Toc204676251" </w:instrText>
      </w:r>
      <w:r>
        <w:fldChar w:fldCharType="separate"/>
      </w:r>
      <w:r>
        <w:rPr>
          <w:rStyle w:val="61"/>
          <w:rFonts w:ascii="Times New Roman" w:eastAsia="宋体" w:cs="Times New Roman"/>
          <w:color w:val="auto"/>
          <w14:scene3d>
            <w14:lightRig w14:rig="threePt" w14:dir="t">
              <w14:rot w14:lat="0" w14:lon="0" w14:rev="0"/>
            </w14:lightRig>
          </w14:scene3d>
        </w:rPr>
        <w:t>第六章</w:t>
      </w:r>
      <w:r>
        <w:rPr>
          <w:rStyle w:val="61"/>
          <w:rFonts w:ascii="Times New Roman" w:eastAsia="宋体" w:cs="Times New Roman"/>
          <w:color w:val="auto"/>
        </w:rPr>
        <w:t xml:space="preserve"> 环境风险评价</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_Toc204676251 \h </w:instrText>
      </w:r>
      <w:r>
        <w:rPr>
          <w:rFonts w:ascii="Times New Roman" w:eastAsia="宋体" w:cs="Times New Roman"/>
        </w:rPr>
        <w:fldChar w:fldCharType="separate"/>
      </w:r>
      <w:r>
        <w:rPr>
          <w:rFonts w:ascii="Times New Roman" w:eastAsia="宋体" w:cs="Times New Roman"/>
        </w:rPr>
        <w:t>201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"_Toc204676252" </w:instrText>
      </w:r>
      <w:r>
        <w:fldChar w:fldCharType="separate"/>
      </w:r>
      <w:r>
        <w:rPr>
          <w:rStyle w:val="61"/>
          <w:rFonts w:ascii="Times New Roman" w:eastAsia="宋体" w:cs="Times New Roman"/>
          <w:color w:val="auto"/>
        </w:rPr>
        <w:t>6.1 环境风险识别</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_Toc204676252 \h </w:instrText>
      </w:r>
      <w:r>
        <w:rPr>
          <w:rFonts w:ascii="Times New Roman" w:eastAsia="宋体" w:cs="Times New Roman"/>
        </w:rPr>
        <w:fldChar w:fldCharType="separate"/>
      </w:r>
      <w:r>
        <w:rPr>
          <w:rFonts w:ascii="Times New Roman" w:eastAsia="宋体" w:cs="Times New Roman"/>
        </w:rPr>
        <w:t>201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"_Toc204676253" </w:instrText>
      </w:r>
      <w:r>
        <w:fldChar w:fldCharType="separate"/>
      </w:r>
      <w:r>
        <w:rPr>
          <w:rStyle w:val="61"/>
          <w:rFonts w:ascii="Times New Roman" w:eastAsia="宋体" w:cs="Times New Roman"/>
          <w:color w:val="auto"/>
        </w:rPr>
        <w:t>6.2 风险潜势分析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_Toc204676253 \h </w:instrText>
      </w:r>
      <w:r>
        <w:rPr>
          <w:rFonts w:ascii="Times New Roman" w:eastAsia="宋体" w:cs="Times New Roman"/>
        </w:rPr>
        <w:fldChar w:fldCharType="separate"/>
      </w:r>
      <w:r>
        <w:rPr>
          <w:rFonts w:ascii="Times New Roman" w:eastAsia="宋体" w:cs="Times New Roman"/>
        </w:rPr>
        <w:t>202</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"_Toc204676254" </w:instrText>
      </w:r>
      <w:r>
        <w:fldChar w:fldCharType="separate"/>
      </w:r>
      <w:r>
        <w:rPr>
          <w:rStyle w:val="61"/>
          <w:rFonts w:ascii="Times New Roman" w:eastAsia="宋体" w:cs="Times New Roman"/>
          <w:color w:val="auto"/>
        </w:rPr>
        <w:t>6.3 环境风险源项分析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_Toc204676254 \h </w:instrText>
      </w:r>
      <w:r>
        <w:rPr>
          <w:rFonts w:ascii="Times New Roman" w:eastAsia="宋体" w:cs="Times New Roman"/>
        </w:rPr>
        <w:fldChar w:fldCharType="separate"/>
      </w:r>
      <w:r>
        <w:rPr>
          <w:rFonts w:ascii="Times New Roman" w:eastAsia="宋体" w:cs="Times New Roman"/>
        </w:rPr>
        <w:t>202</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"_Toc204676255" </w:instrText>
      </w:r>
      <w:r>
        <w:fldChar w:fldCharType="separate"/>
      </w:r>
      <w:r>
        <w:rPr>
          <w:rStyle w:val="61"/>
          <w:rFonts w:ascii="Times New Roman" w:eastAsia="宋体" w:cs="Times New Roman"/>
          <w:color w:val="auto"/>
        </w:rPr>
        <w:t>6.4 环境风险防范措施及应急要求</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_Toc204676255 \h </w:instrText>
      </w:r>
      <w:r>
        <w:rPr>
          <w:rFonts w:ascii="Times New Roman" w:eastAsia="宋体" w:cs="Times New Roman"/>
        </w:rPr>
        <w:fldChar w:fldCharType="separate"/>
      </w:r>
      <w:r>
        <w:rPr>
          <w:rFonts w:ascii="Times New Roman" w:eastAsia="宋体" w:cs="Times New Roman"/>
        </w:rPr>
        <w:t>204</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"_Toc204676256" </w:instrText>
      </w:r>
      <w:r>
        <w:fldChar w:fldCharType="separate"/>
      </w:r>
      <w:r>
        <w:rPr>
          <w:rStyle w:val="61"/>
          <w:rFonts w:ascii="Times New Roman" w:eastAsia="宋体" w:cs="Times New Roman"/>
          <w:color w:val="auto"/>
        </w:rPr>
        <w:t>6.5 小结</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_Toc204676256 \h </w:instrText>
      </w:r>
      <w:r>
        <w:rPr>
          <w:rFonts w:ascii="Times New Roman" w:eastAsia="宋体" w:cs="Times New Roman"/>
        </w:rPr>
        <w:fldChar w:fldCharType="separate"/>
      </w:r>
      <w:r>
        <w:rPr>
          <w:rFonts w:ascii="Times New Roman" w:eastAsia="宋体" w:cs="Times New Roman"/>
        </w:rPr>
        <w:t>206</w:t>
      </w:r>
      <w:r>
        <w:rPr>
          <w:rFonts w:ascii="Times New Roman" w:eastAsia="宋体" w:cs="Times New Roman"/>
        </w:rPr>
        <w:fldChar w:fldCharType="end"/>
      </w:r>
      <w:r>
        <w:rPr>
          <w:rFonts w:ascii="Times New Roman" w:eastAsia="宋体" w:cs="Times New Roman"/>
        </w:rPr>
        <w:fldChar w:fldCharType="end"/>
      </w:r>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fldChar w:fldCharType="begin"/>
      </w:r>
      <w:r>
        <w:instrText xml:space="preserve"> HYPERLINK \l "_Toc204676257" </w:instrText>
      </w:r>
      <w:r>
        <w:fldChar w:fldCharType="separate"/>
      </w:r>
      <w:r>
        <w:rPr>
          <w:rStyle w:val="61"/>
          <w:rFonts w:ascii="Times New Roman" w:eastAsia="宋体" w:cs="Times New Roman"/>
          <w:color w:val="auto"/>
          <w14:scene3d>
            <w14:lightRig w14:rig="threePt" w14:dir="t">
              <w14:rot w14:lat="0" w14:lon="0" w14:rev="0"/>
            </w14:lightRig>
          </w14:scene3d>
        </w:rPr>
        <w:t>第七章</w:t>
      </w:r>
      <w:r>
        <w:rPr>
          <w:rStyle w:val="61"/>
          <w:rFonts w:ascii="Times New Roman" w:eastAsia="宋体" w:cs="Times New Roman"/>
          <w:color w:val="auto"/>
        </w:rPr>
        <w:t xml:space="preserve"> 环境保护措施及其可行性论证</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_Toc204676257 \h </w:instrText>
      </w:r>
      <w:r>
        <w:rPr>
          <w:rFonts w:ascii="Times New Roman" w:eastAsia="宋体" w:cs="Times New Roman"/>
        </w:rPr>
        <w:fldChar w:fldCharType="separate"/>
      </w:r>
      <w:r>
        <w:rPr>
          <w:rFonts w:ascii="Times New Roman" w:eastAsia="宋体" w:cs="Times New Roman"/>
        </w:rPr>
        <w:t>207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"_Toc204676258" </w:instrText>
      </w:r>
      <w:r>
        <w:fldChar w:fldCharType="separate"/>
      </w:r>
      <w:r>
        <w:rPr>
          <w:rStyle w:val="61"/>
          <w:rFonts w:ascii="Times New Roman" w:eastAsia="宋体" w:cs="Times New Roman"/>
          <w:color w:val="auto"/>
        </w:rPr>
        <w:t>7.1 生态环境影响减缓措施</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_Toc204676258 \h </w:instrText>
      </w:r>
      <w:r>
        <w:rPr>
          <w:rFonts w:ascii="Times New Roman" w:eastAsia="宋体" w:cs="Times New Roman"/>
        </w:rPr>
        <w:fldChar w:fldCharType="separate"/>
      </w:r>
      <w:r>
        <w:rPr>
          <w:rFonts w:ascii="Times New Roman" w:eastAsia="宋体" w:cs="Times New Roman"/>
        </w:rPr>
        <w:t>207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"_Toc204676259" </w:instrText>
      </w:r>
      <w:r>
        <w:fldChar w:fldCharType="separate"/>
      </w:r>
      <w:r>
        <w:rPr>
          <w:rStyle w:val="61"/>
          <w:rFonts w:ascii="Times New Roman" w:eastAsia="宋体" w:cs="Times New Roman"/>
          <w:color w:val="auto"/>
        </w:rPr>
        <w:t>7.2 水污染防治措施</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_Toc204676259 \h </w:instrText>
      </w:r>
      <w:r>
        <w:rPr>
          <w:rFonts w:ascii="Times New Roman" w:eastAsia="宋体" w:cs="Times New Roman"/>
        </w:rPr>
        <w:fldChar w:fldCharType="separate"/>
      </w:r>
      <w:r>
        <w:rPr>
          <w:rFonts w:ascii="Times New Roman" w:eastAsia="宋体" w:cs="Times New Roman"/>
        </w:rPr>
        <w:t>215</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"_Toc204676260" </w:instrText>
      </w:r>
      <w:r>
        <w:fldChar w:fldCharType="separate"/>
      </w:r>
      <w:r>
        <w:rPr>
          <w:rStyle w:val="61"/>
          <w:rFonts w:ascii="Times New Roman" w:eastAsia="宋体" w:cs="Times New Roman"/>
          <w:color w:val="auto"/>
        </w:rPr>
        <w:t>7.3 大气污染防治措施</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_Toc204676260 \h </w:instrText>
      </w:r>
      <w:r>
        <w:rPr>
          <w:rFonts w:ascii="Times New Roman" w:eastAsia="宋体" w:cs="Times New Roman"/>
        </w:rPr>
        <w:fldChar w:fldCharType="separate"/>
      </w:r>
      <w:r>
        <w:rPr>
          <w:rFonts w:ascii="Times New Roman" w:eastAsia="宋体" w:cs="Times New Roman"/>
        </w:rPr>
        <w:t>217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"_Toc204676261" </w:instrText>
      </w:r>
      <w:r>
        <w:fldChar w:fldCharType="separate"/>
      </w:r>
      <w:r>
        <w:rPr>
          <w:rStyle w:val="61"/>
          <w:rFonts w:ascii="Times New Roman" w:eastAsia="宋体" w:cs="Times New Roman"/>
          <w:color w:val="auto"/>
        </w:rPr>
        <w:t>7.4 声环境保护措施</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_Toc204676261 \h </w:instrText>
      </w:r>
      <w:r>
        <w:rPr>
          <w:rFonts w:ascii="Times New Roman" w:eastAsia="宋体" w:cs="Times New Roman"/>
        </w:rPr>
        <w:fldChar w:fldCharType="separate"/>
      </w:r>
      <w:r>
        <w:rPr>
          <w:rFonts w:ascii="Times New Roman" w:eastAsia="宋体" w:cs="Times New Roman"/>
        </w:rPr>
        <w:t>219</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"_Toc204676262" </w:instrText>
      </w:r>
      <w:r>
        <w:fldChar w:fldCharType="separate"/>
      </w:r>
      <w:r>
        <w:rPr>
          <w:rStyle w:val="61"/>
          <w:rFonts w:ascii="Times New Roman" w:eastAsia="宋体" w:cs="Times New Roman"/>
          <w:color w:val="auto"/>
        </w:rPr>
        <w:t>7.5 固体废物防治措施</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_Toc204676262 \h </w:instrText>
      </w:r>
      <w:r>
        <w:rPr>
          <w:rFonts w:ascii="Times New Roman" w:eastAsia="宋体" w:cs="Times New Roman"/>
        </w:rPr>
        <w:fldChar w:fldCharType="separate"/>
      </w:r>
      <w:r>
        <w:rPr>
          <w:rFonts w:ascii="Times New Roman" w:eastAsia="宋体" w:cs="Times New Roman"/>
        </w:rPr>
        <w:t>226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"_Toc204676263" </w:instrText>
      </w:r>
      <w:r>
        <w:fldChar w:fldCharType="separate"/>
      </w:r>
      <w:r>
        <w:rPr>
          <w:rStyle w:val="61"/>
          <w:rFonts w:ascii="Times New Roman" w:eastAsia="宋体" w:cs="Times New Roman"/>
          <w:color w:val="auto"/>
        </w:rPr>
        <w:t>7.6 环保投资估算</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_Toc204676263 \h </w:instrText>
      </w:r>
      <w:r>
        <w:rPr>
          <w:rFonts w:ascii="Times New Roman" w:eastAsia="宋体" w:cs="Times New Roman"/>
        </w:rPr>
        <w:fldChar w:fldCharType="separate"/>
      </w:r>
      <w:r>
        <w:rPr>
          <w:rFonts w:ascii="Times New Roman" w:eastAsia="宋体" w:cs="Times New Roman"/>
        </w:rPr>
        <w:t>227</w:t>
      </w:r>
      <w:r>
        <w:rPr>
          <w:rFonts w:ascii="Times New Roman" w:eastAsia="宋体" w:cs="Times New Roman"/>
        </w:rPr>
        <w:fldChar w:fldCharType="end"/>
      </w:r>
      <w:r>
        <w:rPr>
          <w:rFonts w:ascii="Times New Roman" w:eastAsia="宋体" w:cs="Times New Roman"/>
        </w:rPr>
        <w:fldChar w:fldCharType="end"/>
      </w:r>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fldChar w:fldCharType="begin"/>
      </w:r>
      <w:r>
        <w:instrText xml:space="preserve"> HYPERLINK \l "_Toc204676264" </w:instrText>
      </w:r>
      <w:r>
        <w:fldChar w:fldCharType="separate"/>
      </w:r>
      <w:r>
        <w:rPr>
          <w:rStyle w:val="61"/>
          <w:rFonts w:ascii="Times New Roman" w:eastAsia="宋体" w:cs="Times New Roman"/>
          <w:color w:val="auto"/>
          <w14:scene3d>
            <w14:lightRig w14:rig="threePt" w14:dir="t">
              <w14:rot w14:lat="0" w14:lon="0" w14:rev="0"/>
            </w14:lightRig>
          </w14:scene3d>
        </w:rPr>
        <w:t>第八章</w:t>
      </w:r>
      <w:r>
        <w:rPr>
          <w:rStyle w:val="61"/>
          <w:rFonts w:ascii="Times New Roman" w:eastAsia="宋体" w:cs="Times New Roman"/>
          <w:color w:val="auto"/>
        </w:rPr>
        <w:t xml:space="preserve"> 环境影响经济损益分析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_Toc204676264 \h </w:instrText>
      </w:r>
      <w:r>
        <w:rPr>
          <w:rFonts w:ascii="Times New Roman" w:eastAsia="宋体" w:cs="Times New Roman"/>
        </w:rPr>
        <w:fldChar w:fldCharType="separate"/>
      </w:r>
      <w:r>
        <w:rPr>
          <w:rFonts w:ascii="Times New Roman" w:eastAsia="宋体" w:cs="Times New Roman"/>
        </w:rPr>
        <w:t>228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"_Toc204676265" </w:instrText>
      </w:r>
      <w:r>
        <w:fldChar w:fldCharType="separate"/>
      </w:r>
      <w:r>
        <w:rPr>
          <w:rStyle w:val="61"/>
          <w:rFonts w:ascii="Times New Roman" w:eastAsia="宋体" w:cs="Times New Roman"/>
          <w:color w:val="auto"/>
        </w:rPr>
        <w:t>8.1 国民经济效益分析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_Toc204676265 \h </w:instrText>
      </w:r>
      <w:r>
        <w:rPr>
          <w:rFonts w:ascii="Times New Roman" w:eastAsia="宋体" w:cs="Times New Roman"/>
        </w:rPr>
        <w:fldChar w:fldCharType="separate"/>
      </w:r>
      <w:r>
        <w:rPr>
          <w:rFonts w:ascii="Times New Roman" w:eastAsia="宋体" w:cs="Times New Roman"/>
        </w:rPr>
        <w:t>228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"_Toc204676266" </w:instrText>
      </w:r>
      <w:r>
        <w:fldChar w:fldCharType="separate"/>
      </w:r>
      <w:r>
        <w:rPr>
          <w:rStyle w:val="61"/>
          <w:rFonts w:ascii="Times New Roman" w:eastAsia="宋体" w:cs="Times New Roman"/>
          <w:color w:val="auto"/>
        </w:rPr>
        <w:t>8.2 社会经济效益分析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_Toc204676266 \h </w:instrText>
      </w:r>
      <w:r>
        <w:rPr>
          <w:rFonts w:ascii="Times New Roman" w:eastAsia="宋体" w:cs="Times New Roman"/>
        </w:rPr>
        <w:fldChar w:fldCharType="separate"/>
      </w:r>
      <w:r>
        <w:rPr>
          <w:rFonts w:ascii="Times New Roman" w:eastAsia="宋体" w:cs="Times New Roman"/>
        </w:rPr>
        <w:t>228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"_Toc204676267" </w:instrText>
      </w:r>
      <w:r>
        <w:fldChar w:fldCharType="separate"/>
      </w:r>
      <w:r>
        <w:rPr>
          <w:rStyle w:val="61"/>
          <w:rFonts w:ascii="Times New Roman" w:eastAsia="宋体" w:cs="Times New Roman"/>
          <w:color w:val="auto"/>
        </w:rPr>
        <w:t>8.3 环境保护投资效益分析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_Toc204676267 \h </w:instrText>
      </w:r>
      <w:r>
        <w:rPr>
          <w:rFonts w:ascii="Times New Roman" w:eastAsia="宋体" w:cs="Times New Roman"/>
        </w:rPr>
        <w:fldChar w:fldCharType="separate"/>
      </w:r>
      <w:r>
        <w:rPr>
          <w:rFonts w:ascii="Times New Roman" w:eastAsia="宋体" w:cs="Times New Roman"/>
        </w:rPr>
        <w:t>228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"_Toc204676268" </w:instrText>
      </w:r>
      <w:r>
        <w:fldChar w:fldCharType="separate"/>
      </w:r>
      <w:r>
        <w:rPr>
          <w:rStyle w:val="61"/>
          <w:rFonts w:ascii="Times New Roman" w:eastAsia="宋体" w:cs="Times New Roman"/>
          <w:color w:val="auto"/>
        </w:rPr>
        <w:t>8.4 效益分析小结</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_Toc204676268 \h </w:instrText>
      </w:r>
      <w:r>
        <w:rPr>
          <w:rFonts w:ascii="Times New Roman" w:eastAsia="宋体" w:cs="Times New Roman"/>
        </w:rPr>
        <w:fldChar w:fldCharType="separate"/>
      </w:r>
      <w:r>
        <w:rPr>
          <w:rFonts w:ascii="Times New Roman" w:eastAsia="宋体" w:cs="Times New Roman"/>
        </w:rPr>
        <w:t>230</w:t>
      </w:r>
      <w:r>
        <w:rPr>
          <w:rFonts w:ascii="Times New Roman" w:eastAsia="宋体" w:cs="Times New Roman"/>
        </w:rPr>
        <w:fldChar w:fldCharType="end"/>
      </w:r>
      <w:r>
        <w:rPr>
          <w:rFonts w:ascii="Times New Roman" w:eastAsia="宋体" w:cs="Times New Roman"/>
        </w:rPr>
        <w:fldChar w:fldCharType="end"/>
      </w:r>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fldChar w:fldCharType="begin"/>
      </w:r>
      <w:r>
        <w:instrText xml:space="preserve"> HYPERLINK \l "_Toc204676269" </w:instrText>
      </w:r>
      <w:r>
        <w:fldChar w:fldCharType="separate"/>
      </w:r>
      <w:r>
        <w:rPr>
          <w:rStyle w:val="61"/>
          <w:rFonts w:ascii="Times New Roman" w:eastAsia="宋体" w:cs="Times New Roman"/>
          <w:color w:val="auto"/>
          <w14:scene3d>
            <w14:lightRig w14:rig="threePt" w14:dir="t">
              <w14:rot w14:lat="0" w14:lon="0" w14:rev="0"/>
            </w14:lightRig>
          </w14:scene3d>
        </w:rPr>
        <w:t>第九章</w:t>
      </w:r>
      <w:r>
        <w:rPr>
          <w:rStyle w:val="61"/>
          <w:rFonts w:ascii="Times New Roman" w:eastAsia="宋体" w:cs="Times New Roman"/>
          <w:color w:val="auto"/>
        </w:rPr>
        <w:t xml:space="preserve"> 环境管理与监测计划</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_Toc204676269 \h </w:instrText>
      </w:r>
      <w:r>
        <w:rPr>
          <w:rFonts w:ascii="Times New Roman" w:eastAsia="宋体" w:cs="Times New Roman"/>
        </w:rPr>
        <w:fldChar w:fldCharType="separate"/>
      </w:r>
      <w:r>
        <w:rPr>
          <w:rFonts w:ascii="Times New Roman" w:eastAsia="宋体" w:cs="Times New Roman"/>
        </w:rPr>
        <w:t>231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"_Toc204676270" </w:instrText>
      </w:r>
      <w:r>
        <w:fldChar w:fldCharType="separate"/>
      </w:r>
      <w:r>
        <w:rPr>
          <w:rStyle w:val="61"/>
          <w:rFonts w:ascii="Times New Roman" w:eastAsia="宋体" w:cs="Times New Roman"/>
          <w:color w:val="auto"/>
        </w:rPr>
        <w:t>9.1 环境保护管理计划</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_Toc204676270 \h </w:instrText>
      </w:r>
      <w:r>
        <w:rPr>
          <w:rFonts w:ascii="Times New Roman" w:eastAsia="宋体" w:cs="Times New Roman"/>
        </w:rPr>
        <w:fldChar w:fldCharType="separate"/>
      </w:r>
      <w:r>
        <w:rPr>
          <w:rFonts w:ascii="Times New Roman" w:eastAsia="宋体" w:cs="Times New Roman"/>
        </w:rPr>
        <w:t>231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"_Toc204676271" </w:instrText>
      </w:r>
      <w:r>
        <w:fldChar w:fldCharType="separate"/>
      </w:r>
      <w:r>
        <w:rPr>
          <w:rStyle w:val="61"/>
          <w:rFonts w:ascii="Times New Roman" w:eastAsia="宋体" w:cs="Times New Roman"/>
          <w:color w:val="auto"/>
        </w:rPr>
        <w:t>9.2 环境监测</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_Toc204676271 \h </w:instrText>
      </w:r>
      <w:r>
        <w:rPr>
          <w:rFonts w:ascii="Times New Roman" w:eastAsia="宋体" w:cs="Times New Roman"/>
        </w:rPr>
        <w:fldChar w:fldCharType="separate"/>
      </w:r>
      <w:r>
        <w:rPr>
          <w:rFonts w:ascii="Times New Roman" w:eastAsia="宋体" w:cs="Times New Roman"/>
        </w:rPr>
        <w:t>234</w:t>
      </w:r>
      <w:r>
        <w:rPr>
          <w:rFonts w:ascii="Times New Roman" w:eastAsia="宋体" w:cs="Times New Roman"/>
        </w:rPr>
        <w:fldChar w:fldCharType="end"/>
      </w:r>
      <w:r>
        <w:rPr>
          <w:rFonts w:ascii="Times New Roman" w:eastAsia="宋体" w:cs="Times New Roman"/>
        </w:rPr>
        <w:fldChar w:fldCharType="end"/>
      </w:r>
    </w:p>
    <w:p>
      <w:pPr>
        <w:pStyle w:val="37"/>
        <w:tabs>
          <w:tab w:val="right" w:leader="dot" w:pos="9064"/>
        </w:tabs>
        <w:spacing w:before="0" w:after="0" w:line="280" w:lineRule="exact"/>
        <w:ind w:firstLine="400"/>
        <w:rPr>
          <w:rFonts w:ascii="Times New Roman" w:eastAsia="宋体" w:cs="Times New Roman"/>
          <w:b w:val="0"/>
          <w:bCs w:val="0"/>
          <w:caps w:val="0"/>
          <w:sz w:val="21"/>
          <w:szCs w:val="22"/>
        </w:rPr>
      </w:pPr>
      <w:r>
        <w:fldChar w:fldCharType="begin"/>
      </w:r>
      <w:r>
        <w:instrText xml:space="preserve"> HYPERLINK \l "_Toc204676272" </w:instrText>
      </w:r>
      <w:r>
        <w:fldChar w:fldCharType="separate"/>
      </w:r>
      <w:r>
        <w:rPr>
          <w:rStyle w:val="61"/>
          <w:rFonts w:ascii="Times New Roman" w:eastAsia="宋体" w:cs="Times New Roman"/>
          <w:color w:val="auto"/>
          <w14:scene3d>
            <w14:lightRig w14:rig="threePt" w14:dir="t">
              <w14:rot w14:lat="0" w14:lon="0" w14:rev="0"/>
            </w14:lightRig>
          </w14:scene3d>
        </w:rPr>
        <w:t>第十章</w:t>
      </w:r>
      <w:r>
        <w:rPr>
          <w:rStyle w:val="61"/>
          <w:rFonts w:ascii="Times New Roman" w:eastAsia="宋体" w:cs="Times New Roman"/>
          <w:color w:val="auto"/>
        </w:rPr>
        <w:t xml:space="preserve"> 环境影响评价结论</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_Toc204676272 \h </w:instrText>
      </w:r>
      <w:r>
        <w:rPr>
          <w:rFonts w:ascii="Times New Roman" w:eastAsia="宋体" w:cs="Times New Roman"/>
        </w:rPr>
        <w:fldChar w:fldCharType="separate"/>
      </w:r>
      <w:r>
        <w:rPr>
          <w:rFonts w:ascii="Times New Roman" w:eastAsia="宋体" w:cs="Times New Roman"/>
        </w:rPr>
        <w:t>236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"_Toc204676273" </w:instrText>
      </w:r>
      <w:r>
        <w:fldChar w:fldCharType="separate"/>
      </w:r>
      <w:r>
        <w:rPr>
          <w:rStyle w:val="61"/>
          <w:rFonts w:ascii="Times New Roman" w:eastAsia="宋体" w:cs="Times New Roman"/>
          <w:color w:val="auto"/>
        </w:rPr>
        <w:t>10.1 建设项目概况</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_Toc204676273 \h </w:instrText>
      </w:r>
      <w:r>
        <w:rPr>
          <w:rFonts w:ascii="Times New Roman" w:eastAsia="宋体" w:cs="Times New Roman"/>
        </w:rPr>
        <w:fldChar w:fldCharType="separate"/>
      </w:r>
      <w:r>
        <w:rPr>
          <w:rFonts w:ascii="Times New Roman" w:eastAsia="宋体" w:cs="Times New Roman"/>
        </w:rPr>
        <w:t>236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"_Toc204676274" </w:instrText>
      </w:r>
      <w:r>
        <w:fldChar w:fldCharType="separate"/>
      </w:r>
      <w:r>
        <w:rPr>
          <w:rStyle w:val="61"/>
          <w:rFonts w:ascii="Times New Roman" w:eastAsia="宋体" w:cs="Times New Roman"/>
          <w:color w:val="auto"/>
        </w:rPr>
        <w:t>10.2 环境质量现状评价结论</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_Toc204676274 \h </w:instrText>
      </w:r>
      <w:r>
        <w:rPr>
          <w:rFonts w:ascii="Times New Roman" w:eastAsia="宋体" w:cs="Times New Roman"/>
        </w:rPr>
        <w:fldChar w:fldCharType="separate"/>
      </w:r>
      <w:r>
        <w:rPr>
          <w:rFonts w:ascii="Times New Roman" w:eastAsia="宋体" w:cs="Times New Roman"/>
        </w:rPr>
        <w:t>236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"_Toc204676275" </w:instrText>
      </w:r>
      <w:r>
        <w:fldChar w:fldCharType="separate"/>
      </w:r>
      <w:r>
        <w:rPr>
          <w:rStyle w:val="61"/>
          <w:rFonts w:ascii="Times New Roman" w:eastAsia="宋体" w:cs="Times New Roman"/>
          <w:color w:val="auto"/>
        </w:rPr>
        <w:t>10.3 环境影响评价结论</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_Toc204676275 \h </w:instrText>
      </w:r>
      <w:r>
        <w:rPr>
          <w:rFonts w:ascii="Times New Roman" w:eastAsia="宋体" w:cs="Times New Roman"/>
        </w:rPr>
        <w:fldChar w:fldCharType="separate"/>
      </w:r>
      <w:r>
        <w:rPr>
          <w:rFonts w:ascii="Times New Roman" w:eastAsia="宋体" w:cs="Times New Roman"/>
        </w:rPr>
        <w:t>237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"_Toc204676276" </w:instrText>
      </w:r>
      <w:r>
        <w:fldChar w:fldCharType="separate"/>
      </w:r>
      <w:r>
        <w:rPr>
          <w:rStyle w:val="61"/>
          <w:rFonts w:ascii="Times New Roman" w:eastAsia="宋体" w:cs="Times New Roman"/>
          <w:color w:val="auto"/>
        </w:rPr>
        <w:t>10.4 项目主要环保措施及竣工验收要求</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_Toc204676276 \h </w:instrText>
      </w:r>
      <w:r>
        <w:rPr>
          <w:rFonts w:ascii="Times New Roman" w:eastAsia="宋体" w:cs="Times New Roman"/>
        </w:rPr>
        <w:fldChar w:fldCharType="separate"/>
      </w:r>
      <w:r>
        <w:rPr>
          <w:rFonts w:ascii="Times New Roman" w:eastAsia="宋体" w:cs="Times New Roman"/>
        </w:rPr>
        <w:t>240</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"_Toc204676277" </w:instrText>
      </w:r>
      <w:r>
        <w:fldChar w:fldCharType="separate"/>
      </w:r>
      <w:r>
        <w:rPr>
          <w:rStyle w:val="61"/>
          <w:rFonts w:ascii="Times New Roman" w:eastAsia="宋体" w:cs="Times New Roman"/>
          <w:color w:val="auto"/>
        </w:rPr>
        <w:t>10.5 环境影响经济损益分析</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_Toc204676277 \h </w:instrText>
      </w:r>
      <w:r>
        <w:rPr>
          <w:rFonts w:ascii="Times New Roman" w:eastAsia="宋体" w:cs="Times New Roman"/>
        </w:rPr>
        <w:fldChar w:fldCharType="separate"/>
      </w:r>
      <w:r>
        <w:rPr>
          <w:rFonts w:ascii="Times New Roman" w:eastAsia="宋体" w:cs="Times New Roman"/>
        </w:rPr>
        <w:t>246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"_Toc204676278" </w:instrText>
      </w:r>
      <w:r>
        <w:fldChar w:fldCharType="separate"/>
      </w:r>
      <w:r>
        <w:rPr>
          <w:rStyle w:val="61"/>
          <w:rFonts w:ascii="Times New Roman" w:eastAsia="宋体" w:cs="Times New Roman"/>
          <w:color w:val="auto"/>
        </w:rPr>
        <w:t>10.6 环境管理与监测计划结论</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_Toc204676278 \h </w:instrText>
      </w:r>
      <w:r>
        <w:rPr>
          <w:rFonts w:ascii="Times New Roman" w:eastAsia="宋体" w:cs="Times New Roman"/>
        </w:rPr>
        <w:fldChar w:fldCharType="separate"/>
      </w:r>
      <w:r>
        <w:rPr>
          <w:rFonts w:ascii="Times New Roman" w:eastAsia="宋体" w:cs="Times New Roman"/>
        </w:rPr>
        <w:t>246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"_Toc204676279" </w:instrText>
      </w:r>
      <w:r>
        <w:fldChar w:fldCharType="separate"/>
      </w:r>
      <w:r>
        <w:rPr>
          <w:rStyle w:val="61"/>
          <w:rFonts w:ascii="Times New Roman" w:eastAsia="宋体" w:cs="Times New Roman"/>
          <w:color w:val="auto"/>
        </w:rPr>
        <w:t>10.7 产业政策及规划选址符合性结论</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_Toc204676279 \h </w:instrText>
      </w:r>
      <w:r>
        <w:rPr>
          <w:rFonts w:ascii="Times New Roman" w:eastAsia="宋体" w:cs="Times New Roman"/>
        </w:rPr>
        <w:fldChar w:fldCharType="separate"/>
      </w:r>
      <w:r>
        <w:rPr>
          <w:rFonts w:ascii="Times New Roman" w:eastAsia="宋体" w:cs="Times New Roman"/>
        </w:rPr>
        <w:t>246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"_Toc204676280" </w:instrText>
      </w:r>
      <w:r>
        <w:fldChar w:fldCharType="separate"/>
      </w:r>
      <w:r>
        <w:rPr>
          <w:rStyle w:val="61"/>
          <w:rFonts w:ascii="Times New Roman" w:eastAsia="宋体" w:cs="Times New Roman"/>
          <w:color w:val="auto"/>
        </w:rPr>
        <w:t>10.8 公众意见采纳情况</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_Toc204676280 \h </w:instrText>
      </w:r>
      <w:r>
        <w:rPr>
          <w:rFonts w:ascii="Times New Roman" w:eastAsia="宋体" w:cs="Times New Roman"/>
        </w:rPr>
        <w:fldChar w:fldCharType="separate"/>
      </w:r>
      <w:r>
        <w:rPr>
          <w:rFonts w:ascii="Times New Roman" w:eastAsia="宋体" w:cs="Times New Roman"/>
        </w:rPr>
        <w:t>247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"_Toc204676281" </w:instrText>
      </w:r>
      <w:r>
        <w:fldChar w:fldCharType="separate"/>
      </w:r>
      <w:r>
        <w:rPr>
          <w:rStyle w:val="61"/>
          <w:rFonts w:ascii="Times New Roman" w:eastAsia="宋体" w:cs="Times New Roman"/>
          <w:color w:val="auto"/>
        </w:rPr>
        <w:t>10.9 总结论</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_Toc204676281 \h </w:instrText>
      </w:r>
      <w:r>
        <w:rPr>
          <w:rFonts w:ascii="Times New Roman" w:eastAsia="宋体" w:cs="Times New Roman"/>
        </w:rPr>
        <w:fldChar w:fldCharType="separate"/>
      </w:r>
      <w:r>
        <w:rPr>
          <w:rFonts w:ascii="Times New Roman" w:eastAsia="宋体" w:cs="Times New Roman"/>
        </w:rPr>
        <w:t>248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"_Toc204676282" </w:instrText>
      </w:r>
      <w:r>
        <w:fldChar w:fldCharType="separate"/>
      </w:r>
      <w:r>
        <w:rPr>
          <w:rStyle w:val="61"/>
          <w:rFonts w:ascii="Times New Roman" w:eastAsia="宋体" w:cs="Times New Roman"/>
          <w:color w:val="auto"/>
        </w:rPr>
        <w:t>附件1：委托书</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_Toc204676282 \h </w:instrText>
      </w:r>
      <w:r>
        <w:rPr>
          <w:rFonts w:ascii="Times New Roman" w:eastAsia="宋体" w:cs="Times New Roman"/>
        </w:rPr>
        <w:fldChar w:fldCharType="separate"/>
      </w:r>
      <w:r>
        <w:rPr>
          <w:rFonts w:ascii="Times New Roman" w:eastAsia="宋体" w:cs="Times New Roman"/>
        </w:rPr>
        <w:t>249</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"_Toc204676283" </w:instrText>
      </w:r>
      <w:r>
        <w:fldChar w:fldCharType="separate"/>
      </w:r>
      <w:r>
        <w:rPr>
          <w:rStyle w:val="61"/>
          <w:rFonts w:ascii="Times New Roman" w:eastAsia="宋体" w:cs="Times New Roman"/>
          <w:color w:val="auto"/>
        </w:rPr>
        <w:t>附件2：可研批复</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_Toc204676283 \h </w:instrText>
      </w:r>
      <w:r>
        <w:rPr>
          <w:rFonts w:ascii="Times New Roman" w:eastAsia="宋体" w:cs="Times New Roman"/>
        </w:rPr>
        <w:fldChar w:fldCharType="separate"/>
      </w:r>
      <w:r>
        <w:rPr>
          <w:rFonts w:ascii="Times New Roman" w:eastAsia="宋体" w:cs="Times New Roman"/>
        </w:rPr>
        <w:t>250</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"_Toc204676284" </w:instrText>
      </w:r>
      <w:r>
        <w:fldChar w:fldCharType="separate"/>
      </w:r>
      <w:r>
        <w:rPr>
          <w:rStyle w:val="61"/>
          <w:rFonts w:ascii="Times New Roman" w:eastAsia="宋体" w:cs="Times New Roman"/>
          <w:color w:val="auto"/>
        </w:rPr>
        <w:t>附件3：初步设计批复</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_Toc204676284 \h </w:instrText>
      </w:r>
      <w:r>
        <w:rPr>
          <w:rFonts w:ascii="Times New Roman" w:eastAsia="宋体" w:cs="Times New Roman"/>
        </w:rPr>
        <w:fldChar w:fldCharType="separate"/>
      </w:r>
      <w:r>
        <w:rPr>
          <w:rFonts w:ascii="Times New Roman" w:eastAsia="宋体" w:cs="Times New Roman"/>
        </w:rPr>
        <w:t>252</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"_Toc204676285" </w:instrText>
      </w:r>
      <w:r>
        <w:fldChar w:fldCharType="separate"/>
      </w:r>
      <w:r>
        <w:rPr>
          <w:rStyle w:val="61"/>
          <w:rFonts w:ascii="Times New Roman" w:eastAsia="宋体" w:cs="Times New Roman"/>
          <w:color w:val="auto"/>
        </w:rPr>
        <w:t>附件4：项目用地预审及选址意见书</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_Toc204676285 \h </w:instrText>
      </w:r>
      <w:r>
        <w:rPr>
          <w:rFonts w:ascii="Times New Roman" w:eastAsia="宋体" w:cs="Times New Roman"/>
        </w:rPr>
        <w:fldChar w:fldCharType="separate"/>
      </w:r>
      <w:r>
        <w:rPr>
          <w:rFonts w:ascii="Times New Roman" w:eastAsia="宋体" w:cs="Times New Roman"/>
        </w:rPr>
        <w:t>257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"_Toc204676286" </w:instrText>
      </w:r>
      <w:r>
        <w:fldChar w:fldCharType="separate"/>
      </w:r>
      <w:r>
        <w:rPr>
          <w:rStyle w:val="61"/>
          <w:rFonts w:ascii="Times New Roman" w:eastAsia="宋体" w:cs="Times New Roman"/>
          <w:color w:val="auto"/>
        </w:rPr>
        <w:t>附件5：项目农专用和土地征收批复</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_Toc204676286 \h </w:instrText>
      </w:r>
      <w:r>
        <w:rPr>
          <w:rFonts w:ascii="Times New Roman" w:eastAsia="宋体" w:cs="Times New Roman"/>
        </w:rPr>
        <w:fldChar w:fldCharType="separate"/>
      </w:r>
      <w:r>
        <w:rPr>
          <w:rFonts w:ascii="Times New Roman" w:eastAsia="宋体" w:cs="Times New Roman"/>
        </w:rPr>
        <w:t>266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"_Toc204676288" </w:instrText>
      </w:r>
      <w:r>
        <w:fldChar w:fldCharType="separate"/>
      </w:r>
      <w:r>
        <w:rPr>
          <w:rStyle w:val="61"/>
          <w:rFonts w:ascii="Times New Roman" w:eastAsia="宋体" w:cs="Times New Roman"/>
          <w:color w:val="auto"/>
        </w:rPr>
        <w:t>附件6：用地规划许可证</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_Toc204676288 \h </w:instrText>
      </w:r>
      <w:r>
        <w:rPr>
          <w:rFonts w:ascii="Times New Roman" w:eastAsia="宋体" w:cs="Times New Roman"/>
        </w:rPr>
        <w:fldChar w:fldCharType="separate"/>
      </w:r>
      <w:r>
        <w:rPr>
          <w:rFonts w:ascii="Times New Roman" w:eastAsia="宋体" w:cs="Times New Roman"/>
        </w:rPr>
        <w:t>269</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"_Toc204676289" </w:instrText>
      </w:r>
      <w:r>
        <w:fldChar w:fldCharType="separate"/>
      </w:r>
      <w:r>
        <w:rPr>
          <w:rStyle w:val="61"/>
          <w:rFonts w:ascii="Times New Roman" w:eastAsia="宋体" w:cs="Times New Roman"/>
          <w:color w:val="auto"/>
        </w:rPr>
        <w:t>附件7：临时用地批复</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_Toc204676289 \h </w:instrText>
      </w:r>
      <w:r>
        <w:rPr>
          <w:rFonts w:ascii="Times New Roman" w:eastAsia="宋体" w:cs="Times New Roman"/>
        </w:rPr>
        <w:fldChar w:fldCharType="separate"/>
      </w:r>
      <w:r>
        <w:rPr>
          <w:rFonts w:ascii="Times New Roman" w:eastAsia="宋体" w:cs="Times New Roman"/>
        </w:rPr>
        <w:t>274</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"_Toc204676290" </w:instrText>
      </w:r>
      <w:r>
        <w:fldChar w:fldCharType="separate"/>
      </w:r>
      <w:r>
        <w:rPr>
          <w:rStyle w:val="61"/>
          <w:rFonts w:ascii="Times New Roman" w:eastAsia="宋体" w:cs="Times New Roman"/>
          <w:color w:val="auto"/>
        </w:rPr>
        <w:t>附件8：林地审核意见书</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_Toc204676290 \h </w:instrText>
      </w:r>
      <w:r>
        <w:rPr>
          <w:rFonts w:ascii="Times New Roman" w:eastAsia="宋体" w:cs="Times New Roman"/>
        </w:rPr>
        <w:fldChar w:fldCharType="separate"/>
      </w:r>
      <w:r>
        <w:rPr>
          <w:rFonts w:ascii="Times New Roman" w:eastAsia="宋体" w:cs="Times New Roman"/>
        </w:rPr>
        <w:t>276</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"_Toc204676291" </w:instrText>
      </w:r>
      <w:r>
        <w:fldChar w:fldCharType="separate"/>
      </w:r>
      <w:r>
        <w:rPr>
          <w:rStyle w:val="61"/>
          <w:rFonts w:ascii="Times New Roman" w:eastAsia="宋体" w:cs="Times New Roman"/>
          <w:color w:val="auto"/>
        </w:rPr>
        <w:t>附件9：关于使用湿地的意见函</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_Toc204676291 \h </w:instrText>
      </w:r>
      <w:r>
        <w:rPr>
          <w:rFonts w:ascii="Times New Roman" w:eastAsia="宋体" w:cs="Times New Roman"/>
        </w:rPr>
        <w:fldChar w:fldCharType="separate"/>
      </w:r>
      <w:r>
        <w:rPr>
          <w:rFonts w:ascii="Times New Roman" w:eastAsia="宋体" w:cs="Times New Roman"/>
        </w:rPr>
        <w:t>277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"_Toc204676292" </w:instrText>
      </w:r>
      <w:r>
        <w:fldChar w:fldCharType="separate"/>
      </w:r>
      <w:r>
        <w:rPr>
          <w:rStyle w:val="61"/>
          <w:rFonts w:ascii="Times New Roman" w:eastAsia="宋体" w:cs="Times New Roman"/>
          <w:color w:val="auto"/>
        </w:rPr>
        <w:t>附件10：洪水影响评价审查意见</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_Toc204676292 \h </w:instrText>
      </w:r>
      <w:r>
        <w:rPr>
          <w:rFonts w:ascii="Times New Roman" w:eastAsia="宋体" w:cs="Times New Roman"/>
        </w:rPr>
        <w:fldChar w:fldCharType="separate"/>
      </w:r>
      <w:r>
        <w:rPr>
          <w:rFonts w:ascii="Times New Roman" w:eastAsia="宋体" w:cs="Times New Roman"/>
        </w:rPr>
        <w:t>279</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"_Toc204676293" </w:instrText>
      </w:r>
      <w:r>
        <w:fldChar w:fldCharType="separate"/>
      </w:r>
      <w:r>
        <w:rPr>
          <w:rStyle w:val="61"/>
          <w:rFonts w:ascii="Times New Roman" w:eastAsia="宋体" w:cs="Times New Roman"/>
          <w:color w:val="auto"/>
        </w:rPr>
        <w:t>附件11：水保批复</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_Toc204676293 \h </w:instrText>
      </w:r>
      <w:r>
        <w:rPr>
          <w:rFonts w:ascii="Times New Roman" w:eastAsia="宋体" w:cs="Times New Roman"/>
        </w:rPr>
        <w:fldChar w:fldCharType="separate"/>
      </w:r>
      <w:r>
        <w:rPr>
          <w:rFonts w:ascii="Times New Roman" w:eastAsia="宋体" w:cs="Times New Roman"/>
        </w:rPr>
        <w:t>282</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"_Toc204676294" </w:instrText>
      </w:r>
      <w:r>
        <w:fldChar w:fldCharType="separate"/>
      </w:r>
      <w:r>
        <w:rPr>
          <w:rStyle w:val="61"/>
          <w:rFonts w:ascii="Times New Roman" w:eastAsia="宋体" w:cs="Times New Roman"/>
          <w:color w:val="auto"/>
        </w:rPr>
        <w:t>附件12：下穿高铁段环评批复</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_Toc204676294 \h </w:instrText>
      </w:r>
      <w:r>
        <w:rPr>
          <w:rFonts w:ascii="Times New Roman" w:eastAsia="宋体" w:cs="Times New Roman"/>
        </w:rPr>
        <w:fldChar w:fldCharType="separate"/>
      </w:r>
      <w:r>
        <w:rPr>
          <w:rFonts w:ascii="Times New Roman" w:eastAsia="宋体" w:cs="Times New Roman"/>
        </w:rPr>
        <w:t>285</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"_Toc204676295" </w:instrText>
      </w:r>
      <w:r>
        <w:fldChar w:fldCharType="separate"/>
      </w:r>
      <w:r>
        <w:rPr>
          <w:rStyle w:val="61"/>
          <w:rFonts w:ascii="Times New Roman" w:eastAsia="宋体" w:cs="Times New Roman"/>
          <w:color w:val="auto"/>
        </w:rPr>
        <w:t>附件13：福建省高速公路集团有限公司关于上跨高速的意见</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_Toc204676295 \h </w:instrText>
      </w:r>
      <w:r>
        <w:rPr>
          <w:rFonts w:ascii="Times New Roman" w:eastAsia="宋体" w:cs="Times New Roman"/>
        </w:rPr>
        <w:fldChar w:fldCharType="separate"/>
      </w:r>
      <w:r>
        <w:rPr>
          <w:rFonts w:ascii="Times New Roman" w:eastAsia="宋体" w:cs="Times New Roman"/>
        </w:rPr>
        <w:t>288</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"_Toc204676296" </w:instrText>
      </w:r>
      <w:r>
        <w:fldChar w:fldCharType="separate"/>
      </w:r>
      <w:r>
        <w:rPr>
          <w:rStyle w:val="61"/>
          <w:rFonts w:ascii="Times New Roman" w:eastAsia="宋体" w:cs="Times New Roman"/>
          <w:color w:val="auto"/>
        </w:rPr>
        <w:t>附件14：检测报告</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_Toc204676296 \h </w:instrText>
      </w:r>
      <w:r>
        <w:rPr>
          <w:rFonts w:ascii="Times New Roman" w:eastAsia="宋体" w:cs="Times New Roman"/>
        </w:rPr>
        <w:fldChar w:fldCharType="separate"/>
      </w:r>
      <w:r>
        <w:rPr>
          <w:rFonts w:ascii="Times New Roman" w:eastAsia="宋体" w:cs="Times New Roman"/>
        </w:rPr>
        <w:t>291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"_Toc204676297" </w:instrText>
      </w:r>
      <w:r>
        <w:fldChar w:fldCharType="separate"/>
      </w:r>
      <w:r>
        <w:rPr>
          <w:rStyle w:val="61"/>
          <w:rFonts w:ascii="Times New Roman" w:eastAsia="宋体" w:cs="Times New Roman"/>
          <w:color w:val="auto"/>
        </w:rPr>
        <w:t>附件15：噪声补充检测报告</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_Toc204676297 \h </w:instrText>
      </w:r>
      <w:r>
        <w:rPr>
          <w:rFonts w:ascii="Times New Roman" w:eastAsia="宋体" w:cs="Times New Roman"/>
        </w:rPr>
        <w:fldChar w:fldCharType="separate"/>
      </w:r>
      <w:r>
        <w:rPr>
          <w:rFonts w:ascii="Times New Roman" w:eastAsia="宋体" w:cs="Times New Roman"/>
        </w:rPr>
        <w:t>311</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"_Toc204676298" </w:instrText>
      </w:r>
      <w:r>
        <w:fldChar w:fldCharType="separate"/>
      </w:r>
      <w:r>
        <w:rPr>
          <w:rStyle w:val="61"/>
          <w:rFonts w:ascii="Times New Roman" w:eastAsia="宋体" w:cs="Times New Roman"/>
          <w:color w:val="auto"/>
        </w:rPr>
        <w:t>附件16：三线一单查询报告（摘录）</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_Toc204676298 \h </w:instrText>
      </w:r>
      <w:r>
        <w:rPr>
          <w:rFonts w:ascii="Times New Roman" w:eastAsia="宋体" w:cs="Times New Roman"/>
        </w:rPr>
        <w:fldChar w:fldCharType="separate"/>
      </w:r>
      <w:r>
        <w:rPr>
          <w:rFonts w:ascii="Times New Roman" w:eastAsia="宋体" w:cs="Times New Roman"/>
        </w:rPr>
        <w:t>317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"_Toc204676299" </w:instrText>
      </w:r>
      <w:r>
        <w:fldChar w:fldCharType="separate"/>
      </w:r>
      <w:r>
        <w:rPr>
          <w:rStyle w:val="61"/>
          <w:rFonts w:ascii="Times New Roman" w:eastAsia="宋体" w:cs="Times New Roman"/>
          <w:color w:val="auto"/>
        </w:rPr>
        <w:t>附件17：营业执照和法人代表身份证</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_Toc204676299 \h </w:instrText>
      </w:r>
      <w:r>
        <w:rPr>
          <w:rFonts w:ascii="Times New Roman" w:eastAsia="宋体" w:cs="Times New Roman"/>
        </w:rPr>
        <w:fldChar w:fldCharType="separate"/>
      </w:r>
      <w:r>
        <w:rPr>
          <w:rFonts w:ascii="Times New Roman" w:eastAsia="宋体" w:cs="Times New Roman"/>
        </w:rPr>
        <w:t>320</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"_Toc204676300" </w:instrText>
      </w:r>
      <w:r>
        <w:fldChar w:fldCharType="separate"/>
      </w:r>
      <w:r>
        <w:rPr>
          <w:rStyle w:val="61"/>
          <w:rFonts w:ascii="Times New Roman" w:eastAsia="宋体" w:cs="Times New Roman"/>
          <w:color w:val="auto"/>
        </w:rPr>
        <w:t>附件18：公示本删除说明</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_Toc204676300 \h </w:instrText>
      </w:r>
      <w:r>
        <w:rPr>
          <w:rFonts w:ascii="Times New Roman" w:eastAsia="宋体" w:cs="Times New Roman"/>
        </w:rPr>
        <w:fldChar w:fldCharType="separate"/>
      </w:r>
      <w:r>
        <w:rPr>
          <w:rFonts w:ascii="Times New Roman" w:eastAsia="宋体" w:cs="Times New Roman"/>
        </w:rPr>
        <w:t>322</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"_Toc204676301" </w:instrText>
      </w:r>
      <w:r>
        <w:fldChar w:fldCharType="separate"/>
      </w:r>
      <w:r>
        <w:rPr>
          <w:rStyle w:val="61"/>
          <w:rFonts w:ascii="Times New Roman" w:eastAsia="宋体" w:cs="Times New Roman"/>
          <w:color w:val="auto"/>
        </w:rPr>
        <w:t>附件19：公开说明</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_Toc204676301 \h </w:instrText>
      </w:r>
      <w:r>
        <w:rPr>
          <w:rFonts w:ascii="Times New Roman" w:eastAsia="宋体" w:cs="Times New Roman"/>
        </w:rPr>
        <w:fldChar w:fldCharType="separate"/>
      </w:r>
      <w:r>
        <w:rPr>
          <w:rFonts w:ascii="Times New Roman" w:eastAsia="宋体" w:cs="Times New Roman"/>
        </w:rPr>
        <w:t>323</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"_Toc204676302" </w:instrText>
      </w:r>
      <w:r>
        <w:fldChar w:fldCharType="separate"/>
      </w:r>
      <w:r>
        <w:rPr>
          <w:rStyle w:val="61"/>
          <w:rFonts w:ascii="Times New Roman" w:eastAsia="宋体" w:cs="Times New Roman"/>
          <w:color w:val="auto"/>
        </w:rPr>
        <w:t>附件20：申请环评批复报告</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_Toc204676302 \h </w:instrText>
      </w:r>
      <w:r>
        <w:rPr>
          <w:rFonts w:ascii="Times New Roman" w:eastAsia="宋体" w:cs="Times New Roman"/>
        </w:rPr>
        <w:fldChar w:fldCharType="separate"/>
      </w:r>
      <w:r>
        <w:rPr>
          <w:rFonts w:ascii="Times New Roman" w:eastAsia="宋体" w:cs="Times New Roman"/>
        </w:rPr>
        <w:t>324</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"_Toc204676303" </w:instrText>
      </w:r>
      <w:r>
        <w:fldChar w:fldCharType="separate"/>
      </w:r>
      <w:r>
        <w:rPr>
          <w:rStyle w:val="61"/>
          <w:rFonts w:ascii="Times New Roman" w:eastAsia="宋体" w:cs="Times New Roman"/>
          <w:color w:val="auto"/>
        </w:rPr>
        <w:t>附件21：授权委托书及身份证</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_Toc204676303 \h </w:instrText>
      </w:r>
      <w:r>
        <w:rPr>
          <w:rFonts w:ascii="Times New Roman" w:eastAsia="宋体" w:cs="Times New Roman"/>
        </w:rPr>
        <w:fldChar w:fldCharType="separate"/>
      </w:r>
      <w:r>
        <w:rPr>
          <w:rFonts w:ascii="Times New Roman" w:eastAsia="宋体" w:cs="Times New Roman"/>
        </w:rPr>
        <w:t>325</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"_Toc204676304" </w:instrText>
      </w:r>
      <w:r>
        <w:fldChar w:fldCharType="separate"/>
      </w:r>
      <w:r>
        <w:rPr>
          <w:rStyle w:val="61"/>
          <w:rFonts w:ascii="Times New Roman" w:eastAsia="宋体" w:cs="Times New Roman"/>
          <w:color w:val="auto"/>
        </w:rPr>
        <w:t>附件22：专家意见</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_Toc204676304 \h </w:instrText>
      </w:r>
      <w:r>
        <w:rPr>
          <w:rFonts w:ascii="Times New Roman" w:eastAsia="宋体" w:cs="Times New Roman"/>
        </w:rPr>
        <w:fldChar w:fldCharType="separate"/>
      </w:r>
      <w:r>
        <w:rPr>
          <w:rFonts w:ascii="Times New Roman" w:eastAsia="宋体" w:cs="Times New Roman"/>
        </w:rPr>
        <w:t>327</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ascii="Times New Roman" w:eastAsia="宋体" w:cs="Times New Roman"/>
          <w:smallCaps w:val="0"/>
          <w:sz w:val="21"/>
          <w:szCs w:val="22"/>
        </w:rPr>
      </w:pPr>
      <w:r>
        <w:fldChar w:fldCharType="begin"/>
      </w:r>
      <w:r>
        <w:instrText xml:space="preserve"> HYPERLINK \l "_Toc204676305" </w:instrText>
      </w:r>
      <w:r>
        <w:fldChar w:fldCharType="separate"/>
      </w:r>
      <w:r>
        <w:rPr>
          <w:rStyle w:val="61"/>
          <w:rFonts w:ascii="Times New Roman" w:eastAsia="宋体" w:cs="Times New Roman"/>
          <w:color w:val="auto"/>
        </w:rPr>
        <w:t>附件23：修改说明</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_Toc204676305 \h </w:instrText>
      </w:r>
      <w:r>
        <w:rPr>
          <w:rFonts w:ascii="Times New Roman" w:eastAsia="宋体" w:cs="Times New Roman"/>
        </w:rPr>
        <w:fldChar w:fldCharType="separate"/>
      </w:r>
      <w:r>
        <w:rPr>
          <w:rFonts w:ascii="Times New Roman" w:eastAsia="宋体" w:cs="Times New Roman"/>
        </w:rPr>
        <w:t>334</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pacing w:line="280" w:lineRule="exact"/>
        <w:ind w:firstLine="400"/>
        <w:rPr>
          <w:rFonts w:hAnsiTheme="minorHAnsi" w:eastAsiaTheme="minorEastAsia" w:cstheme="minorBidi"/>
          <w:smallCaps w:val="0"/>
          <w:sz w:val="21"/>
          <w:szCs w:val="22"/>
        </w:rPr>
      </w:pPr>
      <w:r>
        <w:fldChar w:fldCharType="begin"/>
      </w:r>
      <w:r>
        <w:instrText xml:space="preserve"> HYPERLINK \l "_Toc204676306" </w:instrText>
      </w:r>
      <w:r>
        <w:fldChar w:fldCharType="separate"/>
      </w:r>
      <w:r>
        <w:rPr>
          <w:rStyle w:val="61"/>
          <w:rFonts w:ascii="Times New Roman" w:eastAsia="宋体" w:cs="Times New Roman"/>
          <w:color w:val="auto"/>
        </w:rPr>
        <w:t>专家组意见修改清单</w:t>
      </w:r>
      <w:r>
        <w:rPr>
          <w:rFonts w:ascii="Times New Roman" w:eastAsia="宋体" w:cs="Times New Roman"/>
        </w:rPr>
        <w:tab/>
      </w:r>
      <w:r>
        <w:rPr>
          <w:rFonts w:ascii="Times New Roman" w:eastAsia="宋体" w:cs="Times New Roman"/>
        </w:rPr>
        <w:fldChar w:fldCharType="begin"/>
      </w:r>
      <w:r>
        <w:rPr>
          <w:rFonts w:ascii="Times New Roman" w:eastAsia="宋体" w:cs="Times New Roman"/>
        </w:rPr>
        <w:instrText xml:space="preserve"> PAGEREF _Toc204676306 \h </w:instrText>
      </w:r>
      <w:r>
        <w:rPr>
          <w:rFonts w:ascii="Times New Roman" w:eastAsia="宋体" w:cs="Times New Roman"/>
        </w:rPr>
        <w:fldChar w:fldCharType="separate"/>
      </w:r>
      <w:r>
        <w:rPr>
          <w:rFonts w:ascii="Times New Roman" w:eastAsia="宋体" w:cs="Times New Roman"/>
        </w:rPr>
        <w:t>334</w:t>
      </w:r>
      <w:r>
        <w:rPr>
          <w:rFonts w:ascii="Times New Roman" w:eastAsia="宋体" w:cs="Times New Roman"/>
        </w:rPr>
        <w:fldChar w:fldCharType="end"/>
      </w:r>
      <w:r>
        <w:rPr>
          <w:rFonts w:ascii="Times New Roman" w:eastAsia="宋体" w:cs="Times New Roman"/>
        </w:rPr>
        <w:fldChar w:fldCharType="end"/>
      </w:r>
    </w:p>
    <w:p>
      <w:pPr>
        <w:pStyle w:val="45"/>
        <w:tabs>
          <w:tab w:val="right" w:leader="dot" w:pos="9064"/>
        </w:tabs>
        <w:snapToGrid/>
        <w:spacing w:line="240" w:lineRule="atLeast"/>
        <w:ind w:firstLine="400"/>
      </w:pPr>
      <w:r>
        <w:rPr>
          <w:rFonts w:ascii="Times New Roman" w:eastAsia="宋体" w:cs="Times New Roman"/>
        </w:rPr>
        <w:fldChar w:fldCharType="end"/>
      </w:r>
    </w:p>
    <w:p>
      <w:pPr>
        <w:ind w:firstLine="883"/>
        <w:jc w:val="center"/>
        <w:rPr>
          <w:rFonts w:cs="Times New Roman"/>
          <w:b/>
          <w:bCs/>
          <w:sz w:val="44"/>
          <w:szCs w:val="44"/>
        </w:rPr>
        <w:sectPr>
          <w:headerReference r:id="rId5" w:type="default"/>
          <w:footerReference r:id="rId6" w:type="default"/>
          <w:pgSz w:w="11910" w:h="16840"/>
          <w:pgMar w:top="1418" w:right="1418" w:bottom="1418" w:left="1418" w:header="851" w:footer="851" w:gutter="0"/>
          <w:pgNumType w:fmt="upperRoman" w:start="1"/>
          <w:cols w:space="720" w:num="1"/>
        </w:sectPr>
      </w:pPr>
    </w:p>
    <w:p>
      <w:pPr>
        <w:spacing w:line="345" w:lineRule="auto"/>
        <w:ind w:firstLine="480"/>
        <w:rPr>
          <w:rFonts w:cs="Times New Roman"/>
        </w:rPr>
        <w:sectPr>
          <w:footerReference r:id="rId7" w:type="default"/>
          <w:type w:val="continuous"/>
          <w:pgSz w:w="11910" w:h="16840"/>
          <w:pgMar w:top="1418" w:right="1418" w:bottom="1418" w:left="1418" w:header="851" w:footer="851" w:gutter="0"/>
          <w:pgNumType w:fmt="upperRoman"/>
          <w:cols w:space="720" w:num="1"/>
        </w:sectPr>
      </w:pPr>
    </w:p>
    <w:p>
      <w:pPr>
        <w:pStyle w:val="114"/>
      </w:pPr>
      <w:bookmarkStart w:id="2" w:name="概_述"/>
      <w:bookmarkEnd w:id="2"/>
      <w:bookmarkStart w:id="3" w:name="_Toc204676215"/>
      <w:bookmarkStart w:id="4" w:name="_Toc322"/>
      <w:bookmarkStart w:id="5" w:name="_Toc159405443"/>
      <w:bookmarkStart w:id="6" w:name="_Hlk195519974"/>
      <w:r>
        <w:t>概述</w:t>
      </w:r>
      <w:bookmarkEnd w:id="3"/>
      <w:bookmarkEnd w:id="4"/>
      <w:bookmarkEnd w:id="5"/>
    </w:p>
    <w:bookmarkEnd w:id="6"/>
    <w:p>
      <w:pPr>
        <w:pStyle w:val="116"/>
      </w:pPr>
      <w:bookmarkStart w:id="7" w:name="_Toc6480"/>
      <w:bookmarkStart w:id="8" w:name="_Toc159405444"/>
      <w:bookmarkStart w:id="9" w:name="_Toc204676216"/>
      <w:bookmarkStart w:id="10" w:name="_Hlk195519968"/>
      <w:r>
        <w:t>建设项目</w:t>
      </w:r>
      <w:bookmarkEnd w:id="7"/>
      <w:r>
        <w:t>由来</w:t>
      </w:r>
      <w:bookmarkEnd w:id="8"/>
      <w:bookmarkEnd w:id="9"/>
    </w:p>
    <w:p>
      <w:pPr>
        <w:ind w:firstLine="480"/>
      </w:pPr>
      <w:bookmarkStart w:id="11" w:name="OLE_LINK41"/>
      <w:r>
        <w:rPr>
          <w:rFonts w:hint="eastAsia"/>
        </w:rPr>
        <w:t>万福寺位于福建省福清市渔溪镇的黄檗山。万福寺创建于唐贞元五年（公元789）。自唐以后，历代兴废不一，明朝时期多次修建，明万历四十二年（1614）皇帝御赐"万福禅寺"匾额。1928年，万福寺被山洪冲毁。福建省佛教协会成立了修建委员会，对万福寺进行了修复。清顺治九年（1652），日本长崎华僧所建的兴福寺住持逸然及唐三寺各位护法，多次海联名邀请该寺的隐元东渡弘扬佛法。1654年5月隐元率领徒众三十人南行，7月5日抵达日本长崎。到达日本后，又得到天皇和德川幕府德川家康将军的优待，在京都宇治赐地建立寺庙。新寺建成后，隐元不忘故山，命名黄檗山万福寺，并创立一新宗派，与日本原有的临济、曹洞并立，称为黄檗宗。目前万福寺仅依靠现状村道与外界衔接，道路状况较差，亟需新建一条边界通道。</w:t>
      </w:r>
    </w:p>
    <w:p>
      <w:pPr>
        <w:ind w:firstLine="480"/>
      </w:pPr>
      <w:r>
        <w:t>在此背景下，</w:t>
      </w:r>
      <w:r>
        <w:rPr>
          <w:rFonts w:hint="eastAsia"/>
        </w:rPr>
        <w:t>福清市交通建设投资集团有限公司</w:t>
      </w:r>
      <w:r>
        <w:t>拟投资</w:t>
      </w:r>
      <w:r>
        <w:rPr>
          <w:rFonts w:hint="eastAsia"/>
        </w:rPr>
        <w:t>27556.8</w:t>
      </w:r>
      <w:r>
        <w:t>万元</w:t>
      </w:r>
      <w:r>
        <w:rPr>
          <w:rFonts w:hint="eastAsia"/>
        </w:rPr>
        <w:t>，</w:t>
      </w:r>
      <w:r>
        <w:t>建设“</w:t>
      </w:r>
      <w:r>
        <w:rPr>
          <w:rFonts w:hint="eastAsia"/>
        </w:rPr>
        <w:t>黄檗山万福寺旅游公路</w:t>
      </w:r>
      <w:r>
        <w:t>”。</w:t>
      </w:r>
      <w:r>
        <w:rPr>
          <w:rFonts w:hint="eastAsia"/>
          <w:lang w:val="zh-CN"/>
        </w:rPr>
        <w:t>项目的建设对于改善万福寺及沿线交通出行条件、整合旅游资源、完善交通网络、缓解交通压力等都具有重要的作用。</w:t>
      </w:r>
      <w:bookmarkEnd w:id="11"/>
    </w:p>
    <w:p>
      <w:pPr>
        <w:ind w:firstLine="480"/>
        <w:rPr>
          <w:u w:val="single"/>
        </w:rPr>
      </w:pPr>
      <w:r>
        <w:rPr>
          <w:rFonts w:hint="eastAsia"/>
        </w:rPr>
        <w:t>黄檗山万福寺旅游公路：路线起于上迳镇牌边村，东西走向，自东向西下穿在建福厦高铁、上跨沈海高速，经溪北</w:t>
      </w:r>
      <w:bookmarkStart w:id="12" w:name="OLE_LINK137"/>
      <w:r>
        <w:rPr>
          <w:rFonts w:hint="eastAsia"/>
        </w:rPr>
        <w:t>村</w:t>
      </w:r>
      <w:bookmarkEnd w:id="12"/>
      <w:r>
        <w:rPr>
          <w:rFonts w:hint="eastAsia"/>
        </w:rPr>
        <w:t>、木厝洋村、三落厝后，终点至黄檗山万福寺。路线全长5.</w:t>
      </w:r>
      <w:r>
        <w:t>2</w:t>
      </w:r>
      <w:r>
        <w:rPr>
          <w:rFonts w:hint="eastAsia"/>
        </w:rPr>
        <w:t>km，其中桥梁589.5m/2座（含终点接线桥</w:t>
      </w:r>
      <w:r>
        <w:t>37</w:t>
      </w:r>
      <w:r>
        <w:rPr>
          <w:rFonts w:hint="eastAsia"/>
        </w:rPr>
        <w:t>m/1座），涵洞</w:t>
      </w:r>
      <w:r>
        <w:t>28</w:t>
      </w:r>
      <w:r>
        <w:rPr>
          <w:rFonts w:hint="eastAsia"/>
        </w:rPr>
        <w:t>道，拟按设计速度60km/h、路基宽12m、双向二车道的二级公路标准建设。其中①下穿福厦高铁段落（K1+324.8-K1+389.8，双向四车道）已由铁四院设计；②考虑到远期交通量（远景拓宽需求）需求，</w:t>
      </w:r>
      <w:r>
        <w:rPr>
          <w:rFonts w:hint="eastAsia"/>
          <w:u w:val="single"/>
        </w:rPr>
        <w:t xml:space="preserve">上跨沈海高速桥梁段落拟按宽 </w:t>
      </w:r>
      <w:r>
        <w:rPr>
          <w:u w:val="single"/>
        </w:rPr>
        <w:t>18.5</w:t>
      </w:r>
      <w:r>
        <w:rPr>
          <w:rFonts w:hint="eastAsia"/>
          <w:u w:val="single"/>
        </w:rPr>
        <w:t>m（双幅桥）、设计速度60km/h、双向四车道的二级公路标准建设。</w:t>
      </w:r>
    </w:p>
    <w:p>
      <w:pPr>
        <w:ind w:firstLine="480"/>
        <w:rPr>
          <w:rFonts w:eastAsia="仿宋_GB2312" w:cs="Times New Roman"/>
        </w:rPr>
      </w:pPr>
      <w:r>
        <w:rPr>
          <w:rFonts w:eastAsia="仿宋_GB2312" w:cs="Times New Roman"/>
        </w:rPr>
        <w:t>特别说明：（1）根据</w:t>
      </w:r>
      <w:r>
        <w:rPr>
          <w:rFonts w:eastAsia="仿宋_GB2312" w:cs="Times New Roman"/>
          <w:lang w:val="zh-CN"/>
        </w:rPr>
        <w:t>福清市发展和改革局出具《关于黄檗山万福寺旅游公路项目4建议书暨可行性研究报告的批复》（</w:t>
      </w:r>
      <w:r>
        <w:rPr>
          <w:rFonts w:hint="eastAsia" w:eastAsia="仿宋_GB2312" w:cs="Times New Roman"/>
          <w:lang w:val="zh-CN"/>
        </w:rPr>
        <w:t>〔2023〕850号</w:t>
      </w:r>
      <w:r>
        <w:rPr>
          <w:rFonts w:eastAsia="仿宋_GB2312" w:cs="Times New Roman"/>
          <w:lang w:val="zh-CN"/>
        </w:rPr>
        <w:t>），项目工程规模：</w:t>
      </w:r>
      <w:r>
        <w:rPr>
          <w:rFonts w:eastAsia="仿宋_GB2312" w:cs="Times New Roman"/>
          <w:kern w:val="0"/>
          <w:szCs w:val="24"/>
          <w:lang w:val="zh-CN"/>
        </w:rPr>
        <w:t>道路全长5425m</w:t>
      </w:r>
      <w:r>
        <w:rPr>
          <w:rFonts w:hint="eastAsia" w:eastAsia="仿宋_GB2312" w:cs="Times New Roman"/>
          <w:kern w:val="0"/>
          <w:szCs w:val="24"/>
          <w:lang w:val="zh-CN"/>
        </w:rPr>
        <w:t>，公路等级为二级公路，结合</w:t>
      </w:r>
      <w:r>
        <w:rPr>
          <w:rFonts w:eastAsia="仿宋_GB2312" w:cs="Times New Roman"/>
          <w:b/>
          <w:bCs/>
          <w:kern w:val="0"/>
          <w:szCs w:val="24"/>
          <w:lang w:val="zh-CN"/>
        </w:rPr>
        <w:t>初步设计</w:t>
      </w:r>
      <w:r>
        <w:rPr>
          <w:rFonts w:hint="eastAsia" w:eastAsia="仿宋_GB2312" w:cs="Times New Roman"/>
          <w:b/>
          <w:bCs/>
          <w:kern w:val="0"/>
          <w:szCs w:val="24"/>
          <w:lang w:val="zh-CN"/>
        </w:rPr>
        <w:t>（初步设计批复详见附件3）</w:t>
      </w:r>
      <w:r>
        <w:rPr>
          <w:rFonts w:eastAsia="仿宋_GB2312" w:cs="Times New Roman"/>
          <w:b/>
          <w:bCs/>
          <w:kern w:val="0"/>
          <w:szCs w:val="24"/>
          <w:lang w:val="zh-CN"/>
        </w:rPr>
        <w:t>、施工图</w:t>
      </w:r>
      <w:r>
        <w:rPr>
          <w:rFonts w:hint="eastAsia" w:eastAsia="仿宋_GB2312" w:cs="Times New Roman"/>
          <w:b/>
          <w:bCs/>
          <w:kern w:val="0"/>
          <w:szCs w:val="24"/>
          <w:lang w:val="zh-CN"/>
        </w:rPr>
        <w:t>设计等材料，</w:t>
      </w:r>
      <w:r>
        <w:rPr>
          <w:rFonts w:eastAsia="仿宋_GB2312" w:cs="Times New Roman"/>
          <w:b/>
          <w:bCs/>
          <w:kern w:val="0"/>
          <w:szCs w:val="24"/>
          <w:lang w:val="zh-CN"/>
        </w:rPr>
        <w:t>施工图实际建设内容在工可基础上</w:t>
      </w:r>
      <w:r>
        <w:rPr>
          <w:rFonts w:hint="eastAsia" w:eastAsia="仿宋_GB2312" w:cs="Times New Roman"/>
          <w:b/>
          <w:bCs/>
          <w:kern w:val="0"/>
          <w:szCs w:val="24"/>
          <w:lang w:val="zh-CN"/>
        </w:rPr>
        <w:t>进一步深化</w:t>
      </w:r>
      <w:r>
        <w:rPr>
          <w:rFonts w:eastAsia="仿宋_GB2312" w:cs="Times New Roman"/>
          <w:b/>
          <w:bCs/>
          <w:kern w:val="0"/>
          <w:szCs w:val="24"/>
          <w:lang w:val="zh-CN"/>
        </w:rPr>
        <w:t>，</w:t>
      </w:r>
      <w:r>
        <w:rPr>
          <w:rFonts w:hint="eastAsia"/>
          <w:b/>
          <w:bCs/>
        </w:rPr>
        <w:t>项目长度为5</w:t>
      </w:r>
      <w:r>
        <w:rPr>
          <w:b/>
          <w:bCs/>
        </w:rPr>
        <w:t>.2</w:t>
      </w:r>
      <w:r>
        <w:rPr>
          <w:rFonts w:hint="eastAsia"/>
          <w:b/>
          <w:bCs/>
        </w:rPr>
        <w:t>km</w:t>
      </w:r>
      <w:r>
        <w:rPr>
          <w:rFonts w:eastAsia="仿宋_GB2312" w:cs="Times New Roman"/>
          <w:b/>
          <w:bCs/>
          <w:kern w:val="0"/>
          <w:szCs w:val="24"/>
          <w:lang w:val="zh-CN"/>
        </w:rPr>
        <w:t>，本次评价工程量以施工图</w:t>
      </w:r>
      <w:r>
        <w:rPr>
          <w:rFonts w:hint="eastAsia" w:eastAsia="仿宋_GB2312" w:cs="Times New Roman"/>
          <w:b/>
          <w:bCs/>
          <w:kern w:val="0"/>
          <w:szCs w:val="24"/>
          <w:lang w:val="zh-CN"/>
        </w:rPr>
        <w:t>设计</w:t>
      </w:r>
      <w:r>
        <w:rPr>
          <w:rFonts w:eastAsia="仿宋_GB2312" w:cs="Times New Roman"/>
          <w:b/>
          <w:bCs/>
          <w:kern w:val="0"/>
          <w:szCs w:val="24"/>
          <w:lang w:val="zh-CN"/>
        </w:rPr>
        <w:t>开展环境影响评价。</w:t>
      </w:r>
    </w:p>
    <w:p>
      <w:pPr>
        <w:ind w:firstLine="480"/>
        <w:rPr>
          <w:rFonts w:eastAsia="仿宋_GB2312" w:cs="Times New Roman"/>
        </w:rPr>
      </w:pPr>
      <w:r>
        <w:rPr>
          <w:rFonts w:eastAsia="仿宋_GB2312" w:cs="Times New Roman"/>
        </w:rPr>
        <w:t>（2）项目黄檗山万福寺旅游公路涉及一段下穿福厦高铁（本项目桩号K1+324.8-K1+389.8），</w:t>
      </w:r>
      <w:bookmarkStart w:id="13" w:name="OLE_LINK138"/>
      <w:r>
        <w:rPr>
          <w:rFonts w:eastAsia="仿宋_GB2312" w:cs="Times New Roman"/>
        </w:rPr>
        <w:t>该段工程</w:t>
      </w:r>
      <w:bookmarkStart w:id="14" w:name="OLE_LINK130"/>
      <w:r>
        <w:rPr>
          <w:rFonts w:eastAsia="仿宋_GB2312" w:cs="Times New Roman"/>
        </w:rPr>
        <w:t>2022年单独立项设计</w:t>
      </w:r>
      <w:bookmarkEnd w:id="14"/>
      <w:r>
        <w:rPr>
          <w:rFonts w:eastAsia="仿宋_GB2312" w:cs="Times New Roman"/>
        </w:rPr>
        <w:t>，该段由铁四院设计，建设规模为：项目起点位于福厦高铁迳江大桥东侧340m，终点至福厦高铁迳江大桥西侧80m，全长420m（其中桩板桥桥长65m），路基宽度8.5m（其中下穿铁路段路基宽度17.5m），路面宽度16m。2022年取得可行性研究报告暨初步设计批复：《关于G324国道至黄檗文化旅游园区旅游公路下穿福厦高铁段项目可行性研究报告暨初步设计的批复》（融发改审批</w:t>
      </w:r>
      <w:r>
        <w:rPr>
          <w:rStyle w:val="126"/>
          <w:rFonts w:eastAsia="仿宋_GB2312" w:cs="Times New Roman"/>
        </w:rPr>
        <w:t>〔</w:t>
      </w:r>
      <w:r>
        <w:rPr>
          <w:rFonts w:eastAsia="仿宋_GB2312" w:cs="Times New Roman"/>
        </w:rPr>
        <w:t>2022〕202号），项目</w:t>
      </w:r>
      <w:r>
        <w:rPr>
          <w:rFonts w:eastAsia="仿宋_GB2312" w:cs="Times New Roman"/>
          <w:kern w:val="0"/>
          <w:szCs w:val="24"/>
          <w:lang w:val="zh-CN"/>
        </w:rPr>
        <w:t>编码：2203-350181-04-01-304528</w:t>
      </w:r>
      <w:r>
        <w:rPr>
          <w:rFonts w:eastAsia="仿宋_GB2312" w:cs="Times New Roman"/>
        </w:rPr>
        <w:t>，2022年委托我公司编制该项目环评，</w:t>
      </w:r>
      <w:bookmarkStart w:id="15" w:name="OLE_LINK131"/>
      <w:r>
        <w:rPr>
          <w:rFonts w:eastAsia="仿宋_GB2312" w:cs="Times New Roman"/>
        </w:rPr>
        <w:t>2023年取得报告表批复，批文号：榕融环评〔2023〕102号</w:t>
      </w:r>
      <w:bookmarkEnd w:id="15"/>
      <w:r>
        <w:rPr>
          <w:rFonts w:eastAsia="仿宋_GB2312" w:cs="Times New Roman"/>
        </w:rPr>
        <w:t>。根据现状调查，该工程</w:t>
      </w:r>
      <w:bookmarkStart w:id="16" w:name="_Hlk193878342"/>
      <w:r>
        <w:rPr>
          <w:rFonts w:eastAsia="仿宋_GB2312" w:cs="Times New Roman"/>
        </w:rPr>
        <w:t>K1+324.8~K1+389.8</w:t>
      </w:r>
      <w:bookmarkEnd w:id="16"/>
      <w:r>
        <w:rPr>
          <w:rFonts w:eastAsia="仿宋_GB2312" w:cs="Times New Roman"/>
        </w:rPr>
        <w:t>段（65m的桩板桥）已完成施工，K1+030~K1+324.8段已完成路基及边坡防护工程，路面未完成。</w:t>
      </w:r>
      <w:bookmarkEnd w:id="13"/>
    </w:p>
    <w:p>
      <w:pPr>
        <w:ind w:firstLine="482"/>
        <w:rPr>
          <w:rFonts w:eastAsia="仿宋_GB2312" w:cs="Times New Roman"/>
          <w:b/>
          <w:bCs/>
        </w:rPr>
      </w:pPr>
      <w:bookmarkStart w:id="17" w:name="OLE_LINK139"/>
      <w:r>
        <w:rPr>
          <w:rFonts w:eastAsia="仿宋_GB2312" w:cs="Times New Roman"/>
          <w:b/>
          <w:bCs/>
        </w:rPr>
        <w:t>对于K1+324.8~K1+389.8段已完成施工的路段，本项目利用；对于K1+030~K1+324.8段现状路基已实施（路面尚未实施），但该</w:t>
      </w:r>
      <w:r>
        <w:rPr>
          <w:rFonts w:hint="eastAsia" w:eastAsia="仿宋_GB2312" w:cs="Times New Roman"/>
          <w:b/>
          <w:bCs/>
        </w:rPr>
        <w:t>路段</w:t>
      </w:r>
      <w:r>
        <w:rPr>
          <w:rFonts w:eastAsia="仿宋_GB2312" w:cs="Times New Roman"/>
          <w:b/>
          <w:bCs/>
        </w:rPr>
        <w:t>标准断面宽度为8.5m，不满足本项目标准断面宽度12m的需求的，本项目对其进行拓宽改造</w:t>
      </w:r>
      <w:bookmarkEnd w:id="17"/>
      <w:r>
        <w:rPr>
          <w:rFonts w:eastAsia="仿宋_GB2312" w:cs="Times New Roman"/>
          <w:b/>
          <w:bCs/>
        </w:rPr>
        <w:t>。</w:t>
      </w:r>
    </w:p>
    <w:bookmarkEnd w:id="10"/>
    <w:p>
      <w:pPr>
        <w:pStyle w:val="116"/>
      </w:pPr>
      <w:bookmarkStart w:id="18" w:name="_Toc153957800"/>
      <w:bookmarkStart w:id="19" w:name="_Toc159405445"/>
      <w:bookmarkStart w:id="20" w:name="_Toc204676217"/>
      <w:r>
        <w:rPr>
          <w:rFonts w:hint="eastAsia"/>
        </w:rPr>
        <w:t>项目前期工作进展情况</w:t>
      </w:r>
      <w:bookmarkEnd w:id="18"/>
      <w:bookmarkEnd w:id="19"/>
      <w:bookmarkEnd w:id="20"/>
    </w:p>
    <w:p>
      <w:pPr>
        <w:ind w:firstLine="480"/>
        <w:rPr>
          <w:lang w:val="zh-CN"/>
        </w:rPr>
      </w:pPr>
      <w:r>
        <w:rPr>
          <w:lang w:val="zh-CN"/>
        </w:rPr>
        <w:t>（1）2023年11月24日，福清市发展和改革局出具《关于黄檗山万福寺旅游公路项目建议书暨可行性研究报告的批复》（</w:t>
      </w:r>
      <w:r>
        <w:rPr>
          <w:rFonts w:cs="Times New Roman"/>
          <w:kern w:val="0"/>
          <w:szCs w:val="24"/>
          <w:lang w:val="zh-CN"/>
        </w:rPr>
        <w:t>〔</w:t>
      </w:r>
      <w:r>
        <w:rPr>
          <w:lang w:val="zh-CN"/>
        </w:rPr>
        <w:t>2023</w:t>
      </w:r>
      <w:r>
        <w:rPr>
          <w:rFonts w:cs="Times New Roman"/>
          <w:kern w:val="0"/>
          <w:szCs w:val="24"/>
          <w:lang w:val="zh-CN"/>
        </w:rPr>
        <w:t>〕</w:t>
      </w:r>
      <w:r>
        <w:rPr>
          <w:lang w:val="zh-CN"/>
        </w:rPr>
        <w:t>850号）。</w:t>
      </w:r>
    </w:p>
    <w:p>
      <w:pPr>
        <w:ind w:firstLine="480"/>
        <w:rPr>
          <w:lang w:val="zh-CN"/>
        </w:rPr>
      </w:pPr>
      <w:r>
        <w:rPr>
          <w:lang w:val="zh-CN"/>
        </w:rPr>
        <w:t>（2）2024年4月1日，福州市交通运输局出具《关于黄檗山万福寺旅游公路初步设计文件审查的批复》（融交建批</w:t>
      </w:r>
      <w:r>
        <w:rPr>
          <w:rFonts w:hint="eastAsia"/>
          <w:lang w:val="zh-CN"/>
        </w:rPr>
        <w:t>〔2024〕12号</w:t>
      </w:r>
      <w:r>
        <w:rPr>
          <w:lang w:val="zh-CN"/>
        </w:rPr>
        <w:t>）。</w:t>
      </w:r>
    </w:p>
    <w:p>
      <w:pPr>
        <w:ind w:firstLine="480"/>
        <w:rPr>
          <w:rFonts w:cs="Times New Roman"/>
          <w:kern w:val="0"/>
          <w:szCs w:val="24"/>
          <w:lang w:val="zh-CN"/>
        </w:rPr>
      </w:pPr>
      <w:r>
        <w:rPr>
          <w:rFonts w:cs="Times New Roman"/>
          <w:kern w:val="0"/>
          <w:szCs w:val="24"/>
          <w:lang w:val="zh-CN"/>
        </w:rPr>
        <w:t>（3）2024年8月20日，福清市</w:t>
      </w:r>
      <w:r>
        <w:rPr>
          <w:rFonts w:hint="eastAsia" w:cs="Times New Roman"/>
          <w:kern w:val="0"/>
          <w:szCs w:val="24"/>
          <w:lang w:val="zh-CN"/>
        </w:rPr>
        <w:t>水利局出具《</w:t>
      </w:r>
      <w:r>
        <w:rPr>
          <w:rFonts w:cs="Times New Roman"/>
          <w:kern w:val="0"/>
          <w:szCs w:val="24"/>
          <w:lang w:val="zh-CN"/>
        </w:rPr>
        <w:t>关于黄檗山万福寺旅游公路水土保持方案的批复</w:t>
      </w:r>
      <w:r>
        <w:rPr>
          <w:rFonts w:hint="eastAsia" w:cs="Times New Roman"/>
          <w:kern w:val="0"/>
          <w:szCs w:val="24"/>
          <w:lang w:val="zh-CN"/>
        </w:rPr>
        <w:t>》（</w:t>
      </w:r>
      <w:r>
        <w:rPr>
          <w:rFonts w:cs="Times New Roman"/>
          <w:kern w:val="0"/>
          <w:szCs w:val="24"/>
          <w:lang w:val="zh-CN"/>
        </w:rPr>
        <w:t>融水利批〔2024〕128号</w:t>
      </w:r>
      <w:r>
        <w:rPr>
          <w:rFonts w:hint="eastAsia" w:cs="Times New Roman"/>
          <w:kern w:val="0"/>
          <w:szCs w:val="24"/>
          <w:lang w:val="zh-CN"/>
        </w:rPr>
        <w:t>）</w:t>
      </w:r>
      <w:r>
        <w:rPr>
          <w:rFonts w:cs="Times New Roman"/>
          <w:kern w:val="0"/>
          <w:szCs w:val="24"/>
          <w:lang w:val="zh-CN"/>
        </w:rPr>
        <w:t>。</w:t>
      </w:r>
    </w:p>
    <w:p>
      <w:pPr>
        <w:ind w:firstLine="480"/>
        <w:rPr>
          <w:lang w:val="zh-CN"/>
        </w:rPr>
      </w:pPr>
      <w:r>
        <w:rPr>
          <w:lang w:val="zh-CN"/>
        </w:rPr>
        <w:t>（</w:t>
      </w:r>
      <w:r>
        <w:t>4）2024年9月24日，省高速集团召开本项目涉及沈海高速设计方案审查会，并出具《关于印发黄檗山万福寺旅游公路涉及沈海高速公路设计方案审查专家组意见的通知（运营</w:t>
      </w:r>
      <w:r>
        <w:rPr>
          <w:rFonts w:hint="eastAsia"/>
        </w:rPr>
        <w:t>〔2024〕29号</w:t>
      </w:r>
      <w:r>
        <w:t>）》，同意本项目涉路方案。</w:t>
      </w:r>
    </w:p>
    <w:p>
      <w:pPr>
        <w:ind w:firstLine="480"/>
        <w:rPr>
          <w:rFonts w:cs="Times New Roman"/>
          <w:kern w:val="0"/>
          <w:szCs w:val="24"/>
          <w:lang w:val="zh-CN"/>
        </w:rPr>
      </w:pPr>
      <w:r>
        <w:rPr>
          <w:rFonts w:cs="Times New Roman"/>
          <w:kern w:val="0"/>
          <w:szCs w:val="24"/>
          <w:lang w:val="zh-CN"/>
        </w:rPr>
        <w:t>（5）2024年9月，福州康龙工程咨询有限公司</w:t>
      </w:r>
      <w:r>
        <w:rPr>
          <w:rFonts w:hint="eastAsia" w:cs="Times New Roman"/>
          <w:kern w:val="0"/>
          <w:szCs w:val="24"/>
          <w:lang w:val="zh-CN"/>
        </w:rPr>
        <w:t>完成</w:t>
      </w:r>
      <w:r>
        <w:rPr>
          <w:rFonts w:cs="Times New Roman"/>
          <w:kern w:val="0"/>
          <w:szCs w:val="24"/>
          <w:lang w:val="zh-CN"/>
        </w:rPr>
        <w:t>《黄檗山万福寺旅游公路项目对福清市一般湿地生态功能影响评价报告》</w:t>
      </w:r>
      <w:r>
        <w:rPr>
          <w:rFonts w:hint="eastAsia" w:cs="Times New Roman"/>
          <w:kern w:val="0"/>
          <w:szCs w:val="24"/>
          <w:lang w:val="zh-CN"/>
        </w:rPr>
        <w:t>，并取得福清水利局《</w:t>
      </w:r>
      <w:r>
        <w:rPr>
          <w:rFonts w:cs="Times New Roman"/>
          <w:kern w:val="0"/>
          <w:szCs w:val="24"/>
          <w:lang w:val="zh-CN"/>
        </w:rPr>
        <w:t>福清市自然资源和规划局关于黄檗山万福寺旅游公路项目使用湿地的意见函</w:t>
      </w:r>
      <w:r>
        <w:rPr>
          <w:rFonts w:hint="eastAsia" w:cs="Times New Roman"/>
          <w:kern w:val="0"/>
          <w:szCs w:val="24"/>
          <w:lang w:val="zh-CN"/>
        </w:rPr>
        <w:t>》（</w:t>
      </w:r>
      <w:r>
        <w:rPr>
          <w:rFonts w:cs="Times New Roman"/>
          <w:kern w:val="0"/>
          <w:szCs w:val="24"/>
          <w:lang w:val="zh-CN"/>
        </w:rPr>
        <w:t>融自然函（2024）723 号</w:t>
      </w:r>
      <w:r>
        <w:rPr>
          <w:rFonts w:hint="eastAsia" w:cs="Times New Roman"/>
          <w:kern w:val="0"/>
          <w:szCs w:val="24"/>
          <w:lang w:val="zh-CN"/>
        </w:rPr>
        <w:t>）。</w:t>
      </w:r>
    </w:p>
    <w:p>
      <w:pPr>
        <w:ind w:firstLine="480"/>
        <w:rPr>
          <w:rFonts w:cs="Times New Roman"/>
          <w:kern w:val="0"/>
          <w:szCs w:val="24"/>
          <w:lang w:val="zh-CN"/>
        </w:rPr>
      </w:pPr>
      <w:r>
        <w:rPr>
          <w:rFonts w:cs="Times New Roman"/>
          <w:kern w:val="0"/>
          <w:szCs w:val="24"/>
          <w:lang w:val="zh-CN"/>
        </w:rPr>
        <w:t>（6）2024年9月，福州康龙工程咨询有限公司</w:t>
      </w:r>
      <w:r>
        <w:rPr>
          <w:rFonts w:hint="eastAsia" w:cs="Times New Roman"/>
          <w:kern w:val="0"/>
          <w:szCs w:val="24"/>
          <w:lang w:val="zh-CN"/>
        </w:rPr>
        <w:t>完成</w:t>
      </w:r>
      <w:r>
        <w:rPr>
          <w:rFonts w:cs="Times New Roman"/>
          <w:kern w:val="0"/>
          <w:szCs w:val="24"/>
          <w:lang w:val="zh-CN"/>
        </w:rPr>
        <w:t>《黄檗山万福寺旅游公路项目使用林地可行性报告》</w:t>
      </w:r>
      <w:r>
        <w:rPr>
          <w:rFonts w:hint="eastAsia" w:cs="Times New Roman"/>
          <w:kern w:val="0"/>
          <w:szCs w:val="24"/>
          <w:lang w:val="zh-CN"/>
        </w:rPr>
        <w:t>，并取得福建省林业局《</w:t>
      </w:r>
      <w:r>
        <w:rPr>
          <w:rFonts w:cs="Times New Roman"/>
          <w:kern w:val="0"/>
          <w:szCs w:val="24"/>
          <w:lang w:val="zh-CN"/>
        </w:rPr>
        <w:t>使用林地审核同意书</w:t>
      </w:r>
      <w:r>
        <w:rPr>
          <w:rFonts w:hint="eastAsia" w:cs="Times New Roman"/>
          <w:kern w:val="0"/>
          <w:szCs w:val="24"/>
          <w:lang w:val="zh-CN"/>
        </w:rPr>
        <w:t>》（</w:t>
      </w:r>
      <w:r>
        <w:rPr>
          <w:rFonts w:cs="Times New Roman"/>
          <w:kern w:val="0"/>
          <w:szCs w:val="24"/>
          <w:lang w:val="zh-CN"/>
        </w:rPr>
        <w:t>闽林地审（2021）251号</w:t>
      </w:r>
      <w:r>
        <w:rPr>
          <w:rFonts w:hint="eastAsia" w:cs="Times New Roman"/>
          <w:kern w:val="0"/>
          <w:szCs w:val="24"/>
          <w:lang w:val="zh-CN"/>
        </w:rPr>
        <w:t>）。</w:t>
      </w:r>
    </w:p>
    <w:p>
      <w:pPr>
        <w:ind w:firstLine="480"/>
        <w:rPr>
          <w:rFonts w:cs="Times New Roman"/>
          <w:kern w:val="0"/>
          <w:szCs w:val="24"/>
          <w:lang w:val="zh-CN"/>
        </w:rPr>
      </w:pPr>
      <w:r>
        <w:rPr>
          <w:rFonts w:cs="Times New Roman"/>
          <w:kern w:val="0"/>
          <w:szCs w:val="24"/>
          <w:lang w:val="zh-CN"/>
        </w:rPr>
        <w:t>（7）2024年10月16日，福清市交通建设投资集团有限公司在福清组织召开本项目跨越中海油LNG管道设计方案审查会，同意本项目涉LNG方案。</w:t>
      </w:r>
    </w:p>
    <w:p>
      <w:pPr>
        <w:ind w:firstLine="480"/>
        <w:rPr>
          <w:rFonts w:cs="Times New Roman"/>
          <w:kern w:val="0"/>
          <w:szCs w:val="24"/>
          <w:lang w:val="zh-CN"/>
        </w:rPr>
      </w:pPr>
      <w:r>
        <w:rPr>
          <w:rFonts w:cs="Times New Roman"/>
          <w:kern w:val="0"/>
          <w:szCs w:val="24"/>
          <w:lang w:val="zh-CN"/>
        </w:rPr>
        <w:t>（8）2024年10月17日，福清市交通建设投资集团有限公司在福清组织召开黄檗山万福寺旅游公路工程总承包施工图审查会议。</w:t>
      </w:r>
    </w:p>
    <w:p>
      <w:pPr>
        <w:ind w:firstLine="480"/>
        <w:rPr>
          <w:rFonts w:cs="Times New Roman"/>
          <w:kern w:val="0"/>
          <w:szCs w:val="24"/>
          <w:lang w:val="zh-CN"/>
        </w:rPr>
      </w:pPr>
      <w:r>
        <w:rPr>
          <w:rFonts w:cs="Times New Roman"/>
          <w:kern w:val="0"/>
          <w:szCs w:val="24"/>
          <w:lang w:val="zh-CN"/>
        </w:rPr>
        <w:t>（9）2024年10月下旬，完成施工图修编工作。</w:t>
      </w:r>
    </w:p>
    <w:p>
      <w:pPr>
        <w:ind w:firstLine="480"/>
        <w:rPr>
          <w:rFonts w:cs="Times New Roman"/>
          <w:kern w:val="0"/>
          <w:szCs w:val="24"/>
          <w:lang w:val="zh-CN"/>
        </w:rPr>
      </w:pPr>
      <w:r>
        <w:rPr>
          <w:rFonts w:cs="Times New Roman"/>
          <w:kern w:val="0"/>
          <w:szCs w:val="24"/>
          <w:lang w:val="zh-CN"/>
        </w:rPr>
        <w:t>（10）2024年</w:t>
      </w:r>
      <w:r>
        <w:rPr>
          <w:rFonts w:hint="eastAsia" w:cs="Times New Roman"/>
          <w:kern w:val="0"/>
          <w:szCs w:val="24"/>
          <w:lang w:val="zh-CN"/>
        </w:rPr>
        <w:t>1</w:t>
      </w:r>
      <w:r>
        <w:rPr>
          <w:rFonts w:cs="Times New Roman"/>
          <w:kern w:val="0"/>
          <w:szCs w:val="24"/>
          <w:lang w:val="zh-CN"/>
        </w:rPr>
        <w:t>2月，</w:t>
      </w:r>
      <w:r>
        <w:rPr>
          <w:rFonts w:hint="eastAsia" w:cs="Times New Roman"/>
          <w:kern w:val="0"/>
          <w:szCs w:val="24"/>
          <w:lang w:val="zh-CN"/>
        </w:rPr>
        <w:t>完成</w:t>
      </w:r>
      <w:r>
        <w:rPr>
          <w:rFonts w:cs="Times New Roman"/>
          <w:kern w:val="0"/>
          <w:szCs w:val="24"/>
          <w:lang w:val="zh-CN"/>
        </w:rPr>
        <w:t>福清市黄檗山万福寺旅游公路（大埔大桥、枝钟中桥及涵洞）洪水影响评价报告</w:t>
      </w:r>
      <w:r>
        <w:rPr>
          <w:rFonts w:hint="eastAsia" w:cs="Times New Roman"/>
          <w:kern w:val="0"/>
          <w:szCs w:val="24"/>
          <w:lang w:val="zh-CN"/>
        </w:rPr>
        <w:t>，并取得福清水利局《</w:t>
      </w:r>
      <w:r>
        <w:rPr>
          <w:rFonts w:cs="Times New Roman"/>
          <w:kern w:val="0"/>
          <w:szCs w:val="24"/>
          <w:lang w:val="zh-CN"/>
        </w:rPr>
        <w:t>关于福清市黄檗山万福寺旅游公路（大埔大桥、枝钟中桥及涵洞）洪水影响评价报告的审查意见</w:t>
      </w:r>
      <w:r>
        <w:rPr>
          <w:rFonts w:hint="eastAsia" w:cs="Times New Roman"/>
          <w:kern w:val="0"/>
          <w:szCs w:val="24"/>
          <w:lang w:val="zh-CN"/>
        </w:rPr>
        <w:t>》（</w:t>
      </w:r>
      <w:r>
        <w:rPr>
          <w:rFonts w:cs="Times New Roman"/>
          <w:kern w:val="0"/>
          <w:szCs w:val="24"/>
          <w:lang w:val="zh-CN"/>
        </w:rPr>
        <w:t>融水利批〔2024〕233 号</w:t>
      </w:r>
      <w:r>
        <w:rPr>
          <w:rFonts w:hint="eastAsia" w:cs="Times New Roman"/>
          <w:kern w:val="0"/>
          <w:szCs w:val="24"/>
          <w:lang w:val="zh-CN"/>
        </w:rPr>
        <w:t>）。</w:t>
      </w:r>
    </w:p>
    <w:p>
      <w:pPr>
        <w:ind w:firstLine="480"/>
        <w:rPr>
          <w:rFonts w:cs="Times New Roman"/>
          <w:kern w:val="0"/>
          <w:szCs w:val="24"/>
          <w:lang w:val="zh-CN"/>
        </w:rPr>
      </w:pPr>
      <w:r>
        <w:rPr>
          <w:rFonts w:cs="Times New Roman"/>
          <w:kern w:val="0"/>
          <w:szCs w:val="24"/>
          <w:lang w:val="zh-CN"/>
        </w:rPr>
        <w:t>（11）2025年</w:t>
      </w:r>
      <w:r>
        <w:rPr>
          <w:rFonts w:hint="eastAsia" w:cs="Times New Roman"/>
          <w:kern w:val="0"/>
          <w:szCs w:val="24"/>
          <w:lang w:val="zh-CN"/>
        </w:rPr>
        <w:t>1</w:t>
      </w:r>
      <w:r>
        <w:rPr>
          <w:rFonts w:cs="Times New Roman"/>
          <w:kern w:val="0"/>
          <w:szCs w:val="24"/>
          <w:lang w:val="zh-CN"/>
        </w:rPr>
        <w:t>月，</w:t>
      </w:r>
      <w:r>
        <w:rPr>
          <w:rFonts w:hint="eastAsia" w:cs="Times New Roman"/>
          <w:kern w:val="0"/>
          <w:szCs w:val="24"/>
          <w:lang w:val="zh-CN"/>
        </w:rPr>
        <w:t>福建省人民政府出具《</w:t>
      </w:r>
      <w:r>
        <w:rPr>
          <w:rFonts w:cs="Times New Roman"/>
          <w:kern w:val="0"/>
          <w:szCs w:val="24"/>
          <w:lang w:val="zh-CN"/>
        </w:rPr>
        <w:t>福建省人民政府关于黄檗山万福寺旅游公路工程建设农用地转用和土地征收的批复</w:t>
      </w:r>
      <w:r>
        <w:rPr>
          <w:rFonts w:hint="eastAsia" w:cs="Times New Roman"/>
          <w:kern w:val="0"/>
          <w:szCs w:val="24"/>
          <w:lang w:val="zh-CN"/>
        </w:rPr>
        <w:t>》（</w:t>
      </w:r>
      <w:r>
        <w:rPr>
          <w:rFonts w:cs="Times New Roman"/>
          <w:kern w:val="0"/>
          <w:szCs w:val="24"/>
          <w:lang w:val="zh-CN"/>
        </w:rPr>
        <w:t>融水利批〔2024〕233 号</w:t>
      </w:r>
      <w:r>
        <w:rPr>
          <w:rFonts w:hint="eastAsia" w:cs="Times New Roman"/>
          <w:kern w:val="0"/>
          <w:szCs w:val="24"/>
          <w:lang w:val="zh-CN"/>
        </w:rPr>
        <w:t>）。</w:t>
      </w:r>
    </w:p>
    <w:p>
      <w:pPr>
        <w:ind w:firstLine="480"/>
        <w:rPr>
          <w:rFonts w:cs="Times New Roman"/>
          <w:kern w:val="0"/>
          <w:szCs w:val="24"/>
          <w:lang w:val="zh-CN"/>
        </w:rPr>
      </w:pPr>
      <w:r>
        <w:rPr>
          <w:rFonts w:hint="eastAsia" w:cs="Times New Roman"/>
          <w:kern w:val="0"/>
          <w:szCs w:val="24"/>
          <w:lang w:val="zh-CN"/>
        </w:rPr>
        <w:t>截至3月份，本项目现场调查，项目正在开展前期征地、征迁，未正式动工。</w:t>
      </w:r>
    </w:p>
    <w:p>
      <w:pPr>
        <w:pStyle w:val="116"/>
      </w:pPr>
      <w:bookmarkStart w:id="21" w:name="_Toc13349"/>
      <w:bookmarkStart w:id="22" w:name="_Toc159405446"/>
      <w:bookmarkStart w:id="23" w:name="_Toc204676218"/>
      <w:r>
        <w:t>环境影响评价的工作过程</w:t>
      </w:r>
      <w:bookmarkEnd w:id="21"/>
      <w:bookmarkEnd w:id="22"/>
      <w:bookmarkEnd w:id="23"/>
    </w:p>
    <w:p>
      <w:pPr>
        <w:ind w:firstLine="480"/>
        <w:rPr>
          <w:rFonts w:cs="Times New Roman"/>
          <w:szCs w:val="24"/>
        </w:rPr>
      </w:pPr>
      <w:r>
        <w:rPr>
          <w:rFonts w:hint="eastAsia"/>
          <w:kern w:val="24"/>
        </w:rPr>
        <w:t>根据《建设项目环境影响评价分类管理名录》（2</w:t>
      </w:r>
      <w:r>
        <w:rPr>
          <w:kern w:val="24"/>
        </w:rPr>
        <w:t>021</w:t>
      </w:r>
      <w:r>
        <w:rPr>
          <w:rFonts w:hint="eastAsia"/>
          <w:kern w:val="24"/>
        </w:rPr>
        <w:t>版），</w:t>
      </w:r>
      <w:r>
        <w:rPr>
          <w:rFonts w:cs="Times New Roman"/>
          <w:szCs w:val="24"/>
        </w:rPr>
        <w:t>本项目主线公路等级为二级公路，</w:t>
      </w:r>
      <w:r>
        <w:rPr>
          <w:rFonts w:hint="eastAsia"/>
          <w:kern w:val="24"/>
        </w:rPr>
        <w:t>沿线涉及以居住为主要功能的环境敏感区，属于“五十二、交通运输业、管道运输业</w:t>
      </w:r>
      <w:r>
        <w:rPr>
          <w:rFonts w:hint="eastAsia"/>
        </w:rPr>
        <w:t>——130等级公路——新建涉及环境敏感区的二级及以上等级公路”，应该编制环境影响评价报告书</w:t>
      </w:r>
      <w:r>
        <w:t>。</w:t>
      </w:r>
    </w:p>
    <w:p>
      <w:pPr>
        <w:pStyle w:val="87"/>
        <w:spacing w:before="120"/>
        <w:ind w:left="480" w:firstLine="480"/>
      </w:pPr>
      <w:bookmarkStart w:id="24" w:name="_Ref512584048"/>
      <w:r>
        <w:rPr>
          <w:rFonts w:hint="eastAsia"/>
        </w:rPr>
        <w:t>建设项目环境影响评价分类管理名录</w:t>
      </w:r>
      <w:bookmarkEnd w:id="24"/>
    </w:p>
    <w:tbl>
      <w:tblPr>
        <w:tblStyle w:val="53"/>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8"/>
        <w:gridCol w:w="2320"/>
        <w:gridCol w:w="726"/>
        <w:gridCol w:w="724"/>
        <w:gridCol w:w="3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29" w:type="pct"/>
            <w:tcBorders>
              <w:top w:val="single" w:color="auto" w:sz="12" w:space="0"/>
              <w:left w:val="nil"/>
              <w:bottom w:val="single" w:color="auto" w:sz="4" w:space="0"/>
              <w:tl2br w:val="single" w:color="auto" w:sz="4" w:space="0"/>
            </w:tcBorders>
            <w:shd w:val="clear" w:color="auto" w:fill="auto"/>
            <w:vAlign w:val="center"/>
          </w:tcPr>
          <w:p>
            <w:pPr>
              <w:pStyle w:val="105"/>
              <w:ind w:firstLine="1050" w:firstLineChars="500"/>
            </w:pPr>
            <w:r>
              <w:rPr>
                <w:rFonts w:hint="eastAsia"/>
              </w:rPr>
              <w:t>环评类别</w:t>
            </w:r>
          </w:p>
          <w:p>
            <w:pPr>
              <w:pStyle w:val="105"/>
            </w:pPr>
            <w:r>
              <w:rPr>
                <w:rFonts w:hint="eastAsia"/>
              </w:rPr>
              <w:t>项目</w:t>
            </w:r>
          </w:p>
        </w:tc>
        <w:tc>
          <w:tcPr>
            <w:tcW w:w="1249" w:type="pct"/>
            <w:tcBorders>
              <w:top w:val="single" w:color="auto" w:sz="12" w:space="0"/>
              <w:bottom w:val="single" w:color="auto" w:sz="4" w:space="0"/>
            </w:tcBorders>
            <w:shd w:val="clear" w:color="auto" w:fill="D9E2F3"/>
            <w:vAlign w:val="center"/>
          </w:tcPr>
          <w:p>
            <w:pPr>
              <w:pStyle w:val="105"/>
            </w:pPr>
            <w:r>
              <w:rPr>
                <w:rFonts w:hint="eastAsia"/>
              </w:rPr>
              <w:t>报告书</w:t>
            </w:r>
          </w:p>
        </w:tc>
        <w:tc>
          <w:tcPr>
            <w:tcW w:w="391" w:type="pct"/>
            <w:tcBorders>
              <w:top w:val="single" w:color="auto" w:sz="12" w:space="0"/>
              <w:bottom w:val="single" w:color="auto" w:sz="4" w:space="0"/>
            </w:tcBorders>
            <w:shd w:val="clear" w:color="auto" w:fill="auto"/>
            <w:vAlign w:val="center"/>
          </w:tcPr>
          <w:p>
            <w:pPr>
              <w:pStyle w:val="105"/>
            </w:pPr>
            <w:r>
              <w:rPr>
                <w:rFonts w:hint="eastAsia"/>
              </w:rPr>
              <w:t>报告表</w:t>
            </w:r>
          </w:p>
        </w:tc>
        <w:tc>
          <w:tcPr>
            <w:tcW w:w="390" w:type="pct"/>
            <w:tcBorders>
              <w:top w:val="single" w:color="auto" w:sz="12" w:space="0"/>
              <w:bottom w:val="single" w:color="auto" w:sz="4" w:space="0"/>
            </w:tcBorders>
            <w:shd w:val="clear" w:color="auto" w:fill="auto"/>
            <w:vAlign w:val="center"/>
          </w:tcPr>
          <w:p>
            <w:pPr>
              <w:pStyle w:val="105"/>
            </w:pPr>
            <w:r>
              <w:rPr>
                <w:rFonts w:hint="eastAsia"/>
              </w:rPr>
              <w:t>登记表</w:t>
            </w:r>
          </w:p>
        </w:tc>
        <w:tc>
          <w:tcPr>
            <w:tcW w:w="1641" w:type="pct"/>
            <w:tcBorders>
              <w:top w:val="single" w:color="auto" w:sz="12" w:space="0"/>
              <w:bottom w:val="single" w:color="auto" w:sz="4" w:space="0"/>
              <w:right w:val="nil"/>
            </w:tcBorders>
            <w:shd w:val="clear" w:color="auto" w:fill="auto"/>
            <w:vAlign w:val="center"/>
          </w:tcPr>
          <w:p>
            <w:pPr>
              <w:pStyle w:val="105"/>
            </w:pPr>
            <w:r>
              <w:rPr>
                <w:rFonts w:hint="eastAsia"/>
              </w:rPr>
              <w:t>环境敏感区含义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left w:val="nil"/>
              <w:right w:val="nil"/>
            </w:tcBorders>
            <w:shd w:val="clear" w:color="auto" w:fill="auto"/>
            <w:vAlign w:val="center"/>
          </w:tcPr>
          <w:p>
            <w:pPr>
              <w:pStyle w:val="105"/>
            </w:pPr>
            <w:r>
              <w:rPr>
                <w:rFonts w:hint="eastAsia"/>
              </w:rPr>
              <w:t>五十二、交通运输业、管道运输业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9" w:type="pct"/>
            <w:tcBorders>
              <w:left w:val="nil"/>
              <w:bottom w:val="single" w:color="auto" w:sz="12" w:space="0"/>
            </w:tcBorders>
            <w:shd w:val="clear" w:color="auto" w:fill="auto"/>
            <w:vAlign w:val="center"/>
          </w:tcPr>
          <w:p>
            <w:pPr>
              <w:pStyle w:val="105"/>
            </w:pPr>
            <w:r>
              <w:t>130</w:t>
            </w:r>
            <w:r>
              <w:rPr>
                <w:rFonts w:hint="eastAsia"/>
              </w:rPr>
              <w:t>等级公路（不含维护；不含生命救援、应急保通工程以及国防交通保障项目；不含改扩建四级公路）</w:t>
            </w:r>
          </w:p>
        </w:tc>
        <w:tc>
          <w:tcPr>
            <w:tcW w:w="1249" w:type="pct"/>
            <w:tcBorders>
              <w:bottom w:val="single" w:color="auto" w:sz="12" w:space="0"/>
            </w:tcBorders>
            <w:shd w:val="clear" w:color="auto" w:fill="D9E2F3"/>
            <w:vAlign w:val="center"/>
          </w:tcPr>
          <w:p>
            <w:pPr>
              <w:pStyle w:val="105"/>
            </w:pPr>
            <w:r>
              <w:rPr>
                <w:rFonts w:hint="eastAsia"/>
              </w:rPr>
              <w:t>新建30公里（不含）以上的二级及以上等级公路；新建涉及环境敏感区的二级及以上等级公路</w:t>
            </w:r>
          </w:p>
        </w:tc>
        <w:tc>
          <w:tcPr>
            <w:tcW w:w="391" w:type="pct"/>
            <w:tcBorders>
              <w:bottom w:val="single" w:color="auto" w:sz="12" w:space="0"/>
            </w:tcBorders>
            <w:shd w:val="clear" w:color="auto" w:fill="auto"/>
            <w:vAlign w:val="center"/>
          </w:tcPr>
          <w:p>
            <w:pPr>
              <w:pStyle w:val="105"/>
            </w:pPr>
            <w:r>
              <w:rPr>
                <w:rFonts w:hint="eastAsia"/>
              </w:rPr>
              <w:t>其他</w:t>
            </w:r>
          </w:p>
        </w:tc>
        <w:tc>
          <w:tcPr>
            <w:tcW w:w="390" w:type="pct"/>
            <w:tcBorders>
              <w:bottom w:val="single" w:color="auto" w:sz="12" w:space="0"/>
            </w:tcBorders>
            <w:shd w:val="clear" w:color="auto" w:fill="auto"/>
            <w:vAlign w:val="center"/>
          </w:tcPr>
          <w:p>
            <w:pPr>
              <w:pStyle w:val="105"/>
            </w:pPr>
            <w:r>
              <w:rPr>
                <w:rFonts w:hint="eastAsia"/>
              </w:rPr>
              <w:t>/</w:t>
            </w:r>
          </w:p>
        </w:tc>
        <w:tc>
          <w:tcPr>
            <w:tcW w:w="1641" w:type="pct"/>
            <w:tcBorders>
              <w:bottom w:val="single" w:color="auto" w:sz="12" w:space="0"/>
              <w:right w:val="nil"/>
            </w:tcBorders>
            <w:shd w:val="clear" w:color="auto" w:fill="auto"/>
            <w:vAlign w:val="center"/>
          </w:tcPr>
          <w:p>
            <w:pPr>
              <w:pStyle w:val="105"/>
            </w:pPr>
            <w:r>
              <w:rPr>
                <w:rFonts w:hint="eastAsia"/>
              </w:rPr>
              <w:t>第三条（一）中的全部区域；第三条（二）中的除（一）外的生态保护红线管控范围，永久基本农田、森林公园、地质公园、重要湿地、天然林；第三条（三）中的全部区域</w:t>
            </w:r>
          </w:p>
        </w:tc>
      </w:tr>
    </w:tbl>
    <w:p>
      <w:pPr>
        <w:pStyle w:val="124"/>
      </w:pPr>
      <w:bookmarkStart w:id="25" w:name="_Hlk90112802"/>
      <w:r>
        <w:rPr>
          <w:rFonts w:hint="eastAsia"/>
        </w:rPr>
        <w:t>为此，福清市交通建设投资集团有限公司</w:t>
      </w:r>
      <w:r>
        <w:t>于</w:t>
      </w:r>
      <w:bookmarkStart w:id="26" w:name="_Hlk81983045"/>
      <w:r>
        <w:t>2025年1月</w:t>
      </w:r>
      <w:bookmarkEnd w:id="26"/>
      <w:r>
        <w:t>10</w:t>
      </w:r>
      <w:r>
        <w:rPr>
          <w:rFonts w:hint="eastAsia"/>
        </w:rPr>
        <w:t>日委托我公司开展该项目的环境影响评价工作（详见附件1：委托书）。</w:t>
      </w:r>
      <w:bookmarkEnd w:id="25"/>
      <w:r>
        <w:rPr>
          <w:rFonts w:hint="eastAsia"/>
        </w:rPr>
        <w:t>我公司接受委托后，组织相关人员进行现场踏勘，收集相关资料及调查研究。根据项目建设性质、规模和项目所在地周围区域环境特征，进行项目环境影响因素识别、污染因子筛选和开展工程分析，对项目产生的主要环境影响进行了预测和评价，并提出针对性的环境影响减缓对策与措施，制定环境管理与监测计划，得出本项目环评结论。</w:t>
      </w:r>
    </w:p>
    <w:p>
      <w:pPr>
        <w:ind w:firstLine="480"/>
      </w:pPr>
      <w:r>
        <w:t>本次环评主要分以下几个阶段：</w:t>
      </w:r>
    </w:p>
    <w:p>
      <w:pPr>
        <w:ind w:firstLine="480"/>
      </w:pPr>
      <w:r>
        <w:t>第一阶段：评价单位接受项目环境影响评价委托后，根据业主提供工可、</w:t>
      </w:r>
      <w:r>
        <w:rPr>
          <w:rFonts w:hint="eastAsia"/>
        </w:rPr>
        <w:t>初步</w:t>
      </w:r>
      <w:r>
        <w:t>设计</w:t>
      </w:r>
      <w:r>
        <w:rPr>
          <w:rFonts w:hint="eastAsia"/>
        </w:rPr>
        <w:t>、施工图</w:t>
      </w:r>
      <w:r>
        <w:t>及</w:t>
      </w:r>
      <w:r>
        <w:rPr>
          <w:rFonts w:hint="eastAsia"/>
        </w:rPr>
        <w:t>其他</w:t>
      </w:r>
      <w:r>
        <w:t>相关设计资料，先确定项目是否符合国家和地方有关法规、政策及相关规划，判定项目的环境影响评价类型；进行初步的工程分析，识别环境影响因素、筛选评价因子，明确评价重点、环境保护目标，确定评价工作等级、评价范围和标准。</w:t>
      </w:r>
    </w:p>
    <w:p>
      <w:pPr>
        <w:ind w:firstLine="480"/>
      </w:pPr>
      <w:r>
        <w:t>第二阶段：进行评价范围内的环境状况调查、监测与评价，了解环境现状情况；进行详细的工程分析，确定各污染因素污染源强，然后进行各环境要素影响预测与评价、各专题环境影响分析与评价。</w:t>
      </w:r>
    </w:p>
    <w:p>
      <w:pPr>
        <w:ind w:firstLine="480"/>
      </w:pPr>
      <w:r>
        <w:t>第三阶段：对项目已采取的环保措施及存在的问题进行分析，对项目拟采取环保措施进行技术经济论证，给出项目环境可行结论。</w:t>
      </w:r>
      <w:r>
        <w:rPr>
          <w:rFonts w:hint="eastAsia"/>
        </w:rPr>
        <w:t>在此基础上，编制完成了《黄檗山万福寺旅游公路环境影响报告书》（送审稿），供建设单位上报福州市生态环境局审批。</w:t>
      </w:r>
    </w:p>
    <w:p>
      <w:pPr>
        <w:ind w:firstLine="480"/>
      </w:pPr>
      <w:bookmarkStart w:id="27" w:name="_Hlk90113016"/>
      <w:r>
        <w:t>具体评价过程见</w:t>
      </w:r>
      <w:r>
        <w:fldChar w:fldCharType="begin"/>
      </w:r>
      <w:r>
        <w:instrText xml:space="preserve"> REF _Ref509255735 \r \h  \* MERGEFORMAT </w:instrText>
      </w:r>
      <w:r>
        <w:fldChar w:fldCharType="separate"/>
      </w:r>
      <w:r>
        <w:rPr>
          <w:rFonts w:hint="eastAsia"/>
        </w:rPr>
        <w:t>图1.3-1</w:t>
      </w:r>
      <w:r>
        <w:fldChar w:fldCharType="end"/>
      </w:r>
      <w:r>
        <w:t>。</w:t>
      </w:r>
    </w:p>
    <w:p>
      <w:pPr>
        <w:pStyle w:val="105"/>
        <w:jc w:val="center"/>
        <w:rPr>
          <w:rFonts w:hint="eastAsia" w:eastAsia="宋体"/>
          <w:lang w:eastAsia="zh-CN"/>
        </w:rPr>
      </w:pPr>
    </w:p>
    <w:p>
      <w:pPr>
        <w:pStyle w:val="122"/>
      </w:pPr>
      <w:bookmarkStart w:id="28" w:name="_Ref509255735"/>
      <w:r>
        <w:t>评价工作程序</w:t>
      </w:r>
      <w:bookmarkEnd w:id="28"/>
    </w:p>
    <w:bookmarkEnd w:id="27"/>
    <w:p>
      <w:pPr>
        <w:pStyle w:val="116"/>
      </w:pPr>
      <w:bookmarkStart w:id="29" w:name="_Toc924"/>
      <w:bookmarkStart w:id="30" w:name="_Toc159405447"/>
      <w:bookmarkStart w:id="31" w:name="_Toc204676219"/>
      <w:bookmarkStart w:id="32" w:name="_Hlk195519997"/>
      <w:r>
        <w:t>分析判定相关情况</w:t>
      </w:r>
      <w:bookmarkEnd w:id="29"/>
      <w:bookmarkEnd w:id="30"/>
      <w:bookmarkEnd w:id="31"/>
    </w:p>
    <w:p>
      <w:pPr>
        <w:pStyle w:val="120"/>
        <w:rPr>
          <w:color w:val="auto"/>
        </w:rPr>
      </w:pPr>
      <w:r>
        <w:rPr>
          <w:rFonts w:hint="eastAsia"/>
          <w:color w:val="auto"/>
        </w:rPr>
        <w:t>产业政策符合性判定</w:t>
      </w:r>
    </w:p>
    <w:p>
      <w:pPr>
        <w:pStyle w:val="67"/>
        <w:tabs>
          <w:tab w:val="left" w:pos="1451"/>
        </w:tabs>
        <w:ind w:firstLine="476"/>
        <w:rPr>
          <w:rFonts w:ascii="Times New Roman" w:hAnsi="Times New Roman" w:cs="Times New Roman"/>
          <w:spacing w:val="-2"/>
          <w:szCs w:val="24"/>
        </w:rPr>
      </w:pPr>
      <w:r>
        <w:rPr>
          <w:rFonts w:hint="eastAsia" w:ascii="Times New Roman" w:hAnsi="Times New Roman" w:cs="Times New Roman"/>
          <w:spacing w:val="-2"/>
          <w:szCs w:val="24"/>
        </w:rPr>
        <w:t>本项目为旅游公路，设计等级为二级公路，不属于《产业结构调整指导目录（2</w:t>
      </w:r>
      <w:r>
        <w:rPr>
          <w:rFonts w:ascii="Times New Roman" w:hAnsi="Times New Roman" w:cs="Times New Roman"/>
          <w:spacing w:val="-2"/>
          <w:szCs w:val="24"/>
        </w:rPr>
        <w:t>024</w:t>
      </w:r>
      <w:r>
        <w:rPr>
          <w:rFonts w:hint="eastAsia" w:ascii="Times New Roman" w:hAnsi="Times New Roman" w:cs="Times New Roman"/>
          <w:spacing w:val="-2"/>
          <w:szCs w:val="24"/>
        </w:rPr>
        <w:t>年）》中限制类、淘汰类，工程的建设符合国家产业政策。</w:t>
      </w:r>
    </w:p>
    <w:p>
      <w:pPr>
        <w:pStyle w:val="120"/>
        <w:rPr>
          <w:color w:val="auto"/>
        </w:rPr>
      </w:pPr>
      <w:r>
        <w:rPr>
          <w:rFonts w:hint="eastAsia"/>
          <w:color w:val="auto"/>
        </w:rPr>
        <w:t>“三线一单”生态环境分区管控方案的符合性</w:t>
      </w:r>
    </w:p>
    <w:p>
      <w:pPr>
        <w:ind w:firstLine="480"/>
      </w:pPr>
      <w:r>
        <w:rPr>
          <w:rFonts w:hint="eastAsia"/>
        </w:rPr>
        <w:t>（1）生态保护红线</w:t>
      </w:r>
    </w:p>
    <w:p>
      <w:pPr>
        <w:ind w:firstLine="480"/>
      </w:pPr>
      <w:r>
        <w:rPr>
          <w:rFonts w:hint="eastAsia"/>
        </w:rPr>
        <w:t>经核对及叠图分析，项目永久占地和临时占地均不涉及基本农田和生态保护红线，不会造成生态保护红线生态功能降低、面积减少、性质的改变，对生态红线区域环境影响较小，不会改变其生态功能。202</w:t>
      </w:r>
      <w:r>
        <w:t>4</w:t>
      </w:r>
      <w:r>
        <w:rPr>
          <w:rFonts w:hint="eastAsia"/>
        </w:rPr>
        <w:t xml:space="preserve"> 年</w:t>
      </w:r>
      <w:r>
        <w:t>3</w:t>
      </w:r>
      <w:r>
        <w:rPr>
          <w:rFonts w:hint="eastAsia"/>
        </w:rPr>
        <w:t>月</w:t>
      </w:r>
      <w:r>
        <w:t>19</w:t>
      </w:r>
      <w:r>
        <w:rPr>
          <w:rFonts w:hint="eastAsia"/>
        </w:rPr>
        <w:t>日，项目已取得用地预审和选址意见书（用字第</w:t>
      </w:r>
      <w:r>
        <w:rPr>
          <w:rFonts w:cs="Times New Roman"/>
          <w:kern w:val="0"/>
          <w:szCs w:val="24"/>
          <w:lang w:val="zh-CN"/>
        </w:rPr>
        <w:t>350181202400085</w:t>
      </w:r>
      <w:r>
        <w:rPr>
          <w:rFonts w:hint="eastAsia"/>
        </w:rPr>
        <w:t>号）（附件</w:t>
      </w:r>
      <w:r>
        <w:t>3</w:t>
      </w:r>
      <w:r>
        <w:rPr>
          <w:rFonts w:hint="eastAsia"/>
        </w:rPr>
        <w:t>），202</w:t>
      </w:r>
      <w:r>
        <w:t>4</w:t>
      </w:r>
      <w:r>
        <w:rPr>
          <w:rFonts w:hint="eastAsia"/>
        </w:rPr>
        <w:t>年</w:t>
      </w:r>
      <w:r>
        <w:t>9</w:t>
      </w:r>
      <w:r>
        <w:rPr>
          <w:rFonts w:hint="eastAsia"/>
        </w:rPr>
        <w:t>月</w:t>
      </w:r>
      <w:r>
        <w:t>30</w:t>
      </w:r>
      <w:r>
        <w:rPr>
          <w:rFonts w:hint="eastAsia"/>
        </w:rPr>
        <w:t>日，福建省林业局批复了使用林地审核同意书（</w:t>
      </w:r>
      <w:r>
        <w:rPr>
          <w:rFonts w:cs="Times New Roman"/>
          <w:kern w:val="0"/>
          <w:szCs w:val="24"/>
          <w:lang w:val="zh-CN"/>
        </w:rPr>
        <w:t>闽林地审</w:t>
      </w:r>
      <w:r>
        <w:rPr>
          <w:rFonts w:hint="eastAsia" w:cs="Times New Roman"/>
          <w:kern w:val="0"/>
          <w:szCs w:val="24"/>
          <w:lang w:val="zh-CN"/>
        </w:rPr>
        <w:t>〔2024〕251号</w:t>
      </w:r>
      <w:r>
        <w:rPr>
          <w:rFonts w:hint="eastAsia"/>
        </w:rPr>
        <w:t>）（附件</w:t>
      </w:r>
      <w:r>
        <w:t>8</w:t>
      </w:r>
      <w:r>
        <w:rPr>
          <w:rFonts w:hint="eastAsia"/>
        </w:rPr>
        <w:t>），同意本项目使用林地。</w:t>
      </w:r>
    </w:p>
    <w:p>
      <w:pPr>
        <w:ind w:firstLine="480"/>
      </w:pPr>
      <w:r>
        <w:rPr>
          <w:rFonts w:hint="eastAsia"/>
        </w:rPr>
        <w:t>因此，本项目符合生态红线管控要求。</w:t>
      </w:r>
    </w:p>
    <w:p>
      <w:pPr>
        <w:ind w:firstLine="480"/>
      </w:pPr>
      <w:r>
        <w:rPr>
          <w:rFonts w:hint="eastAsia"/>
        </w:rPr>
        <w:t>（2）环境质量底线</w:t>
      </w:r>
    </w:p>
    <w:p>
      <w:pPr>
        <w:ind w:firstLine="480"/>
      </w:pPr>
      <w:r>
        <w:rPr>
          <w:rFonts w:hint="eastAsia"/>
        </w:rPr>
        <w:t>工程所在区域现状大气环境和声环境质量现状均符合相应环境功能区划要求。本工程施工期生活污水利用当地居民排水系统处理不外排，施工期生产废水均处理达标后回用；运营期路面径流通过设置径流收集系统等，预防及减缓路面径流的排放对地表水体的影响。项目建设对地表水环境质量影响不大，不会导致径江水环境变差。</w:t>
      </w:r>
    </w:p>
    <w:p>
      <w:pPr>
        <w:ind w:firstLine="480"/>
      </w:pPr>
      <w:r>
        <w:rPr>
          <w:rFonts w:hint="eastAsia"/>
        </w:rPr>
        <w:t>本工程不涉及自然保护区、风景名胜区、生态保护红线、水源保护区等敏感区域，工程均位于环境空气二类功能区范围内，通过采取一系列环保和环境风险防范措施后，项目施工建设，对区域环境空气影响不大，能够符合环境空气功能区划要求。本项目为旅游公路，设计等级为二级，项目建成后，公路两侧高于3层楼的临街建筑物或低于3层楼交通干线边界线外</w:t>
      </w:r>
      <w:r>
        <w:t>35</w:t>
      </w:r>
      <w:r>
        <w:rPr>
          <w:rFonts w:hint="eastAsia"/>
        </w:rPr>
        <w:t>m以内面向公路一侧区域划为4a类标准适用区域，执行《声环境质量标准》（GB3096-2008）中的4a类标准，其余区域为2类标准适用区；评价范围内的学校、医院等特殊敏感建筑执行昼间60dB，夜间50dB。项目施工建设和运营会对声环境敏感目标造成一定的影响，在采取了相应的对策措施后，能够满足区域声环境功能要求。因此，本工程实施能满足环境质量底线控制要求。</w:t>
      </w:r>
    </w:p>
    <w:p>
      <w:pPr>
        <w:ind w:firstLine="480"/>
      </w:pPr>
      <w:r>
        <w:rPr>
          <w:rFonts w:hint="eastAsia"/>
        </w:rPr>
        <w:t>（3）资源利用上线</w:t>
      </w:r>
    </w:p>
    <w:p>
      <w:pPr>
        <w:ind w:firstLine="480"/>
      </w:pPr>
      <w:r>
        <w:rPr>
          <w:rFonts w:hint="eastAsia"/>
        </w:rPr>
        <w:t>本项目施工过程中消耗一定量的水、电及建筑材料，所涉及的区域资源主要为土地资源。项目为公路建设项目，工程永久占地规模</w:t>
      </w:r>
      <w:r>
        <w:t>14.6617</w:t>
      </w:r>
      <w:r>
        <w:rPr>
          <w:rFonts w:hint="eastAsia"/>
        </w:rPr>
        <w:t>hm</w:t>
      </w:r>
      <w:r>
        <w:rPr>
          <w:rFonts w:hint="eastAsia"/>
          <w:vertAlign w:val="superscript"/>
        </w:rPr>
        <w:t>2</w:t>
      </w:r>
      <w:r>
        <w:rPr>
          <w:rFonts w:hint="eastAsia"/>
        </w:rPr>
        <w:t>，项目已取得用地预审和选址意见书（用字第</w:t>
      </w:r>
      <w:r>
        <w:rPr>
          <w:rFonts w:cs="Times New Roman"/>
          <w:kern w:val="0"/>
          <w:szCs w:val="24"/>
          <w:lang w:val="zh-CN"/>
        </w:rPr>
        <w:t>350181202400085</w:t>
      </w:r>
      <w:r>
        <w:rPr>
          <w:rFonts w:hint="eastAsia"/>
        </w:rPr>
        <w:t>号），工程占用农用地在对应村庄土地总面积中所占比例较小，建设单位通过采取相应的恢复治理措施、占补措施后，项目对沿线土地资源占用的影响较小。项目资源消耗量相对区域资源利用总量较少，符合资源利用上线要求。</w:t>
      </w:r>
    </w:p>
    <w:p>
      <w:pPr>
        <w:ind w:firstLine="480"/>
      </w:pPr>
      <w:r>
        <w:rPr>
          <w:rFonts w:hint="eastAsia"/>
        </w:rPr>
        <w:t>（4）生态环境准入清单</w:t>
      </w:r>
    </w:p>
    <w:p>
      <w:pPr>
        <w:ind w:firstLine="480"/>
      </w:pPr>
      <w:r>
        <w:rPr>
          <w:rFonts w:hint="eastAsia"/>
        </w:rPr>
        <w:t>本项目为公路建设项目，符合国家产业政策要求。工程不属于《重点生态功能区产业准入负面清单编制实施办法》和</w:t>
      </w:r>
      <w:bookmarkStart w:id="33" w:name="_Hlk149818927"/>
      <w:r>
        <w:rPr>
          <w:rFonts w:hint="eastAsia"/>
        </w:rPr>
        <w:t>《市场准入负面清单（2022年版）》（发改体改规〔2022〕397号）</w:t>
      </w:r>
      <w:bookmarkEnd w:id="33"/>
      <w:r>
        <w:rPr>
          <w:rFonts w:hint="eastAsia"/>
        </w:rPr>
        <w:t>中禁止或限制项目。</w:t>
      </w:r>
    </w:p>
    <w:p>
      <w:pPr>
        <w:ind w:firstLine="480"/>
      </w:pPr>
      <w:r>
        <w:rPr>
          <w:rFonts w:hint="eastAsia"/>
        </w:rPr>
        <w:t>本项目路线及用地性质符合规划，不在区域负面清单内，符合环境准入要求。</w:t>
      </w:r>
    </w:p>
    <w:p>
      <w:pPr>
        <w:ind w:firstLine="480"/>
      </w:pPr>
      <w:r>
        <w:rPr>
          <w:rFonts w:hint="eastAsia"/>
        </w:rPr>
        <w:t>（5）小结</w:t>
      </w:r>
    </w:p>
    <w:p>
      <w:pPr>
        <w:ind w:firstLine="480"/>
      </w:pPr>
      <w:r>
        <w:rPr>
          <w:rFonts w:hint="eastAsia"/>
        </w:rPr>
        <w:t>综上所述，本项目选址符合生态保护红线、环境质量底线及资源利用上线要求，且项目建设不在环境准入负面清单内，项目符合“三线一单”要求。</w:t>
      </w:r>
    </w:p>
    <w:p>
      <w:pPr>
        <w:pStyle w:val="120"/>
        <w:rPr>
          <w:color w:val="auto"/>
        </w:rPr>
      </w:pPr>
      <w:r>
        <w:rPr>
          <w:rFonts w:hint="eastAsia"/>
          <w:color w:val="auto"/>
        </w:rPr>
        <w:t>生态环境分区管控方案</w:t>
      </w:r>
    </w:p>
    <w:p>
      <w:pPr>
        <w:ind w:firstLine="480"/>
        <w:rPr>
          <w:rFonts w:cs="Times New Roman"/>
          <w:spacing w:val="-6"/>
          <w:szCs w:val="24"/>
        </w:rPr>
      </w:pPr>
      <w:r>
        <w:rPr>
          <w:rFonts w:hint="eastAsia"/>
        </w:rPr>
        <w:t>根据《福州市生态环境分区管控方案（2023年更新）》（榕政办规〔2024〕20号），经过叠图分析，项目涉及优先保护单元</w:t>
      </w:r>
      <w:r>
        <w:t>1</w:t>
      </w:r>
      <w:r>
        <w:rPr>
          <w:rFonts w:hint="eastAsia"/>
        </w:rPr>
        <w:t>个，一般管控单元</w:t>
      </w:r>
      <w:r>
        <w:t>1</w:t>
      </w:r>
      <w:r>
        <w:rPr>
          <w:rFonts w:hint="eastAsia"/>
        </w:rPr>
        <w:t>个，重点管控单元1个，分别为</w:t>
      </w:r>
      <w:r>
        <w:rPr>
          <w:rFonts w:hint="eastAsia" w:cs="Times New Roman"/>
          <w:spacing w:val="-6"/>
          <w:szCs w:val="24"/>
        </w:rPr>
        <w:t>福清市一般生态空间－水土保持生态功能重要区域，福清市重点管控单元1，福清市一般管控单元。</w:t>
      </w:r>
    </w:p>
    <w:p>
      <w:pPr>
        <w:ind w:firstLine="480"/>
      </w:pPr>
      <w:r>
        <w:rPr>
          <w:rFonts w:hint="eastAsia"/>
        </w:rPr>
        <w:t>经分析，本项目属于旅游公路（二级公路），符合国家产业政策要求，经对照生态环境分区管控方案的管控要求，项目所属行业、规划选址及环境保护措施等均满足准入基本条件。</w:t>
      </w:r>
    </w:p>
    <w:p>
      <w:pPr>
        <w:ind w:firstLine="480"/>
      </w:pPr>
      <w:r>
        <w:rPr>
          <w:rFonts w:hint="eastAsia"/>
        </w:rPr>
        <w:t>综上，本项目总体上能够符合福州市生态环境分区管控的管理要求。</w:t>
      </w:r>
    </w:p>
    <w:bookmarkEnd w:id="32"/>
    <w:p>
      <w:pPr>
        <w:ind w:firstLine="480"/>
        <w:rPr>
          <w:highlight w:val="yellow"/>
        </w:rPr>
        <w:sectPr>
          <w:headerReference r:id="rId8" w:type="default"/>
          <w:footerReference r:id="rId9" w:type="default"/>
          <w:pgSz w:w="11906" w:h="16838"/>
          <w:pgMar w:top="1418" w:right="1418" w:bottom="1418" w:left="1418" w:header="851" w:footer="851" w:gutter="0"/>
          <w:pgNumType w:start="1"/>
          <w:cols w:space="425" w:num="1"/>
          <w:docGrid w:linePitch="326" w:charSpace="0"/>
        </w:sectPr>
      </w:pPr>
    </w:p>
    <w:p>
      <w:pPr>
        <w:pStyle w:val="87"/>
        <w:spacing w:before="120"/>
      </w:pPr>
      <w:r>
        <w:rPr>
          <w:rFonts w:hint="eastAsia"/>
        </w:rPr>
        <w:t>管控单元管控清单</w:t>
      </w:r>
    </w:p>
    <w:tbl>
      <w:tblPr>
        <w:tblStyle w:val="53"/>
        <w:tblW w:w="5062"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95"/>
        <w:gridCol w:w="717"/>
        <w:gridCol w:w="861"/>
        <w:gridCol w:w="7203"/>
        <w:gridCol w:w="43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blHeader/>
        </w:trPr>
        <w:tc>
          <w:tcPr>
            <w:tcW w:w="450" w:type="pct"/>
            <w:shd w:val="clear" w:color="auto" w:fill="auto"/>
            <w:vAlign w:val="center"/>
          </w:tcPr>
          <w:p>
            <w:pPr>
              <w:pStyle w:val="105"/>
              <w:ind w:left="-72" w:leftChars="-30" w:right="-72" w:rightChars="-30"/>
              <w:rPr>
                <w:szCs w:val="21"/>
              </w:rPr>
            </w:pPr>
            <w:r>
              <w:rPr>
                <w:rFonts w:hint="eastAsia"/>
                <w:szCs w:val="21"/>
              </w:rPr>
              <w:t>环境管控单元名称</w:t>
            </w:r>
          </w:p>
        </w:tc>
        <w:tc>
          <w:tcPr>
            <w:tcW w:w="249" w:type="pct"/>
            <w:shd w:val="clear" w:color="auto" w:fill="auto"/>
            <w:vAlign w:val="center"/>
          </w:tcPr>
          <w:p>
            <w:pPr>
              <w:pStyle w:val="105"/>
              <w:ind w:left="-72" w:leftChars="-30" w:right="-72" w:rightChars="-30"/>
              <w:rPr>
                <w:szCs w:val="21"/>
              </w:rPr>
            </w:pPr>
            <w:r>
              <w:rPr>
                <w:rFonts w:hint="eastAsia"/>
                <w:szCs w:val="21"/>
              </w:rPr>
              <w:t>管控单元类别</w:t>
            </w:r>
          </w:p>
        </w:tc>
        <w:tc>
          <w:tcPr>
            <w:tcW w:w="2800" w:type="pct"/>
            <w:gridSpan w:val="2"/>
            <w:shd w:val="clear" w:color="auto" w:fill="auto"/>
            <w:vAlign w:val="center"/>
          </w:tcPr>
          <w:p>
            <w:pPr>
              <w:pStyle w:val="105"/>
              <w:ind w:left="-72" w:leftChars="-30" w:right="-72" w:rightChars="-30"/>
              <w:rPr>
                <w:szCs w:val="21"/>
              </w:rPr>
            </w:pPr>
            <w:r>
              <w:rPr>
                <w:rFonts w:hint="eastAsia"/>
                <w:szCs w:val="21"/>
              </w:rPr>
              <w:t>管控要求</w:t>
            </w:r>
          </w:p>
        </w:tc>
        <w:tc>
          <w:tcPr>
            <w:tcW w:w="1500" w:type="pct"/>
            <w:shd w:val="clear" w:color="auto" w:fill="auto"/>
            <w:vAlign w:val="center"/>
          </w:tcPr>
          <w:p>
            <w:pPr>
              <w:pStyle w:val="105"/>
              <w:ind w:left="-72" w:leftChars="-30" w:right="-72" w:rightChars="-30"/>
              <w:rPr>
                <w:szCs w:val="21"/>
              </w:rPr>
            </w:pPr>
            <w:r>
              <w:rPr>
                <w:rFonts w:hint="eastAsia"/>
                <w:szCs w:val="21"/>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28" w:hRule="atLeast"/>
        </w:trPr>
        <w:tc>
          <w:tcPr>
            <w:tcW w:w="450" w:type="pct"/>
            <w:vMerge w:val="restart"/>
            <w:shd w:val="clear" w:color="auto" w:fill="auto"/>
            <w:vAlign w:val="center"/>
          </w:tcPr>
          <w:p>
            <w:pPr>
              <w:pStyle w:val="105"/>
            </w:pPr>
            <w:r>
              <w:rPr>
                <w:rFonts w:hint="eastAsia"/>
              </w:rPr>
              <w:t>福清市一般生态空间－水土保持生态功能重要区域（</w:t>
            </w:r>
            <w:r>
              <w:t>ZH35018110008</w:t>
            </w:r>
            <w:r>
              <w:rPr>
                <w:rFonts w:hint="eastAsia"/>
              </w:rPr>
              <w:t>）</w:t>
            </w:r>
          </w:p>
        </w:tc>
        <w:tc>
          <w:tcPr>
            <w:tcW w:w="249" w:type="pct"/>
            <w:vMerge w:val="restart"/>
            <w:shd w:val="clear" w:color="auto" w:fill="auto"/>
            <w:vAlign w:val="center"/>
          </w:tcPr>
          <w:p>
            <w:pPr>
              <w:pStyle w:val="105"/>
            </w:pPr>
            <w:r>
              <w:rPr>
                <w:rFonts w:hint="eastAsia"/>
              </w:rPr>
              <w:t>优先保护单元</w:t>
            </w:r>
          </w:p>
        </w:tc>
        <w:tc>
          <w:tcPr>
            <w:tcW w:w="299" w:type="pct"/>
            <w:shd w:val="clear" w:color="auto" w:fill="auto"/>
            <w:vAlign w:val="center"/>
          </w:tcPr>
          <w:p>
            <w:pPr>
              <w:pStyle w:val="105"/>
            </w:pPr>
            <w:r>
              <w:rPr>
                <w:rFonts w:hint="eastAsia"/>
              </w:rPr>
              <w:t>空间布局约束</w:t>
            </w:r>
          </w:p>
        </w:tc>
        <w:tc>
          <w:tcPr>
            <w:tcW w:w="2501" w:type="pct"/>
            <w:shd w:val="clear" w:color="auto" w:fill="auto"/>
            <w:vAlign w:val="center"/>
          </w:tcPr>
          <w:p>
            <w:pPr>
              <w:pStyle w:val="105"/>
            </w:pPr>
            <w:r>
              <w:rPr>
                <w:rFonts w:hint="eastAsia"/>
              </w:rPr>
              <w:t>除落实一般生态空间的管控要求外，依据《福建省水土保持条例》（2022年）的相关要求进行管理。禁止行为：1.禁止在下列区域挖砂、取土、采石、挖土洗砂或者从事其他可能造成水土流失的活动：（1）小（1）型以上水库设计蓄水线以上、重要饮用水水源地一重山范围内的山坡地；（2）重点流域干流、一级支流两岸外延五百米或者一重山范围内；（3）铁路、公路两侧外延五十米范围内十度以上的山坡地。2.禁止在二十五度以上陡坡地和饮用水水源一级保护区的山坡地开垦种植农作物。3.禁止全坡面开垦、顺坡开垦耕种等不合理的开发生产活动。在水土流失重点治理区禁止皆伐和炼山整地。4.禁止开垦、开发、占用和破坏植物保护带。限制行为：1.在二十五度以上陡坡地种植经济林的，应当科学选择树种，合理确定规模，采取水土保持措施，防止造成水土流失。2.在水土流失重点预防区从事林业生产活动的，提倡实行择伐作业，控制炼山整地。</w:t>
            </w:r>
          </w:p>
        </w:tc>
        <w:tc>
          <w:tcPr>
            <w:tcW w:w="1500" w:type="pct"/>
            <w:shd w:val="clear" w:color="auto" w:fill="auto"/>
            <w:vAlign w:val="center"/>
          </w:tcPr>
          <w:p>
            <w:pPr>
              <w:pStyle w:val="105"/>
            </w:pPr>
            <w:r>
              <w:rPr>
                <w:rFonts w:hint="eastAsia"/>
              </w:rPr>
              <w:t>本项目属于公路建设项目，工程建设期间会造成一定的水土流失，但在积极落实各项水土保持措施的情况下，工程施工造成的水土流失是可以得到控制的。本项目已取得福清市水利局关于黄檗山万福寺旅游公路水土保持方案的批复融水利批〔2024〕128号。</w:t>
            </w:r>
          </w:p>
          <w:p>
            <w:pPr>
              <w:pStyle w:val="105"/>
            </w:pPr>
            <w:r>
              <w:rPr>
                <w:rFonts w:hint="eastAsia"/>
              </w:rPr>
              <w:t>因此，项目在采取合理的防护和恢复措施后，不会对该管控单元的水土保持功能造成影响。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 w:hRule="atLeast"/>
        </w:trPr>
        <w:tc>
          <w:tcPr>
            <w:tcW w:w="450" w:type="pct"/>
            <w:vMerge w:val="continue"/>
            <w:shd w:val="clear" w:color="auto" w:fill="auto"/>
            <w:vAlign w:val="center"/>
          </w:tcPr>
          <w:p>
            <w:pPr>
              <w:pStyle w:val="105"/>
              <w:ind w:left="-72" w:leftChars="-30" w:right="-72" w:rightChars="-30"/>
              <w:rPr>
                <w:szCs w:val="21"/>
              </w:rPr>
            </w:pPr>
          </w:p>
        </w:tc>
        <w:tc>
          <w:tcPr>
            <w:tcW w:w="249" w:type="pct"/>
            <w:vMerge w:val="continue"/>
            <w:shd w:val="clear" w:color="auto" w:fill="auto"/>
            <w:vAlign w:val="center"/>
          </w:tcPr>
          <w:p>
            <w:pPr>
              <w:pStyle w:val="105"/>
              <w:ind w:left="-72" w:leftChars="-30" w:right="-72" w:rightChars="-30"/>
              <w:rPr>
                <w:szCs w:val="21"/>
              </w:rPr>
            </w:pPr>
          </w:p>
        </w:tc>
        <w:tc>
          <w:tcPr>
            <w:tcW w:w="299" w:type="pct"/>
            <w:shd w:val="clear" w:color="auto" w:fill="auto"/>
            <w:vAlign w:val="center"/>
          </w:tcPr>
          <w:p>
            <w:pPr>
              <w:pStyle w:val="105"/>
            </w:pPr>
            <w:r>
              <w:rPr>
                <w:rFonts w:hint="eastAsia"/>
              </w:rPr>
              <w:t>资源开发效率要求</w:t>
            </w:r>
          </w:p>
        </w:tc>
        <w:tc>
          <w:tcPr>
            <w:tcW w:w="2501" w:type="pct"/>
            <w:shd w:val="clear" w:color="auto" w:fill="auto"/>
            <w:vAlign w:val="center"/>
          </w:tcPr>
          <w:p>
            <w:pPr>
              <w:pStyle w:val="105"/>
            </w:pPr>
            <w:r>
              <w:rPr>
                <w:rFonts w:hint="eastAsia"/>
              </w:rPr>
              <w:t>高污染燃料禁燃区内禁止燃用高污染燃料，禁止新建、扩建燃用高污染燃料的设施。已建的燃用高污染燃料设施，限期改用电、天然气、液化石油气等清洁能源。</w:t>
            </w:r>
          </w:p>
        </w:tc>
        <w:tc>
          <w:tcPr>
            <w:tcW w:w="1500" w:type="pct"/>
            <w:shd w:val="clear" w:color="auto" w:fill="auto"/>
            <w:vAlign w:val="center"/>
          </w:tcPr>
          <w:p>
            <w:pPr>
              <w:pStyle w:val="105"/>
            </w:pPr>
            <w:r>
              <w:rPr>
                <w:rFonts w:hint="eastAsia"/>
                <w:szCs w:val="21"/>
              </w:rPr>
              <w:t>符合。本项目属于公路建设项目，不涉及使用高污染燃料的设施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450" w:type="pct"/>
            <w:vMerge w:val="restart"/>
            <w:shd w:val="clear" w:color="auto" w:fill="auto"/>
            <w:vAlign w:val="center"/>
          </w:tcPr>
          <w:p>
            <w:pPr>
              <w:pStyle w:val="105"/>
              <w:ind w:left="-72" w:leftChars="-30" w:right="-72" w:rightChars="-30"/>
              <w:rPr>
                <w:szCs w:val="21"/>
              </w:rPr>
            </w:pPr>
            <w:r>
              <w:rPr>
                <w:rFonts w:hint="eastAsia"/>
                <w:szCs w:val="21"/>
              </w:rPr>
              <w:t>福清市重点管控单元1（</w:t>
            </w:r>
            <w:r>
              <w:rPr>
                <w:szCs w:val="21"/>
              </w:rPr>
              <w:t>ZH35018120008</w:t>
            </w:r>
            <w:r>
              <w:rPr>
                <w:rFonts w:hint="eastAsia"/>
                <w:szCs w:val="21"/>
              </w:rPr>
              <w:t>）</w:t>
            </w:r>
          </w:p>
        </w:tc>
        <w:tc>
          <w:tcPr>
            <w:tcW w:w="249" w:type="pct"/>
            <w:vMerge w:val="restart"/>
            <w:shd w:val="clear" w:color="auto" w:fill="auto"/>
            <w:vAlign w:val="center"/>
          </w:tcPr>
          <w:p>
            <w:pPr>
              <w:pStyle w:val="105"/>
              <w:ind w:left="-72" w:leftChars="-30" w:right="-72" w:rightChars="-30"/>
              <w:rPr>
                <w:szCs w:val="21"/>
              </w:rPr>
            </w:pPr>
            <w:r>
              <w:rPr>
                <w:rFonts w:hint="eastAsia"/>
                <w:szCs w:val="21"/>
              </w:rPr>
              <w:t>重点管控单元</w:t>
            </w:r>
          </w:p>
        </w:tc>
        <w:tc>
          <w:tcPr>
            <w:tcW w:w="299" w:type="pct"/>
            <w:shd w:val="clear" w:color="auto" w:fill="auto"/>
            <w:vAlign w:val="center"/>
          </w:tcPr>
          <w:p>
            <w:pPr>
              <w:pStyle w:val="105"/>
              <w:ind w:left="-72" w:leftChars="-30" w:right="-72" w:rightChars="-30"/>
              <w:rPr>
                <w:szCs w:val="21"/>
              </w:rPr>
            </w:pPr>
            <w:r>
              <w:rPr>
                <w:rFonts w:hint="eastAsia"/>
                <w:szCs w:val="21"/>
              </w:rPr>
              <w:t>空间布局约束</w:t>
            </w:r>
          </w:p>
        </w:tc>
        <w:tc>
          <w:tcPr>
            <w:tcW w:w="2501" w:type="pct"/>
            <w:shd w:val="clear" w:color="auto" w:fill="auto"/>
            <w:vAlign w:val="center"/>
          </w:tcPr>
          <w:p>
            <w:pPr>
              <w:pStyle w:val="105"/>
              <w:ind w:left="-72" w:leftChars="-30" w:right="-72" w:rightChars="-30"/>
              <w:rPr>
                <w:szCs w:val="21"/>
              </w:rPr>
            </w:pPr>
            <w:r>
              <w:rPr>
                <w:rFonts w:hint="eastAsia"/>
                <w:szCs w:val="21"/>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1500" w:type="pct"/>
            <w:shd w:val="clear" w:color="auto" w:fill="auto"/>
            <w:vAlign w:val="center"/>
          </w:tcPr>
          <w:p>
            <w:pPr>
              <w:pStyle w:val="105"/>
              <w:ind w:left="-72" w:leftChars="-30" w:right="-72" w:rightChars="-30"/>
              <w:rPr>
                <w:szCs w:val="21"/>
              </w:rPr>
            </w:pPr>
            <w:r>
              <w:rPr>
                <w:rFonts w:hint="eastAsia"/>
                <w:szCs w:val="21"/>
              </w:rPr>
              <w:t>符合。</w:t>
            </w:r>
          </w:p>
          <w:p>
            <w:pPr>
              <w:pStyle w:val="105"/>
              <w:ind w:left="-72" w:leftChars="-30" w:right="-72" w:rightChars="-30"/>
              <w:rPr>
                <w:szCs w:val="21"/>
              </w:rPr>
            </w:pPr>
            <w:r>
              <w:rPr>
                <w:rFonts w:hint="eastAsia"/>
                <w:szCs w:val="21"/>
              </w:rPr>
              <w:t>本项目属于公路建设项目，不涉及以上空间布局。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450" w:type="pct"/>
            <w:vMerge w:val="continue"/>
            <w:shd w:val="clear" w:color="auto" w:fill="auto"/>
            <w:vAlign w:val="center"/>
          </w:tcPr>
          <w:p>
            <w:pPr>
              <w:pStyle w:val="105"/>
              <w:ind w:left="-72" w:leftChars="-30" w:right="-72" w:rightChars="-30"/>
              <w:rPr>
                <w:szCs w:val="21"/>
              </w:rPr>
            </w:pPr>
          </w:p>
        </w:tc>
        <w:tc>
          <w:tcPr>
            <w:tcW w:w="249" w:type="pct"/>
            <w:vMerge w:val="continue"/>
            <w:shd w:val="clear" w:color="auto" w:fill="auto"/>
            <w:vAlign w:val="center"/>
          </w:tcPr>
          <w:p>
            <w:pPr>
              <w:pStyle w:val="105"/>
              <w:ind w:left="-72" w:leftChars="-30" w:right="-72" w:rightChars="-30"/>
              <w:rPr>
                <w:szCs w:val="21"/>
              </w:rPr>
            </w:pPr>
          </w:p>
        </w:tc>
        <w:tc>
          <w:tcPr>
            <w:tcW w:w="299" w:type="pct"/>
            <w:shd w:val="clear" w:color="auto" w:fill="auto"/>
            <w:vAlign w:val="center"/>
          </w:tcPr>
          <w:p>
            <w:pPr>
              <w:pStyle w:val="105"/>
              <w:ind w:left="-72" w:leftChars="-30" w:right="-72" w:rightChars="-30"/>
              <w:rPr>
                <w:szCs w:val="21"/>
              </w:rPr>
            </w:pPr>
            <w:r>
              <w:rPr>
                <w:rFonts w:hint="eastAsia"/>
                <w:szCs w:val="21"/>
              </w:rPr>
              <w:t>污染物排放管控</w:t>
            </w:r>
          </w:p>
        </w:tc>
        <w:tc>
          <w:tcPr>
            <w:tcW w:w="2501" w:type="pct"/>
            <w:shd w:val="clear" w:color="auto" w:fill="auto"/>
            <w:vAlign w:val="center"/>
          </w:tcPr>
          <w:p>
            <w:pPr>
              <w:pStyle w:val="105"/>
              <w:ind w:left="-72" w:leftChars="-30" w:right="-72" w:rightChars="-30"/>
              <w:rPr>
                <w:szCs w:val="21"/>
              </w:rPr>
            </w:pPr>
            <w:r>
              <w:rPr>
                <w:rFonts w:hint="eastAsia"/>
                <w:szCs w:val="21"/>
              </w:rPr>
              <w:t>落实新增二氧化硫、氮氧化物和VOCs排放总量控制要求。</w:t>
            </w:r>
          </w:p>
          <w:p>
            <w:pPr>
              <w:pStyle w:val="105"/>
              <w:ind w:left="-72" w:leftChars="-30" w:right="-72" w:rightChars="-30"/>
              <w:rPr>
                <w:szCs w:val="21"/>
              </w:rPr>
            </w:pPr>
          </w:p>
        </w:tc>
        <w:tc>
          <w:tcPr>
            <w:tcW w:w="1500" w:type="pct"/>
            <w:shd w:val="clear" w:color="auto" w:fill="auto"/>
            <w:vAlign w:val="center"/>
          </w:tcPr>
          <w:p>
            <w:pPr>
              <w:pStyle w:val="105"/>
              <w:ind w:left="-72" w:leftChars="-30" w:right="-72" w:rightChars="-30"/>
              <w:rPr>
                <w:szCs w:val="21"/>
              </w:rPr>
            </w:pPr>
            <w:r>
              <w:rPr>
                <w:rFonts w:hint="eastAsia"/>
                <w:szCs w:val="21"/>
              </w:rPr>
              <w:t>符合。</w:t>
            </w:r>
          </w:p>
          <w:p>
            <w:pPr>
              <w:pStyle w:val="105"/>
              <w:ind w:left="-72" w:leftChars="-30" w:right="-72" w:rightChars="-30"/>
              <w:rPr>
                <w:szCs w:val="21"/>
              </w:rPr>
            </w:pPr>
            <w:r>
              <w:rPr>
                <w:rFonts w:hint="eastAsia"/>
                <w:szCs w:val="21"/>
              </w:rPr>
              <w:t>本项目属于公路建设项目，本身不排放污染物，不涉及以上污染物排放。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450" w:type="pct"/>
            <w:vMerge w:val="continue"/>
            <w:shd w:val="clear" w:color="auto" w:fill="auto"/>
            <w:vAlign w:val="center"/>
          </w:tcPr>
          <w:p>
            <w:pPr>
              <w:pStyle w:val="105"/>
              <w:ind w:left="-72" w:leftChars="-30" w:right="-72" w:rightChars="-30"/>
              <w:rPr>
                <w:szCs w:val="21"/>
              </w:rPr>
            </w:pPr>
          </w:p>
        </w:tc>
        <w:tc>
          <w:tcPr>
            <w:tcW w:w="249" w:type="pct"/>
            <w:vMerge w:val="continue"/>
            <w:shd w:val="clear" w:color="auto" w:fill="auto"/>
            <w:vAlign w:val="center"/>
          </w:tcPr>
          <w:p>
            <w:pPr>
              <w:pStyle w:val="105"/>
              <w:ind w:left="-72" w:leftChars="-30" w:right="-72" w:rightChars="-30"/>
              <w:rPr>
                <w:szCs w:val="21"/>
              </w:rPr>
            </w:pPr>
          </w:p>
        </w:tc>
        <w:tc>
          <w:tcPr>
            <w:tcW w:w="299" w:type="pct"/>
            <w:shd w:val="clear" w:color="auto" w:fill="auto"/>
            <w:vAlign w:val="center"/>
          </w:tcPr>
          <w:p>
            <w:pPr>
              <w:pStyle w:val="105"/>
              <w:ind w:left="-72" w:leftChars="-30" w:right="-72" w:rightChars="-30"/>
              <w:rPr>
                <w:szCs w:val="21"/>
              </w:rPr>
            </w:pPr>
            <w:r>
              <w:rPr>
                <w:rFonts w:hint="eastAsia"/>
                <w:szCs w:val="21"/>
              </w:rPr>
              <w:t>环境风险防控</w:t>
            </w:r>
          </w:p>
        </w:tc>
        <w:tc>
          <w:tcPr>
            <w:tcW w:w="2501" w:type="pct"/>
            <w:shd w:val="clear" w:color="auto" w:fill="auto"/>
            <w:vAlign w:val="center"/>
          </w:tcPr>
          <w:p>
            <w:pPr>
              <w:pStyle w:val="105"/>
              <w:ind w:left="-72" w:leftChars="-30" w:right="-72" w:rightChars="-30"/>
              <w:rPr>
                <w:szCs w:val="21"/>
              </w:rPr>
            </w:pPr>
            <w:r>
              <w:rPr>
                <w:rFonts w:hint="eastAsia"/>
                <w:szCs w:val="21"/>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500" w:type="pct"/>
            <w:shd w:val="clear" w:color="auto" w:fill="auto"/>
            <w:vAlign w:val="center"/>
          </w:tcPr>
          <w:p>
            <w:pPr>
              <w:pStyle w:val="105"/>
              <w:ind w:left="-72" w:leftChars="-30" w:right="-72" w:rightChars="-30"/>
              <w:rPr>
                <w:szCs w:val="21"/>
              </w:rPr>
            </w:pPr>
            <w:r>
              <w:rPr>
                <w:rFonts w:hint="eastAsia"/>
                <w:szCs w:val="21"/>
              </w:rPr>
              <w:t>符合。</w:t>
            </w:r>
          </w:p>
          <w:p>
            <w:pPr>
              <w:pStyle w:val="105"/>
              <w:ind w:left="-72" w:leftChars="-30" w:right="-72" w:rightChars="-30"/>
              <w:rPr>
                <w:szCs w:val="21"/>
              </w:rPr>
            </w:pPr>
            <w:r>
              <w:rPr>
                <w:rFonts w:hint="eastAsia"/>
                <w:szCs w:val="21"/>
              </w:rPr>
              <w:t>本项目属于公路建设项目，不涉及以上环境风险行业。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450" w:type="pct"/>
            <w:vMerge w:val="continue"/>
            <w:shd w:val="clear" w:color="auto" w:fill="auto"/>
            <w:vAlign w:val="center"/>
          </w:tcPr>
          <w:p>
            <w:pPr>
              <w:pStyle w:val="105"/>
              <w:ind w:left="-72" w:leftChars="-30" w:right="-72" w:rightChars="-30"/>
              <w:rPr>
                <w:szCs w:val="21"/>
              </w:rPr>
            </w:pPr>
          </w:p>
        </w:tc>
        <w:tc>
          <w:tcPr>
            <w:tcW w:w="249" w:type="pct"/>
            <w:vMerge w:val="continue"/>
            <w:shd w:val="clear" w:color="auto" w:fill="auto"/>
            <w:vAlign w:val="center"/>
          </w:tcPr>
          <w:p>
            <w:pPr>
              <w:pStyle w:val="105"/>
              <w:ind w:left="-72" w:leftChars="-30" w:right="-72" w:rightChars="-30"/>
              <w:rPr>
                <w:szCs w:val="21"/>
              </w:rPr>
            </w:pPr>
          </w:p>
        </w:tc>
        <w:tc>
          <w:tcPr>
            <w:tcW w:w="299" w:type="pct"/>
            <w:shd w:val="clear" w:color="auto" w:fill="auto"/>
            <w:vAlign w:val="center"/>
          </w:tcPr>
          <w:p>
            <w:pPr>
              <w:pStyle w:val="105"/>
              <w:ind w:left="-72" w:leftChars="-30" w:right="-72" w:rightChars="-30"/>
              <w:rPr>
                <w:szCs w:val="21"/>
              </w:rPr>
            </w:pPr>
            <w:r>
              <w:rPr>
                <w:rFonts w:hint="eastAsia"/>
                <w:szCs w:val="21"/>
              </w:rPr>
              <w:t>资源开发效率要求</w:t>
            </w:r>
          </w:p>
        </w:tc>
        <w:tc>
          <w:tcPr>
            <w:tcW w:w="2501" w:type="pct"/>
            <w:shd w:val="clear" w:color="auto" w:fill="auto"/>
            <w:vAlign w:val="center"/>
          </w:tcPr>
          <w:p>
            <w:pPr>
              <w:pStyle w:val="105"/>
              <w:ind w:left="-72" w:leftChars="-30" w:right="-72" w:rightChars="-30"/>
              <w:rPr>
                <w:szCs w:val="21"/>
              </w:rPr>
            </w:pPr>
            <w:r>
              <w:rPr>
                <w:rFonts w:hint="eastAsia"/>
                <w:szCs w:val="21"/>
              </w:rPr>
              <w:t>高污染燃料禁燃区内禁止燃用高污染燃料，禁止新建、扩建燃用高污染燃料的设施。已建的燃用高污染燃料设施，限期改用电、天然气、液化石油气等清洁能源。</w:t>
            </w:r>
          </w:p>
        </w:tc>
        <w:tc>
          <w:tcPr>
            <w:tcW w:w="1500" w:type="pct"/>
            <w:shd w:val="clear" w:color="auto" w:fill="auto"/>
            <w:vAlign w:val="center"/>
          </w:tcPr>
          <w:p>
            <w:pPr>
              <w:pStyle w:val="105"/>
              <w:ind w:left="-72" w:leftChars="-30" w:right="-72" w:rightChars="-30"/>
              <w:rPr>
                <w:szCs w:val="21"/>
              </w:rPr>
            </w:pPr>
            <w:r>
              <w:rPr>
                <w:rFonts w:hint="eastAsia"/>
                <w:szCs w:val="21"/>
              </w:rPr>
              <w:t>符合。本项目属于公路建设项目，不涉及使用高污染燃料的设施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450" w:type="pct"/>
            <w:vMerge w:val="restart"/>
            <w:shd w:val="clear" w:color="auto" w:fill="auto"/>
            <w:vAlign w:val="center"/>
          </w:tcPr>
          <w:p>
            <w:pPr>
              <w:pStyle w:val="105"/>
              <w:ind w:left="-72" w:leftChars="-30" w:right="-72" w:rightChars="-30"/>
              <w:rPr>
                <w:szCs w:val="21"/>
              </w:rPr>
            </w:pPr>
            <w:r>
              <w:rPr>
                <w:rFonts w:hint="eastAsia"/>
                <w:szCs w:val="21"/>
              </w:rPr>
              <w:t>福清市一般管控单元（</w:t>
            </w:r>
            <w:r>
              <w:rPr>
                <w:rFonts w:hint="eastAsia"/>
              </w:rPr>
              <w:t>ZH35018130001</w:t>
            </w:r>
            <w:r>
              <w:rPr>
                <w:rFonts w:hint="eastAsia"/>
                <w:szCs w:val="21"/>
              </w:rPr>
              <w:t>）</w:t>
            </w:r>
          </w:p>
        </w:tc>
        <w:tc>
          <w:tcPr>
            <w:tcW w:w="249" w:type="pct"/>
            <w:vMerge w:val="restart"/>
            <w:shd w:val="clear" w:color="auto" w:fill="auto"/>
            <w:vAlign w:val="center"/>
          </w:tcPr>
          <w:p>
            <w:pPr>
              <w:pStyle w:val="105"/>
              <w:ind w:left="-72" w:leftChars="-30" w:right="-72" w:rightChars="-30"/>
              <w:rPr>
                <w:szCs w:val="21"/>
              </w:rPr>
            </w:pPr>
            <w:r>
              <w:rPr>
                <w:rFonts w:hint="eastAsia"/>
                <w:szCs w:val="21"/>
              </w:rPr>
              <w:t>一般管控单元</w:t>
            </w:r>
          </w:p>
        </w:tc>
        <w:tc>
          <w:tcPr>
            <w:tcW w:w="299" w:type="pct"/>
            <w:shd w:val="clear" w:color="auto" w:fill="auto"/>
            <w:vAlign w:val="center"/>
          </w:tcPr>
          <w:p>
            <w:pPr>
              <w:pStyle w:val="105"/>
              <w:ind w:left="-72" w:leftChars="-30" w:right="-72" w:rightChars="-30"/>
              <w:rPr>
                <w:szCs w:val="21"/>
              </w:rPr>
            </w:pPr>
            <w:r>
              <w:rPr>
                <w:rFonts w:hint="eastAsia"/>
                <w:szCs w:val="21"/>
              </w:rPr>
              <w:t>空间布局约束</w:t>
            </w:r>
          </w:p>
        </w:tc>
        <w:tc>
          <w:tcPr>
            <w:tcW w:w="2501" w:type="pct"/>
            <w:shd w:val="clear" w:color="auto" w:fill="auto"/>
            <w:vAlign w:val="center"/>
          </w:tcPr>
          <w:p>
            <w:pPr>
              <w:pStyle w:val="105"/>
              <w:ind w:left="-72" w:leftChars="-30" w:right="-72" w:rightChars="-30"/>
              <w:rPr>
                <w:szCs w:val="21"/>
              </w:rPr>
            </w:pPr>
            <w:r>
              <w:rPr>
                <w:rFonts w:hint="eastAsia"/>
                <w:szCs w:val="21"/>
              </w:rPr>
              <w:t>1.一般建设项目不得占用永久基本农田，重大建设项目选址确实难以避让永久基本农田的，必须依法依规办理。严禁通过擅自调整县乡国土空间规划，规避占用永久基本农田的审批。2.禁止随意砍伐防风固沙林和农田保护林。</w:t>
            </w:r>
          </w:p>
        </w:tc>
        <w:tc>
          <w:tcPr>
            <w:tcW w:w="1500" w:type="pct"/>
            <w:shd w:val="clear" w:color="auto" w:fill="auto"/>
            <w:vAlign w:val="center"/>
          </w:tcPr>
          <w:p>
            <w:pPr>
              <w:pStyle w:val="105"/>
              <w:ind w:left="-72" w:leftChars="-30" w:right="-72" w:rightChars="-30"/>
              <w:rPr>
                <w:szCs w:val="21"/>
              </w:rPr>
            </w:pPr>
            <w:r>
              <w:rPr>
                <w:rFonts w:hint="eastAsia"/>
                <w:szCs w:val="21"/>
              </w:rPr>
              <w:t>符合。本项目永久占地和临时占地均不涉及永久基本农田。本项目已取得使用林地审核同意书。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450" w:type="pct"/>
            <w:vMerge w:val="continue"/>
            <w:shd w:val="clear" w:color="auto" w:fill="auto"/>
            <w:vAlign w:val="center"/>
          </w:tcPr>
          <w:p>
            <w:pPr>
              <w:pStyle w:val="105"/>
              <w:ind w:left="-72" w:leftChars="-30" w:right="-72" w:rightChars="-30"/>
              <w:rPr>
                <w:szCs w:val="21"/>
              </w:rPr>
            </w:pPr>
          </w:p>
        </w:tc>
        <w:tc>
          <w:tcPr>
            <w:tcW w:w="249" w:type="pct"/>
            <w:vMerge w:val="continue"/>
            <w:shd w:val="clear" w:color="auto" w:fill="auto"/>
            <w:vAlign w:val="center"/>
          </w:tcPr>
          <w:p>
            <w:pPr>
              <w:pStyle w:val="105"/>
              <w:ind w:left="-72" w:leftChars="-30" w:right="-72" w:rightChars="-30"/>
              <w:rPr>
                <w:szCs w:val="21"/>
              </w:rPr>
            </w:pPr>
          </w:p>
        </w:tc>
        <w:tc>
          <w:tcPr>
            <w:tcW w:w="299" w:type="pct"/>
            <w:shd w:val="clear" w:color="auto" w:fill="auto"/>
            <w:vAlign w:val="center"/>
          </w:tcPr>
          <w:p>
            <w:pPr>
              <w:pStyle w:val="105"/>
              <w:ind w:left="-72" w:leftChars="-30" w:right="-72" w:rightChars="-30"/>
              <w:rPr>
                <w:szCs w:val="21"/>
              </w:rPr>
            </w:pPr>
            <w:r>
              <w:rPr>
                <w:rFonts w:hint="eastAsia"/>
                <w:szCs w:val="21"/>
              </w:rPr>
              <w:t>资源开发效率要求</w:t>
            </w:r>
          </w:p>
        </w:tc>
        <w:tc>
          <w:tcPr>
            <w:tcW w:w="2501" w:type="pct"/>
            <w:shd w:val="clear" w:color="auto" w:fill="auto"/>
            <w:vAlign w:val="center"/>
          </w:tcPr>
          <w:p>
            <w:pPr>
              <w:pStyle w:val="105"/>
              <w:ind w:left="-72" w:leftChars="-30" w:right="-72" w:rightChars="-30"/>
              <w:rPr>
                <w:szCs w:val="21"/>
              </w:rPr>
            </w:pPr>
            <w:r>
              <w:rPr>
                <w:rFonts w:hint="eastAsia"/>
                <w:szCs w:val="21"/>
              </w:rPr>
              <w:t>高污染燃料禁燃区内禁止燃用高污染燃料，禁止新建、扩建燃用高污染燃料的设施。已建的燃用高污染燃料设施，限期改用电、天然气、液化石油气等清洁能源。</w:t>
            </w:r>
          </w:p>
        </w:tc>
        <w:tc>
          <w:tcPr>
            <w:tcW w:w="1500" w:type="pct"/>
            <w:shd w:val="clear" w:color="auto" w:fill="auto"/>
            <w:vAlign w:val="center"/>
          </w:tcPr>
          <w:p>
            <w:pPr>
              <w:pStyle w:val="105"/>
              <w:ind w:left="-72" w:leftChars="-30" w:right="-72" w:rightChars="-30"/>
              <w:rPr>
                <w:szCs w:val="21"/>
              </w:rPr>
            </w:pPr>
            <w:r>
              <w:rPr>
                <w:rFonts w:hint="eastAsia"/>
                <w:szCs w:val="21"/>
              </w:rPr>
              <w:t>符合。本项目属于公路建设项目，不涉及使用高污染燃料的设施</w:t>
            </w:r>
          </w:p>
        </w:tc>
      </w:tr>
    </w:tbl>
    <w:p>
      <w:pPr>
        <w:ind w:firstLine="480"/>
      </w:pPr>
    </w:p>
    <w:p>
      <w:pPr>
        <w:ind w:firstLine="480"/>
        <w:sectPr>
          <w:pgSz w:w="16838" w:h="11906" w:orient="landscape"/>
          <w:pgMar w:top="1418" w:right="1418" w:bottom="1418" w:left="1418" w:header="851" w:footer="851" w:gutter="0"/>
          <w:cols w:space="425" w:num="1"/>
          <w:docGrid w:linePitch="326" w:charSpace="0"/>
        </w:sectPr>
      </w:pPr>
    </w:p>
    <w:p>
      <w:pPr>
        <w:pStyle w:val="105"/>
      </w:pPr>
      <w:r>
        <mc:AlternateContent>
          <mc:Choice Requires="wps">
            <w:drawing>
              <wp:anchor distT="0" distB="0" distL="114300" distR="114300" simplePos="0" relativeHeight="251736064" behindDoc="0" locked="0" layoutInCell="1" allowOverlap="1">
                <wp:simplePos x="0" y="0"/>
                <wp:positionH relativeFrom="column">
                  <wp:posOffset>1534795</wp:posOffset>
                </wp:positionH>
                <wp:positionV relativeFrom="paragraph">
                  <wp:posOffset>1774825</wp:posOffset>
                </wp:positionV>
                <wp:extent cx="605790" cy="140335"/>
                <wp:effectExtent l="0" t="0" r="3810" b="12700"/>
                <wp:wrapNone/>
                <wp:docPr id="1622346445" name="文本框 1622346445"/>
                <wp:cNvGraphicFramePr/>
                <a:graphic xmlns:a="http://schemas.openxmlformats.org/drawingml/2006/main">
                  <a:graphicData uri="http://schemas.microsoft.com/office/word/2010/wordprocessingShape">
                    <wps:wsp>
                      <wps:cNvSpPr txBox="1"/>
                      <wps:spPr>
                        <a:xfrm>
                          <a:off x="0" y="0"/>
                          <a:ext cx="605860" cy="140245"/>
                        </a:xfrm>
                        <a:prstGeom prst="rect">
                          <a:avLst/>
                        </a:prstGeom>
                        <a:noFill/>
                        <a:ln w="6350">
                          <a:noFill/>
                        </a:ln>
                      </wps:spPr>
                      <wps:txbx>
                        <w:txbxContent>
                          <w:p>
                            <w:pPr>
                              <w:ind w:firstLine="0" w:firstLineChars="0"/>
                              <w:rPr>
                                <w:b/>
                                <w:bCs/>
                                <w:color w:val="FF0000"/>
                                <w:sz w:val="15"/>
                                <w:szCs w:val="13"/>
                              </w:rPr>
                            </w:pPr>
                            <w:r>
                              <w:rPr>
                                <w:rFonts w:hint="eastAsia"/>
                                <w:b/>
                                <w:bCs/>
                                <w:color w:val="FF0000"/>
                                <w:sz w:val="15"/>
                                <w:szCs w:val="13"/>
                              </w:rPr>
                              <w:t>一般管控单元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0.85pt;margin-top:139.75pt;height:11.05pt;width:47.7pt;z-index:251736064;mso-width-relative:page;mso-height-relative:page;" filled="f" stroked="f" coordsize="21600,21600" o:gfxdata="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CVxk/ZAAAACwEAAA8AAAAAAAAAAQAgAAAAIgAAAGRycy9k&#10;b3ducmV2LnhtbFBLAQIUABQAAAAIAIdO4kBJTSEBOgIAAGcEAAAOAAAAAAAAAAEAIAAAACgBAABk&#10;cnMvZTJvRG9jLnhtbFBLBQYAAAAABgAGAFkBAADUBQAAAAA=&#10;">
                <v:fill on="f" focussize="0,0"/>
                <v:stroke on="f" weight="0.5pt"/>
                <v:imagedata o:title=""/>
                <o:lock v:ext="edit" aspectratio="f"/>
                <v:textbox inset="0mm,0mm,0mm,0mm">
                  <w:txbxContent>
                    <w:p>
                      <w:pPr>
                        <w:ind w:firstLine="0" w:firstLineChars="0"/>
                        <w:rPr>
                          <w:b/>
                          <w:bCs/>
                          <w:color w:val="FF0000"/>
                          <w:sz w:val="15"/>
                          <w:szCs w:val="13"/>
                        </w:rPr>
                      </w:pPr>
                      <w:r>
                        <w:rPr>
                          <w:rFonts w:hint="eastAsia"/>
                          <w:b/>
                          <w:bCs/>
                          <w:color w:val="FF0000"/>
                          <w:sz w:val="15"/>
                          <w:szCs w:val="13"/>
                        </w:rPr>
                        <w:t>一般管控单元</w:t>
                      </w:r>
                    </w:p>
                  </w:txbxContent>
                </v:textbox>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3075940</wp:posOffset>
                </wp:positionH>
                <wp:positionV relativeFrom="paragraph">
                  <wp:posOffset>2004060</wp:posOffset>
                </wp:positionV>
                <wp:extent cx="605790" cy="140335"/>
                <wp:effectExtent l="0" t="0" r="3810" b="12700"/>
                <wp:wrapNone/>
                <wp:docPr id="51" name="文本框 51"/>
                <wp:cNvGraphicFramePr/>
                <a:graphic xmlns:a="http://schemas.openxmlformats.org/drawingml/2006/main">
                  <a:graphicData uri="http://schemas.microsoft.com/office/word/2010/wordprocessingShape">
                    <wps:wsp>
                      <wps:cNvSpPr txBox="1"/>
                      <wps:spPr>
                        <a:xfrm>
                          <a:off x="0" y="0"/>
                          <a:ext cx="605860" cy="140245"/>
                        </a:xfrm>
                        <a:prstGeom prst="rect">
                          <a:avLst/>
                        </a:prstGeom>
                        <a:noFill/>
                        <a:ln w="6350">
                          <a:noFill/>
                        </a:ln>
                      </wps:spPr>
                      <wps:txbx>
                        <w:txbxContent>
                          <w:p>
                            <w:pPr>
                              <w:ind w:firstLine="0" w:firstLineChars="0"/>
                              <w:rPr>
                                <w:b/>
                                <w:bCs/>
                                <w:color w:val="FF0000"/>
                                <w:sz w:val="15"/>
                                <w:szCs w:val="13"/>
                              </w:rPr>
                            </w:pPr>
                            <w:r>
                              <w:rPr>
                                <w:rFonts w:hint="eastAsia"/>
                                <w:b/>
                                <w:bCs/>
                                <w:color w:val="FF0000"/>
                                <w:sz w:val="15"/>
                                <w:szCs w:val="13"/>
                              </w:rPr>
                              <w:t>优先保护单元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2.2pt;margin-top:157.8pt;height:11.05pt;width:47.7pt;z-index:251732992;mso-width-relative:page;mso-height-relative:page;" filled="f" stroked="f" coordsize="21600,21600" o:gfxdata="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0GMk2gAAAAsBAAAPAAAAAAAAAAEAIAAAACIAAABkcnMvZG93bnJldi54&#10;bWxQSwECFAAUAAAACACHTuJAY2UvCjECAABXBAAADgAAAAAAAAABACAAAAApAQAAZHJzL2Uyb0Rv&#10;Yy54bWxQSwUGAAAAAAYABgBZAQAAzAUAAAAA&#10;">
                <v:fill on="f" focussize="0,0"/>
                <v:stroke on="f" weight="0.5pt"/>
                <v:imagedata o:title=""/>
                <o:lock v:ext="edit" aspectratio="f"/>
                <v:textbox inset="0mm,0mm,0mm,0mm">
                  <w:txbxContent>
                    <w:p>
                      <w:pPr>
                        <w:ind w:firstLine="0" w:firstLineChars="0"/>
                        <w:rPr>
                          <w:b/>
                          <w:bCs/>
                          <w:color w:val="FF0000"/>
                          <w:sz w:val="15"/>
                          <w:szCs w:val="13"/>
                        </w:rPr>
                      </w:pPr>
                      <w:r>
                        <w:rPr>
                          <w:rFonts w:hint="eastAsia"/>
                          <w:b/>
                          <w:bCs/>
                          <w:color w:val="FF0000"/>
                          <w:sz w:val="15"/>
                          <w:szCs w:val="13"/>
                        </w:rPr>
                        <w:t>优先保护单元</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1623695</wp:posOffset>
                </wp:positionH>
                <wp:positionV relativeFrom="paragraph">
                  <wp:posOffset>2423160</wp:posOffset>
                </wp:positionV>
                <wp:extent cx="492760" cy="224790"/>
                <wp:effectExtent l="0" t="304800" r="193040" b="22860"/>
                <wp:wrapNone/>
                <wp:docPr id="10" name="对话气泡: 圆角矩形 10"/>
                <wp:cNvGraphicFramePr/>
                <a:graphic xmlns:a="http://schemas.openxmlformats.org/drawingml/2006/main">
                  <a:graphicData uri="http://schemas.microsoft.com/office/word/2010/wordprocessingShape">
                    <wps:wsp>
                      <wps:cNvSpPr/>
                      <wps:spPr>
                        <a:xfrm>
                          <a:off x="0" y="0"/>
                          <a:ext cx="492760" cy="224790"/>
                        </a:xfrm>
                        <a:prstGeom prst="wedgeRoundRectCallout">
                          <a:avLst>
                            <a:gd name="adj1" fmla="val 75257"/>
                            <a:gd name="adj2" fmla="val -16740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jc w:val="center"/>
                              <w:rPr>
                                <w:b/>
                                <w:bCs/>
                                <w:color w:val="FF0000"/>
                              </w:rPr>
                            </w:pPr>
                            <w:r>
                              <w:rPr>
                                <w:rFonts w:hint="eastAsia"/>
                                <w:b/>
                                <w:bCs/>
                                <w:color w:val="FF0000"/>
                              </w:rPr>
                              <w:t>本项目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0" o:spid="_x0000_s1026" o:spt="62" type="#_x0000_t62" style="position:absolute;left:0pt;margin-left:127.85pt;margin-top:190.8pt;height:17.7pt;width:38.8pt;z-index:251665408;v-text-anchor:middle;mso-width-relative:page;mso-height-relative:page;" fillcolor="#FFFFFF [3212]" filled="t" stroked="t" coordsize="21600,21600" o:gfxdata="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vJIpT1wAA&#10;AAsBAAAPAAAAAAAAAAEAIAAAACIAAABkcnMvZG93bnJldi54bWxQSwECFAAUAAAACACHTuJAVtt4&#10;qcoCAACMBQAADgAAAAAAAAABACAAAAAmAQAAZHJzL2Uyb0RvYy54bWxQSwUGAAAAAAYABgBZAQAA&#10;YgYAAAAA&#10;" adj="27056,-25359,14400">
                <v:fill on="t" focussize="0,0"/>
                <v:stroke weight="1pt" color="#000000 [3213]" miterlimit="8" joinstyle="miter"/>
                <v:imagedata o:title=""/>
                <o:lock v:ext="edit" aspectratio="f"/>
                <v:textbox inset="0mm,0mm,0mm,0mm">
                  <w:txbxContent>
                    <w:p>
                      <w:pPr>
                        <w:pStyle w:val="105"/>
                        <w:spacing w:before="0" w:after="0"/>
                        <w:jc w:val="center"/>
                        <w:rPr>
                          <w:b/>
                          <w:bCs/>
                          <w:color w:val="FF0000"/>
                        </w:rPr>
                      </w:pPr>
                      <w:r>
                        <w:rPr>
                          <w:rFonts w:hint="eastAsia"/>
                          <w:b/>
                          <w:bCs/>
                          <w:color w:val="FF0000"/>
                        </w:rPr>
                        <w:t>本项目</w:t>
                      </w: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3206115</wp:posOffset>
                </wp:positionH>
                <wp:positionV relativeFrom="paragraph">
                  <wp:posOffset>2426970</wp:posOffset>
                </wp:positionV>
                <wp:extent cx="605790" cy="140335"/>
                <wp:effectExtent l="99695" t="0" r="160655" b="0"/>
                <wp:wrapNone/>
                <wp:docPr id="1622346434" name="文本框 1622346434"/>
                <wp:cNvGraphicFramePr/>
                <a:graphic xmlns:a="http://schemas.openxmlformats.org/drawingml/2006/main">
                  <a:graphicData uri="http://schemas.microsoft.com/office/word/2010/wordprocessingShape">
                    <wps:wsp>
                      <wps:cNvSpPr txBox="1"/>
                      <wps:spPr>
                        <a:xfrm rot="18211787">
                          <a:off x="0" y="0"/>
                          <a:ext cx="605860" cy="140245"/>
                        </a:xfrm>
                        <a:prstGeom prst="rect">
                          <a:avLst/>
                        </a:prstGeom>
                        <a:noFill/>
                        <a:ln w="6350">
                          <a:noFill/>
                        </a:ln>
                      </wps:spPr>
                      <wps:txbx>
                        <w:txbxContent>
                          <w:p>
                            <w:pPr>
                              <w:ind w:firstLine="0" w:firstLineChars="0"/>
                              <w:rPr>
                                <w:b/>
                                <w:bCs/>
                                <w:color w:val="FF0000"/>
                                <w:sz w:val="15"/>
                                <w:szCs w:val="13"/>
                              </w:rPr>
                            </w:pPr>
                            <w:r>
                              <w:rPr>
                                <w:rFonts w:hint="eastAsia"/>
                                <w:b/>
                                <w:bCs/>
                                <w:color w:val="FF0000"/>
                                <w:sz w:val="15"/>
                                <w:szCs w:val="13"/>
                              </w:rPr>
                              <w:t>重点管控单元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2.45pt;margin-top:191.1pt;height:11.05pt;width:47.7pt;rotation:-3700832f;z-index:251735040;mso-width-relative:page;mso-height-relative:page;" filled="f" stroked="f" coordsize="21600,21600" o:gfxdata="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lLNy/aAAAACwEAAA8AAAAAAAAAAQAg&#10;AAAAIgAAAGRycy9kb3ducmV2LnhtbFBLAQIUABQAAAAIAIdO4kBPciDyRQIAAHYEAAAOAAAAAAAA&#10;AAEAIAAAACkBAABkcnMvZTJvRG9jLnhtbFBLBQYAAAAABgAGAFkBAADgBQAAAAA=&#10;">
                <v:fill on="f" focussize="0,0"/>
                <v:stroke on="f" weight="0.5pt"/>
                <v:imagedata o:title=""/>
                <o:lock v:ext="edit" aspectratio="f"/>
                <v:textbox inset="0mm,0mm,0mm,0mm">
                  <w:txbxContent>
                    <w:p>
                      <w:pPr>
                        <w:ind w:firstLine="0" w:firstLineChars="0"/>
                        <w:rPr>
                          <w:b/>
                          <w:bCs/>
                          <w:color w:val="FF0000"/>
                          <w:sz w:val="15"/>
                          <w:szCs w:val="13"/>
                        </w:rPr>
                      </w:pPr>
                      <w:r>
                        <w:rPr>
                          <w:rFonts w:hint="eastAsia"/>
                          <w:b/>
                          <w:bCs/>
                          <w:color w:val="FF0000"/>
                          <w:sz w:val="15"/>
                          <w:szCs w:val="13"/>
                        </w:rPr>
                        <w:t>重点管控单元</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-97790</wp:posOffset>
                </wp:positionH>
                <wp:positionV relativeFrom="paragraph">
                  <wp:posOffset>1399540</wp:posOffset>
                </wp:positionV>
                <wp:extent cx="605790" cy="140335"/>
                <wp:effectExtent l="80645" t="14605" r="122555" b="8255"/>
                <wp:wrapNone/>
                <wp:docPr id="63" name="文本框 63"/>
                <wp:cNvGraphicFramePr/>
                <a:graphic xmlns:a="http://schemas.openxmlformats.org/drawingml/2006/main">
                  <a:graphicData uri="http://schemas.microsoft.com/office/word/2010/wordprocessingShape">
                    <wps:wsp>
                      <wps:cNvSpPr txBox="1"/>
                      <wps:spPr>
                        <a:xfrm rot="3904496">
                          <a:off x="0" y="0"/>
                          <a:ext cx="605860" cy="140245"/>
                        </a:xfrm>
                        <a:prstGeom prst="rect">
                          <a:avLst/>
                        </a:prstGeom>
                        <a:noFill/>
                        <a:ln w="6350">
                          <a:noFill/>
                        </a:ln>
                      </wps:spPr>
                      <wps:txbx>
                        <w:txbxContent>
                          <w:p>
                            <w:pPr>
                              <w:ind w:firstLine="0" w:firstLineChars="0"/>
                              <w:rPr>
                                <w:b/>
                                <w:bCs/>
                                <w:color w:val="FF0000"/>
                                <w:sz w:val="15"/>
                                <w:szCs w:val="13"/>
                              </w:rPr>
                            </w:pPr>
                            <w:r>
                              <w:rPr>
                                <w:rFonts w:hint="eastAsia"/>
                                <w:b/>
                                <w:bCs/>
                                <w:color w:val="FF0000"/>
                                <w:sz w:val="15"/>
                                <w:szCs w:val="13"/>
                              </w:rPr>
                              <w:t>优先保护单元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7pt;margin-top:110.2pt;height:11.05pt;width:47.7pt;rotation:4264751f;z-index:251734016;mso-width-relative:page;mso-height-relative:page;" filled="f" stroked="f" coordsize="21600,21600" o:gfxdata="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N/QbYAAAACgEAAA8AAAAAAAAAAQAgAAAAIgAAAGRycy9k&#10;b3ducmV2LnhtbFBLAQIUABQAAAAIAIdO4kC6ZbXdOwIAAGUEAAAOAAAAAAAAAAEAIAAAACcBAABk&#10;cnMvZTJvRG9jLnhtbFBLBQYAAAAABgAGAFkBAADUBQAAAAA=&#10;">
                <v:fill on="f" focussize="0,0"/>
                <v:stroke on="f" weight="0.5pt"/>
                <v:imagedata o:title=""/>
                <o:lock v:ext="edit" aspectratio="f"/>
                <v:textbox inset="0mm,0mm,0mm,0mm">
                  <w:txbxContent>
                    <w:p>
                      <w:pPr>
                        <w:ind w:firstLine="0" w:firstLineChars="0"/>
                        <w:rPr>
                          <w:b/>
                          <w:bCs/>
                          <w:color w:val="FF0000"/>
                          <w:sz w:val="15"/>
                          <w:szCs w:val="13"/>
                        </w:rPr>
                      </w:pPr>
                      <w:r>
                        <w:rPr>
                          <w:rFonts w:hint="eastAsia"/>
                          <w:b/>
                          <w:bCs/>
                          <w:color w:val="FF0000"/>
                          <w:sz w:val="15"/>
                          <w:szCs w:val="13"/>
                        </w:rPr>
                        <w:t>优先保护单元</w:t>
                      </w:r>
                    </w:p>
                  </w:txbxContent>
                </v:textbox>
              </v:shape>
            </w:pict>
          </mc:Fallback>
        </mc:AlternateContent>
      </w:r>
      <w:bookmarkStart w:id="34" w:name="_Hlk195520019"/>
    </w:p>
    <w:p>
      <w:pPr>
        <w:pStyle w:val="122"/>
        <w:ind w:left="420" w:hanging="420"/>
      </w:pPr>
      <w:r>
        <w:rPr>
          <w:rFonts w:hint="eastAsia"/>
        </w:rPr>
        <w:t>项目与“三线一单”生态环境分区管控单元位置关系图</w:t>
      </w:r>
    </w:p>
    <w:p>
      <w:pPr>
        <w:pStyle w:val="120"/>
        <w:rPr>
          <w:color w:val="auto"/>
        </w:rPr>
      </w:pPr>
      <w:r>
        <w:rPr>
          <w:color w:val="auto"/>
        </w:rPr>
        <w:t>与国土空间规划“三区三线”符合性分析</w:t>
      </w:r>
    </w:p>
    <w:p>
      <w:pPr>
        <w:ind w:firstLine="480"/>
        <w:rPr>
          <w:szCs w:val="24"/>
        </w:rPr>
      </w:pPr>
      <w:r>
        <w:t>项目位于福建省福清市</w:t>
      </w:r>
      <w:r>
        <w:rPr>
          <w:rFonts w:hint="eastAsia"/>
        </w:rPr>
        <w:t>渔溪镇、上迳镇</w:t>
      </w:r>
      <w:r>
        <w:t>，</w:t>
      </w:r>
      <w:r>
        <w:rPr>
          <w:rFonts w:hint="eastAsia"/>
        </w:rPr>
        <w:t>对照</w:t>
      </w:r>
      <w:r>
        <w:t>国土空间规划</w:t>
      </w:r>
      <w:r>
        <w:rPr>
          <w:rFonts w:hint="eastAsia"/>
        </w:rPr>
        <w:t>“三区三线”</w:t>
      </w:r>
      <w:r>
        <w:rPr>
          <w:rFonts w:hint="eastAsia"/>
          <w:szCs w:val="24"/>
        </w:rPr>
        <w:t>，</w:t>
      </w:r>
      <w:r>
        <w:t>拟建项目</w:t>
      </w:r>
      <w:r>
        <w:rPr>
          <w:rFonts w:hint="eastAsia"/>
        </w:rPr>
        <w:t>不涉及永久</w:t>
      </w:r>
      <w:r>
        <w:t>基本农田</w:t>
      </w:r>
      <w:r>
        <w:rPr>
          <w:rFonts w:hint="eastAsia"/>
        </w:rPr>
        <w:t>，不</w:t>
      </w:r>
      <w:r>
        <w:rPr>
          <w:szCs w:val="24"/>
        </w:rPr>
        <w:t>涉及生态红线。</w:t>
      </w:r>
    </w:p>
    <w:p>
      <w:pPr>
        <w:ind w:firstLine="480"/>
      </w:pPr>
      <w:r>
        <w:t>综上所述，满足国土空间规划“三区三线”的要求。</w:t>
      </w:r>
    </w:p>
    <w:bookmarkEnd w:id="34"/>
    <w:p>
      <w:pPr>
        <w:pStyle w:val="120"/>
        <w:rPr>
          <w:color w:val="auto"/>
          <w:lang w:val="zh-CN"/>
        </w:rPr>
      </w:pPr>
      <w:bookmarkStart w:id="35" w:name="_Hlk195520058"/>
      <w:r>
        <w:rPr>
          <w:rFonts w:hint="eastAsia"/>
          <w:color w:val="auto"/>
        </w:rPr>
        <w:t>区域规划</w:t>
      </w:r>
      <w:r>
        <w:rPr>
          <w:color w:val="auto"/>
        </w:rPr>
        <w:t>符合性</w:t>
      </w:r>
    </w:p>
    <w:p>
      <w:pPr>
        <w:ind w:firstLine="480"/>
        <w:rPr>
          <w:lang w:val="zh-CN"/>
        </w:rPr>
      </w:pPr>
      <w:r>
        <w:t>项目建成后，将极大改善该区域原有公路网的通行能力，对该地区经济的发展起到非常重要的作用。项目符合</w:t>
      </w:r>
      <w:bookmarkStart w:id="36" w:name="_Hlk195517471"/>
      <w:r>
        <w:rPr>
          <w:rFonts w:hint="eastAsia"/>
        </w:rPr>
        <w:t>《福清市国土空间总体规划（2021—2035年）》</w:t>
      </w:r>
      <w:bookmarkEnd w:id="36"/>
      <w:r>
        <w:rPr>
          <w:rFonts w:hint="eastAsia"/>
        </w:rPr>
        <w:t>“</w:t>
      </w:r>
      <w:r>
        <w:rPr>
          <w:rFonts w:hint="eastAsia"/>
          <w:lang w:val="zh-CN"/>
        </w:rPr>
        <w:t>三区三线</w:t>
      </w:r>
      <w:r>
        <w:rPr>
          <w:rFonts w:hint="eastAsia"/>
        </w:rPr>
        <w:t>”</w:t>
      </w:r>
      <w:r>
        <w:rPr>
          <w:rFonts w:hint="eastAsia"/>
          <w:lang w:val="zh-CN"/>
        </w:rPr>
        <w:t>要求</w:t>
      </w:r>
      <w:r>
        <w:rPr>
          <w:lang w:val="zh-CN"/>
        </w:rPr>
        <w:t>。</w:t>
      </w:r>
      <w:r>
        <w:rPr>
          <w:rFonts w:hint="eastAsia"/>
          <w:lang w:val="zh-CN"/>
        </w:rPr>
        <w:t>项目的建设对于改善万福寺及沿线交通出行条件、整合旅游资源、完善交通网络、缓解交通压力等都具有重要的作用。</w:t>
      </w:r>
    </w:p>
    <w:p>
      <w:pPr>
        <w:pStyle w:val="116"/>
      </w:pPr>
      <w:bookmarkStart w:id="37" w:name="_Toc12206"/>
      <w:bookmarkStart w:id="38" w:name="_Toc204676220"/>
      <w:bookmarkStart w:id="39" w:name="_Toc159405448"/>
      <w:r>
        <w:t>关注的主要环境问题</w:t>
      </w:r>
      <w:bookmarkEnd w:id="37"/>
      <w:bookmarkEnd w:id="38"/>
      <w:bookmarkEnd w:id="39"/>
    </w:p>
    <w:p>
      <w:pPr>
        <w:pStyle w:val="19"/>
        <w:ind w:firstLine="474"/>
        <w:rPr>
          <w:rFonts w:ascii="Times New Roman" w:hAnsi="Times New Roman" w:cs="Times New Roman"/>
          <w:spacing w:val="-3"/>
        </w:rPr>
      </w:pPr>
      <w:r>
        <w:rPr>
          <w:rFonts w:hint="eastAsia" w:ascii="Times New Roman" w:hAnsi="Times New Roman" w:cs="Times New Roman"/>
          <w:spacing w:val="-3"/>
        </w:rPr>
        <w:t>本项目全线位于福清市境内，全线不涉及自然保护区、风景名胜区、水源保护区，不涉及生态保护红线和基本农田。</w:t>
      </w:r>
      <w:r>
        <w:rPr>
          <w:rFonts w:ascii="Times New Roman" w:hAnsi="Times New Roman" w:cs="Times New Roman"/>
          <w:spacing w:val="-3"/>
        </w:rPr>
        <w:t>项目属于</w:t>
      </w:r>
      <w:r>
        <w:rPr>
          <w:rFonts w:hint="eastAsia"/>
          <w:kern w:val="0"/>
        </w:rPr>
        <w:t>生态影响型</w:t>
      </w:r>
      <w:r>
        <w:rPr>
          <w:rFonts w:ascii="Times New Roman" w:hAnsi="Times New Roman" w:cs="Times New Roman"/>
          <w:spacing w:val="-3"/>
        </w:rPr>
        <w:t>项目，</w:t>
      </w:r>
      <w:r>
        <w:rPr>
          <w:rFonts w:hint="eastAsia" w:ascii="Times New Roman" w:hAnsi="Times New Roman" w:cs="Times New Roman"/>
          <w:spacing w:val="-3"/>
        </w:rPr>
        <w:t>项目的环境影响主要包括施工期和运营期的影响：</w:t>
      </w:r>
    </w:p>
    <w:p>
      <w:pPr>
        <w:pStyle w:val="19"/>
        <w:ind w:firstLine="474"/>
        <w:rPr>
          <w:rFonts w:ascii="Times New Roman" w:hAnsi="Times New Roman" w:cs="Times New Roman"/>
          <w:spacing w:val="-3"/>
        </w:rPr>
      </w:pPr>
      <w:r>
        <w:rPr>
          <w:rFonts w:hint="eastAsia" w:ascii="Times New Roman" w:hAnsi="Times New Roman" w:cs="Times New Roman"/>
          <w:spacing w:val="-3"/>
        </w:rPr>
        <w:t>施工期的环境影响主要是土地占用、工程开挖对植被、水土流失等的生态环境影响；施工扬尘、粉尘、沥青烟气对环境空气的影响；施工机械噪声对周围声环境的影响；施工期生活污水和施工废水对周围水体的影响。</w:t>
      </w:r>
    </w:p>
    <w:p>
      <w:pPr>
        <w:pStyle w:val="19"/>
        <w:ind w:firstLine="474"/>
        <w:rPr>
          <w:rFonts w:ascii="Times New Roman" w:hAnsi="Times New Roman" w:cs="Times New Roman"/>
          <w:spacing w:val="-3"/>
        </w:rPr>
      </w:pPr>
      <w:r>
        <w:rPr>
          <w:rFonts w:hint="eastAsia" w:ascii="Times New Roman" w:hAnsi="Times New Roman" w:cs="Times New Roman"/>
          <w:spacing w:val="-3"/>
        </w:rPr>
        <w:t>运营期的环境影响主要是交通噪声对沿线居民的影响；交通尾气对周边环境空气质量造成一定的不利影响；地面径流对周边水环境的影响；</w:t>
      </w:r>
      <w:r>
        <w:rPr>
          <w:rFonts w:ascii="Times New Roman" w:hAnsi="Times New Roman" w:cs="Times New Roman"/>
          <w:spacing w:val="-3"/>
        </w:rPr>
        <w:t>车辆事故可能引发水污染、环境空气、土壤污染等事件。</w:t>
      </w:r>
    </w:p>
    <w:p>
      <w:pPr>
        <w:pStyle w:val="116"/>
      </w:pPr>
      <w:bookmarkStart w:id="40" w:name="_Toc204676221"/>
      <w:bookmarkStart w:id="41" w:name="_Toc159405449"/>
      <w:bookmarkStart w:id="42" w:name="_Toc4327"/>
      <w:r>
        <w:t>环境影响报告书的主要结论</w:t>
      </w:r>
      <w:bookmarkEnd w:id="40"/>
      <w:bookmarkEnd w:id="41"/>
      <w:bookmarkEnd w:id="42"/>
    </w:p>
    <w:p>
      <w:pPr>
        <w:ind w:firstLine="480"/>
      </w:pPr>
      <w:bookmarkStart w:id="43" w:name="_Hlk177551740"/>
      <w:bookmarkStart w:id="44" w:name="_Hlk177552200"/>
      <w:r>
        <w:rPr>
          <w:rFonts w:hint="eastAsia"/>
        </w:rPr>
        <w:t>黄檗山万福寺</w:t>
      </w:r>
      <w:r>
        <w:t>旅游公路工程</w:t>
      </w:r>
      <w:bookmarkEnd w:id="43"/>
      <w:r>
        <w:t>位于</w:t>
      </w:r>
      <w:r>
        <w:rPr>
          <w:rFonts w:hint="eastAsia"/>
        </w:rPr>
        <w:t>福州市福清市</w:t>
      </w:r>
      <w:r>
        <w:rPr>
          <w:rFonts w:hint="eastAsia"/>
          <w:shd w:val="clear" w:color="auto" w:fill="FFFFFF"/>
        </w:rPr>
        <w:t>上迳镇、渔溪镇</w:t>
      </w:r>
      <w:r>
        <w:t>，</w:t>
      </w:r>
      <w:r>
        <w:rPr>
          <w:rFonts w:hint="eastAsia"/>
        </w:rPr>
        <w:t>路线全长5.200km</w:t>
      </w:r>
      <w:r>
        <w:rPr>
          <w:lang w:val="zh-CN"/>
        </w:rPr>
        <w:t>，</w:t>
      </w:r>
      <w:r>
        <w:rPr>
          <w:rFonts w:hint="eastAsia"/>
        </w:rPr>
        <w:t>其中主线5.110km（含下穿福厦高铁段落），接线0.090km，</w:t>
      </w:r>
      <w:r>
        <w:rPr>
          <w:lang w:val="zh-CN"/>
        </w:rPr>
        <w:t>设计速度60km/h，</w:t>
      </w:r>
      <w:r>
        <w:t>采用二级公路建设</w:t>
      </w:r>
      <w:r>
        <w:rPr>
          <w:lang w:val="zh-CN"/>
        </w:rPr>
        <w:t>。</w:t>
      </w:r>
      <w:bookmarkEnd w:id="44"/>
      <w:r>
        <w:t>项目建设符合国家产业政策</w:t>
      </w:r>
      <w:r>
        <w:rPr>
          <w:rFonts w:hint="eastAsia"/>
        </w:rPr>
        <w:t>，</w:t>
      </w:r>
      <w:r>
        <w:t>符合</w:t>
      </w:r>
      <w:r>
        <w:rPr>
          <w:rFonts w:hint="eastAsia"/>
        </w:rPr>
        <w:t>《福清市国土空间总体规划（2021-2035 年）》，符合福清市国土空间规划生态环境分区管控要求。</w:t>
      </w:r>
    </w:p>
    <w:p>
      <w:pPr>
        <w:ind w:firstLine="480"/>
        <w:rPr>
          <w:rFonts w:cs="Times New Roman"/>
          <w:spacing w:val="-3"/>
        </w:rPr>
      </w:pPr>
      <w:r>
        <w:rPr>
          <w:rFonts w:hint="eastAsia"/>
        </w:rPr>
        <w:t>工程建设将对沿线区域的声环境与生态环境、大气环境产生一定的影响，在认真落实本报告提出的减缓措施，落实“三同时”制度，所产生的负面影响可有效控制并能为环境所接受。从环境影响角度分析该项目建设是可行的。</w:t>
      </w:r>
      <w:bookmarkEnd w:id="35"/>
    </w:p>
    <w:p>
      <w:pPr>
        <w:spacing w:line="362" w:lineRule="auto"/>
        <w:ind w:firstLine="480"/>
        <w:rPr>
          <w:rFonts w:cs="Times New Roman"/>
        </w:rPr>
        <w:sectPr>
          <w:pgSz w:w="11910" w:h="16840"/>
          <w:pgMar w:top="1418" w:right="1418" w:bottom="1418" w:left="1418" w:header="851" w:footer="851" w:gutter="0"/>
          <w:cols w:space="720" w:num="1"/>
          <w:docGrid w:linePitch="326" w:charSpace="0"/>
        </w:sectPr>
      </w:pPr>
    </w:p>
    <w:p>
      <w:pPr>
        <w:pStyle w:val="114"/>
      </w:pPr>
      <w:bookmarkStart w:id="45" w:name="1总则"/>
      <w:bookmarkEnd w:id="45"/>
      <w:bookmarkStart w:id="46" w:name="_Toc159405450"/>
      <w:bookmarkStart w:id="47" w:name="_Toc10802"/>
      <w:bookmarkStart w:id="48" w:name="_Toc204676222"/>
      <w:r>
        <w:t>总则</w:t>
      </w:r>
      <w:bookmarkEnd w:id="46"/>
      <w:bookmarkEnd w:id="47"/>
      <w:bookmarkEnd w:id="48"/>
    </w:p>
    <w:p>
      <w:pPr>
        <w:pStyle w:val="116"/>
      </w:pPr>
      <w:bookmarkStart w:id="49" w:name="1.1编制依据"/>
      <w:bookmarkEnd w:id="49"/>
      <w:bookmarkStart w:id="50" w:name="_Toc159405451"/>
      <w:bookmarkStart w:id="51" w:name="_Toc23264"/>
      <w:bookmarkStart w:id="52" w:name="_Toc204676223"/>
      <w:r>
        <w:t>编制依据</w:t>
      </w:r>
      <w:bookmarkEnd w:id="50"/>
      <w:bookmarkEnd w:id="51"/>
      <w:bookmarkEnd w:id="52"/>
    </w:p>
    <w:p>
      <w:pPr>
        <w:pStyle w:val="120"/>
        <w:rPr>
          <w:color w:val="auto"/>
        </w:rPr>
      </w:pPr>
      <w:bookmarkStart w:id="53" w:name="1.1.1法律法规"/>
      <w:bookmarkEnd w:id="53"/>
      <w:r>
        <w:rPr>
          <w:rFonts w:hint="eastAsia"/>
          <w:color w:val="auto"/>
        </w:rPr>
        <w:t>法律法规</w:t>
      </w:r>
    </w:p>
    <w:p>
      <w:pPr>
        <w:pStyle w:val="67"/>
        <w:numPr>
          <w:ilvl w:val="0"/>
          <w:numId w:val="14"/>
        </w:numPr>
        <w:tabs>
          <w:tab w:val="left" w:pos="851"/>
          <w:tab w:val="left" w:pos="993"/>
          <w:tab w:val="left" w:pos="1134"/>
        </w:tabs>
        <w:ind w:left="0" w:firstLine="480"/>
        <w:jc w:val="left"/>
        <w:rPr>
          <w:rFonts w:ascii="Times New Roman" w:hAnsi="Times New Roman" w:cs="Times New Roman"/>
        </w:rPr>
      </w:pPr>
      <w:bookmarkStart w:id="54" w:name="_Hlk90112882"/>
      <w:r>
        <w:rPr>
          <w:rFonts w:ascii="Times New Roman" w:hAnsi="Times New Roman" w:cs="Times New Roman"/>
        </w:rPr>
        <w:t>《中华人民共和国环境保护法》（2015年1月1日起施行）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《中华人民共和国环境影响评价法》（2018年12月29日起施行）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《中华人民共和国大气污染防治法》（2018年12月29日起施行）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《中华人民共和国水污染防治法》（2018年1月1日起施行）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《中华人民共和国噪声污染防治法》（自2022年6月5日起施行）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《中华人民共和国固体废物污染环境防治法》（2020年9月1日起施行）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《中华人民共和国水土保持法》（2010年12月25日起施行）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《中华人民共和国土地管理法》（2020年1月1日起施行）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《中华人民共和国土壤污染防治法》（2019年1月1日起施行）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《中华人民共和国农业法》（2013年1月1日起施行）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《中华人民共和国森林法》（2020年7月1日起施行）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《中华人民共和国野生动物保护法》</w:t>
      </w:r>
      <w:r>
        <w:rPr>
          <w:rFonts w:hint="eastAsia" w:ascii="Times New Roman" w:hAnsi="Times New Roman" w:cs="Times New Roman"/>
        </w:rPr>
        <w:t>（</w:t>
      </w:r>
      <w:r>
        <w:rPr>
          <w:rFonts w:ascii="Times New Roman" w:hAnsi="Times New Roman" w:cs="Times New Roman"/>
        </w:rPr>
        <w:t>2023 年 5月1日起施行）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《中华人民共和国防洪法》（2016年7月2日起施行）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《中华人民共和国文物保护法》（2017年11月4日起施行）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《中华人民共和国湿地保护法》（2022年6月1日起施行）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《中华人民共和国城乡规划法》（2019年4月23日第二次修正）</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《中华人民共和国生物安全法》（2021年4月15日起施行）</w:t>
      </w:r>
    </w:p>
    <w:p>
      <w:pPr>
        <w:pStyle w:val="67"/>
        <w:numPr>
          <w:ilvl w:val="0"/>
          <w:numId w:val="14"/>
        </w:numPr>
        <w:tabs>
          <w:tab w:val="left" w:pos="851"/>
          <w:tab w:val="left" w:pos="993"/>
          <w:tab w:val="left" w:pos="1134"/>
        </w:tabs>
        <w:ind w:left="0" w:firstLine="480"/>
        <w:jc w:val="left"/>
        <w:rPr>
          <w:rFonts w:ascii="Times New Roman" w:hAnsi="Times New Roman" w:cs="Times New Roman"/>
        </w:rPr>
      </w:pPr>
      <w:r>
        <w:rPr>
          <w:rFonts w:ascii="Times New Roman" w:hAnsi="Times New Roman" w:cs="Times New Roman"/>
        </w:rPr>
        <w:t>《中华人民共和国土地管理法实施条例》（2021年9月1日起施行）</w:t>
      </w:r>
    </w:p>
    <w:p>
      <w:pPr>
        <w:pStyle w:val="67"/>
        <w:numPr>
          <w:ilvl w:val="0"/>
          <w:numId w:val="14"/>
        </w:numPr>
        <w:ind w:firstLineChars="0"/>
        <w:rPr>
          <w:rFonts w:ascii="Times New Roman" w:hAnsi="Times New Roman" w:cs="Times New Roman"/>
        </w:rPr>
      </w:pPr>
      <w:r>
        <w:rPr>
          <w:rFonts w:ascii="Times New Roman" w:hAnsi="Times New Roman" w:cs="Times New Roman"/>
        </w:rPr>
        <w:t>《建设项目环境保护管理条例》（2017年10月1日起施行）</w:t>
      </w:r>
    </w:p>
    <w:p>
      <w:pPr>
        <w:pStyle w:val="67"/>
        <w:numPr>
          <w:ilvl w:val="0"/>
          <w:numId w:val="14"/>
        </w:numPr>
        <w:ind w:firstLineChars="0"/>
        <w:rPr>
          <w:rFonts w:ascii="Times New Roman" w:hAnsi="Times New Roman" w:cs="Times New Roman"/>
        </w:rPr>
      </w:pPr>
      <w:r>
        <w:rPr>
          <w:rFonts w:ascii="Times New Roman" w:hAnsi="Times New Roman" w:cs="Times New Roman"/>
        </w:rPr>
        <w:t>《中华人民共和国陆生野生动物保护实施条例》（2016年第二次修订）</w:t>
      </w:r>
    </w:p>
    <w:p>
      <w:pPr>
        <w:pStyle w:val="67"/>
        <w:numPr>
          <w:ilvl w:val="0"/>
          <w:numId w:val="14"/>
        </w:numPr>
        <w:ind w:firstLineChars="0"/>
        <w:rPr>
          <w:rFonts w:ascii="Times New Roman" w:hAnsi="Times New Roman" w:cs="Times New Roman"/>
        </w:rPr>
      </w:pPr>
      <w:r>
        <w:rPr>
          <w:rFonts w:ascii="Times New Roman" w:hAnsi="Times New Roman" w:cs="Times New Roman"/>
        </w:rPr>
        <w:t>《中华人民共和国野生植物保护条例》（2017年10月7日修订）</w:t>
      </w:r>
    </w:p>
    <w:p>
      <w:pPr>
        <w:pStyle w:val="67"/>
        <w:numPr>
          <w:ilvl w:val="0"/>
          <w:numId w:val="14"/>
        </w:numPr>
        <w:ind w:firstLineChars="0"/>
        <w:rPr>
          <w:rFonts w:ascii="Times New Roman" w:hAnsi="Times New Roman" w:cs="Times New Roman"/>
        </w:rPr>
      </w:pPr>
      <w:r>
        <w:rPr>
          <w:rFonts w:ascii="Times New Roman" w:hAnsi="Times New Roman" w:cs="Times New Roman"/>
        </w:rPr>
        <w:t>《中华人民共和国森林法实施条例》（2019年12月28日修订）</w:t>
      </w:r>
    </w:p>
    <w:p>
      <w:pPr>
        <w:pStyle w:val="67"/>
        <w:numPr>
          <w:ilvl w:val="0"/>
          <w:numId w:val="14"/>
        </w:numPr>
        <w:ind w:firstLineChars="0"/>
        <w:rPr>
          <w:rFonts w:ascii="Times New Roman" w:hAnsi="Times New Roman" w:cs="Times New Roman"/>
        </w:rPr>
      </w:pPr>
      <w:r>
        <w:rPr>
          <w:rFonts w:ascii="Times New Roman" w:hAnsi="Times New Roman" w:cs="Times New Roman"/>
        </w:rPr>
        <w:t>《中华人民共和国河道管理条例》（2017年3月1日）</w:t>
      </w:r>
    </w:p>
    <w:p>
      <w:pPr>
        <w:pStyle w:val="67"/>
        <w:numPr>
          <w:ilvl w:val="0"/>
          <w:numId w:val="14"/>
        </w:numPr>
        <w:ind w:firstLineChars="0"/>
        <w:rPr>
          <w:rFonts w:ascii="Times New Roman" w:hAnsi="Times New Roman" w:cs="Times New Roman"/>
        </w:rPr>
      </w:pPr>
      <w:r>
        <w:rPr>
          <w:rFonts w:ascii="Times New Roman" w:hAnsi="Times New Roman" w:cs="Times New Roman"/>
        </w:rPr>
        <w:t>《中华人民共和国文物保护法实施条例》（2017年3月1日修订）</w:t>
      </w:r>
    </w:p>
    <w:p>
      <w:pPr>
        <w:pStyle w:val="67"/>
        <w:numPr>
          <w:ilvl w:val="0"/>
          <w:numId w:val="14"/>
        </w:numPr>
        <w:ind w:firstLineChars="0"/>
        <w:rPr>
          <w:rFonts w:ascii="Times New Roman" w:hAnsi="Times New Roman" w:cs="Times New Roman"/>
        </w:rPr>
      </w:pPr>
      <w:r>
        <w:rPr>
          <w:rFonts w:ascii="Times New Roman" w:hAnsi="Times New Roman" w:cs="Times New Roman"/>
        </w:rPr>
        <w:t>《基本农田保护条例》（2011年1月8日起施行）</w:t>
      </w:r>
    </w:p>
    <w:p>
      <w:pPr>
        <w:pStyle w:val="67"/>
        <w:numPr>
          <w:ilvl w:val="0"/>
          <w:numId w:val="14"/>
        </w:numPr>
        <w:ind w:firstLineChars="0"/>
        <w:rPr>
          <w:rFonts w:ascii="Times New Roman" w:hAnsi="Times New Roman" w:cs="Times New Roman"/>
        </w:rPr>
      </w:pPr>
      <w:r>
        <w:rPr>
          <w:rFonts w:hint="eastAsia" w:ascii="Times New Roman" w:hAnsi="Times New Roman" w:cs="Times New Roman"/>
        </w:rPr>
        <w:t>《古树名木保护条例》（中华人民共和国国务院令</w:t>
      </w:r>
      <w:r>
        <w:rPr>
          <w:rFonts w:ascii="Times New Roman" w:hAnsi="Times New Roman" w:cs="Times New Roman"/>
        </w:rPr>
        <w:t> </w:t>
      </w:r>
      <w:r>
        <w:rPr>
          <w:rFonts w:hint="eastAsia" w:ascii="Times New Roman" w:hAnsi="Times New Roman" w:cs="Times New Roman"/>
        </w:rPr>
        <w:t>第800号，2025年3月15日起施行）</w:t>
      </w:r>
    </w:p>
    <w:bookmarkEnd w:id="54"/>
    <w:p>
      <w:pPr>
        <w:pStyle w:val="120"/>
        <w:rPr>
          <w:color w:val="auto"/>
        </w:rPr>
      </w:pPr>
      <w:r>
        <w:rPr>
          <w:rFonts w:hint="eastAsia"/>
          <w:color w:val="auto"/>
        </w:rPr>
        <w:t>部门规章及规范性文件</w:t>
      </w:r>
    </w:p>
    <w:p>
      <w:pPr>
        <w:pStyle w:val="67"/>
        <w:numPr>
          <w:ilvl w:val="0"/>
          <w:numId w:val="15"/>
        </w:numPr>
        <w:ind w:firstLineChars="0"/>
        <w:rPr>
          <w:rFonts w:ascii="Times New Roman" w:hAnsi="Times New Roman" w:cs="Times New Roman"/>
        </w:rPr>
      </w:pPr>
      <w:r>
        <w:rPr>
          <w:rFonts w:hint="eastAsia" w:ascii="Times New Roman" w:hAnsi="Times New Roman" w:cs="Times New Roman"/>
        </w:rPr>
        <w:t>《建设项目环境影响评价分类管理名录（2021年版）》（</w:t>
      </w:r>
      <w:r>
        <w:rPr>
          <w:rFonts w:hint="eastAsia" w:ascii="Times New Roman" w:hAnsi="Times New Roman" w:cs="Times New Roman"/>
          <w:lang w:eastAsia="zh-CN"/>
        </w:rPr>
        <w:t>生态环境部</w:t>
      </w:r>
      <w:r>
        <w:rPr>
          <w:rFonts w:hint="eastAsia" w:ascii="Times New Roman" w:hAnsi="Times New Roman" w:cs="Times New Roman"/>
        </w:rPr>
        <w:t>令第16号，2020年11月30日）</w:t>
      </w:r>
    </w:p>
    <w:p>
      <w:pPr>
        <w:pStyle w:val="67"/>
        <w:numPr>
          <w:ilvl w:val="0"/>
          <w:numId w:val="15"/>
        </w:numPr>
        <w:ind w:firstLineChars="0"/>
        <w:rPr>
          <w:rFonts w:ascii="Times New Roman" w:hAnsi="Times New Roman" w:cs="Times New Roman"/>
        </w:rPr>
      </w:pPr>
      <w:r>
        <w:rPr>
          <w:rFonts w:ascii="Times New Roman" w:hAnsi="Times New Roman" w:cs="Times New Roman"/>
        </w:rPr>
        <w:t>《土地复垦条例实施办法》（2013年3月1日起施行，2019年7月修正）</w:t>
      </w:r>
    </w:p>
    <w:p>
      <w:pPr>
        <w:pStyle w:val="67"/>
        <w:numPr>
          <w:ilvl w:val="0"/>
          <w:numId w:val="15"/>
        </w:numPr>
        <w:ind w:firstLineChars="0"/>
        <w:rPr>
          <w:rFonts w:ascii="Times New Roman" w:hAnsi="Times New Roman" w:cs="Times New Roman"/>
        </w:rPr>
      </w:pPr>
      <w:r>
        <w:rPr>
          <w:rFonts w:ascii="Times New Roman" w:hAnsi="Times New Roman" w:cs="Times New Roman"/>
        </w:rPr>
        <w:t>《产业结构调整指导目录（2024年本）》（2024年2月1日起施行）</w:t>
      </w:r>
    </w:p>
    <w:p>
      <w:pPr>
        <w:pStyle w:val="67"/>
        <w:numPr>
          <w:ilvl w:val="0"/>
          <w:numId w:val="15"/>
        </w:numPr>
        <w:ind w:firstLineChars="0"/>
        <w:rPr>
          <w:rFonts w:ascii="Times New Roman" w:hAnsi="Times New Roman" w:cs="Times New Roman"/>
        </w:rPr>
      </w:pPr>
      <w:r>
        <w:rPr>
          <w:rFonts w:ascii="Times New Roman" w:hAnsi="Times New Roman" w:cs="Times New Roman"/>
        </w:rPr>
        <w:t>《关于进一步加强环境影响评价管理防范环境风险的通知》，（环发</w:t>
      </w:r>
      <w:r>
        <w:rPr>
          <w:rFonts w:hint="eastAsia" w:ascii="Times New Roman" w:hAnsi="Times New Roman" w:cs="Times New Roman"/>
        </w:rPr>
        <w:t>〔</w:t>
      </w:r>
      <w:r>
        <w:rPr>
          <w:rFonts w:ascii="Times New Roman" w:hAnsi="Times New Roman" w:cs="Times New Roman"/>
        </w:rPr>
        <w:t>2012</w:t>
      </w:r>
      <w:r>
        <w:rPr>
          <w:rFonts w:hint="eastAsia" w:ascii="Times New Roman" w:hAnsi="Times New Roman" w:cs="Times New Roman"/>
        </w:rPr>
        <w:t>〕</w:t>
      </w:r>
      <w:r>
        <w:rPr>
          <w:rFonts w:ascii="Times New Roman" w:hAnsi="Times New Roman" w:cs="Times New Roman"/>
        </w:rPr>
        <w:t>77号）</w:t>
      </w:r>
    </w:p>
    <w:p>
      <w:pPr>
        <w:pStyle w:val="67"/>
        <w:numPr>
          <w:ilvl w:val="0"/>
          <w:numId w:val="15"/>
        </w:numPr>
        <w:ind w:firstLineChars="0"/>
        <w:rPr>
          <w:rFonts w:ascii="Times New Roman" w:hAnsi="Times New Roman" w:cs="Times New Roman"/>
        </w:rPr>
      </w:pPr>
      <w:r>
        <w:rPr>
          <w:rFonts w:ascii="Times New Roman" w:hAnsi="Times New Roman" w:cs="Times New Roman"/>
        </w:rPr>
        <w:t>《关于切实加强风险防范严格环境影响评价管理的通知》（环发</w:t>
      </w:r>
      <w:r>
        <w:rPr>
          <w:rFonts w:hint="eastAsia" w:ascii="Times New Roman" w:hAnsi="Times New Roman" w:cs="Times New Roman"/>
        </w:rPr>
        <w:t>〔</w:t>
      </w:r>
      <w:r>
        <w:rPr>
          <w:rFonts w:ascii="Times New Roman" w:hAnsi="Times New Roman" w:cs="Times New Roman"/>
        </w:rPr>
        <w:t>2012</w:t>
      </w:r>
      <w:r>
        <w:rPr>
          <w:rFonts w:hint="eastAsia" w:ascii="Times New Roman" w:hAnsi="Times New Roman" w:cs="Times New Roman"/>
        </w:rPr>
        <w:t>〕</w:t>
      </w:r>
      <w:r>
        <w:rPr>
          <w:rFonts w:ascii="Times New Roman" w:hAnsi="Times New Roman" w:cs="Times New Roman"/>
        </w:rPr>
        <w:t>98号）</w:t>
      </w:r>
    </w:p>
    <w:p>
      <w:pPr>
        <w:pStyle w:val="67"/>
        <w:numPr>
          <w:ilvl w:val="0"/>
          <w:numId w:val="15"/>
        </w:numPr>
        <w:ind w:firstLineChars="0"/>
        <w:rPr>
          <w:rFonts w:ascii="Times New Roman" w:hAnsi="Times New Roman" w:cs="Times New Roman"/>
        </w:rPr>
      </w:pPr>
      <w:r>
        <w:rPr>
          <w:rFonts w:ascii="Times New Roman" w:hAnsi="Times New Roman" w:cs="Times New Roman"/>
        </w:rPr>
        <w:t>《环境影响评价公众参与办法》（生态环境部第4号，2019年1月1日）</w:t>
      </w:r>
    </w:p>
    <w:p>
      <w:pPr>
        <w:pStyle w:val="67"/>
        <w:numPr>
          <w:ilvl w:val="0"/>
          <w:numId w:val="15"/>
        </w:numPr>
        <w:ind w:firstLineChars="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自然资源要素支撑产业高质量发展指导目录（2024年本）》（自然资发〔2024〕273号）</w:t>
      </w:r>
    </w:p>
    <w:p>
      <w:pPr>
        <w:pStyle w:val="67"/>
        <w:numPr>
          <w:ilvl w:val="0"/>
          <w:numId w:val="15"/>
        </w:numPr>
        <w:ind w:firstLineChars="0"/>
        <w:rPr>
          <w:rFonts w:ascii="Times New Roman" w:hAnsi="Times New Roman" w:cs="Times New Roman"/>
        </w:rPr>
      </w:pPr>
      <w:r>
        <w:rPr>
          <w:rFonts w:ascii="Times New Roman" w:hAnsi="Times New Roman" w:cs="Times New Roman"/>
        </w:rPr>
        <w:t>《关于以改善环境质量为核心加强环境影响评价管理的通知》（</w:t>
      </w:r>
      <w:r>
        <w:rPr>
          <w:rFonts w:hint="eastAsia" w:ascii="Times New Roman" w:hAnsi="Times New Roman" w:cs="Times New Roman"/>
        </w:rPr>
        <w:t>环环评〔2016〕150号</w:t>
      </w:r>
      <w:r>
        <w:rPr>
          <w:rFonts w:ascii="Times New Roman" w:hAnsi="Times New Roman" w:cs="Times New Roman"/>
        </w:rPr>
        <w:t>，2016年10月26日）</w:t>
      </w:r>
    </w:p>
    <w:p>
      <w:pPr>
        <w:pStyle w:val="67"/>
        <w:numPr>
          <w:ilvl w:val="0"/>
          <w:numId w:val="15"/>
        </w:numPr>
        <w:ind w:firstLineChars="0"/>
        <w:rPr>
          <w:rFonts w:ascii="Times New Roman" w:hAnsi="Times New Roman" w:cs="Times New Roman"/>
        </w:rPr>
      </w:pPr>
      <w:r>
        <w:rPr>
          <w:rFonts w:ascii="Times New Roman" w:hAnsi="Times New Roman" w:cs="Times New Roman"/>
        </w:rPr>
        <w:t>《建设项目使用林地审核审批管理规范》（林资规〔2021〕5号），国家林业和草原局</w:t>
      </w:r>
    </w:p>
    <w:p>
      <w:pPr>
        <w:pStyle w:val="130"/>
        <w:numPr>
          <w:ilvl w:val="0"/>
          <w:numId w:val="15"/>
        </w:numPr>
        <w:ind w:firstLineChars="0"/>
        <w:rPr>
          <w:color w:val="auto"/>
          <w:lang w:val="zh-CN"/>
        </w:rPr>
      </w:pPr>
      <w:r>
        <w:rPr>
          <w:color w:val="auto"/>
          <w:szCs w:val="22"/>
        </w:rPr>
        <w:t>《国家林业局关于修改〈湿地保护管理规定〉的决定》（国家林业局令第48号），2018年1月1日起施行</w:t>
      </w:r>
    </w:p>
    <w:p>
      <w:pPr>
        <w:pStyle w:val="130"/>
        <w:numPr>
          <w:ilvl w:val="0"/>
          <w:numId w:val="15"/>
        </w:numPr>
        <w:ind w:firstLineChars="0"/>
        <w:rPr>
          <w:color w:val="auto"/>
          <w:lang w:val="zh-CN"/>
        </w:rPr>
      </w:pPr>
      <w:r>
        <w:rPr>
          <w:color w:val="auto"/>
          <w:lang w:val="zh-CN"/>
        </w:rPr>
        <w:t>《国家级公益林管理办法》，（2017年4月28日实施）</w:t>
      </w:r>
    </w:p>
    <w:p>
      <w:pPr>
        <w:pStyle w:val="130"/>
        <w:numPr>
          <w:ilvl w:val="0"/>
          <w:numId w:val="15"/>
        </w:numPr>
        <w:ind w:firstLineChars="0"/>
        <w:rPr>
          <w:color w:val="auto"/>
          <w:lang w:val="zh-CN"/>
        </w:rPr>
      </w:pPr>
      <w:r>
        <w:rPr>
          <w:color w:val="auto"/>
          <w:lang w:val="zh-CN"/>
        </w:rPr>
        <w:t>《国家级公益林区划界定办法》，（2017年4月28日修订）</w:t>
      </w:r>
    </w:p>
    <w:p>
      <w:pPr>
        <w:pStyle w:val="130"/>
        <w:numPr>
          <w:ilvl w:val="0"/>
          <w:numId w:val="15"/>
        </w:numPr>
        <w:ind w:firstLineChars="0"/>
        <w:rPr>
          <w:color w:val="auto"/>
          <w:lang w:val="zh-CN"/>
        </w:rPr>
      </w:pPr>
      <w:r>
        <w:rPr>
          <w:color w:val="auto"/>
          <w:lang w:val="zh-CN"/>
        </w:rPr>
        <w:t>《国土资源部关于全面实行永久基本农田特殊保护的通知》（2018年2月23日实施）</w:t>
      </w:r>
    </w:p>
    <w:p>
      <w:pPr>
        <w:pStyle w:val="130"/>
        <w:numPr>
          <w:ilvl w:val="0"/>
          <w:numId w:val="15"/>
        </w:numPr>
        <w:ind w:firstLineChars="0"/>
        <w:rPr>
          <w:color w:val="auto"/>
        </w:rPr>
      </w:pPr>
      <w:r>
        <w:rPr>
          <w:color w:val="auto"/>
          <w:lang w:val="zh-CN"/>
        </w:rPr>
        <w:t>《自然资源部关于做好占用永久基本农田重大建设项目用地预审的通知（2018年9月30日实施）》</w:t>
      </w:r>
    </w:p>
    <w:p>
      <w:pPr>
        <w:pStyle w:val="132"/>
        <w:numPr>
          <w:ilvl w:val="0"/>
          <w:numId w:val="15"/>
        </w:numPr>
        <w:spacing w:line="360" w:lineRule="auto"/>
        <w:ind w:firstLineChars="0"/>
        <w:rPr>
          <w:sz w:val="24"/>
        </w:rPr>
      </w:pPr>
      <w:r>
        <w:rPr>
          <w:sz w:val="24"/>
        </w:rPr>
        <w:t>《关于规范临时用地管理的通知》（自然资规〔2021〕2号，自然资源部）</w:t>
      </w:r>
    </w:p>
    <w:p>
      <w:pPr>
        <w:pStyle w:val="132"/>
        <w:numPr>
          <w:ilvl w:val="0"/>
          <w:numId w:val="15"/>
        </w:numPr>
        <w:spacing w:line="360" w:lineRule="auto"/>
        <w:ind w:firstLineChars="0"/>
        <w:rPr>
          <w:sz w:val="24"/>
        </w:rPr>
      </w:pPr>
      <w:r>
        <w:rPr>
          <w:sz w:val="24"/>
        </w:rPr>
        <w:t>《地面交通噪声污染防治技术政策》（环发</w:t>
      </w:r>
      <w:r>
        <w:rPr>
          <w:rFonts w:hint="eastAsia"/>
          <w:sz w:val="24"/>
        </w:rPr>
        <w:t>〔</w:t>
      </w:r>
      <w:r>
        <w:rPr>
          <w:sz w:val="24"/>
        </w:rPr>
        <w:t>2010</w:t>
      </w:r>
      <w:r>
        <w:rPr>
          <w:rFonts w:hint="eastAsia"/>
          <w:sz w:val="24"/>
        </w:rPr>
        <w:t>〕</w:t>
      </w:r>
      <w:r>
        <w:rPr>
          <w:sz w:val="24"/>
        </w:rPr>
        <w:t>7号）</w:t>
      </w:r>
    </w:p>
    <w:p>
      <w:pPr>
        <w:pStyle w:val="120"/>
        <w:rPr>
          <w:color w:val="auto"/>
        </w:rPr>
      </w:pPr>
      <w:r>
        <w:rPr>
          <w:rFonts w:hint="eastAsia"/>
          <w:color w:val="auto"/>
        </w:rPr>
        <w:t>地方性法规、规章及规划</w:t>
      </w:r>
    </w:p>
    <w:p>
      <w:pPr>
        <w:pStyle w:val="123"/>
        <w:ind w:left="0" w:firstLine="480"/>
      </w:pPr>
      <w:r>
        <w:rPr>
          <w:rFonts w:hint="eastAsia"/>
        </w:rPr>
        <w:t>《福建省生态环境保护条例》（2022年5月1日起施行）</w:t>
      </w:r>
    </w:p>
    <w:p>
      <w:pPr>
        <w:pStyle w:val="123"/>
        <w:ind w:left="0" w:firstLine="480"/>
      </w:pPr>
      <w:r>
        <w:rPr>
          <w:rFonts w:hint="eastAsia"/>
        </w:rPr>
        <w:t>《福建省水污染防治条例》（2021年11月1日施行）</w:t>
      </w:r>
    </w:p>
    <w:p>
      <w:pPr>
        <w:pStyle w:val="123"/>
        <w:ind w:left="0" w:firstLine="480"/>
      </w:pPr>
      <w:r>
        <w:rPr>
          <w:rFonts w:hint="eastAsia"/>
        </w:rPr>
        <w:t>《福建省基本农田保护条例》（2010年7月30日起施行）</w:t>
      </w:r>
    </w:p>
    <w:p>
      <w:pPr>
        <w:pStyle w:val="123"/>
        <w:ind w:left="0" w:firstLine="480"/>
      </w:pPr>
      <w:r>
        <w:rPr>
          <w:rFonts w:hint="eastAsia"/>
        </w:rPr>
        <w:t>《福建省古树名木保护管理办法》（2021年6月1日起施行）</w:t>
      </w:r>
    </w:p>
    <w:p>
      <w:pPr>
        <w:pStyle w:val="123"/>
        <w:ind w:left="0" w:firstLine="480"/>
      </w:pPr>
      <w:r>
        <w:rPr>
          <w:rFonts w:hint="eastAsia"/>
        </w:rPr>
        <w:t>《福建省农业生态环境保护条例（2010年修正本）》（2010年9月30日起施行）</w:t>
      </w:r>
    </w:p>
    <w:p>
      <w:pPr>
        <w:pStyle w:val="123"/>
        <w:ind w:left="0" w:firstLine="480"/>
      </w:pPr>
      <w:r>
        <w:rPr>
          <w:rFonts w:hint="eastAsia"/>
        </w:rPr>
        <w:t>《福建省生态公益林条例》（2018年11月1日起施行）</w:t>
      </w:r>
    </w:p>
    <w:p>
      <w:pPr>
        <w:pStyle w:val="123"/>
        <w:ind w:left="0" w:firstLine="480"/>
      </w:pPr>
      <w:r>
        <w:rPr>
          <w:rFonts w:hint="eastAsia"/>
        </w:rPr>
        <w:t>《福建省水土保持条例》（2014年7月1日起施行）</w:t>
      </w:r>
    </w:p>
    <w:p>
      <w:pPr>
        <w:pStyle w:val="123"/>
        <w:ind w:left="0" w:firstLine="480"/>
      </w:pPr>
      <w:r>
        <w:rPr>
          <w:rFonts w:hint="eastAsia"/>
        </w:rPr>
        <w:t>《福建省森林条例》（2012年3月31日起施行）</w:t>
      </w:r>
    </w:p>
    <w:p>
      <w:pPr>
        <w:pStyle w:val="123"/>
        <w:ind w:left="0" w:firstLine="480"/>
      </w:pPr>
      <w:r>
        <w:rPr>
          <w:rFonts w:hint="eastAsia"/>
        </w:rPr>
        <w:t>《福建省湿地保护条例》（2017 年1 月1日起施行）</w:t>
      </w:r>
    </w:p>
    <w:p>
      <w:pPr>
        <w:pStyle w:val="123"/>
        <w:ind w:left="0" w:firstLine="480"/>
      </w:pPr>
      <w:r>
        <w:rPr>
          <w:rFonts w:hint="eastAsia"/>
        </w:rPr>
        <w:t>《福建省森林和野生动物类型自然保护区管理条例》（2017年11月24日起施行）</w:t>
      </w:r>
    </w:p>
    <w:p>
      <w:pPr>
        <w:pStyle w:val="123"/>
        <w:ind w:left="0" w:firstLine="480"/>
      </w:pPr>
      <w:r>
        <w:rPr>
          <w:rFonts w:hint="eastAsia"/>
        </w:rPr>
        <w:t>《福建省交通厅关于加强交通行业环境保护工作的通知》，闽交运安〔2003〕173号文</w:t>
      </w:r>
    </w:p>
    <w:p>
      <w:pPr>
        <w:pStyle w:val="123"/>
        <w:ind w:left="0" w:firstLine="480"/>
      </w:pPr>
      <w:r>
        <w:rPr>
          <w:rFonts w:hint="eastAsia"/>
        </w:rPr>
        <w:t>《福建省交通运输厅关于印发福建省公路交通突发事件应急预案（2018年修订）的通知》（闽交建〔2018〕177号）</w:t>
      </w:r>
    </w:p>
    <w:p>
      <w:pPr>
        <w:pStyle w:val="123"/>
        <w:ind w:left="0" w:firstLine="480"/>
      </w:pPr>
      <w:r>
        <w:rPr>
          <w:szCs w:val="24"/>
        </w:rPr>
        <w:t>《</w:t>
      </w:r>
      <w:r>
        <w:rPr>
          <w:rFonts w:hint="eastAsia"/>
          <w:szCs w:val="24"/>
        </w:rPr>
        <w:t>福州市生态环境分区管控方案（2023年更新）》</w:t>
      </w:r>
      <w:r>
        <w:rPr>
          <w:szCs w:val="24"/>
        </w:rPr>
        <w:t>（</w:t>
      </w:r>
      <w:r>
        <w:rPr>
          <w:rFonts w:hint="eastAsia"/>
          <w:szCs w:val="24"/>
        </w:rPr>
        <w:t>榕政办规〔2024〕20号</w:t>
      </w:r>
      <w:r>
        <w:rPr>
          <w:szCs w:val="24"/>
        </w:rPr>
        <w:t>）。</w:t>
      </w:r>
    </w:p>
    <w:p>
      <w:pPr>
        <w:pStyle w:val="120"/>
        <w:rPr>
          <w:color w:val="auto"/>
        </w:rPr>
      </w:pPr>
      <w:bookmarkStart w:id="55" w:name="_Hlk90112952"/>
      <w:r>
        <w:rPr>
          <w:rFonts w:hint="eastAsia"/>
          <w:color w:val="auto"/>
        </w:rPr>
        <w:t>技术导则与规范</w:t>
      </w:r>
    </w:p>
    <w:p>
      <w:pPr>
        <w:pStyle w:val="123"/>
        <w:numPr>
          <w:ilvl w:val="0"/>
          <w:numId w:val="16"/>
        </w:numPr>
        <w:ind w:left="0" w:firstLine="480"/>
      </w:pPr>
      <w:r>
        <w:rPr>
          <w:rFonts w:hint="eastAsia"/>
        </w:rPr>
        <w:t>《建设项目环境影响评价技术导则 总纲》（HJ 2.1—2016）</w:t>
      </w:r>
    </w:p>
    <w:p>
      <w:pPr>
        <w:pStyle w:val="123"/>
        <w:ind w:left="0" w:firstLine="480"/>
      </w:pPr>
      <w:r>
        <w:rPr>
          <w:rFonts w:hint="eastAsia"/>
        </w:rPr>
        <w:t>《环境影响评价技术导则 大气环境》（HJ 2.2—2018）</w:t>
      </w:r>
    </w:p>
    <w:p>
      <w:pPr>
        <w:pStyle w:val="123"/>
        <w:ind w:left="0" w:firstLine="480"/>
      </w:pPr>
      <w:r>
        <w:rPr>
          <w:rFonts w:hint="eastAsia"/>
        </w:rPr>
        <w:t>《环境影响评价技术导则 地表水环境》（HJ 2.3—2018）</w:t>
      </w:r>
    </w:p>
    <w:p>
      <w:pPr>
        <w:pStyle w:val="123"/>
        <w:ind w:left="0" w:firstLine="480"/>
      </w:pPr>
      <w:r>
        <w:rPr>
          <w:rFonts w:hint="eastAsia"/>
        </w:rPr>
        <w:t>《环境影响评价技术导则 声环境》（HJ 2.4-20</w:t>
      </w:r>
      <w:r>
        <w:t>21</w:t>
      </w:r>
      <w:r>
        <w:rPr>
          <w:rFonts w:hint="eastAsia"/>
        </w:rPr>
        <w:t>）</w:t>
      </w:r>
    </w:p>
    <w:p>
      <w:pPr>
        <w:pStyle w:val="123"/>
        <w:ind w:left="0" w:firstLine="480"/>
      </w:pPr>
      <w:r>
        <w:rPr>
          <w:rFonts w:hint="eastAsia"/>
        </w:rPr>
        <w:t>《环境影响评价技术导则 生态影响》（HJ 19-20</w:t>
      </w:r>
      <w:r>
        <w:t>22</w:t>
      </w:r>
      <w:r>
        <w:rPr>
          <w:rFonts w:hint="eastAsia"/>
        </w:rPr>
        <w:t>）</w:t>
      </w:r>
    </w:p>
    <w:p>
      <w:pPr>
        <w:pStyle w:val="123"/>
        <w:ind w:left="0" w:firstLine="480"/>
      </w:pPr>
      <w:r>
        <w:rPr>
          <w:rFonts w:hint="eastAsia"/>
        </w:rPr>
        <w:t>《环境影响评价技术导则 地下水环境》（HJ 610-2016）</w:t>
      </w:r>
    </w:p>
    <w:p>
      <w:pPr>
        <w:pStyle w:val="123"/>
        <w:ind w:left="0" w:firstLine="480"/>
      </w:pPr>
      <w:r>
        <w:rPr>
          <w:rFonts w:hint="eastAsia"/>
        </w:rPr>
        <w:t>《环境影响评价技术导则 土壤环境（试行）》（HJ 964-2018）</w:t>
      </w:r>
    </w:p>
    <w:p>
      <w:pPr>
        <w:pStyle w:val="123"/>
        <w:ind w:left="0" w:firstLine="480"/>
      </w:pPr>
      <w:r>
        <w:rPr>
          <w:rFonts w:hint="eastAsia"/>
        </w:rPr>
        <w:t>《环境影响评价技术导则 公路建设项目》（</w:t>
      </w:r>
      <w:r>
        <w:t>HJ</w:t>
      </w:r>
      <w:r>
        <w:rPr>
          <w:rFonts w:hint="eastAsia"/>
        </w:rPr>
        <w:t xml:space="preserve"> </w:t>
      </w:r>
      <w:r>
        <w:t>1358—2024</w:t>
      </w:r>
      <w:r>
        <w:rPr>
          <w:rFonts w:hint="eastAsia"/>
        </w:rPr>
        <w:t>）</w:t>
      </w:r>
    </w:p>
    <w:p>
      <w:pPr>
        <w:pStyle w:val="123"/>
        <w:ind w:left="0" w:firstLine="480"/>
      </w:pPr>
      <w:r>
        <w:rPr>
          <w:rFonts w:hint="eastAsia"/>
        </w:rPr>
        <w:t>《建设项目环境风险评价技术导则》（HJ 169—2018）</w:t>
      </w:r>
    </w:p>
    <w:p>
      <w:pPr>
        <w:pStyle w:val="123"/>
        <w:ind w:left="0" w:firstLine="480"/>
      </w:pPr>
      <w:r>
        <w:rPr>
          <w:rFonts w:hint="eastAsia"/>
        </w:rPr>
        <w:t>《建设项目竣工环境保护验收技术规范 生态影响类》（HJ/T</w:t>
      </w:r>
      <w:r>
        <w:t xml:space="preserve"> </w:t>
      </w:r>
      <w:r>
        <w:rPr>
          <w:rFonts w:hint="eastAsia"/>
        </w:rPr>
        <w:t>394-2007）</w:t>
      </w:r>
    </w:p>
    <w:p>
      <w:pPr>
        <w:pStyle w:val="123"/>
        <w:ind w:left="0" w:firstLine="480"/>
      </w:pPr>
      <w:r>
        <w:rPr>
          <w:rFonts w:hint="eastAsia"/>
        </w:rPr>
        <w:t>《环境噪声监测技术规范 噪声测量值修正》（HJ</w:t>
      </w:r>
      <w:r>
        <w:t xml:space="preserve"> </w:t>
      </w:r>
      <w:r>
        <w:rPr>
          <w:rFonts w:hint="eastAsia"/>
        </w:rPr>
        <w:t>706-2014）</w:t>
      </w:r>
    </w:p>
    <w:p>
      <w:pPr>
        <w:pStyle w:val="123"/>
        <w:ind w:left="0" w:firstLine="480"/>
      </w:pPr>
      <w:r>
        <w:rPr>
          <w:rFonts w:hint="eastAsia"/>
        </w:rPr>
        <w:t>《公路环境保护设计规范》（JTGB04-2010）</w:t>
      </w:r>
    </w:p>
    <w:p>
      <w:pPr>
        <w:pStyle w:val="123"/>
        <w:ind w:left="0" w:firstLine="480"/>
      </w:pPr>
      <w:r>
        <w:rPr>
          <w:rFonts w:hint="eastAsia"/>
        </w:rPr>
        <w:t>《声环境功能区划分技术规范》(GB/T15190–2014)</w:t>
      </w:r>
    </w:p>
    <w:p>
      <w:pPr>
        <w:pStyle w:val="123"/>
        <w:ind w:left="0" w:firstLine="480"/>
      </w:pPr>
      <w:r>
        <w:rPr>
          <w:rFonts w:hint="eastAsia"/>
        </w:rPr>
        <w:t>《生态环境状况评价技术规范》（HJ 192-2015）</w:t>
      </w:r>
    </w:p>
    <w:p>
      <w:pPr>
        <w:pStyle w:val="123"/>
        <w:ind w:left="0" w:firstLine="480"/>
      </w:pPr>
      <w:r>
        <w:rPr>
          <w:rFonts w:hint="eastAsia"/>
        </w:rPr>
        <w:t>《公路工程项目建设用地指标》（建标[2011]124 号）</w:t>
      </w:r>
    </w:p>
    <w:bookmarkEnd w:id="55"/>
    <w:p>
      <w:pPr>
        <w:pStyle w:val="123"/>
        <w:ind w:left="0" w:firstLine="480"/>
      </w:pPr>
      <w:r>
        <w:rPr>
          <w:rFonts w:hint="eastAsia"/>
        </w:rPr>
        <w:t>《生产建设项目水土保持技术标准》（</w:t>
      </w:r>
      <w:r>
        <w:t>GB50433-2018</w:t>
      </w:r>
      <w:r>
        <w:rPr>
          <w:rFonts w:hint="eastAsia"/>
        </w:rPr>
        <w:t>）</w:t>
      </w:r>
    </w:p>
    <w:p>
      <w:pPr>
        <w:pStyle w:val="123"/>
        <w:ind w:left="0" w:firstLine="480"/>
      </w:pPr>
      <w:r>
        <w:rPr>
          <w:rFonts w:hint="eastAsia"/>
        </w:rPr>
        <w:t>《生产建设项目水土流失防治标准》（GB/T50434-2018）</w:t>
      </w:r>
    </w:p>
    <w:p>
      <w:pPr>
        <w:pStyle w:val="120"/>
        <w:rPr>
          <w:color w:val="auto"/>
        </w:rPr>
      </w:pPr>
      <w:r>
        <w:rPr>
          <w:rFonts w:hint="eastAsia"/>
          <w:color w:val="auto"/>
        </w:rPr>
        <w:t>工程资料</w:t>
      </w:r>
    </w:p>
    <w:p>
      <w:pPr>
        <w:ind w:firstLine="480"/>
      </w:pPr>
      <w:r>
        <w:t>（1）《</w:t>
      </w:r>
      <w:r>
        <w:rPr>
          <w:lang w:val="zh-CN"/>
        </w:rPr>
        <w:t>黄檗山万福寺旅游公路</w:t>
      </w:r>
      <w:r>
        <w:t>可行性研究报告》</w:t>
      </w:r>
      <w:r>
        <w:rPr>
          <w:rFonts w:hint="eastAsia"/>
        </w:rPr>
        <w:t>，冠程设计咨询有限公司</w:t>
      </w:r>
      <w:r>
        <w:t>，</w:t>
      </w:r>
      <w:r>
        <w:rPr>
          <w:rFonts w:hint="eastAsia"/>
        </w:rPr>
        <w:t>202</w:t>
      </w:r>
      <w:r>
        <w:t>3</w:t>
      </w:r>
      <w:r>
        <w:rPr>
          <w:rFonts w:hint="eastAsia"/>
        </w:rPr>
        <w:t>年</w:t>
      </w:r>
      <w:r>
        <w:t>9</w:t>
      </w:r>
      <w:r>
        <w:rPr>
          <w:rFonts w:hint="eastAsia"/>
        </w:rPr>
        <w:t>月；</w:t>
      </w:r>
    </w:p>
    <w:p>
      <w:pPr>
        <w:ind w:firstLine="480"/>
        <w:rPr>
          <w:lang w:val="zh-CN"/>
        </w:rPr>
      </w:pPr>
      <w:r>
        <w:rPr>
          <w:lang w:val="zh-CN"/>
        </w:rPr>
        <w:t>（2）2023年11月24日，福清市发展和改革局出具《关于黄檗山万福寺旅游公路项目建议书暨可行性研究报告的批复》（</w:t>
      </w:r>
      <w:r>
        <w:rPr>
          <w:rFonts w:cs="Times New Roman"/>
          <w:kern w:val="0"/>
          <w:szCs w:val="24"/>
          <w:lang w:val="zh-CN"/>
        </w:rPr>
        <w:t>〔</w:t>
      </w:r>
      <w:r>
        <w:rPr>
          <w:lang w:val="zh-CN"/>
        </w:rPr>
        <w:t>2023</w:t>
      </w:r>
      <w:r>
        <w:rPr>
          <w:rFonts w:cs="Times New Roman"/>
          <w:kern w:val="0"/>
          <w:szCs w:val="24"/>
          <w:lang w:val="zh-CN"/>
        </w:rPr>
        <w:t>〕</w:t>
      </w:r>
      <w:r>
        <w:rPr>
          <w:lang w:val="zh-CN"/>
        </w:rPr>
        <w:t>850号）。</w:t>
      </w:r>
    </w:p>
    <w:p>
      <w:pPr>
        <w:ind w:firstLine="480"/>
      </w:pPr>
      <w:r>
        <w:t>（3）</w:t>
      </w:r>
      <w:r>
        <w:rPr>
          <w:rFonts w:hint="eastAsia"/>
        </w:rPr>
        <w:t>《黄檗山万福寺旅游公路福清市建设项目选址会商报告书》（福清市行政服务中心）；</w:t>
      </w:r>
    </w:p>
    <w:p>
      <w:pPr>
        <w:ind w:firstLine="480"/>
      </w:pPr>
      <w:r>
        <w:t>（4）《建设项目用地预审和选址意见书》</w:t>
      </w:r>
      <w:r>
        <w:rPr>
          <w:rFonts w:hint="eastAsia"/>
        </w:rPr>
        <w:t>，福清市</w:t>
      </w:r>
      <w:r>
        <w:t>自然资源局，</w:t>
      </w:r>
      <w:r>
        <w:rPr>
          <w:rFonts w:hint="eastAsia"/>
        </w:rPr>
        <w:t>用字第</w:t>
      </w:r>
      <w:r>
        <w:rPr>
          <w:rFonts w:cs="Times New Roman"/>
          <w:kern w:val="0"/>
          <w:szCs w:val="24"/>
          <w:lang w:val="zh-CN"/>
        </w:rPr>
        <w:t>350181202400085</w:t>
      </w:r>
      <w:r>
        <w:rPr>
          <w:rFonts w:hint="eastAsia"/>
        </w:rPr>
        <w:t>号</w:t>
      </w:r>
      <w:r>
        <w:t>，</w:t>
      </w:r>
      <w:r>
        <w:rPr>
          <w:rFonts w:hint="eastAsia"/>
        </w:rPr>
        <w:t>202</w:t>
      </w:r>
      <w:r>
        <w:t>4</w:t>
      </w:r>
      <w:r>
        <w:rPr>
          <w:rFonts w:hint="eastAsia"/>
        </w:rPr>
        <w:t>年</w:t>
      </w:r>
      <w:r>
        <w:t>3</w:t>
      </w:r>
      <w:r>
        <w:rPr>
          <w:rFonts w:hint="eastAsia"/>
        </w:rPr>
        <w:t>月</w:t>
      </w:r>
      <w:r>
        <w:t>19</w:t>
      </w:r>
      <w:r>
        <w:rPr>
          <w:rFonts w:hint="eastAsia"/>
        </w:rPr>
        <w:t>日；</w:t>
      </w:r>
    </w:p>
    <w:p>
      <w:pPr>
        <w:ind w:firstLine="480"/>
        <w:rPr>
          <w:rFonts w:cs="Times New Roman"/>
          <w:kern w:val="0"/>
          <w:szCs w:val="24"/>
          <w:lang w:val="zh-CN"/>
        </w:rPr>
      </w:pPr>
      <w:r>
        <w:t>（5）</w:t>
      </w:r>
      <w:r>
        <w:rPr>
          <w:rFonts w:hint="eastAsia"/>
        </w:rPr>
        <w:t>《使用林地审核同意书》，福建省林业局，202</w:t>
      </w:r>
      <w:r>
        <w:t>4</w:t>
      </w:r>
      <w:r>
        <w:rPr>
          <w:rFonts w:hint="eastAsia"/>
        </w:rPr>
        <w:t>年</w:t>
      </w:r>
      <w:r>
        <w:t>9</w:t>
      </w:r>
      <w:r>
        <w:rPr>
          <w:rFonts w:hint="eastAsia"/>
        </w:rPr>
        <w:t>月</w:t>
      </w:r>
      <w:r>
        <w:t>30</w:t>
      </w:r>
      <w:r>
        <w:rPr>
          <w:rFonts w:hint="eastAsia"/>
        </w:rPr>
        <w:t>日，</w:t>
      </w:r>
      <w:r>
        <w:rPr>
          <w:rFonts w:cs="Times New Roman"/>
          <w:kern w:val="0"/>
          <w:szCs w:val="24"/>
          <w:lang w:val="zh-CN"/>
        </w:rPr>
        <w:t>闽林地审</w:t>
      </w:r>
      <w:r>
        <w:rPr>
          <w:rFonts w:hint="eastAsia" w:cs="Times New Roman"/>
          <w:kern w:val="0"/>
          <w:szCs w:val="24"/>
          <w:lang w:val="zh-CN"/>
        </w:rPr>
        <w:t>〔2024〕251号；</w:t>
      </w:r>
    </w:p>
    <w:p>
      <w:pPr>
        <w:ind w:firstLine="480"/>
      </w:pPr>
      <w:r>
        <w:t>（6）《</w:t>
      </w:r>
      <w:r>
        <w:rPr>
          <w:rFonts w:hint="eastAsia"/>
        </w:rPr>
        <w:t>黄檗山万福寺旅游公路</w:t>
      </w:r>
      <w:r>
        <w:t>初步设计》</w:t>
      </w:r>
      <w:r>
        <w:rPr>
          <w:rFonts w:hint="eastAsia"/>
        </w:rPr>
        <w:t>，迅捷交通科技集团有限公司</w:t>
      </w:r>
      <w:r>
        <w:t>，2024年3月。</w:t>
      </w:r>
    </w:p>
    <w:p>
      <w:pPr>
        <w:ind w:firstLine="480"/>
      </w:pPr>
      <w:r>
        <w:t>（7）《</w:t>
      </w:r>
      <w:r>
        <w:rPr>
          <w:rFonts w:hint="eastAsia"/>
        </w:rPr>
        <w:t>黄檗山万福寺旅游公路</w:t>
      </w:r>
      <w:r>
        <w:t>水土保持方案报告书》</w:t>
      </w:r>
      <w:r>
        <w:rPr>
          <w:rFonts w:hint="eastAsia"/>
        </w:rPr>
        <w:t>，</w:t>
      </w:r>
      <w:r>
        <w:t>2024年。</w:t>
      </w:r>
    </w:p>
    <w:p>
      <w:pPr>
        <w:ind w:firstLine="480"/>
      </w:pPr>
      <w:r>
        <w:t>（8）《</w:t>
      </w:r>
      <w:r>
        <w:rPr>
          <w:rFonts w:hint="eastAsia"/>
        </w:rPr>
        <w:t>福清市水利局关于黄檗山万福寺旅游公路水土保持方案的批复</w:t>
      </w:r>
      <w:r>
        <w:t>》</w:t>
      </w:r>
      <w:r>
        <w:rPr>
          <w:rFonts w:hint="eastAsia"/>
        </w:rPr>
        <w:t>，融水利批〔2024〕128号</w:t>
      </w:r>
      <w:r>
        <w:t>，</w:t>
      </w:r>
      <w:r>
        <w:rPr>
          <w:rFonts w:hint="eastAsia"/>
        </w:rPr>
        <w:t>2024年8月20日</w:t>
      </w:r>
      <w:r>
        <w:t>。</w:t>
      </w:r>
    </w:p>
    <w:p>
      <w:pPr>
        <w:ind w:firstLine="480"/>
      </w:pPr>
      <w:r>
        <w:t>（9）</w:t>
      </w:r>
      <w:r>
        <w:rPr>
          <w:rFonts w:hint="eastAsia"/>
        </w:rPr>
        <w:t>项目区的其他资料。</w:t>
      </w:r>
    </w:p>
    <w:p>
      <w:pPr>
        <w:pStyle w:val="116"/>
      </w:pPr>
      <w:bookmarkStart w:id="56" w:name="_Toc61517046"/>
      <w:bookmarkStart w:id="57" w:name="_Toc88764824"/>
      <w:bookmarkStart w:id="58" w:name="_Toc204676224"/>
      <w:bookmarkStart w:id="59" w:name="_Toc88864630"/>
      <w:bookmarkStart w:id="60" w:name="_Toc154668018"/>
      <w:bookmarkStart w:id="61" w:name="_Toc159405452"/>
      <w:r>
        <w:rPr>
          <w:rFonts w:hint="eastAsia"/>
        </w:rPr>
        <w:t>评价目的与原则</w:t>
      </w:r>
      <w:bookmarkEnd w:id="56"/>
      <w:bookmarkEnd w:id="57"/>
      <w:bookmarkEnd w:id="58"/>
      <w:bookmarkEnd w:id="59"/>
      <w:bookmarkEnd w:id="60"/>
      <w:bookmarkEnd w:id="61"/>
    </w:p>
    <w:p>
      <w:pPr>
        <w:pStyle w:val="120"/>
        <w:rPr>
          <w:color w:val="auto"/>
        </w:rPr>
      </w:pPr>
      <w:r>
        <w:rPr>
          <w:rFonts w:hint="eastAsia"/>
          <w:color w:val="auto"/>
        </w:rPr>
        <w:t>评价目的</w:t>
      </w:r>
    </w:p>
    <w:p>
      <w:pPr>
        <w:ind w:firstLine="480"/>
      </w:pPr>
      <w:bookmarkStart w:id="62" w:name="_Hlk90112836"/>
      <w:r>
        <w:rPr>
          <w:rFonts w:hint="eastAsia"/>
        </w:rPr>
        <w:t>通过对项目沿线地区环境现状调查与监测，了解区域环境现状及区域环境问题；在工程影响因素分析的基础上，对项目施工期及运营期对周围环境造成的影响程度及范围进行预测评价或分析；从环境保护角度论证管线建设的合理性、可行性。并根据评价结果，提出切实可行的环保措施和建议，使公路建设对环境造成的不利影响降至最低程度，达到公路建设与环境保护协调发展的目的，为工程设计、环境管理及环境规划提供依据。</w:t>
      </w:r>
      <w:bookmarkEnd w:id="62"/>
    </w:p>
    <w:p>
      <w:pPr>
        <w:pStyle w:val="120"/>
        <w:rPr>
          <w:color w:val="auto"/>
        </w:rPr>
      </w:pPr>
      <w:r>
        <w:rPr>
          <w:rFonts w:hint="eastAsia"/>
          <w:color w:val="auto"/>
        </w:rPr>
        <w:t>评价原则</w:t>
      </w:r>
    </w:p>
    <w:p>
      <w:pPr>
        <w:ind w:firstLine="480"/>
      </w:pPr>
      <w:r>
        <w:rPr>
          <w:rFonts w:hint="eastAsia"/>
        </w:rPr>
        <w:t>本次评价采用“以点为主，点线结合，突出重点”的工作原则。针对沿线生态环境影响较敏感的特点，并充分考虑项目所经地段环境特征，选择典型工程作为评价重点。根据环境影响评价结果，提出技术上可行、经济上合理的环境保护对策与措施。</w:t>
      </w:r>
    </w:p>
    <w:p>
      <w:pPr>
        <w:pStyle w:val="116"/>
      </w:pPr>
      <w:bookmarkStart w:id="63" w:name="_Toc88764825"/>
      <w:bookmarkStart w:id="64" w:name="_Toc204676225"/>
      <w:bookmarkStart w:id="65" w:name="_Toc88864631"/>
      <w:bookmarkStart w:id="66" w:name="_Toc154668019"/>
      <w:bookmarkStart w:id="67" w:name="_Toc159405453"/>
      <w:r>
        <w:rPr>
          <w:rFonts w:hint="eastAsia"/>
        </w:rPr>
        <w:t>评价方法与时段</w:t>
      </w:r>
      <w:bookmarkEnd w:id="63"/>
      <w:bookmarkEnd w:id="64"/>
      <w:bookmarkEnd w:id="65"/>
      <w:bookmarkEnd w:id="66"/>
      <w:bookmarkEnd w:id="67"/>
      <w:r>
        <w:rPr>
          <w:rFonts w:hint="eastAsia"/>
        </w:rPr>
        <w:t xml:space="preserve"> </w:t>
      </w:r>
    </w:p>
    <w:p>
      <w:pPr>
        <w:pStyle w:val="120"/>
        <w:rPr>
          <w:color w:val="auto"/>
        </w:rPr>
      </w:pPr>
      <w:r>
        <w:rPr>
          <w:rFonts w:hint="eastAsia"/>
          <w:color w:val="auto"/>
        </w:rPr>
        <w:t xml:space="preserve">评价方法 </w:t>
      </w:r>
    </w:p>
    <w:p>
      <w:pPr>
        <w:ind w:firstLine="480"/>
      </w:pPr>
      <w:r>
        <w:rPr>
          <w:rFonts w:hint="eastAsia"/>
        </w:rPr>
        <w:t>由于本项目为线路工程，评价按“以点为主、点线结合、反馈全线”的方法开展工作。结合本项目各区段的环境特征和各评价要素的评价工作等级，有针对、有侧重地对环境要素进行监测与评价。通过类比调查，选择适当的模式和参数，定量或定性地分析项目施工期间和</w:t>
      </w:r>
      <w:bookmarkStart w:id="68" w:name="_Hlk149829220"/>
      <w:r>
        <w:rPr>
          <w:rFonts w:hint="eastAsia"/>
        </w:rPr>
        <w:t>运营期</w:t>
      </w:r>
      <w:bookmarkEnd w:id="68"/>
      <w:r>
        <w:rPr>
          <w:rFonts w:hint="eastAsia"/>
        </w:rPr>
        <w:t>对周围环境的影响，以及事故状况下的影响，针对评价结论反映出的主要问题，结合国内外现有方法提出预防、恢复和缓解措施。结合工程沿线国土空间规划、 环境功能区划、生态保护规划和土地利用规划等，论证线路选线的环境可行性。最后综合分析各章节评价结论，给出该项目建设的环境可行性结论。</w:t>
      </w:r>
    </w:p>
    <w:p>
      <w:pPr>
        <w:pStyle w:val="120"/>
        <w:rPr>
          <w:color w:val="auto"/>
        </w:rPr>
      </w:pPr>
      <w:bookmarkStart w:id="69" w:name="_Toc61517047"/>
      <w:r>
        <w:rPr>
          <w:rFonts w:hint="eastAsia"/>
          <w:color w:val="auto"/>
        </w:rPr>
        <w:t>评价时段</w:t>
      </w:r>
      <w:bookmarkEnd w:id="69"/>
    </w:p>
    <w:p>
      <w:pPr>
        <w:ind w:firstLine="480"/>
      </w:pPr>
      <w:r>
        <w:rPr>
          <w:rFonts w:hint="eastAsia"/>
        </w:rPr>
        <w:t>评价时段包括施工期、运营期两个时段。</w:t>
      </w:r>
    </w:p>
    <w:p>
      <w:pPr>
        <w:pStyle w:val="116"/>
      </w:pPr>
      <w:bookmarkStart w:id="70" w:name="_Toc159405454"/>
      <w:bookmarkStart w:id="71" w:name="_Toc458669841"/>
      <w:bookmarkStart w:id="72" w:name="_Toc313956717"/>
      <w:bookmarkStart w:id="73" w:name="_Toc311791903"/>
      <w:bookmarkStart w:id="74" w:name="_Toc434829212"/>
      <w:bookmarkStart w:id="75" w:name="_Toc436210158"/>
      <w:bookmarkStart w:id="76" w:name="_Toc311791663"/>
      <w:bookmarkStart w:id="77" w:name="_Toc362213793"/>
      <w:bookmarkStart w:id="78" w:name="_Toc365648209"/>
      <w:bookmarkStart w:id="79" w:name="_Toc434828843"/>
      <w:bookmarkStart w:id="80" w:name="_Toc434828379"/>
      <w:bookmarkStart w:id="81" w:name="_Toc204676226"/>
      <w:bookmarkStart w:id="82" w:name="_Toc153957810"/>
      <w:bookmarkStart w:id="83" w:name="_Toc339981188"/>
      <w:bookmarkStart w:id="84" w:name="_Toc312931350"/>
      <w:bookmarkStart w:id="85" w:name="_Toc434828715"/>
      <w:bookmarkStart w:id="86" w:name="_Toc281848350"/>
      <w:bookmarkStart w:id="87" w:name="_Toc288433932"/>
      <w:bookmarkStart w:id="88" w:name="_Toc280864703"/>
      <w:bookmarkStart w:id="89" w:name="_Toc140576111"/>
      <w:bookmarkStart w:id="90" w:name="_Toc274819091"/>
      <w:bookmarkStart w:id="91" w:name="_Toc275177882"/>
      <w:bookmarkStart w:id="92" w:name="_Toc276996440"/>
      <w:bookmarkStart w:id="93" w:name="_Toc3787500"/>
      <w:bookmarkStart w:id="94" w:name="_Toc274754576"/>
      <w:bookmarkStart w:id="95" w:name="_Toc274754132"/>
      <w:bookmarkStart w:id="96" w:name="_Toc276996326"/>
      <w:bookmarkStart w:id="97" w:name="_Toc281397405"/>
      <w:bookmarkStart w:id="98" w:name="_Toc281395245"/>
      <w:bookmarkStart w:id="99" w:name="_Toc249159877"/>
      <w:bookmarkStart w:id="100" w:name="_Toc274728080"/>
      <w:bookmarkStart w:id="101" w:name="_Toc287345697"/>
      <w:r>
        <w:t>环境影响因子识别和评价因子筛选</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Pr>
        <w:pStyle w:val="120"/>
        <w:rPr>
          <w:color w:val="auto"/>
        </w:rPr>
      </w:pPr>
      <w:bookmarkStart w:id="102" w:name="_Toc362213794"/>
      <w:bookmarkStart w:id="103" w:name="_Toc311791664"/>
      <w:bookmarkStart w:id="104" w:name="_Toc365648210"/>
      <w:r>
        <w:rPr>
          <w:color w:val="auto"/>
        </w:rPr>
        <w:t>环境影响因子识别</w:t>
      </w:r>
      <w:bookmarkEnd w:id="102"/>
      <w:bookmarkEnd w:id="103"/>
      <w:bookmarkEnd w:id="104"/>
    </w:p>
    <w:p>
      <w:pPr>
        <w:ind w:firstLine="480"/>
        <w:rPr>
          <w:snapToGrid w:val="0"/>
        </w:rPr>
      </w:pPr>
      <w:r>
        <w:rPr>
          <w:rFonts w:hint="eastAsia"/>
          <w:snapToGrid w:val="0"/>
        </w:rPr>
        <w:t>（1）环境影响因素识别</w:t>
      </w:r>
    </w:p>
    <w:p>
      <w:pPr>
        <w:ind w:firstLine="480"/>
        <w:rPr>
          <w:snapToGrid w:val="0"/>
        </w:rPr>
      </w:pPr>
      <w:bookmarkStart w:id="105" w:name="_Hlk149829471"/>
      <w:r>
        <w:rPr>
          <w:rFonts w:hint="eastAsia"/>
          <w:snapToGrid w:val="0"/>
        </w:rPr>
        <w:t>在对拟建公路沿线现场踏勘的基础上，根据公路沿线的环境状况和工程规模，对本项目的环境影响因素采用矩阵筛选法识别。各阶段环境影响因素矩阵筛选见</w:t>
      </w:r>
      <w:r>
        <w:rPr>
          <w:snapToGrid w:val="0"/>
        </w:rPr>
        <w:fldChar w:fldCharType="begin"/>
      </w:r>
      <w:r>
        <w:rPr>
          <w:snapToGrid w:val="0"/>
        </w:rPr>
        <w:instrText xml:space="preserve"> </w:instrText>
      </w:r>
      <w:r>
        <w:rPr>
          <w:rFonts w:hint="eastAsia"/>
          <w:snapToGrid w:val="0"/>
        </w:rPr>
        <w:instrText xml:space="preserve">REF _Ref140099001 \r \h</w:instrText>
      </w:r>
      <w:r>
        <w:rPr>
          <w:snapToGrid w:val="0"/>
        </w:rPr>
        <w:instrText xml:space="preserve">  \* MERGEFORMAT </w:instrText>
      </w:r>
      <w:r>
        <w:rPr>
          <w:snapToGrid w:val="0"/>
        </w:rPr>
        <w:fldChar w:fldCharType="separate"/>
      </w:r>
      <w:r>
        <w:rPr>
          <w:rFonts w:hint="eastAsia"/>
          <w:snapToGrid w:val="0"/>
        </w:rPr>
        <w:t>表2.4-1</w:t>
      </w:r>
      <w:r>
        <w:rPr>
          <w:snapToGrid w:val="0"/>
        </w:rPr>
        <w:fldChar w:fldCharType="end"/>
      </w:r>
      <w:r>
        <w:rPr>
          <w:rFonts w:hint="eastAsia"/>
          <w:snapToGrid w:val="0"/>
        </w:rPr>
        <w:t>。</w:t>
      </w:r>
    </w:p>
    <w:p>
      <w:pPr>
        <w:ind w:firstLine="480"/>
        <w:rPr>
          <w:snapToGrid w:val="0"/>
        </w:rPr>
      </w:pPr>
      <w:r>
        <w:rPr>
          <w:rFonts w:hint="eastAsia"/>
          <w:snapToGrid w:val="0"/>
        </w:rPr>
        <w:t>从</w:t>
      </w:r>
      <w:r>
        <w:rPr>
          <w:snapToGrid w:val="0"/>
        </w:rPr>
        <w:fldChar w:fldCharType="begin"/>
      </w:r>
      <w:r>
        <w:rPr>
          <w:snapToGrid w:val="0"/>
        </w:rPr>
        <w:instrText xml:space="preserve"> </w:instrText>
      </w:r>
      <w:r>
        <w:rPr>
          <w:rFonts w:hint="eastAsia"/>
          <w:snapToGrid w:val="0"/>
        </w:rPr>
        <w:instrText xml:space="preserve">REF _Ref140099001 \r \h</w:instrText>
      </w:r>
      <w:r>
        <w:rPr>
          <w:snapToGrid w:val="0"/>
        </w:rPr>
        <w:instrText xml:space="preserve">  \* MERGEFORMAT </w:instrText>
      </w:r>
      <w:r>
        <w:rPr>
          <w:snapToGrid w:val="0"/>
        </w:rPr>
        <w:fldChar w:fldCharType="separate"/>
      </w:r>
      <w:r>
        <w:rPr>
          <w:rFonts w:hint="eastAsia"/>
          <w:snapToGrid w:val="0"/>
        </w:rPr>
        <w:t>表2.4-1</w:t>
      </w:r>
      <w:r>
        <w:rPr>
          <w:snapToGrid w:val="0"/>
        </w:rPr>
        <w:fldChar w:fldCharType="end"/>
      </w:r>
      <w:r>
        <w:rPr>
          <w:rFonts w:hint="eastAsia"/>
          <w:snapToGrid w:val="0"/>
        </w:rPr>
        <w:t>中可以看出公路建设对沿线环境的影响主要表现在项目前期工作时段、施工期、运营期，其中以施工期对环境的影响最大。</w:t>
      </w:r>
    </w:p>
    <w:p>
      <w:pPr>
        <w:ind w:firstLine="480"/>
        <w:rPr>
          <w:snapToGrid w:val="0"/>
        </w:rPr>
      </w:pPr>
    </w:p>
    <w:p>
      <w:pPr>
        <w:pStyle w:val="87"/>
        <w:spacing w:before="120"/>
        <w:ind w:left="480" w:firstLine="480"/>
      </w:pPr>
      <w:bookmarkStart w:id="106" w:name="_Ref140099001"/>
      <w:r>
        <w:t>项目环境影响评价因子识别结果一览表</w:t>
      </w:r>
      <w:bookmarkEnd w:id="106"/>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672"/>
        <w:gridCol w:w="630"/>
        <w:gridCol w:w="630"/>
        <w:gridCol w:w="986"/>
        <w:gridCol w:w="903"/>
        <w:gridCol w:w="630"/>
        <w:gridCol w:w="639"/>
        <w:gridCol w:w="630"/>
        <w:gridCol w:w="630"/>
        <w:gridCol w:w="630"/>
        <w:gridCol w:w="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265" w:type="pct"/>
            <w:gridSpan w:val="2"/>
            <w:vMerge w:val="restart"/>
            <w:vAlign w:val="center"/>
          </w:tcPr>
          <w:p>
            <w:pPr>
              <w:pStyle w:val="105"/>
              <w:jc w:val="center"/>
            </w:pPr>
            <w:r>
              <w:t>施工行为</w:t>
            </w:r>
          </w:p>
          <w:p>
            <w:pPr>
              <w:pStyle w:val="105"/>
              <w:jc w:val="center"/>
            </w:pPr>
            <w:r>
              <w:t>环境资源</w:t>
            </w:r>
          </w:p>
        </w:tc>
        <w:tc>
          <w:tcPr>
            <w:tcW w:w="678" w:type="pct"/>
            <w:gridSpan w:val="2"/>
            <w:vAlign w:val="center"/>
          </w:tcPr>
          <w:p>
            <w:pPr>
              <w:pStyle w:val="105"/>
              <w:jc w:val="center"/>
            </w:pPr>
            <w:r>
              <w:t>前期</w:t>
            </w:r>
          </w:p>
        </w:tc>
        <w:tc>
          <w:tcPr>
            <w:tcW w:w="1700" w:type="pct"/>
            <w:gridSpan w:val="4"/>
            <w:vAlign w:val="center"/>
          </w:tcPr>
          <w:p>
            <w:pPr>
              <w:pStyle w:val="105"/>
              <w:jc w:val="center"/>
            </w:pPr>
            <w:r>
              <w:t>施工期</w:t>
            </w:r>
          </w:p>
        </w:tc>
        <w:tc>
          <w:tcPr>
            <w:tcW w:w="1357" w:type="pct"/>
            <w:gridSpan w:val="4"/>
            <w:vAlign w:val="center"/>
          </w:tcPr>
          <w:p>
            <w:pPr>
              <w:pStyle w:val="105"/>
              <w:jc w:val="center"/>
            </w:pPr>
            <w:r>
              <w:t>运营期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265" w:type="pct"/>
            <w:gridSpan w:val="2"/>
            <w:vMerge w:val="continue"/>
            <w:vAlign w:val="center"/>
          </w:tcPr>
          <w:p>
            <w:pPr>
              <w:pStyle w:val="105"/>
              <w:jc w:val="center"/>
            </w:pPr>
          </w:p>
        </w:tc>
        <w:tc>
          <w:tcPr>
            <w:tcW w:w="339" w:type="pct"/>
            <w:tcMar>
              <w:left w:w="0" w:type="dxa"/>
              <w:right w:w="0" w:type="dxa"/>
            </w:tcMar>
            <w:vAlign w:val="center"/>
          </w:tcPr>
          <w:p>
            <w:pPr>
              <w:pStyle w:val="105"/>
              <w:jc w:val="center"/>
            </w:pPr>
            <w:r>
              <w:rPr>
                <w:rFonts w:hint="eastAsia"/>
              </w:rPr>
              <w:t>征地</w:t>
            </w:r>
          </w:p>
        </w:tc>
        <w:tc>
          <w:tcPr>
            <w:tcW w:w="339" w:type="pct"/>
            <w:tcMar>
              <w:left w:w="0" w:type="dxa"/>
              <w:right w:w="0" w:type="dxa"/>
            </w:tcMar>
            <w:vAlign w:val="center"/>
          </w:tcPr>
          <w:p>
            <w:pPr>
              <w:pStyle w:val="105"/>
              <w:jc w:val="center"/>
            </w:pPr>
            <w:r>
              <w:t>拆迁</w:t>
            </w:r>
          </w:p>
        </w:tc>
        <w:tc>
          <w:tcPr>
            <w:tcW w:w="531" w:type="pct"/>
            <w:tcMar>
              <w:left w:w="0" w:type="dxa"/>
              <w:right w:w="0" w:type="dxa"/>
            </w:tcMar>
            <w:vAlign w:val="center"/>
          </w:tcPr>
          <w:p>
            <w:pPr>
              <w:pStyle w:val="105"/>
              <w:jc w:val="center"/>
            </w:pPr>
            <w:r>
              <w:rPr>
                <w:rFonts w:hint="eastAsia"/>
              </w:rPr>
              <w:t>临时</w:t>
            </w:r>
          </w:p>
          <w:p>
            <w:pPr>
              <w:pStyle w:val="105"/>
              <w:jc w:val="center"/>
            </w:pPr>
            <w:r>
              <w:rPr>
                <w:rFonts w:hint="eastAsia"/>
              </w:rPr>
              <w:t>占地</w:t>
            </w:r>
          </w:p>
        </w:tc>
        <w:tc>
          <w:tcPr>
            <w:tcW w:w="486" w:type="pct"/>
            <w:tcMar>
              <w:left w:w="0" w:type="dxa"/>
              <w:right w:w="0" w:type="dxa"/>
            </w:tcMar>
            <w:vAlign w:val="center"/>
          </w:tcPr>
          <w:p>
            <w:pPr>
              <w:pStyle w:val="105"/>
              <w:jc w:val="center"/>
            </w:pPr>
            <w:r>
              <w:t>路基</w:t>
            </w:r>
          </w:p>
          <w:p>
            <w:pPr>
              <w:pStyle w:val="105"/>
              <w:jc w:val="center"/>
            </w:pPr>
            <w:r>
              <w:t>路面</w:t>
            </w:r>
          </w:p>
        </w:tc>
        <w:tc>
          <w:tcPr>
            <w:tcW w:w="339" w:type="pct"/>
            <w:tcMar>
              <w:left w:w="0" w:type="dxa"/>
              <w:right w:w="0" w:type="dxa"/>
            </w:tcMar>
            <w:vAlign w:val="center"/>
          </w:tcPr>
          <w:p>
            <w:pPr>
              <w:pStyle w:val="105"/>
              <w:jc w:val="center"/>
            </w:pPr>
            <w:r>
              <w:t>桥涵</w:t>
            </w:r>
          </w:p>
        </w:tc>
        <w:tc>
          <w:tcPr>
            <w:tcW w:w="344" w:type="pct"/>
            <w:tcMar>
              <w:left w:w="0" w:type="dxa"/>
              <w:right w:w="0" w:type="dxa"/>
            </w:tcMar>
            <w:vAlign w:val="center"/>
          </w:tcPr>
          <w:p>
            <w:pPr>
              <w:pStyle w:val="105"/>
              <w:jc w:val="center"/>
            </w:pPr>
            <w:r>
              <w:t>机械</w:t>
            </w:r>
          </w:p>
          <w:p>
            <w:pPr>
              <w:pStyle w:val="105"/>
              <w:jc w:val="center"/>
            </w:pPr>
            <w:r>
              <w:t>作业</w:t>
            </w:r>
          </w:p>
        </w:tc>
        <w:tc>
          <w:tcPr>
            <w:tcW w:w="339" w:type="pct"/>
            <w:tcMar>
              <w:left w:w="0" w:type="dxa"/>
              <w:right w:w="0" w:type="dxa"/>
            </w:tcMar>
            <w:vAlign w:val="center"/>
          </w:tcPr>
          <w:p>
            <w:pPr>
              <w:pStyle w:val="105"/>
              <w:jc w:val="center"/>
            </w:pPr>
            <w:r>
              <w:t>运输</w:t>
            </w:r>
          </w:p>
          <w:p>
            <w:pPr>
              <w:pStyle w:val="105"/>
              <w:jc w:val="center"/>
            </w:pPr>
            <w:r>
              <w:t>行驶</w:t>
            </w:r>
          </w:p>
        </w:tc>
        <w:tc>
          <w:tcPr>
            <w:tcW w:w="339" w:type="pct"/>
            <w:tcMar>
              <w:left w:w="0" w:type="dxa"/>
              <w:right w:w="0" w:type="dxa"/>
            </w:tcMar>
            <w:vAlign w:val="center"/>
          </w:tcPr>
          <w:p>
            <w:pPr>
              <w:pStyle w:val="105"/>
              <w:jc w:val="center"/>
            </w:pPr>
            <w:r>
              <w:t>绿化</w:t>
            </w:r>
          </w:p>
        </w:tc>
        <w:tc>
          <w:tcPr>
            <w:tcW w:w="339" w:type="pct"/>
            <w:tcMar>
              <w:left w:w="0" w:type="dxa"/>
              <w:right w:w="0" w:type="dxa"/>
            </w:tcMar>
            <w:vAlign w:val="center"/>
          </w:tcPr>
          <w:p>
            <w:pPr>
              <w:pStyle w:val="105"/>
              <w:jc w:val="center"/>
            </w:pPr>
            <w:r>
              <w:t>复垦</w:t>
            </w:r>
          </w:p>
        </w:tc>
        <w:tc>
          <w:tcPr>
            <w:tcW w:w="340" w:type="pct"/>
            <w:tcMar>
              <w:left w:w="0" w:type="dxa"/>
              <w:right w:w="0" w:type="dxa"/>
            </w:tcMar>
            <w:vAlign w:val="center"/>
          </w:tcPr>
          <w:p>
            <w:pPr>
              <w:pStyle w:val="105"/>
              <w:jc w:val="center"/>
            </w:pPr>
            <w:r>
              <w:t>桥涵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64" w:type="pct"/>
            <w:vMerge w:val="restart"/>
            <w:vAlign w:val="center"/>
          </w:tcPr>
          <w:p>
            <w:pPr>
              <w:pStyle w:val="105"/>
              <w:jc w:val="center"/>
            </w:pPr>
            <w:r>
              <w:rPr>
                <w:rFonts w:hint="eastAsia"/>
              </w:rPr>
              <w:t>生态资源</w:t>
            </w:r>
          </w:p>
        </w:tc>
        <w:tc>
          <w:tcPr>
            <w:tcW w:w="901" w:type="pct"/>
            <w:vAlign w:val="center"/>
          </w:tcPr>
          <w:p>
            <w:pPr>
              <w:pStyle w:val="105"/>
              <w:jc w:val="center"/>
            </w:pPr>
            <w:r>
              <w:rPr>
                <w:rFonts w:hint="eastAsia"/>
              </w:rPr>
              <w:t>土壤土质</w:t>
            </w:r>
          </w:p>
        </w:tc>
        <w:tc>
          <w:tcPr>
            <w:tcW w:w="339" w:type="pct"/>
            <w:vAlign w:val="center"/>
          </w:tcPr>
          <w:p>
            <w:pPr>
              <w:pStyle w:val="105"/>
              <w:jc w:val="center"/>
            </w:pPr>
          </w:p>
        </w:tc>
        <w:tc>
          <w:tcPr>
            <w:tcW w:w="339" w:type="pct"/>
            <w:vAlign w:val="center"/>
          </w:tcPr>
          <w:p>
            <w:pPr>
              <w:pStyle w:val="105"/>
              <w:jc w:val="center"/>
            </w:pPr>
          </w:p>
        </w:tc>
        <w:tc>
          <w:tcPr>
            <w:tcW w:w="531" w:type="pct"/>
            <w:vAlign w:val="center"/>
          </w:tcPr>
          <w:p>
            <w:pPr>
              <w:pStyle w:val="105"/>
              <w:jc w:val="center"/>
            </w:pPr>
            <w:r>
              <w:t>●</w:t>
            </w:r>
          </w:p>
        </w:tc>
        <w:tc>
          <w:tcPr>
            <w:tcW w:w="486" w:type="pct"/>
            <w:vAlign w:val="center"/>
          </w:tcPr>
          <w:p>
            <w:pPr>
              <w:pStyle w:val="105"/>
              <w:jc w:val="center"/>
            </w:pPr>
            <w:r>
              <w:t>■</w:t>
            </w:r>
          </w:p>
        </w:tc>
        <w:tc>
          <w:tcPr>
            <w:tcW w:w="339" w:type="pct"/>
            <w:vAlign w:val="center"/>
          </w:tcPr>
          <w:p>
            <w:pPr>
              <w:pStyle w:val="105"/>
              <w:jc w:val="center"/>
            </w:pPr>
          </w:p>
        </w:tc>
        <w:tc>
          <w:tcPr>
            <w:tcW w:w="344"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r>
              <w:t>□</w:t>
            </w:r>
          </w:p>
        </w:tc>
        <w:tc>
          <w:tcPr>
            <w:tcW w:w="339" w:type="pct"/>
            <w:vAlign w:val="center"/>
          </w:tcPr>
          <w:p>
            <w:pPr>
              <w:pStyle w:val="105"/>
              <w:jc w:val="center"/>
            </w:pPr>
            <w:r>
              <w:t>□</w:t>
            </w: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rPr>
                <w:rFonts w:hint="eastAsia"/>
              </w:rPr>
              <w:t>水文</w:t>
            </w:r>
          </w:p>
        </w:tc>
        <w:tc>
          <w:tcPr>
            <w:tcW w:w="339" w:type="pct"/>
            <w:vAlign w:val="center"/>
          </w:tcPr>
          <w:p>
            <w:pPr>
              <w:pStyle w:val="105"/>
              <w:jc w:val="center"/>
            </w:pPr>
          </w:p>
        </w:tc>
        <w:tc>
          <w:tcPr>
            <w:tcW w:w="339" w:type="pct"/>
            <w:vAlign w:val="center"/>
          </w:tcPr>
          <w:p>
            <w:pPr>
              <w:pStyle w:val="105"/>
              <w:jc w:val="center"/>
            </w:pPr>
          </w:p>
        </w:tc>
        <w:tc>
          <w:tcPr>
            <w:tcW w:w="531" w:type="pct"/>
            <w:vAlign w:val="center"/>
          </w:tcPr>
          <w:p>
            <w:pPr>
              <w:pStyle w:val="105"/>
              <w:jc w:val="center"/>
            </w:pPr>
            <w:r>
              <w:t>●</w:t>
            </w:r>
          </w:p>
        </w:tc>
        <w:tc>
          <w:tcPr>
            <w:tcW w:w="486" w:type="pct"/>
            <w:vAlign w:val="center"/>
          </w:tcPr>
          <w:p>
            <w:pPr>
              <w:pStyle w:val="105"/>
              <w:jc w:val="center"/>
            </w:pPr>
            <w:r>
              <w:t>■</w:t>
            </w:r>
          </w:p>
        </w:tc>
        <w:tc>
          <w:tcPr>
            <w:tcW w:w="339" w:type="pct"/>
            <w:vAlign w:val="center"/>
          </w:tcPr>
          <w:p>
            <w:pPr>
              <w:pStyle w:val="105"/>
              <w:jc w:val="center"/>
            </w:pPr>
          </w:p>
        </w:tc>
        <w:tc>
          <w:tcPr>
            <w:tcW w:w="344" w:type="pct"/>
            <w:vAlign w:val="center"/>
          </w:tcPr>
          <w:p>
            <w:pPr>
              <w:pStyle w:val="105"/>
              <w:jc w:val="center"/>
            </w:pPr>
          </w:p>
        </w:tc>
        <w:tc>
          <w:tcPr>
            <w:tcW w:w="339" w:type="pct"/>
            <w:vAlign w:val="center"/>
          </w:tcPr>
          <w:p>
            <w:pPr>
              <w:pStyle w:val="105"/>
              <w:jc w:val="center"/>
            </w:pPr>
            <w:r>
              <w:t>■</w:t>
            </w:r>
          </w:p>
        </w:tc>
        <w:tc>
          <w:tcPr>
            <w:tcW w:w="339" w:type="pct"/>
            <w:vAlign w:val="center"/>
          </w:tcPr>
          <w:p>
            <w:pPr>
              <w:pStyle w:val="105"/>
              <w:jc w:val="center"/>
            </w:pPr>
          </w:p>
        </w:tc>
        <w:tc>
          <w:tcPr>
            <w:tcW w:w="339" w:type="pct"/>
            <w:vAlign w:val="center"/>
          </w:tcPr>
          <w:p>
            <w:pPr>
              <w:pStyle w:val="105"/>
              <w:jc w:val="center"/>
            </w:pP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rPr>
                <w:rFonts w:hint="eastAsia"/>
              </w:rPr>
              <w:t>水土保持</w:t>
            </w:r>
          </w:p>
        </w:tc>
        <w:tc>
          <w:tcPr>
            <w:tcW w:w="339" w:type="pct"/>
            <w:vAlign w:val="center"/>
          </w:tcPr>
          <w:p>
            <w:pPr>
              <w:pStyle w:val="105"/>
              <w:jc w:val="center"/>
            </w:pPr>
          </w:p>
        </w:tc>
        <w:tc>
          <w:tcPr>
            <w:tcW w:w="339" w:type="pct"/>
            <w:vAlign w:val="center"/>
          </w:tcPr>
          <w:p>
            <w:pPr>
              <w:pStyle w:val="105"/>
              <w:jc w:val="center"/>
            </w:pPr>
            <w:r>
              <w:t>●</w:t>
            </w:r>
          </w:p>
        </w:tc>
        <w:tc>
          <w:tcPr>
            <w:tcW w:w="531" w:type="pct"/>
            <w:vAlign w:val="center"/>
          </w:tcPr>
          <w:p>
            <w:pPr>
              <w:pStyle w:val="105"/>
              <w:jc w:val="center"/>
            </w:pPr>
            <w:r>
              <w:t>●</w:t>
            </w:r>
          </w:p>
        </w:tc>
        <w:tc>
          <w:tcPr>
            <w:tcW w:w="486" w:type="pct"/>
            <w:vAlign w:val="center"/>
          </w:tcPr>
          <w:p>
            <w:pPr>
              <w:pStyle w:val="105"/>
              <w:jc w:val="center"/>
            </w:pPr>
            <w:r>
              <w:t>●</w:t>
            </w:r>
          </w:p>
        </w:tc>
        <w:tc>
          <w:tcPr>
            <w:tcW w:w="339" w:type="pct"/>
            <w:vAlign w:val="center"/>
          </w:tcPr>
          <w:p>
            <w:pPr>
              <w:pStyle w:val="105"/>
              <w:jc w:val="center"/>
            </w:pPr>
          </w:p>
        </w:tc>
        <w:tc>
          <w:tcPr>
            <w:tcW w:w="344"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r>
              <w:t>□</w:t>
            </w:r>
          </w:p>
        </w:tc>
        <w:tc>
          <w:tcPr>
            <w:tcW w:w="339" w:type="pct"/>
            <w:vAlign w:val="center"/>
          </w:tcPr>
          <w:p>
            <w:pPr>
              <w:pStyle w:val="105"/>
              <w:jc w:val="center"/>
            </w:pPr>
            <w:r>
              <w:t>□</w:t>
            </w: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t>土地利用</w:t>
            </w:r>
          </w:p>
        </w:tc>
        <w:tc>
          <w:tcPr>
            <w:tcW w:w="339" w:type="pct"/>
            <w:vAlign w:val="center"/>
          </w:tcPr>
          <w:p>
            <w:pPr>
              <w:pStyle w:val="105"/>
              <w:jc w:val="center"/>
            </w:pPr>
            <w:r>
              <w:t>■</w:t>
            </w:r>
          </w:p>
        </w:tc>
        <w:tc>
          <w:tcPr>
            <w:tcW w:w="339" w:type="pct"/>
            <w:vAlign w:val="center"/>
          </w:tcPr>
          <w:p>
            <w:pPr>
              <w:pStyle w:val="105"/>
              <w:jc w:val="center"/>
            </w:pPr>
          </w:p>
        </w:tc>
        <w:tc>
          <w:tcPr>
            <w:tcW w:w="531" w:type="pct"/>
            <w:vAlign w:val="center"/>
          </w:tcPr>
          <w:p>
            <w:pPr>
              <w:pStyle w:val="105"/>
              <w:jc w:val="center"/>
            </w:pPr>
            <w:r>
              <w:t>●</w:t>
            </w:r>
          </w:p>
        </w:tc>
        <w:tc>
          <w:tcPr>
            <w:tcW w:w="486" w:type="pct"/>
            <w:vAlign w:val="center"/>
          </w:tcPr>
          <w:p>
            <w:pPr>
              <w:pStyle w:val="105"/>
              <w:jc w:val="center"/>
            </w:pPr>
            <w:r>
              <w:t>■</w:t>
            </w:r>
          </w:p>
        </w:tc>
        <w:tc>
          <w:tcPr>
            <w:tcW w:w="339" w:type="pct"/>
            <w:vAlign w:val="center"/>
          </w:tcPr>
          <w:p>
            <w:pPr>
              <w:pStyle w:val="105"/>
              <w:jc w:val="center"/>
            </w:pPr>
          </w:p>
        </w:tc>
        <w:tc>
          <w:tcPr>
            <w:tcW w:w="344"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r>
              <w:t>□</w:t>
            </w: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rPr>
                <w:rFonts w:hint="eastAsia"/>
              </w:rPr>
              <w:t>陆地植被</w:t>
            </w:r>
          </w:p>
        </w:tc>
        <w:tc>
          <w:tcPr>
            <w:tcW w:w="339" w:type="pct"/>
            <w:vAlign w:val="center"/>
          </w:tcPr>
          <w:p>
            <w:pPr>
              <w:pStyle w:val="105"/>
              <w:jc w:val="center"/>
            </w:pPr>
            <w:r>
              <w:t>■</w:t>
            </w:r>
          </w:p>
        </w:tc>
        <w:tc>
          <w:tcPr>
            <w:tcW w:w="339" w:type="pct"/>
            <w:vAlign w:val="center"/>
          </w:tcPr>
          <w:p>
            <w:pPr>
              <w:pStyle w:val="105"/>
              <w:jc w:val="center"/>
            </w:pPr>
          </w:p>
        </w:tc>
        <w:tc>
          <w:tcPr>
            <w:tcW w:w="531" w:type="pct"/>
            <w:vAlign w:val="center"/>
          </w:tcPr>
          <w:p>
            <w:pPr>
              <w:pStyle w:val="105"/>
              <w:jc w:val="center"/>
            </w:pPr>
            <w:r>
              <w:t>●</w:t>
            </w:r>
          </w:p>
        </w:tc>
        <w:tc>
          <w:tcPr>
            <w:tcW w:w="486" w:type="pct"/>
            <w:vAlign w:val="center"/>
          </w:tcPr>
          <w:p>
            <w:pPr>
              <w:pStyle w:val="105"/>
              <w:jc w:val="center"/>
            </w:pPr>
            <w:r>
              <w:t>■</w:t>
            </w:r>
          </w:p>
        </w:tc>
        <w:tc>
          <w:tcPr>
            <w:tcW w:w="339" w:type="pct"/>
            <w:vAlign w:val="center"/>
          </w:tcPr>
          <w:p>
            <w:pPr>
              <w:pStyle w:val="105"/>
              <w:jc w:val="center"/>
            </w:pPr>
          </w:p>
        </w:tc>
        <w:tc>
          <w:tcPr>
            <w:tcW w:w="344" w:type="pct"/>
            <w:vAlign w:val="center"/>
          </w:tcPr>
          <w:p>
            <w:pPr>
              <w:pStyle w:val="105"/>
              <w:jc w:val="center"/>
            </w:pPr>
            <w:r>
              <w:t>●</w:t>
            </w:r>
          </w:p>
        </w:tc>
        <w:tc>
          <w:tcPr>
            <w:tcW w:w="339" w:type="pct"/>
            <w:vAlign w:val="center"/>
          </w:tcPr>
          <w:p>
            <w:pPr>
              <w:pStyle w:val="105"/>
              <w:jc w:val="center"/>
            </w:pPr>
          </w:p>
        </w:tc>
        <w:tc>
          <w:tcPr>
            <w:tcW w:w="339" w:type="pct"/>
            <w:vAlign w:val="center"/>
          </w:tcPr>
          <w:p>
            <w:pPr>
              <w:pStyle w:val="105"/>
              <w:jc w:val="center"/>
            </w:pPr>
            <w:r>
              <w:t>□</w:t>
            </w:r>
          </w:p>
        </w:tc>
        <w:tc>
          <w:tcPr>
            <w:tcW w:w="339" w:type="pct"/>
            <w:vAlign w:val="center"/>
          </w:tcPr>
          <w:p>
            <w:pPr>
              <w:pStyle w:val="105"/>
              <w:jc w:val="center"/>
            </w:pPr>
            <w:r>
              <w:t>□</w:t>
            </w: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rPr>
                <w:rFonts w:hint="eastAsia"/>
              </w:rPr>
              <w:t>陆栖动物</w:t>
            </w:r>
          </w:p>
        </w:tc>
        <w:tc>
          <w:tcPr>
            <w:tcW w:w="339" w:type="pct"/>
            <w:vAlign w:val="center"/>
          </w:tcPr>
          <w:p>
            <w:pPr>
              <w:pStyle w:val="105"/>
              <w:jc w:val="center"/>
            </w:pPr>
            <w:r>
              <w:t>■</w:t>
            </w:r>
          </w:p>
        </w:tc>
        <w:tc>
          <w:tcPr>
            <w:tcW w:w="339" w:type="pct"/>
            <w:vAlign w:val="center"/>
          </w:tcPr>
          <w:p>
            <w:pPr>
              <w:pStyle w:val="105"/>
              <w:jc w:val="center"/>
            </w:pPr>
          </w:p>
        </w:tc>
        <w:tc>
          <w:tcPr>
            <w:tcW w:w="531" w:type="pct"/>
            <w:vAlign w:val="center"/>
          </w:tcPr>
          <w:p>
            <w:pPr>
              <w:pStyle w:val="105"/>
              <w:jc w:val="center"/>
            </w:pPr>
            <w:r>
              <w:t>●</w:t>
            </w:r>
          </w:p>
        </w:tc>
        <w:tc>
          <w:tcPr>
            <w:tcW w:w="486" w:type="pct"/>
            <w:vAlign w:val="center"/>
          </w:tcPr>
          <w:p>
            <w:pPr>
              <w:pStyle w:val="105"/>
              <w:jc w:val="center"/>
            </w:pPr>
            <w:r>
              <w:t>■</w:t>
            </w:r>
          </w:p>
        </w:tc>
        <w:tc>
          <w:tcPr>
            <w:tcW w:w="339" w:type="pct"/>
            <w:vAlign w:val="center"/>
          </w:tcPr>
          <w:p>
            <w:pPr>
              <w:pStyle w:val="105"/>
              <w:jc w:val="center"/>
            </w:pPr>
          </w:p>
        </w:tc>
        <w:tc>
          <w:tcPr>
            <w:tcW w:w="344" w:type="pct"/>
            <w:vAlign w:val="center"/>
          </w:tcPr>
          <w:p>
            <w:pPr>
              <w:pStyle w:val="105"/>
              <w:jc w:val="center"/>
            </w:pPr>
            <w:r>
              <w:t>●</w:t>
            </w:r>
          </w:p>
        </w:tc>
        <w:tc>
          <w:tcPr>
            <w:tcW w:w="339" w:type="pct"/>
            <w:vAlign w:val="center"/>
          </w:tcPr>
          <w:p>
            <w:pPr>
              <w:pStyle w:val="105"/>
              <w:jc w:val="center"/>
            </w:pPr>
            <w:r>
              <w:t>■</w:t>
            </w:r>
          </w:p>
        </w:tc>
        <w:tc>
          <w:tcPr>
            <w:tcW w:w="339" w:type="pct"/>
            <w:vAlign w:val="center"/>
          </w:tcPr>
          <w:p>
            <w:pPr>
              <w:pStyle w:val="105"/>
              <w:jc w:val="center"/>
            </w:pPr>
            <w:r>
              <w:t>□</w:t>
            </w:r>
          </w:p>
        </w:tc>
        <w:tc>
          <w:tcPr>
            <w:tcW w:w="339" w:type="pct"/>
            <w:vAlign w:val="center"/>
          </w:tcPr>
          <w:p>
            <w:pPr>
              <w:pStyle w:val="105"/>
              <w:jc w:val="center"/>
            </w:pP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rPr>
                <w:rFonts w:hint="eastAsia"/>
              </w:rPr>
              <w:t>湿地资源</w:t>
            </w:r>
          </w:p>
        </w:tc>
        <w:tc>
          <w:tcPr>
            <w:tcW w:w="339" w:type="pct"/>
            <w:vAlign w:val="center"/>
          </w:tcPr>
          <w:p>
            <w:pPr>
              <w:pStyle w:val="105"/>
              <w:jc w:val="center"/>
            </w:pPr>
            <w:r>
              <w:t>●</w:t>
            </w:r>
          </w:p>
        </w:tc>
        <w:tc>
          <w:tcPr>
            <w:tcW w:w="339" w:type="pct"/>
            <w:vAlign w:val="center"/>
          </w:tcPr>
          <w:p>
            <w:pPr>
              <w:pStyle w:val="105"/>
              <w:jc w:val="center"/>
            </w:pPr>
          </w:p>
        </w:tc>
        <w:tc>
          <w:tcPr>
            <w:tcW w:w="531" w:type="pct"/>
            <w:vAlign w:val="center"/>
          </w:tcPr>
          <w:p>
            <w:pPr>
              <w:pStyle w:val="105"/>
              <w:jc w:val="center"/>
            </w:pPr>
          </w:p>
        </w:tc>
        <w:tc>
          <w:tcPr>
            <w:tcW w:w="486" w:type="pct"/>
            <w:vAlign w:val="center"/>
          </w:tcPr>
          <w:p>
            <w:pPr>
              <w:pStyle w:val="105"/>
              <w:jc w:val="center"/>
            </w:pPr>
            <w:r>
              <w:t>●</w:t>
            </w:r>
          </w:p>
        </w:tc>
        <w:tc>
          <w:tcPr>
            <w:tcW w:w="339" w:type="pct"/>
            <w:vAlign w:val="center"/>
          </w:tcPr>
          <w:p>
            <w:pPr>
              <w:pStyle w:val="105"/>
              <w:jc w:val="center"/>
            </w:pPr>
            <w:r>
              <w:t>●</w:t>
            </w:r>
          </w:p>
        </w:tc>
        <w:tc>
          <w:tcPr>
            <w:tcW w:w="344"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restart"/>
            <w:vAlign w:val="center"/>
          </w:tcPr>
          <w:p>
            <w:pPr>
              <w:pStyle w:val="105"/>
              <w:jc w:val="center"/>
            </w:pPr>
            <w:r>
              <w:t>生态环境</w:t>
            </w:r>
          </w:p>
        </w:tc>
        <w:tc>
          <w:tcPr>
            <w:tcW w:w="901" w:type="pct"/>
            <w:vAlign w:val="center"/>
          </w:tcPr>
          <w:p>
            <w:pPr>
              <w:pStyle w:val="105"/>
              <w:jc w:val="center"/>
            </w:pPr>
            <w:r>
              <w:t>空气质量</w:t>
            </w:r>
          </w:p>
        </w:tc>
        <w:tc>
          <w:tcPr>
            <w:tcW w:w="339" w:type="pct"/>
            <w:vAlign w:val="center"/>
          </w:tcPr>
          <w:p>
            <w:pPr>
              <w:pStyle w:val="105"/>
              <w:jc w:val="center"/>
            </w:pPr>
          </w:p>
        </w:tc>
        <w:tc>
          <w:tcPr>
            <w:tcW w:w="339" w:type="pct"/>
            <w:vAlign w:val="center"/>
          </w:tcPr>
          <w:p>
            <w:pPr>
              <w:pStyle w:val="105"/>
              <w:jc w:val="center"/>
            </w:pPr>
            <w:r>
              <w:t>●</w:t>
            </w:r>
          </w:p>
        </w:tc>
        <w:tc>
          <w:tcPr>
            <w:tcW w:w="531" w:type="pct"/>
            <w:vAlign w:val="center"/>
          </w:tcPr>
          <w:p>
            <w:pPr>
              <w:pStyle w:val="105"/>
              <w:jc w:val="center"/>
            </w:pPr>
            <w:r>
              <w:t>●</w:t>
            </w:r>
          </w:p>
        </w:tc>
        <w:tc>
          <w:tcPr>
            <w:tcW w:w="486" w:type="pct"/>
            <w:vAlign w:val="center"/>
          </w:tcPr>
          <w:p>
            <w:pPr>
              <w:pStyle w:val="105"/>
              <w:jc w:val="center"/>
            </w:pPr>
            <w:r>
              <w:t>●</w:t>
            </w:r>
          </w:p>
        </w:tc>
        <w:tc>
          <w:tcPr>
            <w:tcW w:w="339" w:type="pct"/>
            <w:vAlign w:val="center"/>
          </w:tcPr>
          <w:p>
            <w:pPr>
              <w:pStyle w:val="105"/>
              <w:jc w:val="center"/>
            </w:pPr>
            <w:r>
              <w:t>●</w:t>
            </w:r>
          </w:p>
        </w:tc>
        <w:tc>
          <w:tcPr>
            <w:tcW w:w="344" w:type="pct"/>
            <w:vAlign w:val="center"/>
          </w:tcPr>
          <w:p>
            <w:pPr>
              <w:pStyle w:val="105"/>
              <w:jc w:val="center"/>
            </w:pPr>
            <w:r>
              <w:t>●</w:t>
            </w:r>
          </w:p>
        </w:tc>
        <w:tc>
          <w:tcPr>
            <w:tcW w:w="339" w:type="pct"/>
            <w:vAlign w:val="center"/>
          </w:tcPr>
          <w:p>
            <w:pPr>
              <w:pStyle w:val="105"/>
              <w:jc w:val="center"/>
            </w:pPr>
            <w:r>
              <w:t>■</w:t>
            </w:r>
          </w:p>
        </w:tc>
        <w:tc>
          <w:tcPr>
            <w:tcW w:w="339" w:type="pct"/>
            <w:vAlign w:val="center"/>
          </w:tcPr>
          <w:p>
            <w:pPr>
              <w:pStyle w:val="105"/>
              <w:jc w:val="center"/>
            </w:pPr>
            <w:r>
              <w:t>□</w:t>
            </w:r>
          </w:p>
        </w:tc>
        <w:tc>
          <w:tcPr>
            <w:tcW w:w="339" w:type="pct"/>
            <w:vAlign w:val="center"/>
          </w:tcPr>
          <w:p>
            <w:pPr>
              <w:pStyle w:val="105"/>
              <w:jc w:val="center"/>
            </w:pP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t>声环境</w:t>
            </w:r>
          </w:p>
        </w:tc>
        <w:tc>
          <w:tcPr>
            <w:tcW w:w="339" w:type="pct"/>
            <w:vAlign w:val="center"/>
          </w:tcPr>
          <w:p>
            <w:pPr>
              <w:pStyle w:val="105"/>
              <w:jc w:val="center"/>
            </w:pPr>
          </w:p>
        </w:tc>
        <w:tc>
          <w:tcPr>
            <w:tcW w:w="339" w:type="pct"/>
            <w:vAlign w:val="center"/>
          </w:tcPr>
          <w:p>
            <w:pPr>
              <w:pStyle w:val="105"/>
              <w:jc w:val="center"/>
            </w:pPr>
          </w:p>
        </w:tc>
        <w:tc>
          <w:tcPr>
            <w:tcW w:w="531" w:type="pct"/>
            <w:vAlign w:val="center"/>
          </w:tcPr>
          <w:p>
            <w:pPr>
              <w:pStyle w:val="105"/>
              <w:jc w:val="center"/>
            </w:pPr>
          </w:p>
        </w:tc>
        <w:tc>
          <w:tcPr>
            <w:tcW w:w="486" w:type="pct"/>
            <w:vAlign w:val="center"/>
          </w:tcPr>
          <w:p>
            <w:pPr>
              <w:pStyle w:val="105"/>
              <w:jc w:val="center"/>
            </w:pPr>
            <w:r>
              <w:t>●</w:t>
            </w:r>
          </w:p>
        </w:tc>
        <w:tc>
          <w:tcPr>
            <w:tcW w:w="339" w:type="pct"/>
            <w:vAlign w:val="center"/>
          </w:tcPr>
          <w:p>
            <w:pPr>
              <w:pStyle w:val="105"/>
              <w:jc w:val="center"/>
            </w:pPr>
            <w:r>
              <w:t>●</w:t>
            </w:r>
          </w:p>
        </w:tc>
        <w:tc>
          <w:tcPr>
            <w:tcW w:w="344" w:type="pct"/>
            <w:vAlign w:val="center"/>
          </w:tcPr>
          <w:p>
            <w:pPr>
              <w:pStyle w:val="105"/>
              <w:jc w:val="center"/>
            </w:pPr>
            <w:r>
              <w:t>●</w:t>
            </w:r>
          </w:p>
        </w:tc>
        <w:tc>
          <w:tcPr>
            <w:tcW w:w="339" w:type="pct"/>
            <w:vAlign w:val="center"/>
          </w:tcPr>
          <w:p>
            <w:pPr>
              <w:pStyle w:val="105"/>
              <w:jc w:val="center"/>
            </w:pPr>
            <w:r>
              <w:t>■</w:t>
            </w:r>
          </w:p>
        </w:tc>
        <w:tc>
          <w:tcPr>
            <w:tcW w:w="339" w:type="pct"/>
            <w:vAlign w:val="center"/>
          </w:tcPr>
          <w:p>
            <w:pPr>
              <w:pStyle w:val="105"/>
              <w:jc w:val="center"/>
            </w:pPr>
            <w:r>
              <w:t>□</w:t>
            </w:r>
          </w:p>
        </w:tc>
        <w:tc>
          <w:tcPr>
            <w:tcW w:w="339" w:type="pct"/>
            <w:vAlign w:val="center"/>
          </w:tcPr>
          <w:p>
            <w:pPr>
              <w:pStyle w:val="105"/>
              <w:jc w:val="center"/>
            </w:pP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t>地表水</w:t>
            </w:r>
            <w:r>
              <w:rPr>
                <w:rFonts w:hint="eastAsia"/>
              </w:rPr>
              <w:t>环境</w:t>
            </w:r>
          </w:p>
        </w:tc>
        <w:tc>
          <w:tcPr>
            <w:tcW w:w="339" w:type="pct"/>
            <w:vAlign w:val="center"/>
          </w:tcPr>
          <w:p>
            <w:pPr>
              <w:pStyle w:val="105"/>
              <w:jc w:val="center"/>
            </w:pPr>
          </w:p>
        </w:tc>
        <w:tc>
          <w:tcPr>
            <w:tcW w:w="339" w:type="pct"/>
            <w:vAlign w:val="center"/>
          </w:tcPr>
          <w:p>
            <w:pPr>
              <w:pStyle w:val="105"/>
              <w:jc w:val="center"/>
            </w:pPr>
          </w:p>
        </w:tc>
        <w:tc>
          <w:tcPr>
            <w:tcW w:w="531" w:type="pct"/>
            <w:vAlign w:val="center"/>
          </w:tcPr>
          <w:p>
            <w:pPr>
              <w:pStyle w:val="105"/>
              <w:jc w:val="center"/>
            </w:pPr>
          </w:p>
        </w:tc>
        <w:tc>
          <w:tcPr>
            <w:tcW w:w="486" w:type="pct"/>
            <w:vAlign w:val="center"/>
          </w:tcPr>
          <w:p>
            <w:pPr>
              <w:pStyle w:val="105"/>
              <w:jc w:val="center"/>
            </w:pPr>
            <w:r>
              <w:t>●</w:t>
            </w:r>
          </w:p>
        </w:tc>
        <w:tc>
          <w:tcPr>
            <w:tcW w:w="339" w:type="pct"/>
            <w:vAlign w:val="center"/>
          </w:tcPr>
          <w:p>
            <w:pPr>
              <w:pStyle w:val="105"/>
              <w:jc w:val="center"/>
            </w:pPr>
            <w:r>
              <w:t>●</w:t>
            </w:r>
          </w:p>
        </w:tc>
        <w:tc>
          <w:tcPr>
            <w:tcW w:w="344" w:type="pct"/>
            <w:vAlign w:val="center"/>
          </w:tcPr>
          <w:p>
            <w:pPr>
              <w:pStyle w:val="105"/>
              <w:jc w:val="center"/>
            </w:pPr>
          </w:p>
        </w:tc>
        <w:tc>
          <w:tcPr>
            <w:tcW w:w="339" w:type="pct"/>
            <w:vAlign w:val="center"/>
          </w:tcPr>
          <w:p>
            <w:pPr>
              <w:pStyle w:val="105"/>
              <w:jc w:val="center"/>
            </w:pPr>
            <w:r>
              <w:t>■</w:t>
            </w:r>
          </w:p>
        </w:tc>
        <w:tc>
          <w:tcPr>
            <w:tcW w:w="339" w:type="pct"/>
            <w:vAlign w:val="center"/>
          </w:tcPr>
          <w:p>
            <w:pPr>
              <w:pStyle w:val="105"/>
              <w:jc w:val="center"/>
            </w:pPr>
          </w:p>
        </w:tc>
        <w:tc>
          <w:tcPr>
            <w:tcW w:w="339" w:type="pct"/>
            <w:vAlign w:val="center"/>
          </w:tcPr>
          <w:p>
            <w:pPr>
              <w:pStyle w:val="105"/>
              <w:jc w:val="center"/>
            </w:pP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rPr>
                <w:rFonts w:hint="eastAsia"/>
              </w:rPr>
              <w:t>土壤</w:t>
            </w:r>
          </w:p>
        </w:tc>
        <w:tc>
          <w:tcPr>
            <w:tcW w:w="339" w:type="pct"/>
            <w:vAlign w:val="center"/>
          </w:tcPr>
          <w:p>
            <w:pPr>
              <w:pStyle w:val="105"/>
              <w:jc w:val="center"/>
            </w:pPr>
          </w:p>
        </w:tc>
        <w:tc>
          <w:tcPr>
            <w:tcW w:w="339" w:type="pct"/>
            <w:vAlign w:val="center"/>
          </w:tcPr>
          <w:p>
            <w:pPr>
              <w:pStyle w:val="105"/>
              <w:jc w:val="center"/>
            </w:pPr>
          </w:p>
        </w:tc>
        <w:tc>
          <w:tcPr>
            <w:tcW w:w="531" w:type="pct"/>
            <w:vAlign w:val="center"/>
          </w:tcPr>
          <w:p>
            <w:pPr>
              <w:pStyle w:val="105"/>
              <w:jc w:val="center"/>
            </w:pPr>
            <w:r>
              <w:t>●</w:t>
            </w:r>
          </w:p>
        </w:tc>
        <w:tc>
          <w:tcPr>
            <w:tcW w:w="486" w:type="pct"/>
            <w:vAlign w:val="center"/>
          </w:tcPr>
          <w:p>
            <w:pPr>
              <w:pStyle w:val="105"/>
              <w:jc w:val="center"/>
            </w:pPr>
            <w:r>
              <w:t>●</w:t>
            </w:r>
          </w:p>
        </w:tc>
        <w:tc>
          <w:tcPr>
            <w:tcW w:w="339" w:type="pct"/>
            <w:vAlign w:val="center"/>
          </w:tcPr>
          <w:p>
            <w:pPr>
              <w:pStyle w:val="105"/>
              <w:jc w:val="center"/>
            </w:pPr>
          </w:p>
        </w:tc>
        <w:tc>
          <w:tcPr>
            <w:tcW w:w="344"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rPr>
                <w:rFonts w:hint="eastAsia"/>
              </w:rPr>
              <w:t>景观</w:t>
            </w:r>
          </w:p>
        </w:tc>
        <w:tc>
          <w:tcPr>
            <w:tcW w:w="339" w:type="pct"/>
            <w:vAlign w:val="center"/>
          </w:tcPr>
          <w:p>
            <w:pPr>
              <w:pStyle w:val="105"/>
              <w:jc w:val="center"/>
            </w:pPr>
          </w:p>
        </w:tc>
        <w:tc>
          <w:tcPr>
            <w:tcW w:w="339" w:type="pct"/>
            <w:vAlign w:val="center"/>
          </w:tcPr>
          <w:p>
            <w:pPr>
              <w:pStyle w:val="105"/>
              <w:jc w:val="center"/>
            </w:pPr>
            <w:r>
              <w:t>●</w:t>
            </w:r>
          </w:p>
        </w:tc>
        <w:tc>
          <w:tcPr>
            <w:tcW w:w="531" w:type="pct"/>
            <w:vAlign w:val="center"/>
          </w:tcPr>
          <w:p>
            <w:pPr>
              <w:pStyle w:val="105"/>
              <w:jc w:val="center"/>
            </w:pPr>
            <w:r>
              <w:t>●</w:t>
            </w:r>
          </w:p>
        </w:tc>
        <w:tc>
          <w:tcPr>
            <w:tcW w:w="486" w:type="pct"/>
            <w:vAlign w:val="center"/>
          </w:tcPr>
          <w:p>
            <w:pPr>
              <w:pStyle w:val="105"/>
              <w:jc w:val="center"/>
            </w:pPr>
            <w:r>
              <w:t>●</w:t>
            </w:r>
          </w:p>
        </w:tc>
        <w:tc>
          <w:tcPr>
            <w:tcW w:w="339" w:type="pct"/>
            <w:vAlign w:val="center"/>
          </w:tcPr>
          <w:p>
            <w:pPr>
              <w:pStyle w:val="105"/>
              <w:jc w:val="center"/>
            </w:pPr>
          </w:p>
        </w:tc>
        <w:tc>
          <w:tcPr>
            <w:tcW w:w="344" w:type="pct"/>
            <w:vAlign w:val="center"/>
          </w:tcPr>
          <w:p>
            <w:pPr>
              <w:pStyle w:val="105"/>
              <w:jc w:val="center"/>
            </w:pPr>
            <w:r>
              <w:t>●</w:t>
            </w:r>
          </w:p>
        </w:tc>
        <w:tc>
          <w:tcPr>
            <w:tcW w:w="339" w:type="pct"/>
            <w:vAlign w:val="center"/>
          </w:tcPr>
          <w:p>
            <w:pPr>
              <w:pStyle w:val="105"/>
              <w:jc w:val="center"/>
            </w:pPr>
          </w:p>
        </w:tc>
        <w:tc>
          <w:tcPr>
            <w:tcW w:w="339" w:type="pct"/>
            <w:vAlign w:val="center"/>
          </w:tcPr>
          <w:p>
            <w:pPr>
              <w:pStyle w:val="105"/>
              <w:jc w:val="center"/>
            </w:pPr>
            <w:r>
              <w:t>□</w:t>
            </w:r>
          </w:p>
        </w:tc>
        <w:tc>
          <w:tcPr>
            <w:tcW w:w="339" w:type="pct"/>
            <w:vAlign w:val="center"/>
          </w:tcPr>
          <w:p>
            <w:pPr>
              <w:pStyle w:val="105"/>
              <w:jc w:val="center"/>
            </w:pPr>
          </w:p>
        </w:tc>
        <w:tc>
          <w:tcPr>
            <w:tcW w:w="340" w:type="pct"/>
            <w:vAlign w:val="center"/>
          </w:tcPr>
          <w:p>
            <w:pPr>
              <w:pStyle w:val="105"/>
              <w:jc w:val="center"/>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4" w:type="pct"/>
            <w:vMerge w:val="continue"/>
            <w:vAlign w:val="center"/>
          </w:tcPr>
          <w:p>
            <w:pPr>
              <w:pStyle w:val="105"/>
              <w:jc w:val="center"/>
            </w:pPr>
          </w:p>
        </w:tc>
        <w:tc>
          <w:tcPr>
            <w:tcW w:w="901" w:type="pct"/>
            <w:vAlign w:val="center"/>
          </w:tcPr>
          <w:p>
            <w:pPr>
              <w:pStyle w:val="105"/>
              <w:jc w:val="center"/>
            </w:pPr>
            <w:r>
              <w:rPr>
                <w:rFonts w:hint="eastAsia"/>
              </w:rPr>
              <w:t>湿地生态</w:t>
            </w:r>
          </w:p>
        </w:tc>
        <w:tc>
          <w:tcPr>
            <w:tcW w:w="339" w:type="pct"/>
            <w:vAlign w:val="center"/>
          </w:tcPr>
          <w:p>
            <w:pPr>
              <w:pStyle w:val="105"/>
              <w:jc w:val="center"/>
            </w:pPr>
            <w:r>
              <w:t>●</w:t>
            </w:r>
          </w:p>
        </w:tc>
        <w:tc>
          <w:tcPr>
            <w:tcW w:w="339" w:type="pct"/>
            <w:vAlign w:val="center"/>
          </w:tcPr>
          <w:p>
            <w:pPr>
              <w:pStyle w:val="105"/>
              <w:jc w:val="center"/>
            </w:pPr>
          </w:p>
        </w:tc>
        <w:tc>
          <w:tcPr>
            <w:tcW w:w="531" w:type="pct"/>
            <w:vAlign w:val="center"/>
          </w:tcPr>
          <w:p>
            <w:pPr>
              <w:pStyle w:val="105"/>
              <w:jc w:val="center"/>
            </w:pPr>
          </w:p>
        </w:tc>
        <w:tc>
          <w:tcPr>
            <w:tcW w:w="486" w:type="pct"/>
            <w:vAlign w:val="center"/>
          </w:tcPr>
          <w:p>
            <w:pPr>
              <w:pStyle w:val="105"/>
              <w:jc w:val="center"/>
            </w:pPr>
            <w:r>
              <w:t>●</w:t>
            </w:r>
          </w:p>
        </w:tc>
        <w:tc>
          <w:tcPr>
            <w:tcW w:w="339" w:type="pct"/>
            <w:vAlign w:val="center"/>
          </w:tcPr>
          <w:p>
            <w:pPr>
              <w:pStyle w:val="105"/>
              <w:jc w:val="center"/>
            </w:pPr>
            <w:r>
              <w:t>●</w:t>
            </w:r>
          </w:p>
        </w:tc>
        <w:tc>
          <w:tcPr>
            <w:tcW w:w="344"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p>
        </w:tc>
        <w:tc>
          <w:tcPr>
            <w:tcW w:w="339" w:type="pct"/>
            <w:vAlign w:val="center"/>
          </w:tcPr>
          <w:p>
            <w:pPr>
              <w:pStyle w:val="105"/>
              <w:jc w:val="center"/>
            </w:pPr>
          </w:p>
        </w:tc>
        <w:tc>
          <w:tcPr>
            <w:tcW w:w="340" w:type="pct"/>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12"/>
            <w:vAlign w:val="center"/>
          </w:tcPr>
          <w:p>
            <w:pPr>
              <w:pStyle w:val="105"/>
              <w:jc w:val="center"/>
            </w:pPr>
            <w:r>
              <w:rPr>
                <w:rFonts w:hint="eastAsia"/>
              </w:rPr>
              <w:t>注：□/○：长期/短期影响；涂黑/白：不利/有利影响；空白：无相互作用。</w:t>
            </w:r>
          </w:p>
        </w:tc>
      </w:tr>
    </w:tbl>
    <w:p>
      <w:pPr>
        <w:pStyle w:val="124"/>
      </w:pPr>
      <w:r>
        <w:rPr>
          <w:rFonts w:hint="eastAsia"/>
        </w:rPr>
        <w:t>（2）评价因子筛选</w:t>
      </w:r>
    </w:p>
    <w:p>
      <w:pPr>
        <w:ind w:firstLine="480"/>
      </w:pPr>
      <w:r>
        <w:t>根据本工程的特点和沿线环境状况、针对重点环境保护目标，</w:t>
      </w:r>
      <w:r>
        <w:rPr>
          <w:snapToGrid w:val="0"/>
        </w:rPr>
        <w:t>本</w:t>
      </w:r>
      <w:r>
        <w:t>项目</w:t>
      </w:r>
      <w:r>
        <w:rPr>
          <w:snapToGrid w:val="0"/>
        </w:rPr>
        <w:t>的</w:t>
      </w:r>
      <w:r>
        <w:t>组成及工程主要环境影响</w:t>
      </w:r>
      <w:r>
        <w:rPr>
          <w:snapToGrid w:val="0"/>
        </w:rPr>
        <w:t>详</w:t>
      </w:r>
      <w:r>
        <w:t>见</w:t>
      </w:r>
      <w:r>
        <w:fldChar w:fldCharType="begin"/>
      </w:r>
      <w:r>
        <w:instrText xml:space="preserve"> </w:instrText>
      </w:r>
      <w:r>
        <w:rPr>
          <w:rFonts w:hint="eastAsia"/>
        </w:rPr>
        <w:instrText xml:space="preserve">REF _Ref140098993 \r \h</w:instrText>
      </w:r>
      <w:r>
        <w:instrText xml:space="preserve">  \* MERGEFORMAT </w:instrText>
      </w:r>
      <w:r>
        <w:fldChar w:fldCharType="separate"/>
      </w:r>
      <w:r>
        <w:rPr>
          <w:rFonts w:hint="eastAsia"/>
        </w:rPr>
        <w:t>表2.4-2</w:t>
      </w:r>
      <w:r>
        <w:fldChar w:fldCharType="end"/>
      </w:r>
      <w:r>
        <w:rPr>
          <w:rFonts w:hint="eastAsia"/>
        </w:rPr>
        <w:t>。</w:t>
      </w:r>
    </w:p>
    <w:p>
      <w:pPr>
        <w:pStyle w:val="87"/>
        <w:spacing w:before="120"/>
      </w:pPr>
      <w:bookmarkStart w:id="107" w:name="_Ref140098993"/>
      <w:r>
        <w:t>项目组成及工程主要环境影响</w:t>
      </w:r>
      <w:bookmarkEnd w:id="107"/>
    </w:p>
    <w:tbl>
      <w:tblPr>
        <w:tblStyle w:val="39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046"/>
        <w:gridCol w:w="1853"/>
        <w:gridCol w:w="1528"/>
        <w:gridCol w:w="1441"/>
        <w:gridCol w:w="1619"/>
        <w:gridCol w:w="17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1561" w:type="pct"/>
            <w:gridSpan w:val="2"/>
            <w:vMerge w:val="restart"/>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主要工程内容</w:t>
            </w:r>
          </w:p>
        </w:tc>
        <w:tc>
          <w:tcPr>
            <w:tcW w:w="1599" w:type="pct"/>
            <w:gridSpan w:val="2"/>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可能产生的环境影响</w:t>
            </w:r>
          </w:p>
        </w:tc>
        <w:tc>
          <w:tcPr>
            <w:tcW w:w="1840" w:type="pct"/>
            <w:gridSpan w:val="2"/>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受影响的环境要素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1561" w:type="pct"/>
            <w:gridSpan w:val="2"/>
            <w:vMerge w:val="continue"/>
            <w:vAlign w:val="center"/>
          </w:tcPr>
          <w:p>
            <w:pPr>
              <w:pStyle w:val="105"/>
              <w:widowControl w:val="0"/>
              <w:jc w:val="center"/>
            </w:pPr>
          </w:p>
        </w:tc>
        <w:tc>
          <w:tcPr>
            <w:tcW w:w="823" w:type="pct"/>
            <w:vAlign w:val="center"/>
          </w:tcPr>
          <w:p>
            <w:pPr>
              <w:pStyle w:val="105"/>
              <w:widowControl w:val="0"/>
              <w:jc w:val="center"/>
            </w:pPr>
            <w:r>
              <w:t>施工期间</w:t>
            </w:r>
          </w:p>
        </w:tc>
        <w:tc>
          <w:tcPr>
            <w:tcW w:w="776" w:type="pct"/>
            <w:vAlign w:val="center"/>
          </w:tcPr>
          <w:p>
            <w:pPr>
              <w:pStyle w:val="105"/>
              <w:widowControl w:val="0"/>
              <w:jc w:val="center"/>
            </w:pPr>
            <w:r>
              <w:t>运营期间</w:t>
            </w:r>
          </w:p>
        </w:tc>
        <w:tc>
          <w:tcPr>
            <w:tcW w:w="872" w:type="pct"/>
            <w:vAlign w:val="center"/>
          </w:tcPr>
          <w:p>
            <w:pPr>
              <w:pStyle w:val="105"/>
              <w:widowControl w:val="0"/>
              <w:jc w:val="center"/>
            </w:pPr>
            <w:r>
              <w:t>施工期间</w:t>
            </w:r>
          </w:p>
        </w:tc>
        <w:tc>
          <w:tcPr>
            <w:tcW w:w="968" w:type="pct"/>
            <w:vAlign w:val="center"/>
          </w:tcPr>
          <w:p>
            <w:pPr>
              <w:pStyle w:val="105"/>
              <w:widowControl w:val="0"/>
              <w:jc w:val="center"/>
            </w:pPr>
            <w:r>
              <w:t>运营期间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787" w:hRule="atLeast"/>
        </w:trPr>
        <w:tc>
          <w:tcPr>
            <w:tcW w:w="563" w:type="pct"/>
            <w:vAlign w:val="center"/>
          </w:tcPr>
          <w:p>
            <w:pPr>
              <w:pStyle w:val="105"/>
              <w:widowControl w:val="0"/>
              <w:jc w:val="center"/>
            </w:pPr>
            <w:r>
              <w:t>主体工程</w:t>
            </w:r>
          </w:p>
        </w:tc>
        <w:tc>
          <w:tcPr>
            <w:tcW w:w="998" w:type="pct"/>
            <w:vAlign w:val="center"/>
          </w:tcPr>
          <w:p>
            <w:pPr>
              <w:pStyle w:val="105"/>
              <w:widowControl w:val="0"/>
              <w:jc w:val="center"/>
              <w:rPr>
                <w:highlight w:val="yellow"/>
              </w:rPr>
            </w:pPr>
            <w:r>
              <w:t>拟建</w:t>
            </w:r>
            <w:r>
              <w:rPr>
                <w:rFonts w:hint="eastAsia"/>
              </w:rPr>
              <w:t>公路全</w:t>
            </w:r>
            <w:r>
              <w:t>长</w:t>
            </w:r>
            <w:r>
              <w:rPr>
                <w:rFonts w:hint="eastAsia"/>
              </w:rPr>
              <w:t>5.20km（含下穿福厦高铁段落</w:t>
            </w:r>
          </w:p>
        </w:tc>
        <w:tc>
          <w:tcPr>
            <w:tcW w:w="823" w:type="pct"/>
            <w:vAlign w:val="center"/>
          </w:tcPr>
          <w:p>
            <w:pPr>
              <w:pStyle w:val="105"/>
              <w:widowControl w:val="0"/>
              <w:jc w:val="center"/>
            </w:pPr>
            <w:r>
              <w:rPr>
                <w:rFonts w:hint="eastAsia"/>
              </w:rPr>
              <w:t>施工废气</w:t>
            </w:r>
            <w:r>
              <w:t>、机械噪声、生活污水、土地占用</w:t>
            </w:r>
          </w:p>
        </w:tc>
        <w:tc>
          <w:tcPr>
            <w:tcW w:w="776" w:type="pct"/>
            <w:vAlign w:val="center"/>
          </w:tcPr>
          <w:p>
            <w:pPr>
              <w:pStyle w:val="105"/>
              <w:widowControl w:val="0"/>
              <w:jc w:val="center"/>
            </w:pPr>
            <w:r>
              <w:t>噪声、机动车尾气、路面径流、环境风险</w:t>
            </w:r>
          </w:p>
        </w:tc>
        <w:tc>
          <w:tcPr>
            <w:tcW w:w="872" w:type="pct"/>
            <w:vAlign w:val="center"/>
          </w:tcPr>
          <w:p>
            <w:pPr>
              <w:pStyle w:val="105"/>
              <w:widowControl w:val="0"/>
              <w:jc w:val="center"/>
            </w:pPr>
            <w:r>
              <w:t>环境空气、生态</w:t>
            </w:r>
            <w:r>
              <w:rPr>
                <w:rFonts w:hint="eastAsia"/>
              </w:rPr>
              <w:t>环境</w:t>
            </w:r>
            <w:r>
              <w:t>、水环境、声环境</w:t>
            </w:r>
          </w:p>
        </w:tc>
        <w:tc>
          <w:tcPr>
            <w:tcW w:w="968" w:type="pct"/>
            <w:vAlign w:val="center"/>
          </w:tcPr>
          <w:p>
            <w:pPr>
              <w:pStyle w:val="105"/>
              <w:widowControl w:val="0"/>
              <w:jc w:val="center"/>
            </w:pPr>
            <w:r>
              <w:t>声环境、生态环境、水环境、环境空气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63" w:type="pct"/>
            <w:vAlign w:val="center"/>
          </w:tcPr>
          <w:p>
            <w:pPr>
              <w:pStyle w:val="105"/>
              <w:widowControl w:val="0"/>
              <w:jc w:val="center"/>
            </w:pPr>
            <w:r>
              <w:rPr>
                <w:rFonts w:hint="eastAsia"/>
              </w:rPr>
              <w:t>施工</w:t>
            </w:r>
          </w:p>
          <w:p>
            <w:pPr>
              <w:pStyle w:val="105"/>
              <w:widowControl w:val="0"/>
              <w:jc w:val="center"/>
            </w:pPr>
            <w:r>
              <w:rPr>
                <w:rFonts w:hint="eastAsia"/>
              </w:rPr>
              <w:t>场地</w:t>
            </w:r>
          </w:p>
        </w:tc>
        <w:tc>
          <w:tcPr>
            <w:tcW w:w="998" w:type="pct"/>
            <w:vAlign w:val="center"/>
          </w:tcPr>
          <w:p>
            <w:pPr>
              <w:pStyle w:val="105"/>
              <w:widowControl w:val="0"/>
              <w:jc w:val="center"/>
            </w:pPr>
            <w:r>
              <w:rPr>
                <w:rFonts w:hint="eastAsia"/>
              </w:rPr>
              <w:t>项目拟</w:t>
            </w:r>
            <w:r>
              <w:t>设置1</w:t>
            </w:r>
            <w:r>
              <w:rPr>
                <w:rFonts w:hint="eastAsia"/>
              </w:rPr>
              <w:t>个施工场地</w:t>
            </w:r>
          </w:p>
        </w:tc>
        <w:tc>
          <w:tcPr>
            <w:tcW w:w="823" w:type="pct"/>
            <w:vAlign w:val="center"/>
          </w:tcPr>
          <w:p>
            <w:pPr>
              <w:pStyle w:val="105"/>
              <w:widowControl w:val="0"/>
              <w:jc w:val="center"/>
            </w:pPr>
            <w:r>
              <w:t>水土流失、</w:t>
            </w:r>
          </w:p>
          <w:p>
            <w:pPr>
              <w:pStyle w:val="105"/>
              <w:widowControl w:val="0"/>
              <w:jc w:val="center"/>
            </w:pPr>
            <w:r>
              <w:t>植被破坏、</w:t>
            </w:r>
          </w:p>
        </w:tc>
        <w:tc>
          <w:tcPr>
            <w:tcW w:w="776" w:type="pct"/>
            <w:vAlign w:val="center"/>
          </w:tcPr>
          <w:p>
            <w:pPr>
              <w:pStyle w:val="105"/>
              <w:widowControl w:val="0"/>
              <w:jc w:val="center"/>
            </w:pPr>
            <w:r>
              <w:t>/</w:t>
            </w:r>
          </w:p>
        </w:tc>
        <w:tc>
          <w:tcPr>
            <w:tcW w:w="872" w:type="pct"/>
            <w:vAlign w:val="center"/>
          </w:tcPr>
          <w:p>
            <w:pPr>
              <w:pStyle w:val="105"/>
              <w:widowControl w:val="0"/>
              <w:jc w:val="center"/>
            </w:pPr>
            <w:r>
              <w:t>生态环境</w:t>
            </w:r>
          </w:p>
        </w:tc>
        <w:tc>
          <w:tcPr>
            <w:tcW w:w="968" w:type="pct"/>
            <w:vAlign w:val="center"/>
          </w:tcPr>
          <w:p>
            <w:pPr>
              <w:pStyle w:val="105"/>
              <w:widowControl w:val="0"/>
              <w:jc w:val="center"/>
            </w:pPr>
            <w:r>
              <w:t>生态环境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63" w:type="pct"/>
            <w:vAlign w:val="center"/>
          </w:tcPr>
          <w:p>
            <w:pPr>
              <w:pStyle w:val="105"/>
              <w:widowControl w:val="0"/>
              <w:jc w:val="center"/>
            </w:pPr>
            <w:r>
              <w:rPr>
                <w:rFonts w:hint="eastAsia"/>
              </w:rPr>
              <w:t>表土堆场</w:t>
            </w:r>
          </w:p>
        </w:tc>
        <w:tc>
          <w:tcPr>
            <w:tcW w:w="998" w:type="pct"/>
            <w:vAlign w:val="center"/>
          </w:tcPr>
          <w:p>
            <w:pPr>
              <w:pStyle w:val="105"/>
              <w:widowControl w:val="0"/>
              <w:jc w:val="center"/>
            </w:pPr>
            <w:r>
              <w:t>项目设置</w:t>
            </w:r>
            <w:r>
              <w:rPr>
                <w:rFonts w:hint="eastAsia"/>
              </w:rPr>
              <w:t>表土堆场</w:t>
            </w:r>
            <w:r>
              <w:t>3处</w:t>
            </w:r>
            <w:r>
              <w:rPr>
                <w:rFonts w:hint="eastAsia"/>
              </w:rPr>
              <w:t>（红线范围内）</w:t>
            </w:r>
          </w:p>
        </w:tc>
        <w:tc>
          <w:tcPr>
            <w:tcW w:w="823" w:type="pct"/>
            <w:vAlign w:val="center"/>
          </w:tcPr>
          <w:p>
            <w:pPr>
              <w:pStyle w:val="105"/>
              <w:widowControl w:val="0"/>
              <w:jc w:val="center"/>
            </w:pPr>
            <w:r>
              <w:t>扬尘、</w:t>
            </w:r>
          </w:p>
          <w:p>
            <w:pPr>
              <w:pStyle w:val="105"/>
              <w:widowControl w:val="0"/>
              <w:jc w:val="center"/>
            </w:pPr>
            <w:r>
              <w:t>生态、景观</w:t>
            </w:r>
          </w:p>
        </w:tc>
        <w:tc>
          <w:tcPr>
            <w:tcW w:w="776" w:type="pct"/>
            <w:vAlign w:val="center"/>
          </w:tcPr>
          <w:p>
            <w:pPr>
              <w:pStyle w:val="105"/>
              <w:widowControl w:val="0"/>
              <w:jc w:val="center"/>
            </w:pPr>
            <w:r>
              <w:t>/</w:t>
            </w:r>
          </w:p>
        </w:tc>
        <w:tc>
          <w:tcPr>
            <w:tcW w:w="872" w:type="pct"/>
            <w:vAlign w:val="center"/>
          </w:tcPr>
          <w:p>
            <w:pPr>
              <w:pStyle w:val="105"/>
              <w:widowControl w:val="0"/>
              <w:jc w:val="center"/>
            </w:pPr>
            <w:r>
              <w:t>环境空气、水环境、生态环境</w:t>
            </w:r>
          </w:p>
        </w:tc>
        <w:tc>
          <w:tcPr>
            <w:tcW w:w="968" w:type="pct"/>
            <w:vAlign w:val="center"/>
          </w:tcPr>
          <w:p>
            <w:pPr>
              <w:pStyle w:val="105"/>
              <w:widowControl w:val="0"/>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63" w:type="pct"/>
            <w:vAlign w:val="center"/>
          </w:tcPr>
          <w:p>
            <w:pPr>
              <w:pStyle w:val="105"/>
              <w:widowControl w:val="0"/>
              <w:jc w:val="center"/>
            </w:pPr>
            <w:r>
              <w:t>辅助设施</w:t>
            </w:r>
          </w:p>
        </w:tc>
        <w:tc>
          <w:tcPr>
            <w:tcW w:w="998" w:type="pct"/>
            <w:vAlign w:val="center"/>
          </w:tcPr>
          <w:p>
            <w:pPr>
              <w:pStyle w:val="105"/>
              <w:widowControl w:val="0"/>
              <w:jc w:val="center"/>
            </w:pPr>
            <w:r>
              <w:rPr>
                <w:rFonts w:hint="eastAsia"/>
              </w:rPr>
              <w:t>项目</w:t>
            </w:r>
            <w:r>
              <w:t>不设服务区和收费站</w:t>
            </w:r>
          </w:p>
        </w:tc>
        <w:tc>
          <w:tcPr>
            <w:tcW w:w="823" w:type="pct"/>
            <w:vAlign w:val="center"/>
          </w:tcPr>
          <w:p>
            <w:pPr>
              <w:pStyle w:val="105"/>
              <w:widowControl w:val="0"/>
              <w:jc w:val="center"/>
            </w:pPr>
            <w:r>
              <w:t>/</w:t>
            </w:r>
          </w:p>
        </w:tc>
        <w:tc>
          <w:tcPr>
            <w:tcW w:w="776" w:type="pct"/>
            <w:vAlign w:val="center"/>
          </w:tcPr>
          <w:p>
            <w:pPr>
              <w:pStyle w:val="105"/>
              <w:widowControl w:val="0"/>
              <w:jc w:val="center"/>
            </w:pPr>
            <w:r>
              <w:t>/</w:t>
            </w:r>
          </w:p>
        </w:tc>
        <w:tc>
          <w:tcPr>
            <w:tcW w:w="872" w:type="pct"/>
            <w:vAlign w:val="center"/>
          </w:tcPr>
          <w:p>
            <w:pPr>
              <w:pStyle w:val="105"/>
              <w:widowControl w:val="0"/>
              <w:jc w:val="center"/>
            </w:pPr>
            <w:r>
              <w:t>/</w:t>
            </w:r>
          </w:p>
        </w:tc>
        <w:tc>
          <w:tcPr>
            <w:tcW w:w="968" w:type="pct"/>
            <w:vAlign w:val="center"/>
          </w:tcPr>
          <w:p>
            <w:pPr>
              <w:pStyle w:val="105"/>
              <w:widowControl w:val="0"/>
              <w:jc w:val="center"/>
            </w:pPr>
            <w:r>
              <w:t>/</w:t>
            </w:r>
          </w:p>
        </w:tc>
      </w:tr>
      <w:bookmarkEnd w:id="105"/>
    </w:tbl>
    <w:p>
      <w:pPr>
        <w:pStyle w:val="120"/>
        <w:spacing w:before="240"/>
        <w:rPr>
          <w:color w:val="auto"/>
        </w:rPr>
      </w:pPr>
      <w:bookmarkStart w:id="108" w:name="_Toc439084048"/>
      <w:bookmarkStart w:id="109" w:name="_Toc365648211"/>
      <w:bookmarkStart w:id="110" w:name="_Toc311791665"/>
      <w:bookmarkStart w:id="111" w:name="_Toc362213795"/>
      <w:r>
        <w:rPr>
          <w:color w:val="auto"/>
        </w:rPr>
        <w:t>评价因子筛选</w:t>
      </w:r>
      <w:bookmarkEnd w:id="108"/>
      <w:bookmarkEnd w:id="109"/>
      <w:bookmarkEnd w:id="110"/>
      <w:bookmarkEnd w:id="111"/>
    </w:p>
    <w:p>
      <w:pPr>
        <w:ind w:firstLine="480"/>
      </w:pPr>
      <w:r>
        <w:rPr>
          <w:rFonts w:hint="eastAsia"/>
        </w:rPr>
        <w:t>经识别、筛选后，本项目环境影响要素及影响因子见</w:t>
      </w:r>
      <w:r>
        <w:fldChar w:fldCharType="begin"/>
      </w:r>
      <w:r>
        <w:instrText xml:space="preserve"> </w:instrText>
      </w:r>
      <w:r>
        <w:rPr>
          <w:rFonts w:hint="eastAsia"/>
        </w:rPr>
        <w:instrText xml:space="preserve">REF _Ref140099055 \r \h</w:instrText>
      </w:r>
      <w:r>
        <w:instrText xml:space="preserve">  \* MERGEFORMAT </w:instrText>
      </w:r>
      <w:r>
        <w:fldChar w:fldCharType="separate"/>
      </w:r>
      <w:r>
        <w:rPr>
          <w:rFonts w:hint="eastAsia"/>
        </w:rPr>
        <w:t>表2.4-3</w:t>
      </w:r>
      <w:r>
        <w:fldChar w:fldCharType="end"/>
      </w:r>
      <w:r>
        <w:t>。</w:t>
      </w:r>
    </w:p>
    <w:p>
      <w:pPr>
        <w:pStyle w:val="87"/>
        <w:spacing w:before="120"/>
      </w:pPr>
      <w:bookmarkStart w:id="112" w:name="_Ref140099055"/>
      <w:r>
        <w:rPr>
          <w:rFonts w:hint="eastAsia"/>
        </w:rPr>
        <w:t>本项目评价因子</w:t>
      </w:r>
      <w:bookmarkEnd w:id="112"/>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4500"/>
        <w:gridCol w:w="1595"/>
        <w:gridCol w:w="2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9" w:type="pct"/>
            <w:vMerge w:val="restart"/>
            <w:vAlign w:val="center"/>
          </w:tcPr>
          <w:p>
            <w:pPr>
              <w:pStyle w:val="105"/>
            </w:pPr>
            <w:bookmarkStart w:id="113" w:name="_Hlk149829752"/>
            <w:r>
              <w:t>环境要素</w:t>
            </w:r>
          </w:p>
        </w:tc>
        <w:tc>
          <w:tcPr>
            <w:tcW w:w="2423" w:type="pct"/>
            <w:vMerge w:val="restart"/>
            <w:vAlign w:val="center"/>
          </w:tcPr>
          <w:p>
            <w:pPr>
              <w:pStyle w:val="105"/>
            </w:pPr>
            <w:r>
              <w:t>评价内容</w:t>
            </w:r>
          </w:p>
        </w:tc>
        <w:tc>
          <w:tcPr>
            <w:tcW w:w="2108" w:type="pct"/>
            <w:gridSpan w:val="2"/>
            <w:vAlign w:val="center"/>
          </w:tcPr>
          <w:p>
            <w:pPr>
              <w:pStyle w:val="105"/>
            </w:pPr>
            <w:r>
              <w:t>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9" w:type="pct"/>
            <w:vMerge w:val="continue"/>
            <w:vAlign w:val="center"/>
          </w:tcPr>
          <w:p>
            <w:pPr>
              <w:pStyle w:val="105"/>
            </w:pPr>
          </w:p>
        </w:tc>
        <w:tc>
          <w:tcPr>
            <w:tcW w:w="2423" w:type="pct"/>
            <w:vMerge w:val="continue"/>
            <w:vAlign w:val="center"/>
          </w:tcPr>
          <w:p>
            <w:pPr>
              <w:pStyle w:val="105"/>
            </w:pPr>
          </w:p>
        </w:tc>
        <w:tc>
          <w:tcPr>
            <w:tcW w:w="859" w:type="pct"/>
            <w:vAlign w:val="center"/>
          </w:tcPr>
          <w:p>
            <w:pPr>
              <w:pStyle w:val="105"/>
            </w:pPr>
            <w:r>
              <w:t>现状评价因子</w:t>
            </w:r>
          </w:p>
        </w:tc>
        <w:tc>
          <w:tcPr>
            <w:tcW w:w="1249" w:type="pct"/>
            <w:vAlign w:val="center"/>
          </w:tcPr>
          <w:p>
            <w:pPr>
              <w:pStyle w:val="105"/>
            </w:pPr>
            <w:r>
              <w:rPr>
                <w:rFonts w:hint="eastAsia"/>
              </w:rPr>
              <w:t>预测评价</w:t>
            </w:r>
            <w:r>
              <w:t>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restart"/>
            <w:vAlign w:val="center"/>
          </w:tcPr>
          <w:p>
            <w:pPr>
              <w:pStyle w:val="105"/>
            </w:pPr>
            <w:r>
              <w:t>声环境</w:t>
            </w:r>
          </w:p>
        </w:tc>
        <w:tc>
          <w:tcPr>
            <w:tcW w:w="2423" w:type="pct"/>
            <w:vAlign w:val="center"/>
          </w:tcPr>
          <w:p>
            <w:pPr>
              <w:pStyle w:val="105"/>
            </w:pPr>
            <w:r>
              <w:rPr>
                <w:rFonts w:hint="eastAsia"/>
              </w:rPr>
              <w:t>施工噪声：等效A声级</w:t>
            </w:r>
            <w:r>
              <w:t>L</w:t>
            </w:r>
            <w:r>
              <w:rPr>
                <w:rFonts w:hint="eastAsia"/>
              </w:rPr>
              <w:t>A</w:t>
            </w:r>
            <w:r>
              <w:t>eq</w:t>
            </w:r>
          </w:p>
        </w:tc>
        <w:tc>
          <w:tcPr>
            <w:tcW w:w="859" w:type="pct"/>
            <w:vMerge w:val="restart"/>
            <w:vAlign w:val="center"/>
          </w:tcPr>
          <w:p>
            <w:pPr>
              <w:pStyle w:val="105"/>
            </w:pPr>
            <w:r>
              <w:t>等效连续A声级Leq</w:t>
            </w:r>
          </w:p>
        </w:tc>
        <w:tc>
          <w:tcPr>
            <w:tcW w:w="1249" w:type="pct"/>
            <w:vMerge w:val="restart"/>
            <w:vAlign w:val="center"/>
          </w:tcPr>
          <w:p>
            <w:pPr>
              <w:pStyle w:val="105"/>
            </w:pPr>
            <w:r>
              <w:t>等效连续A声级Leq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continue"/>
            <w:vAlign w:val="center"/>
          </w:tcPr>
          <w:p>
            <w:pPr>
              <w:pStyle w:val="105"/>
            </w:pPr>
          </w:p>
        </w:tc>
        <w:tc>
          <w:tcPr>
            <w:tcW w:w="2423" w:type="pct"/>
            <w:vAlign w:val="center"/>
          </w:tcPr>
          <w:p>
            <w:pPr>
              <w:pStyle w:val="105"/>
            </w:pPr>
            <w:r>
              <w:t>运营期</w:t>
            </w:r>
            <w:r>
              <w:rPr>
                <w:rFonts w:hint="eastAsia"/>
              </w:rPr>
              <w:t>交通噪声：等效A声级</w:t>
            </w:r>
            <w:r>
              <w:t>L</w:t>
            </w:r>
            <w:r>
              <w:rPr>
                <w:rFonts w:hint="eastAsia"/>
              </w:rPr>
              <w:t>A</w:t>
            </w:r>
            <w:r>
              <w:t>eq</w:t>
            </w:r>
          </w:p>
        </w:tc>
        <w:tc>
          <w:tcPr>
            <w:tcW w:w="859" w:type="pct"/>
            <w:vMerge w:val="continue"/>
            <w:vAlign w:val="center"/>
          </w:tcPr>
          <w:p>
            <w:pPr>
              <w:pStyle w:val="105"/>
            </w:pPr>
          </w:p>
        </w:tc>
        <w:tc>
          <w:tcPr>
            <w:tcW w:w="1249" w:type="pct"/>
            <w:vMerge w:val="continue"/>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restart"/>
            <w:vAlign w:val="center"/>
          </w:tcPr>
          <w:p>
            <w:pPr>
              <w:pStyle w:val="105"/>
            </w:pPr>
            <w:r>
              <w:t>环境</w:t>
            </w:r>
          </w:p>
          <w:p>
            <w:pPr>
              <w:pStyle w:val="105"/>
            </w:pPr>
            <w:r>
              <w:t>空气</w:t>
            </w:r>
          </w:p>
        </w:tc>
        <w:tc>
          <w:tcPr>
            <w:tcW w:w="2423" w:type="pct"/>
            <w:vAlign w:val="center"/>
          </w:tcPr>
          <w:p>
            <w:pPr>
              <w:pStyle w:val="105"/>
            </w:pPr>
            <w:r>
              <w:t>施工粉尘</w:t>
            </w:r>
            <w:r>
              <w:rPr>
                <w:rFonts w:hint="eastAsia"/>
              </w:rPr>
              <w:t>、沥青烟</w:t>
            </w:r>
            <w:r>
              <w:t>的影响</w:t>
            </w:r>
          </w:p>
        </w:tc>
        <w:tc>
          <w:tcPr>
            <w:tcW w:w="859" w:type="pct"/>
            <w:vMerge w:val="restart"/>
            <w:vAlign w:val="center"/>
          </w:tcPr>
          <w:p>
            <w:pPr>
              <w:pStyle w:val="105"/>
            </w:pPr>
            <w:r>
              <w:t>P</w:t>
            </w:r>
            <w:r>
              <w:rPr>
                <w:rFonts w:hint="eastAsia"/>
              </w:rPr>
              <w:t>M</w:t>
            </w:r>
            <w:r>
              <w:rPr>
                <w:rFonts w:hint="eastAsia"/>
                <w:vertAlign w:val="subscript"/>
              </w:rPr>
              <w:t>10</w:t>
            </w:r>
            <w:r>
              <w:t>、</w:t>
            </w:r>
            <w:r>
              <w:rPr>
                <w:rFonts w:hint="eastAsia"/>
              </w:rPr>
              <w:t>CO</w:t>
            </w:r>
            <w:r>
              <w:t>、</w:t>
            </w:r>
            <w:r>
              <w:rPr>
                <w:rFonts w:hint="eastAsia"/>
              </w:rPr>
              <w:t>S</w:t>
            </w:r>
            <w:r>
              <w:t>O</w:t>
            </w:r>
            <w:r>
              <w:rPr>
                <w:vertAlign w:val="subscript"/>
              </w:rPr>
              <w:t>2</w:t>
            </w:r>
            <w:r>
              <w:rPr>
                <w:rFonts w:hint="eastAsia"/>
              </w:rPr>
              <w:t>、</w:t>
            </w:r>
            <w:r>
              <w:t>NO</w:t>
            </w:r>
            <w:r>
              <w:rPr>
                <w:vertAlign w:val="subscript"/>
              </w:rPr>
              <w:t>2</w:t>
            </w:r>
          </w:p>
        </w:tc>
        <w:tc>
          <w:tcPr>
            <w:tcW w:w="1249" w:type="pct"/>
            <w:vAlign w:val="center"/>
          </w:tcPr>
          <w:p>
            <w:pPr>
              <w:pStyle w:val="105"/>
            </w:pPr>
            <w:r>
              <w:rPr>
                <w:rFonts w:hint="eastAsia"/>
              </w:rPr>
              <w:t>颗粒物、沥青烟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continue"/>
            <w:vAlign w:val="center"/>
          </w:tcPr>
          <w:p>
            <w:pPr>
              <w:pStyle w:val="105"/>
            </w:pPr>
          </w:p>
        </w:tc>
        <w:tc>
          <w:tcPr>
            <w:tcW w:w="2423" w:type="pct"/>
            <w:vAlign w:val="center"/>
          </w:tcPr>
          <w:p>
            <w:pPr>
              <w:pStyle w:val="105"/>
            </w:pPr>
            <w:r>
              <w:t>运营期公路交通汽车尾气</w:t>
            </w:r>
          </w:p>
        </w:tc>
        <w:tc>
          <w:tcPr>
            <w:tcW w:w="859" w:type="pct"/>
            <w:vMerge w:val="continue"/>
            <w:vAlign w:val="center"/>
          </w:tcPr>
          <w:p>
            <w:pPr>
              <w:pStyle w:val="105"/>
            </w:pPr>
          </w:p>
        </w:tc>
        <w:tc>
          <w:tcPr>
            <w:tcW w:w="1249" w:type="pct"/>
            <w:vAlign w:val="center"/>
          </w:tcPr>
          <w:p>
            <w:pPr>
              <w:pStyle w:val="105"/>
            </w:pPr>
            <w:r>
              <w:t>NO</w:t>
            </w:r>
            <w:r>
              <w:rPr>
                <w:vertAlign w:val="subscript"/>
              </w:rPr>
              <w:t>2</w:t>
            </w:r>
            <w:r>
              <w:t>、CO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pStyle w:val="105"/>
            </w:pPr>
            <w:r>
              <w:t>水环境</w:t>
            </w:r>
          </w:p>
        </w:tc>
        <w:tc>
          <w:tcPr>
            <w:tcW w:w="2423" w:type="pct"/>
            <w:vAlign w:val="center"/>
          </w:tcPr>
          <w:p>
            <w:pPr>
              <w:pStyle w:val="105"/>
            </w:pPr>
            <w:r>
              <w:t>（1）施工期施工</w:t>
            </w:r>
            <w:r>
              <w:rPr>
                <w:rFonts w:hint="eastAsia"/>
              </w:rPr>
              <w:t>场地</w:t>
            </w:r>
            <w:r>
              <w:t>污染物排放情况，施工</w:t>
            </w:r>
            <w:r>
              <w:rPr>
                <w:rFonts w:hint="eastAsia"/>
              </w:rPr>
              <w:t>水土流失进入地表水</w:t>
            </w:r>
            <w:r>
              <w:t>；</w:t>
            </w:r>
          </w:p>
          <w:p>
            <w:pPr>
              <w:pStyle w:val="105"/>
            </w:pPr>
            <w:r>
              <w:t>（2）运营期路面</w:t>
            </w:r>
            <w:r>
              <w:rPr>
                <w:rFonts w:hint="eastAsia"/>
              </w:rPr>
              <w:t>径流</w:t>
            </w:r>
            <w:r>
              <w:t>的排放情况；</w:t>
            </w:r>
          </w:p>
          <w:p>
            <w:pPr>
              <w:pStyle w:val="105"/>
            </w:pPr>
            <w:r>
              <w:t>（3）装载危险品的车辆因交通事故泄</w:t>
            </w:r>
            <w:r>
              <w:rPr>
                <w:rFonts w:hint="eastAsia"/>
              </w:rPr>
              <w:t>漏</w:t>
            </w:r>
            <w:r>
              <w:t>、滴漏后产生严重水污染。</w:t>
            </w:r>
          </w:p>
        </w:tc>
        <w:tc>
          <w:tcPr>
            <w:tcW w:w="859" w:type="pct"/>
            <w:vAlign w:val="center"/>
          </w:tcPr>
          <w:p>
            <w:pPr>
              <w:pStyle w:val="105"/>
            </w:pPr>
            <w:r>
              <w:t>pH、</w:t>
            </w:r>
            <w:r>
              <w:rPr>
                <w:rFonts w:hint="eastAsia"/>
              </w:rPr>
              <w:t>DO、</w:t>
            </w:r>
            <w:r>
              <w:t>高锰酸盐指数、BOD</w:t>
            </w:r>
            <w:r>
              <w:rPr>
                <w:vertAlign w:val="subscript"/>
              </w:rPr>
              <w:t>5</w:t>
            </w:r>
            <w:r>
              <w:t>、NH</w:t>
            </w:r>
            <w:r>
              <w:rPr>
                <w:vertAlign w:val="subscript"/>
              </w:rPr>
              <w:t>3</w:t>
            </w:r>
            <w:r>
              <w:t>-N</w:t>
            </w:r>
            <w:r>
              <w:rPr>
                <w:rFonts w:hint="eastAsia"/>
              </w:rPr>
              <w:t>、石油类等</w:t>
            </w:r>
          </w:p>
        </w:tc>
        <w:tc>
          <w:tcPr>
            <w:tcW w:w="1249" w:type="pct"/>
            <w:vAlign w:val="center"/>
          </w:tcPr>
          <w:p>
            <w:pPr>
              <w:pStyle w:val="105"/>
            </w:pPr>
            <w:r>
              <w:t>分析施工对水质的影响</w:t>
            </w:r>
            <w:r>
              <w:rPr>
                <w:rFonts w:hint="eastAsia"/>
              </w:rPr>
              <w:t>、环境</w:t>
            </w:r>
            <w:r>
              <w:t>风险影响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pStyle w:val="105"/>
            </w:pPr>
            <w:r>
              <w:t>固体</w:t>
            </w:r>
          </w:p>
          <w:p>
            <w:pPr>
              <w:pStyle w:val="105"/>
            </w:pPr>
            <w:r>
              <w:t>废物</w:t>
            </w:r>
          </w:p>
        </w:tc>
        <w:tc>
          <w:tcPr>
            <w:tcW w:w="2423" w:type="pct"/>
            <w:vAlign w:val="center"/>
          </w:tcPr>
          <w:p>
            <w:pPr>
              <w:pStyle w:val="105"/>
            </w:pPr>
            <w:r>
              <w:t>施工期产生的建筑垃圾和生活垃圾</w:t>
            </w:r>
          </w:p>
        </w:tc>
        <w:tc>
          <w:tcPr>
            <w:tcW w:w="859" w:type="pct"/>
            <w:vAlign w:val="center"/>
          </w:tcPr>
          <w:p>
            <w:pPr>
              <w:pStyle w:val="105"/>
            </w:pPr>
            <w:r>
              <w:t>固废</w:t>
            </w:r>
          </w:p>
        </w:tc>
        <w:tc>
          <w:tcPr>
            <w:tcW w:w="1249" w:type="pct"/>
            <w:vAlign w:val="center"/>
          </w:tcPr>
          <w:p>
            <w:pPr>
              <w:pStyle w:val="105"/>
            </w:pPr>
            <w: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pStyle w:val="105"/>
            </w:pPr>
            <w:r>
              <w:t>生态环境</w:t>
            </w:r>
          </w:p>
        </w:tc>
        <w:tc>
          <w:tcPr>
            <w:tcW w:w="2423" w:type="pct"/>
            <w:vAlign w:val="center"/>
          </w:tcPr>
          <w:p>
            <w:pPr>
              <w:pStyle w:val="105"/>
            </w:pPr>
            <w:r>
              <w:rPr>
                <w:rFonts w:hint="eastAsia"/>
              </w:rPr>
              <w:t>土地占用、农林业生产；植被破坏；</w:t>
            </w:r>
          </w:p>
          <w:p>
            <w:pPr>
              <w:pStyle w:val="105"/>
            </w:pPr>
            <w:r>
              <w:rPr>
                <w:rFonts w:hint="eastAsia"/>
              </w:rPr>
              <w:t>野生动物及生境；土壤及地貌、景观；</w:t>
            </w:r>
          </w:p>
          <w:p>
            <w:pPr>
              <w:pStyle w:val="105"/>
            </w:pPr>
            <w:r>
              <w:rPr>
                <w:rFonts w:hint="eastAsia"/>
              </w:rPr>
              <w:t>湿地生态环境</w:t>
            </w:r>
          </w:p>
        </w:tc>
        <w:tc>
          <w:tcPr>
            <w:tcW w:w="859" w:type="pct"/>
            <w:vAlign w:val="center"/>
          </w:tcPr>
          <w:p>
            <w:pPr>
              <w:pStyle w:val="105"/>
            </w:pPr>
            <w:r>
              <w:t>植被、动物、土壤侵蚀、</w:t>
            </w:r>
            <w:r>
              <w:rPr>
                <w:rFonts w:hint="eastAsia"/>
              </w:rPr>
              <w:t>生态</w:t>
            </w:r>
            <w:r>
              <w:t>完整性</w:t>
            </w:r>
          </w:p>
        </w:tc>
        <w:tc>
          <w:tcPr>
            <w:tcW w:w="1249" w:type="pct"/>
            <w:vAlign w:val="center"/>
          </w:tcPr>
          <w:p>
            <w:pPr>
              <w:pStyle w:val="105"/>
            </w:pPr>
            <w:r>
              <w:t>分析植物多样性、动物生态环境</w:t>
            </w:r>
            <w:r>
              <w:rPr>
                <w:rFonts w:hint="eastAsia"/>
              </w:rPr>
              <w:t>、湿地功能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Align w:val="center"/>
          </w:tcPr>
          <w:p>
            <w:pPr>
              <w:pStyle w:val="105"/>
            </w:pPr>
            <w:r>
              <w:rPr>
                <w:rFonts w:hint="eastAsia"/>
              </w:rPr>
              <w:t>环境</w:t>
            </w:r>
          </w:p>
          <w:p>
            <w:pPr>
              <w:pStyle w:val="105"/>
            </w:pPr>
            <w:r>
              <w:rPr>
                <w:rFonts w:hint="eastAsia"/>
              </w:rPr>
              <w:t>风险</w:t>
            </w:r>
          </w:p>
        </w:tc>
        <w:tc>
          <w:tcPr>
            <w:tcW w:w="2423" w:type="pct"/>
            <w:vAlign w:val="center"/>
          </w:tcPr>
          <w:p>
            <w:pPr>
              <w:pStyle w:val="105"/>
            </w:pPr>
            <w:r>
              <w:t>车辆因交通事故泄</w:t>
            </w:r>
            <w:r>
              <w:rPr>
                <w:rFonts w:hint="eastAsia"/>
              </w:rPr>
              <w:t>漏</w:t>
            </w:r>
            <w:r>
              <w:t>、滴漏后产生</w:t>
            </w:r>
            <w:r>
              <w:rPr>
                <w:rFonts w:hint="eastAsia"/>
              </w:rPr>
              <w:t>水环境</w:t>
            </w:r>
            <w:r>
              <w:t>污染</w:t>
            </w:r>
          </w:p>
        </w:tc>
        <w:tc>
          <w:tcPr>
            <w:tcW w:w="859" w:type="pct"/>
            <w:vAlign w:val="center"/>
          </w:tcPr>
          <w:p>
            <w:pPr>
              <w:pStyle w:val="105"/>
            </w:pPr>
            <w:r>
              <w:rPr>
                <w:rFonts w:hint="eastAsia"/>
              </w:rPr>
              <w:t>——</w:t>
            </w:r>
          </w:p>
        </w:tc>
        <w:tc>
          <w:tcPr>
            <w:tcW w:w="1249" w:type="pct"/>
          </w:tcPr>
          <w:p>
            <w:pPr>
              <w:pStyle w:val="105"/>
            </w:pPr>
            <w:r>
              <w:rPr>
                <w:rFonts w:hint="eastAsia"/>
              </w:rPr>
              <w:t>公路交通事故时泄漏的油品</w:t>
            </w:r>
          </w:p>
        </w:tc>
      </w:tr>
      <w:bookmarkEnd w:id="113"/>
    </w:tbl>
    <w:p>
      <w:pPr>
        <w:pStyle w:val="116"/>
        <w:spacing w:before="240"/>
      </w:pPr>
      <w:bookmarkStart w:id="114" w:name="_Toc61517050"/>
      <w:bookmarkStart w:id="115" w:name="_Toc88764828"/>
      <w:bookmarkStart w:id="116" w:name="_Toc153957811"/>
      <w:bookmarkStart w:id="117" w:name="_Toc159405455"/>
      <w:bookmarkStart w:id="118" w:name="_Toc88864634"/>
      <w:bookmarkStart w:id="119" w:name="_Toc204676227"/>
      <w:r>
        <w:rPr>
          <w:rFonts w:hint="eastAsia"/>
        </w:rPr>
        <w:t>环境功能区划</w:t>
      </w:r>
      <w:bookmarkEnd w:id="114"/>
      <w:r>
        <w:rPr>
          <w:rFonts w:hint="eastAsia"/>
        </w:rPr>
        <w:t>及评价标准</w:t>
      </w:r>
      <w:bookmarkEnd w:id="115"/>
      <w:bookmarkEnd w:id="116"/>
      <w:bookmarkEnd w:id="117"/>
      <w:bookmarkEnd w:id="118"/>
      <w:bookmarkEnd w:id="119"/>
    </w:p>
    <w:p>
      <w:pPr>
        <w:pStyle w:val="120"/>
        <w:rPr>
          <w:color w:val="auto"/>
        </w:rPr>
      </w:pPr>
      <w:r>
        <w:rPr>
          <w:rFonts w:hint="eastAsia"/>
          <w:color w:val="auto"/>
        </w:rPr>
        <w:t>环境功能区划</w:t>
      </w:r>
    </w:p>
    <w:p>
      <w:pPr>
        <w:ind w:firstLine="480"/>
        <w:rPr>
          <w:rFonts w:cs="Times New Roman"/>
          <w:szCs w:val="24"/>
          <w:lang w:val="zh-CN"/>
        </w:rPr>
      </w:pPr>
      <w:r>
        <w:rPr>
          <w:rFonts w:cs="Times New Roman"/>
          <w:szCs w:val="24"/>
          <w:lang w:val="zh-CN"/>
        </w:rPr>
        <w:t>本项目环境功能区划见</w:t>
      </w:r>
      <w:r>
        <w:rPr>
          <w:rFonts w:cs="Times New Roman"/>
          <w:szCs w:val="24"/>
          <w:lang w:val="zh-CN"/>
        </w:rPr>
        <w:fldChar w:fldCharType="begin"/>
      </w:r>
      <w:r>
        <w:rPr>
          <w:rFonts w:cs="Times New Roman"/>
          <w:szCs w:val="24"/>
          <w:lang w:val="zh-CN"/>
        </w:rPr>
        <w:instrText xml:space="preserve"> REF _Ref155622535 \r \h </w:instrText>
      </w:r>
      <w:r>
        <w:rPr>
          <w:rFonts w:cs="Times New Roman"/>
          <w:szCs w:val="24"/>
          <w:lang w:val="zh-CN"/>
        </w:rPr>
        <w:fldChar w:fldCharType="separate"/>
      </w:r>
      <w:r>
        <w:rPr>
          <w:rFonts w:hint="eastAsia" w:cs="Times New Roman"/>
          <w:szCs w:val="24"/>
          <w:lang w:val="zh-CN"/>
        </w:rPr>
        <w:t>表2.5-1</w:t>
      </w:r>
      <w:r>
        <w:rPr>
          <w:rFonts w:cs="Times New Roman"/>
          <w:szCs w:val="24"/>
          <w:lang w:val="zh-CN"/>
        </w:rPr>
        <w:fldChar w:fldCharType="end"/>
      </w:r>
      <w:r>
        <w:rPr>
          <w:rFonts w:cs="Times New Roman"/>
          <w:szCs w:val="24"/>
          <w:lang w:val="zh-CN"/>
        </w:rPr>
        <w:t>。</w:t>
      </w:r>
    </w:p>
    <w:p>
      <w:pPr>
        <w:pStyle w:val="87"/>
        <w:spacing w:before="120"/>
        <w:rPr>
          <w:lang w:bidi="he-IL"/>
        </w:rPr>
      </w:pPr>
      <w:bookmarkStart w:id="120" w:name="_Ref155622535"/>
      <w:r>
        <w:rPr>
          <w:lang w:bidi="he-IL"/>
        </w:rPr>
        <w:t>线路</w:t>
      </w:r>
      <w:r>
        <w:rPr>
          <w:rFonts w:hint="eastAsia"/>
          <w:lang w:bidi="he-IL"/>
        </w:rPr>
        <w:t>沿线</w:t>
      </w:r>
      <w:r>
        <w:rPr>
          <w:lang w:bidi="he-IL"/>
        </w:rPr>
        <w:t>环境功能区类别一览表</w:t>
      </w:r>
      <w:bookmarkEnd w:id="120"/>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871"/>
        <w:gridCol w:w="1307"/>
        <w:gridCol w:w="62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blHeader/>
          <w:jc w:val="center"/>
        </w:trPr>
        <w:tc>
          <w:tcPr>
            <w:tcW w:w="469" w:type="pct"/>
            <w:shd w:val="clear" w:color="auto" w:fill="auto"/>
            <w:vAlign w:val="center"/>
          </w:tcPr>
          <w:p>
            <w:pPr>
              <w:pStyle w:val="105"/>
              <w:jc w:val="center"/>
            </w:pPr>
            <w:r>
              <w:t>环境</w:t>
            </w:r>
          </w:p>
          <w:p>
            <w:pPr>
              <w:pStyle w:val="105"/>
              <w:jc w:val="center"/>
            </w:pPr>
            <w:r>
              <w:t>要素</w:t>
            </w:r>
          </w:p>
        </w:tc>
        <w:tc>
          <w:tcPr>
            <w:tcW w:w="469" w:type="pct"/>
            <w:shd w:val="clear" w:color="auto" w:fill="auto"/>
            <w:vAlign w:val="center"/>
          </w:tcPr>
          <w:p>
            <w:pPr>
              <w:pStyle w:val="105"/>
              <w:jc w:val="center"/>
            </w:pPr>
            <w:r>
              <w:rPr>
                <w:rFonts w:hint="eastAsia"/>
              </w:rPr>
              <w:t>范围</w:t>
            </w:r>
          </w:p>
        </w:tc>
        <w:tc>
          <w:tcPr>
            <w:tcW w:w="704" w:type="pct"/>
            <w:shd w:val="clear" w:color="auto" w:fill="auto"/>
            <w:vAlign w:val="center"/>
          </w:tcPr>
          <w:p>
            <w:pPr>
              <w:pStyle w:val="105"/>
              <w:jc w:val="center"/>
            </w:pPr>
            <w:r>
              <w:rPr>
                <w:rFonts w:hint="eastAsia"/>
              </w:rPr>
              <w:t>区域功能</w:t>
            </w:r>
          </w:p>
        </w:tc>
        <w:tc>
          <w:tcPr>
            <w:tcW w:w="3358" w:type="pct"/>
            <w:shd w:val="clear" w:color="auto" w:fill="auto"/>
            <w:vAlign w:val="center"/>
          </w:tcPr>
          <w:p>
            <w:pPr>
              <w:pStyle w:val="105"/>
              <w:jc w:val="center"/>
            </w:pPr>
            <w:r>
              <w:t>功能类别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69" w:type="pct"/>
            <w:shd w:val="clear" w:color="auto" w:fill="auto"/>
            <w:vAlign w:val="center"/>
          </w:tcPr>
          <w:p>
            <w:pPr>
              <w:pStyle w:val="105"/>
            </w:pPr>
            <w:r>
              <w:t>声环境</w:t>
            </w:r>
          </w:p>
        </w:tc>
        <w:tc>
          <w:tcPr>
            <w:tcW w:w="469" w:type="pct"/>
            <w:shd w:val="clear" w:color="auto" w:fill="auto"/>
            <w:vAlign w:val="center"/>
          </w:tcPr>
          <w:p>
            <w:pPr>
              <w:pStyle w:val="105"/>
            </w:pPr>
            <w:r>
              <w:t>沿线评价区域</w:t>
            </w:r>
          </w:p>
        </w:tc>
        <w:tc>
          <w:tcPr>
            <w:tcW w:w="704" w:type="pct"/>
            <w:shd w:val="clear" w:color="auto" w:fill="auto"/>
            <w:vAlign w:val="center"/>
          </w:tcPr>
          <w:p>
            <w:pPr>
              <w:pStyle w:val="105"/>
            </w:pPr>
            <w:r>
              <w:rPr>
                <w:rFonts w:hint="eastAsia"/>
              </w:rPr>
              <w:t>居住、生活</w:t>
            </w:r>
          </w:p>
        </w:tc>
        <w:tc>
          <w:tcPr>
            <w:tcW w:w="3358" w:type="pct"/>
            <w:shd w:val="clear" w:color="auto" w:fill="auto"/>
            <w:vAlign w:val="center"/>
          </w:tcPr>
          <w:p>
            <w:pPr>
              <w:pStyle w:val="105"/>
            </w:pPr>
            <w:r>
              <w:rPr>
                <w:rFonts w:hint="eastAsia"/>
              </w:rPr>
              <w:t xml:space="preserve">项目属于二级公路，属于交通干线，项目建成后，根据《声环境功能区划分技术规范》（GB/T 15190-2014），将交通干线边界线外一定距离内的区域划分为4a 类声环境功能区：相邻区域为 2 类声环境功能区，距离为 </w:t>
            </w:r>
            <w:r>
              <w:t>35</w:t>
            </w:r>
            <w:r>
              <w:rPr>
                <w:rFonts w:hint="eastAsia"/>
              </w:rPr>
              <w:t>m；当临街建筑高于三层楼房以上（含三层）时，将临街建筑面向交通干线一侧至交通干线边界线的区域定为4a 类声环境功能区。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69" w:type="pct"/>
            <w:shd w:val="clear" w:color="auto" w:fill="auto"/>
            <w:vAlign w:val="center"/>
          </w:tcPr>
          <w:p>
            <w:pPr>
              <w:pStyle w:val="105"/>
            </w:pPr>
            <w:r>
              <w:t>环境空气</w:t>
            </w:r>
          </w:p>
        </w:tc>
        <w:tc>
          <w:tcPr>
            <w:tcW w:w="469" w:type="pct"/>
            <w:shd w:val="clear" w:color="auto" w:fill="auto"/>
            <w:vAlign w:val="center"/>
          </w:tcPr>
          <w:p>
            <w:pPr>
              <w:pStyle w:val="105"/>
            </w:pPr>
            <w:r>
              <w:t>沿线评价区域</w:t>
            </w:r>
          </w:p>
        </w:tc>
        <w:tc>
          <w:tcPr>
            <w:tcW w:w="704" w:type="pct"/>
            <w:shd w:val="clear" w:color="auto" w:fill="auto"/>
            <w:vAlign w:val="center"/>
          </w:tcPr>
          <w:p>
            <w:pPr>
              <w:pStyle w:val="105"/>
            </w:pPr>
            <w:r>
              <w:t>城镇郊区</w:t>
            </w:r>
          </w:p>
        </w:tc>
        <w:tc>
          <w:tcPr>
            <w:tcW w:w="3358" w:type="pct"/>
            <w:shd w:val="clear" w:color="auto" w:fill="auto"/>
            <w:vAlign w:val="center"/>
          </w:tcPr>
          <w:p>
            <w:pPr>
              <w:pStyle w:val="105"/>
            </w:pPr>
            <w:r>
              <w:t>二类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69" w:type="pct"/>
            <w:shd w:val="clear" w:color="auto" w:fill="auto"/>
            <w:vAlign w:val="center"/>
          </w:tcPr>
          <w:p>
            <w:pPr>
              <w:pStyle w:val="105"/>
            </w:pPr>
            <w:r>
              <w:t>地表水</w:t>
            </w:r>
          </w:p>
        </w:tc>
        <w:tc>
          <w:tcPr>
            <w:tcW w:w="469" w:type="pct"/>
            <w:shd w:val="clear" w:color="auto" w:fill="auto"/>
            <w:vAlign w:val="center"/>
          </w:tcPr>
          <w:p>
            <w:pPr>
              <w:pStyle w:val="105"/>
            </w:pPr>
            <w:r>
              <w:rPr>
                <w:rFonts w:hint="eastAsia"/>
              </w:rPr>
              <w:t>迳江</w:t>
            </w:r>
          </w:p>
        </w:tc>
        <w:tc>
          <w:tcPr>
            <w:tcW w:w="704" w:type="pct"/>
            <w:shd w:val="clear" w:color="auto" w:fill="auto"/>
            <w:vAlign w:val="center"/>
          </w:tcPr>
          <w:p>
            <w:pPr>
              <w:pStyle w:val="105"/>
            </w:pPr>
            <w:r>
              <w:t>水体主导功能为农业用水</w:t>
            </w:r>
            <w:r>
              <w:rPr>
                <w:rFonts w:hint="eastAsia"/>
              </w:rPr>
              <w:t>、景观</w:t>
            </w:r>
            <w:r>
              <w:t>。</w:t>
            </w:r>
          </w:p>
        </w:tc>
        <w:tc>
          <w:tcPr>
            <w:tcW w:w="3358" w:type="pct"/>
            <w:shd w:val="clear" w:color="auto" w:fill="auto"/>
            <w:vAlign w:val="center"/>
          </w:tcPr>
          <w:p>
            <w:pPr>
              <w:pStyle w:val="105"/>
            </w:pPr>
            <w:r>
              <w:t>Ⅲ类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69" w:type="pct"/>
            <w:shd w:val="clear" w:color="auto" w:fill="auto"/>
            <w:vAlign w:val="center"/>
          </w:tcPr>
          <w:p>
            <w:pPr>
              <w:pStyle w:val="105"/>
            </w:pPr>
            <w:r>
              <w:rPr>
                <w:rFonts w:hint="eastAsia"/>
              </w:rPr>
              <w:t>生态</w:t>
            </w:r>
          </w:p>
        </w:tc>
        <w:tc>
          <w:tcPr>
            <w:tcW w:w="469" w:type="pct"/>
            <w:shd w:val="clear" w:color="auto" w:fill="auto"/>
            <w:vAlign w:val="center"/>
          </w:tcPr>
          <w:p>
            <w:pPr>
              <w:pStyle w:val="105"/>
            </w:pPr>
            <w:r>
              <w:t>沿线评价区域</w:t>
            </w:r>
          </w:p>
        </w:tc>
        <w:tc>
          <w:tcPr>
            <w:tcW w:w="704" w:type="pct"/>
            <w:shd w:val="clear" w:color="auto" w:fill="auto"/>
            <w:vAlign w:val="center"/>
          </w:tcPr>
          <w:p>
            <w:pPr>
              <w:pStyle w:val="105"/>
            </w:pPr>
            <w:r>
              <w:rPr>
                <w:rFonts w:hint="eastAsia"/>
              </w:rPr>
              <w:t>——</w:t>
            </w:r>
          </w:p>
        </w:tc>
        <w:tc>
          <w:tcPr>
            <w:tcW w:w="3358" w:type="pct"/>
            <w:shd w:val="clear" w:color="auto" w:fill="auto"/>
            <w:vAlign w:val="center"/>
          </w:tcPr>
          <w:p>
            <w:pPr>
              <w:pStyle w:val="105"/>
            </w:pPr>
            <w:r>
              <w:rPr>
                <w:rFonts w:hint="eastAsia"/>
              </w:rPr>
              <w:t>福建省生态功能区划：线路所在地的生态功能单元为“</w:t>
            </w:r>
            <w:r>
              <w:rPr>
                <w:rFonts w:cs="Times New Roman"/>
                <w:kern w:val="0"/>
                <w:szCs w:val="24"/>
                <w:lang w:val="zh-CN"/>
              </w:rPr>
              <w:t>Ⅱ闽东南生态区</w:t>
            </w:r>
            <w:r>
              <w:rPr>
                <w:rFonts w:hint="eastAsia" w:cs="Times New Roman"/>
                <w:kern w:val="0"/>
                <w:szCs w:val="24"/>
                <w:lang w:val="zh-CN"/>
              </w:rPr>
              <w:t>——</w:t>
            </w:r>
            <w:r>
              <w:rPr>
                <w:rFonts w:cs="Times New Roman"/>
                <w:kern w:val="0"/>
                <w:szCs w:val="24"/>
                <w:lang w:val="zh-CN"/>
              </w:rPr>
              <w:t>Ⅱ</w:t>
            </w:r>
            <w:r>
              <w:rPr>
                <w:rFonts w:cs="Times New Roman"/>
                <w:kern w:val="0"/>
                <w:szCs w:val="24"/>
                <w:vertAlign w:val="subscript"/>
                <w:lang w:val="zh-CN"/>
              </w:rPr>
              <w:t>2</w:t>
            </w:r>
            <w:r>
              <w:rPr>
                <w:rFonts w:cs="Times New Roman"/>
                <w:kern w:val="0"/>
                <w:szCs w:val="24"/>
                <w:lang w:val="zh-CN"/>
              </w:rPr>
              <w:t>闽东南沿海台丘平原与近岸海域生态</w:t>
            </w:r>
            <w:r>
              <w:rPr>
                <w:rFonts w:hint="eastAsia"/>
                <w:kern w:val="0"/>
                <w:szCs w:val="24"/>
                <w:lang w:val="zh-CN"/>
              </w:rPr>
              <w:t>亚</w:t>
            </w:r>
            <w:r>
              <w:rPr>
                <w:kern w:val="0"/>
                <w:szCs w:val="24"/>
                <w:lang w:val="zh-CN"/>
              </w:rPr>
              <w:t>区</w:t>
            </w:r>
            <w:r>
              <w:rPr>
                <w:rFonts w:hint="eastAsia"/>
                <w:kern w:val="0"/>
                <w:szCs w:val="24"/>
                <w:lang w:val="zh-CN"/>
              </w:rPr>
              <w:t>——</w:t>
            </w:r>
            <w:r>
              <w:rPr>
                <w:rFonts w:cs="Times New Roman"/>
                <w:kern w:val="0"/>
                <w:szCs w:val="24"/>
                <w:lang w:val="zh-CN"/>
              </w:rPr>
              <w:t>5203 福 清一平潭城镇和集约化高优农业生态功能区</w:t>
            </w:r>
            <w:r>
              <w:rPr>
                <w:rFonts w:hint="eastAsia"/>
              </w:rPr>
              <w:t>”。</w:t>
            </w:r>
          </w:p>
          <w:p>
            <w:pPr>
              <w:pStyle w:val="105"/>
              <w:rPr>
                <w:highlight w:val="yellow"/>
              </w:rPr>
            </w:pPr>
            <w:r>
              <w:rPr>
                <w:rFonts w:hint="eastAsia"/>
              </w:rPr>
              <w:t>福清市生态功能区划：项目位于福清西南部城镇与工业环境</w:t>
            </w:r>
            <w:r>
              <w:rPr>
                <w:rFonts w:hint="eastAsia"/>
                <w:lang w:eastAsia="zh-CN"/>
              </w:rPr>
              <w:t>生态</w:t>
            </w:r>
            <w:r>
              <w:rPr>
                <w:rFonts w:hint="eastAsia"/>
              </w:rPr>
              <w:t>功能小区（520118108）和兴化湾渔业养殖与旅游环境生态功能小区（520118112）</w:t>
            </w:r>
          </w:p>
        </w:tc>
      </w:tr>
    </w:tbl>
    <w:p>
      <w:pPr>
        <w:pStyle w:val="120"/>
        <w:rPr>
          <w:color w:val="auto"/>
        </w:rPr>
      </w:pPr>
      <w:r>
        <w:rPr>
          <w:rFonts w:hint="eastAsia"/>
          <w:color w:val="auto"/>
        </w:rPr>
        <w:t>环境质量标准</w:t>
      </w:r>
    </w:p>
    <w:p>
      <w:pPr>
        <w:pStyle w:val="118"/>
      </w:pPr>
      <w:r>
        <w:rPr>
          <w:rFonts w:hint="eastAsia"/>
        </w:rPr>
        <w:t>环境空气</w:t>
      </w:r>
    </w:p>
    <w:p>
      <w:pPr>
        <w:ind w:firstLine="480"/>
      </w:pPr>
      <w:r>
        <w:rPr>
          <w:rFonts w:hint="eastAsia"/>
        </w:rPr>
        <w:t>本项目沿线</w:t>
      </w:r>
      <w:r>
        <w:rPr>
          <w:lang w:val="zh-CN"/>
        </w:rPr>
        <w:t>环境空气质量执行《环境空气质量标准》（GB3095-2012）</w:t>
      </w:r>
      <w:r>
        <w:rPr>
          <w:rFonts w:hint="eastAsia"/>
          <w:lang w:val="zh-CN"/>
        </w:rPr>
        <w:t>及其修改单</w:t>
      </w:r>
      <w:r>
        <w:rPr>
          <w:lang w:val="zh-CN"/>
        </w:rPr>
        <w:t>中的二级标准，</w:t>
      </w:r>
      <w:r>
        <w:rPr>
          <w:rFonts w:hint="eastAsia"/>
        </w:rPr>
        <w:t>具体见</w:t>
      </w:r>
      <w:r>
        <w:fldChar w:fldCharType="begin"/>
      </w:r>
      <w:r>
        <w:instrText xml:space="preserve"> </w:instrText>
      </w:r>
      <w:r>
        <w:rPr>
          <w:rFonts w:hint="eastAsia"/>
        </w:rPr>
        <w:instrText xml:space="preserve">REF _Ref74737829 \r \h</w:instrText>
      </w:r>
      <w:r>
        <w:instrText xml:space="preserve">  \* MERGEFORMAT </w:instrText>
      </w:r>
      <w:r>
        <w:fldChar w:fldCharType="separate"/>
      </w:r>
      <w:r>
        <w:rPr>
          <w:rFonts w:hint="eastAsia"/>
        </w:rPr>
        <w:t>表2.5-2</w:t>
      </w:r>
      <w:r>
        <w:fldChar w:fldCharType="end"/>
      </w:r>
      <w:r>
        <w:rPr>
          <w:rFonts w:hint="eastAsia"/>
        </w:rPr>
        <w:t>。</w:t>
      </w:r>
    </w:p>
    <w:p>
      <w:pPr>
        <w:pStyle w:val="87"/>
        <w:spacing w:before="120"/>
      </w:pPr>
      <w:bookmarkStart w:id="121" w:name="_Ref74737829"/>
      <w:r>
        <w:rPr>
          <w:rFonts w:hint="eastAsia"/>
        </w:rPr>
        <w:t>环境空气质量标准限值</w:t>
      </w:r>
      <w:bookmarkEnd w:id="121"/>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91"/>
        <w:gridCol w:w="2505"/>
        <w:gridCol w:w="2782"/>
        <w:gridCol w:w="19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126" w:type="pct"/>
            <w:vAlign w:val="center"/>
          </w:tcPr>
          <w:p>
            <w:pPr>
              <w:pStyle w:val="105"/>
              <w:jc w:val="center"/>
            </w:pPr>
            <w:r>
              <w:t>污染物名称</w:t>
            </w:r>
          </w:p>
        </w:tc>
        <w:tc>
          <w:tcPr>
            <w:tcW w:w="1349" w:type="pct"/>
            <w:vAlign w:val="center"/>
          </w:tcPr>
          <w:p>
            <w:pPr>
              <w:pStyle w:val="105"/>
              <w:jc w:val="center"/>
            </w:pPr>
            <w:r>
              <w:t>取值时间</w:t>
            </w:r>
          </w:p>
        </w:tc>
        <w:tc>
          <w:tcPr>
            <w:tcW w:w="1498" w:type="pct"/>
            <w:vAlign w:val="center"/>
          </w:tcPr>
          <w:p>
            <w:pPr>
              <w:pStyle w:val="105"/>
              <w:jc w:val="center"/>
            </w:pPr>
            <w:r>
              <w:t>GB3095-</w:t>
            </w:r>
            <w:r>
              <w:rPr>
                <w:rFonts w:hint="eastAsia"/>
              </w:rPr>
              <w:t>2012</w:t>
            </w:r>
            <w:r>
              <w:t>二级标准</w:t>
            </w:r>
          </w:p>
        </w:tc>
        <w:tc>
          <w:tcPr>
            <w:tcW w:w="1027" w:type="pct"/>
            <w:vAlign w:val="center"/>
          </w:tcPr>
          <w:p>
            <w:pPr>
              <w:pStyle w:val="105"/>
              <w:jc w:val="center"/>
            </w:pPr>
            <w:r>
              <w:rPr>
                <w:rFonts w:hint="eastAsia"/>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restart"/>
            <w:vAlign w:val="center"/>
          </w:tcPr>
          <w:p>
            <w:pPr>
              <w:pStyle w:val="105"/>
              <w:jc w:val="center"/>
            </w:pPr>
            <w:r>
              <w:t>二氧化硫（SO</w:t>
            </w:r>
            <w:r>
              <w:rPr>
                <w:vertAlign w:val="subscript"/>
              </w:rPr>
              <w:t>2</w:t>
            </w:r>
            <w:r>
              <w:t>）</w:t>
            </w:r>
          </w:p>
        </w:tc>
        <w:tc>
          <w:tcPr>
            <w:tcW w:w="1349" w:type="pct"/>
            <w:vAlign w:val="center"/>
          </w:tcPr>
          <w:p>
            <w:pPr>
              <w:pStyle w:val="105"/>
              <w:jc w:val="center"/>
            </w:pPr>
            <w:r>
              <w:t>年平均</w:t>
            </w:r>
          </w:p>
        </w:tc>
        <w:tc>
          <w:tcPr>
            <w:tcW w:w="1498" w:type="pct"/>
            <w:vAlign w:val="center"/>
          </w:tcPr>
          <w:p>
            <w:pPr>
              <w:pStyle w:val="105"/>
              <w:jc w:val="center"/>
            </w:pPr>
            <w:r>
              <w:rPr>
                <w:rFonts w:hint="eastAsia"/>
              </w:rPr>
              <w:t>60</w:t>
            </w:r>
          </w:p>
        </w:tc>
        <w:tc>
          <w:tcPr>
            <w:tcW w:w="1027" w:type="pct"/>
            <w:vMerge w:val="restart"/>
            <w:vAlign w:val="center"/>
          </w:tcPr>
          <w:p>
            <w:pPr>
              <w:pStyle w:val="105"/>
              <w:jc w:val="center"/>
            </w:pPr>
            <w:r>
              <w:t>μg/m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continue"/>
            <w:vAlign w:val="center"/>
          </w:tcPr>
          <w:p>
            <w:pPr>
              <w:pStyle w:val="105"/>
              <w:jc w:val="center"/>
            </w:pPr>
          </w:p>
        </w:tc>
        <w:tc>
          <w:tcPr>
            <w:tcW w:w="1349" w:type="pct"/>
            <w:vAlign w:val="center"/>
          </w:tcPr>
          <w:p>
            <w:pPr>
              <w:pStyle w:val="105"/>
              <w:jc w:val="center"/>
            </w:pPr>
            <w:r>
              <w:rPr>
                <w:rFonts w:hint="eastAsia"/>
              </w:rPr>
              <w:t>24</w:t>
            </w:r>
            <w:r>
              <w:t>小时平均</w:t>
            </w:r>
          </w:p>
        </w:tc>
        <w:tc>
          <w:tcPr>
            <w:tcW w:w="1498" w:type="pct"/>
            <w:vAlign w:val="center"/>
          </w:tcPr>
          <w:p>
            <w:pPr>
              <w:pStyle w:val="105"/>
              <w:jc w:val="center"/>
            </w:pPr>
            <w:r>
              <w:rPr>
                <w:rFonts w:hint="eastAsia"/>
              </w:rPr>
              <w:t>150</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continue"/>
            <w:vAlign w:val="center"/>
          </w:tcPr>
          <w:p>
            <w:pPr>
              <w:pStyle w:val="105"/>
              <w:jc w:val="center"/>
            </w:pPr>
          </w:p>
        </w:tc>
        <w:tc>
          <w:tcPr>
            <w:tcW w:w="1349" w:type="pct"/>
            <w:vAlign w:val="center"/>
          </w:tcPr>
          <w:p>
            <w:pPr>
              <w:pStyle w:val="105"/>
              <w:jc w:val="center"/>
            </w:pPr>
            <w:r>
              <w:t>1小时平均</w:t>
            </w:r>
          </w:p>
        </w:tc>
        <w:tc>
          <w:tcPr>
            <w:tcW w:w="1498" w:type="pct"/>
            <w:vAlign w:val="center"/>
          </w:tcPr>
          <w:p>
            <w:pPr>
              <w:pStyle w:val="105"/>
              <w:jc w:val="center"/>
            </w:pPr>
            <w:r>
              <w:rPr>
                <w:rFonts w:hint="eastAsia"/>
              </w:rPr>
              <w:t>500</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restart"/>
            <w:vAlign w:val="center"/>
          </w:tcPr>
          <w:p>
            <w:pPr>
              <w:pStyle w:val="105"/>
              <w:jc w:val="center"/>
            </w:pPr>
            <w:r>
              <w:t>二氧化氮（NO</w:t>
            </w:r>
            <w:r>
              <w:rPr>
                <w:vertAlign w:val="subscript"/>
              </w:rPr>
              <w:t>2</w:t>
            </w:r>
            <w:r>
              <w:t>）</w:t>
            </w:r>
          </w:p>
        </w:tc>
        <w:tc>
          <w:tcPr>
            <w:tcW w:w="1349" w:type="pct"/>
            <w:vAlign w:val="center"/>
          </w:tcPr>
          <w:p>
            <w:pPr>
              <w:pStyle w:val="105"/>
              <w:jc w:val="center"/>
            </w:pPr>
            <w:r>
              <w:t>年平均</w:t>
            </w:r>
          </w:p>
        </w:tc>
        <w:tc>
          <w:tcPr>
            <w:tcW w:w="1498" w:type="pct"/>
            <w:vAlign w:val="center"/>
          </w:tcPr>
          <w:p>
            <w:pPr>
              <w:pStyle w:val="105"/>
              <w:jc w:val="center"/>
            </w:pPr>
            <w:r>
              <w:rPr>
                <w:rFonts w:hint="eastAsia"/>
              </w:rPr>
              <w:t>40</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continue"/>
            <w:vAlign w:val="center"/>
          </w:tcPr>
          <w:p>
            <w:pPr>
              <w:pStyle w:val="105"/>
              <w:jc w:val="center"/>
            </w:pPr>
          </w:p>
        </w:tc>
        <w:tc>
          <w:tcPr>
            <w:tcW w:w="1349" w:type="pct"/>
            <w:vAlign w:val="center"/>
          </w:tcPr>
          <w:p>
            <w:pPr>
              <w:pStyle w:val="105"/>
              <w:jc w:val="center"/>
            </w:pPr>
            <w:r>
              <w:rPr>
                <w:rFonts w:hint="eastAsia"/>
              </w:rPr>
              <w:t>24</w:t>
            </w:r>
            <w:r>
              <w:t>小时平均</w:t>
            </w:r>
          </w:p>
        </w:tc>
        <w:tc>
          <w:tcPr>
            <w:tcW w:w="1498" w:type="pct"/>
            <w:vAlign w:val="center"/>
          </w:tcPr>
          <w:p>
            <w:pPr>
              <w:pStyle w:val="105"/>
              <w:jc w:val="center"/>
            </w:pPr>
            <w:r>
              <w:rPr>
                <w:rFonts w:hint="eastAsia"/>
              </w:rPr>
              <w:t>80</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continue"/>
            <w:vAlign w:val="center"/>
          </w:tcPr>
          <w:p>
            <w:pPr>
              <w:pStyle w:val="105"/>
              <w:jc w:val="center"/>
            </w:pPr>
          </w:p>
        </w:tc>
        <w:tc>
          <w:tcPr>
            <w:tcW w:w="1349" w:type="pct"/>
            <w:vAlign w:val="center"/>
          </w:tcPr>
          <w:p>
            <w:pPr>
              <w:pStyle w:val="105"/>
              <w:jc w:val="center"/>
            </w:pPr>
            <w:r>
              <w:t>1小时平均</w:t>
            </w:r>
          </w:p>
        </w:tc>
        <w:tc>
          <w:tcPr>
            <w:tcW w:w="1498" w:type="pct"/>
            <w:vAlign w:val="center"/>
          </w:tcPr>
          <w:p>
            <w:pPr>
              <w:pStyle w:val="105"/>
              <w:jc w:val="center"/>
            </w:pPr>
            <w:r>
              <w:rPr>
                <w:rFonts w:hint="eastAsia"/>
              </w:rPr>
              <w:t>200</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restart"/>
            <w:vAlign w:val="center"/>
          </w:tcPr>
          <w:p>
            <w:pPr>
              <w:pStyle w:val="105"/>
              <w:jc w:val="center"/>
            </w:pPr>
            <w:r>
              <w:t>一氧化碳（CO）</w:t>
            </w:r>
          </w:p>
        </w:tc>
        <w:tc>
          <w:tcPr>
            <w:tcW w:w="1349" w:type="pct"/>
            <w:vAlign w:val="center"/>
          </w:tcPr>
          <w:p>
            <w:pPr>
              <w:pStyle w:val="105"/>
              <w:jc w:val="center"/>
            </w:pPr>
            <w:r>
              <w:rPr>
                <w:rFonts w:hint="eastAsia"/>
              </w:rPr>
              <w:t>24</w:t>
            </w:r>
            <w:r>
              <w:t>小时平均</w:t>
            </w:r>
          </w:p>
        </w:tc>
        <w:tc>
          <w:tcPr>
            <w:tcW w:w="1498" w:type="pct"/>
            <w:vAlign w:val="center"/>
          </w:tcPr>
          <w:p>
            <w:pPr>
              <w:pStyle w:val="105"/>
              <w:jc w:val="center"/>
            </w:pPr>
            <w:r>
              <w:rPr>
                <w:rFonts w:hint="eastAsia"/>
              </w:rPr>
              <w:t>4</w:t>
            </w:r>
          </w:p>
        </w:tc>
        <w:tc>
          <w:tcPr>
            <w:tcW w:w="1027" w:type="pct"/>
            <w:vMerge w:val="restart"/>
            <w:vAlign w:val="center"/>
          </w:tcPr>
          <w:p>
            <w:pPr>
              <w:pStyle w:val="105"/>
              <w:jc w:val="center"/>
            </w:pPr>
            <w:r>
              <w:t>mg/m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continue"/>
            <w:vAlign w:val="center"/>
          </w:tcPr>
          <w:p>
            <w:pPr>
              <w:pStyle w:val="105"/>
              <w:jc w:val="center"/>
            </w:pPr>
          </w:p>
        </w:tc>
        <w:tc>
          <w:tcPr>
            <w:tcW w:w="1349" w:type="pct"/>
            <w:vAlign w:val="center"/>
          </w:tcPr>
          <w:p>
            <w:pPr>
              <w:pStyle w:val="105"/>
              <w:jc w:val="center"/>
            </w:pPr>
            <w:r>
              <w:t>1小时平均</w:t>
            </w:r>
          </w:p>
        </w:tc>
        <w:tc>
          <w:tcPr>
            <w:tcW w:w="1498" w:type="pct"/>
            <w:vAlign w:val="center"/>
          </w:tcPr>
          <w:p>
            <w:pPr>
              <w:pStyle w:val="105"/>
              <w:jc w:val="center"/>
            </w:pPr>
            <w:r>
              <w:rPr>
                <w:rFonts w:hint="eastAsia"/>
              </w:rPr>
              <w:t>10</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restart"/>
            <w:vAlign w:val="center"/>
          </w:tcPr>
          <w:p>
            <w:pPr>
              <w:pStyle w:val="105"/>
              <w:jc w:val="center"/>
            </w:pPr>
            <w:r>
              <w:rPr>
                <w:rFonts w:hint="eastAsia"/>
              </w:rPr>
              <w:t>总悬浮颗粒物（TSP）</w:t>
            </w:r>
          </w:p>
        </w:tc>
        <w:tc>
          <w:tcPr>
            <w:tcW w:w="1349" w:type="pct"/>
            <w:vAlign w:val="center"/>
          </w:tcPr>
          <w:p>
            <w:pPr>
              <w:pStyle w:val="105"/>
              <w:jc w:val="center"/>
            </w:pPr>
            <w:r>
              <w:t>年平均</w:t>
            </w:r>
          </w:p>
        </w:tc>
        <w:tc>
          <w:tcPr>
            <w:tcW w:w="1498" w:type="pct"/>
            <w:vAlign w:val="center"/>
          </w:tcPr>
          <w:p>
            <w:pPr>
              <w:pStyle w:val="105"/>
              <w:jc w:val="center"/>
            </w:pPr>
            <w:r>
              <w:rPr>
                <w:rFonts w:hint="eastAsia"/>
              </w:rPr>
              <w:t>200</w:t>
            </w:r>
          </w:p>
        </w:tc>
        <w:tc>
          <w:tcPr>
            <w:tcW w:w="1027" w:type="pct"/>
            <w:vMerge w:val="restart"/>
            <w:vAlign w:val="center"/>
          </w:tcPr>
          <w:p>
            <w:pPr>
              <w:pStyle w:val="105"/>
              <w:jc w:val="center"/>
            </w:pPr>
            <w:r>
              <w:t>μg/m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continue"/>
            <w:vAlign w:val="center"/>
          </w:tcPr>
          <w:p>
            <w:pPr>
              <w:pStyle w:val="105"/>
              <w:jc w:val="center"/>
            </w:pPr>
          </w:p>
        </w:tc>
        <w:tc>
          <w:tcPr>
            <w:tcW w:w="1349" w:type="pct"/>
            <w:vAlign w:val="center"/>
          </w:tcPr>
          <w:p>
            <w:pPr>
              <w:pStyle w:val="105"/>
              <w:jc w:val="center"/>
            </w:pPr>
            <w:r>
              <w:rPr>
                <w:rFonts w:hint="eastAsia"/>
              </w:rPr>
              <w:t>24</w:t>
            </w:r>
            <w:r>
              <w:t>小时平均</w:t>
            </w:r>
          </w:p>
        </w:tc>
        <w:tc>
          <w:tcPr>
            <w:tcW w:w="1498" w:type="pct"/>
            <w:vAlign w:val="center"/>
          </w:tcPr>
          <w:p>
            <w:pPr>
              <w:pStyle w:val="105"/>
              <w:jc w:val="center"/>
            </w:pPr>
            <w:r>
              <w:rPr>
                <w:rFonts w:hint="eastAsia"/>
              </w:rPr>
              <w:t>300</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restart"/>
            <w:vAlign w:val="center"/>
          </w:tcPr>
          <w:p>
            <w:pPr>
              <w:pStyle w:val="105"/>
              <w:jc w:val="center"/>
            </w:pPr>
            <w:r>
              <w:t>颗粒物（PM</w:t>
            </w:r>
            <w:r>
              <w:rPr>
                <w:vertAlign w:val="subscript"/>
              </w:rPr>
              <w:t>10</w:t>
            </w:r>
            <w:r>
              <w:t>）</w:t>
            </w:r>
          </w:p>
        </w:tc>
        <w:tc>
          <w:tcPr>
            <w:tcW w:w="1349" w:type="pct"/>
            <w:vAlign w:val="center"/>
          </w:tcPr>
          <w:p>
            <w:pPr>
              <w:pStyle w:val="105"/>
              <w:jc w:val="center"/>
            </w:pPr>
            <w:r>
              <w:t>年平均</w:t>
            </w:r>
          </w:p>
        </w:tc>
        <w:tc>
          <w:tcPr>
            <w:tcW w:w="1498" w:type="pct"/>
            <w:vAlign w:val="center"/>
          </w:tcPr>
          <w:p>
            <w:pPr>
              <w:pStyle w:val="105"/>
              <w:jc w:val="center"/>
            </w:pPr>
            <w:r>
              <w:rPr>
                <w:rFonts w:hint="eastAsia"/>
              </w:rPr>
              <w:t>70</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continue"/>
            <w:vAlign w:val="center"/>
          </w:tcPr>
          <w:p>
            <w:pPr>
              <w:pStyle w:val="105"/>
              <w:jc w:val="center"/>
            </w:pPr>
          </w:p>
        </w:tc>
        <w:tc>
          <w:tcPr>
            <w:tcW w:w="1349" w:type="pct"/>
            <w:vAlign w:val="center"/>
          </w:tcPr>
          <w:p>
            <w:pPr>
              <w:pStyle w:val="105"/>
              <w:jc w:val="center"/>
            </w:pPr>
            <w:r>
              <w:rPr>
                <w:rFonts w:hint="eastAsia"/>
              </w:rPr>
              <w:t>24</w:t>
            </w:r>
            <w:r>
              <w:t>小时平均</w:t>
            </w:r>
          </w:p>
        </w:tc>
        <w:tc>
          <w:tcPr>
            <w:tcW w:w="1498" w:type="pct"/>
            <w:vAlign w:val="center"/>
          </w:tcPr>
          <w:p>
            <w:pPr>
              <w:pStyle w:val="105"/>
              <w:jc w:val="center"/>
            </w:pPr>
            <w:r>
              <w:rPr>
                <w:rFonts w:hint="eastAsia"/>
              </w:rPr>
              <w:t>150</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restart"/>
            <w:vAlign w:val="center"/>
          </w:tcPr>
          <w:p>
            <w:pPr>
              <w:pStyle w:val="105"/>
              <w:jc w:val="center"/>
            </w:pPr>
            <w:r>
              <w:t>颗粒物（PM</w:t>
            </w:r>
            <w:r>
              <w:rPr>
                <w:rFonts w:hint="eastAsia"/>
                <w:vertAlign w:val="subscript"/>
              </w:rPr>
              <w:t>2.5</w:t>
            </w:r>
            <w:r>
              <w:t>）</w:t>
            </w:r>
          </w:p>
        </w:tc>
        <w:tc>
          <w:tcPr>
            <w:tcW w:w="1349" w:type="pct"/>
            <w:vAlign w:val="center"/>
          </w:tcPr>
          <w:p>
            <w:pPr>
              <w:pStyle w:val="105"/>
              <w:jc w:val="center"/>
            </w:pPr>
            <w:r>
              <w:t>年平均</w:t>
            </w:r>
          </w:p>
        </w:tc>
        <w:tc>
          <w:tcPr>
            <w:tcW w:w="1498" w:type="pct"/>
            <w:vAlign w:val="center"/>
          </w:tcPr>
          <w:p>
            <w:pPr>
              <w:pStyle w:val="105"/>
              <w:jc w:val="center"/>
            </w:pPr>
            <w:r>
              <w:rPr>
                <w:rFonts w:hint="eastAsia"/>
              </w:rPr>
              <w:t>35</w:t>
            </w:r>
          </w:p>
        </w:tc>
        <w:tc>
          <w:tcPr>
            <w:tcW w:w="1027" w:type="pct"/>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6" w:type="pct"/>
            <w:vMerge w:val="continue"/>
            <w:vAlign w:val="center"/>
          </w:tcPr>
          <w:p>
            <w:pPr>
              <w:pStyle w:val="105"/>
              <w:jc w:val="center"/>
            </w:pPr>
          </w:p>
        </w:tc>
        <w:tc>
          <w:tcPr>
            <w:tcW w:w="1349" w:type="pct"/>
            <w:vAlign w:val="center"/>
          </w:tcPr>
          <w:p>
            <w:pPr>
              <w:pStyle w:val="105"/>
              <w:jc w:val="center"/>
            </w:pPr>
            <w:r>
              <w:rPr>
                <w:rFonts w:hint="eastAsia"/>
              </w:rPr>
              <w:t>24</w:t>
            </w:r>
            <w:r>
              <w:t>小时平均</w:t>
            </w:r>
          </w:p>
        </w:tc>
        <w:tc>
          <w:tcPr>
            <w:tcW w:w="1498" w:type="pct"/>
            <w:vAlign w:val="center"/>
          </w:tcPr>
          <w:p>
            <w:pPr>
              <w:pStyle w:val="105"/>
              <w:jc w:val="center"/>
            </w:pPr>
            <w:r>
              <w:rPr>
                <w:rFonts w:hint="eastAsia"/>
              </w:rPr>
              <w:t>75</w:t>
            </w:r>
          </w:p>
        </w:tc>
        <w:tc>
          <w:tcPr>
            <w:tcW w:w="1027" w:type="pct"/>
            <w:vMerge w:val="continue"/>
            <w:vAlign w:val="center"/>
          </w:tcPr>
          <w:p>
            <w:pPr>
              <w:pStyle w:val="105"/>
              <w:jc w:val="center"/>
            </w:pPr>
          </w:p>
        </w:tc>
      </w:tr>
    </w:tbl>
    <w:p>
      <w:pPr>
        <w:pStyle w:val="118"/>
        <w:spacing w:before="240"/>
      </w:pPr>
      <w:r>
        <w:rPr>
          <w:rFonts w:hint="eastAsia"/>
        </w:rPr>
        <w:t>地表水</w:t>
      </w:r>
    </w:p>
    <w:p>
      <w:pPr>
        <w:ind w:firstLine="480"/>
      </w:pPr>
      <w:r>
        <w:rPr>
          <w:rFonts w:hint="eastAsia"/>
        </w:rPr>
        <w:t>线路周边地表水为迳江和福渠，根据《福建省人民政府关于福州市地表水环境功能区划定方案的批复》（闽政文〔2006〕133号）及《福州市水环境功能区划》，水质执行《地表水环境质量标准》(GB3838-2002)Ⅲ类标准。</w:t>
      </w:r>
      <w:r>
        <w:t>主要水质指标见</w:t>
      </w:r>
      <w:r>
        <w:fldChar w:fldCharType="begin"/>
      </w:r>
      <w:r>
        <w:instrText xml:space="preserve"> REF _Ref82805770 \r \h  \* MERGEFORMAT </w:instrText>
      </w:r>
      <w:r>
        <w:fldChar w:fldCharType="separate"/>
      </w:r>
      <w:r>
        <w:rPr>
          <w:rFonts w:hint="eastAsia"/>
        </w:rPr>
        <w:t>表2.5-3</w:t>
      </w:r>
      <w:r>
        <w:fldChar w:fldCharType="end"/>
      </w:r>
      <w:r>
        <w:t>。</w:t>
      </w:r>
    </w:p>
    <w:p>
      <w:pPr>
        <w:ind w:firstLine="480"/>
      </w:pPr>
    </w:p>
    <w:p>
      <w:pPr>
        <w:ind w:firstLine="480"/>
      </w:pPr>
    </w:p>
    <w:p>
      <w:pPr>
        <w:ind w:firstLine="480"/>
      </w:pPr>
    </w:p>
    <w:p>
      <w:pPr>
        <w:pStyle w:val="87"/>
        <w:spacing w:before="120"/>
      </w:pPr>
      <w:bookmarkStart w:id="122" w:name="_Ref82805770"/>
      <w:r>
        <w:t>地表水环境质量标准（摘录）</w:t>
      </w:r>
      <w:r>
        <w:rPr>
          <w:rFonts w:hint="eastAsia"/>
        </w:rPr>
        <w:t>（</w:t>
      </w:r>
      <w:r>
        <w:t>GB3838-2002</w:t>
      </w:r>
      <w:r>
        <w:rPr>
          <w:rFonts w:hint="eastAsia"/>
        </w:rPr>
        <w:t>）</w:t>
      </w:r>
      <w:r>
        <w:t>单位：mg/L（pH除外）</w:t>
      </w:r>
      <w:bookmarkEnd w:id="122"/>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6"/>
        <w:gridCol w:w="3193"/>
        <w:gridCol w:w="1250"/>
        <w:gridCol w:w="1449"/>
        <w:gridCol w:w="1333"/>
        <w:gridCol w:w="13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91" w:type="pct"/>
            <w:shd w:val="clear" w:color="auto" w:fill="auto"/>
            <w:vAlign w:val="center"/>
          </w:tcPr>
          <w:p>
            <w:pPr>
              <w:pStyle w:val="105"/>
              <w:jc w:val="center"/>
            </w:pPr>
            <w:r>
              <w:rPr>
                <w:rFonts w:hint="eastAsia"/>
              </w:rPr>
              <w:t>序号</w:t>
            </w:r>
          </w:p>
        </w:tc>
        <w:tc>
          <w:tcPr>
            <w:tcW w:w="1719" w:type="pct"/>
            <w:shd w:val="clear" w:color="auto" w:fill="auto"/>
            <w:vAlign w:val="center"/>
          </w:tcPr>
          <w:p>
            <w:pPr>
              <w:pStyle w:val="105"/>
              <w:jc w:val="center"/>
            </w:pPr>
            <w:r>
              <w:rPr>
                <w:rFonts w:hint="eastAsia"/>
              </w:rPr>
              <w:t>项目</w:t>
            </w:r>
          </w:p>
        </w:tc>
        <w:tc>
          <w:tcPr>
            <w:tcW w:w="673" w:type="pct"/>
            <w:shd w:val="clear" w:color="auto" w:fill="auto"/>
            <w:vAlign w:val="center"/>
          </w:tcPr>
          <w:p>
            <w:pPr>
              <w:pStyle w:val="105"/>
              <w:jc w:val="center"/>
            </w:pPr>
            <w:r>
              <w:rPr>
                <w:rFonts w:hint="eastAsia"/>
              </w:rPr>
              <w:t>Ⅱ类</w:t>
            </w:r>
          </w:p>
        </w:tc>
        <w:tc>
          <w:tcPr>
            <w:tcW w:w="780" w:type="pct"/>
            <w:shd w:val="clear" w:color="auto" w:fill="auto"/>
            <w:vAlign w:val="center"/>
          </w:tcPr>
          <w:p>
            <w:pPr>
              <w:pStyle w:val="105"/>
              <w:jc w:val="center"/>
              <w:rPr>
                <w:shd w:val="pct10" w:color="auto" w:fill="FFFFFF"/>
              </w:rPr>
            </w:pPr>
            <w:r>
              <w:rPr>
                <w:rFonts w:hint="eastAsia"/>
                <w:shd w:val="pct10" w:color="auto" w:fill="FFFFFF"/>
              </w:rPr>
              <w:t>Ⅲ类</w:t>
            </w:r>
          </w:p>
        </w:tc>
        <w:tc>
          <w:tcPr>
            <w:tcW w:w="718" w:type="pct"/>
            <w:shd w:val="clear" w:color="auto" w:fill="auto"/>
            <w:vAlign w:val="center"/>
          </w:tcPr>
          <w:p>
            <w:pPr>
              <w:pStyle w:val="105"/>
              <w:jc w:val="center"/>
            </w:pPr>
            <w:r>
              <w:rPr>
                <w:rFonts w:hint="eastAsia"/>
              </w:rPr>
              <w:t>Ⅳ类</w:t>
            </w:r>
          </w:p>
        </w:tc>
        <w:tc>
          <w:tcPr>
            <w:tcW w:w="719" w:type="pct"/>
            <w:shd w:val="clear" w:color="auto" w:fill="auto"/>
            <w:vAlign w:val="center"/>
          </w:tcPr>
          <w:p>
            <w:pPr>
              <w:pStyle w:val="105"/>
              <w:jc w:val="center"/>
            </w:pPr>
            <w:r>
              <w:rPr>
                <w:rFonts w:hint="eastAsia"/>
              </w:rPr>
              <w:t>Ⅴ类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shd w:val="clear" w:color="auto" w:fill="auto"/>
            <w:vAlign w:val="center"/>
          </w:tcPr>
          <w:p>
            <w:pPr>
              <w:pStyle w:val="105"/>
              <w:jc w:val="center"/>
            </w:pPr>
            <w:r>
              <w:rPr>
                <w:rFonts w:hint="eastAsia"/>
              </w:rPr>
              <w:t>1</w:t>
            </w:r>
          </w:p>
        </w:tc>
        <w:tc>
          <w:tcPr>
            <w:tcW w:w="1719" w:type="pct"/>
            <w:shd w:val="clear" w:color="auto" w:fill="auto"/>
            <w:vAlign w:val="center"/>
          </w:tcPr>
          <w:p>
            <w:pPr>
              <w:pStyle w:val="105"/>
              <w:jc w:val="center"/>
            </w:pPr>
            <w:r>
              <w:rPr>
                <w:rFonts w:hint="eastAsia"/>
              </w:rPr>
              <w:t>pH值（无量纲）</w:t>
            </w:r>
          </w:p>
        </w:tc>
        <w:tc>
          <w:tcPr>
            <w:tcW w:w="2890" w:type="pct"/>
            <w:gridSpan w:val="4"/>
            <w:shd w:val="clear" w:color="auto" w:fill="auto"/>
            <w:vAlign w:val="center"/>
          </w:tcPr>
          <w:p>
            <w:pPr>
              <w:pStyle w:val="105"/>
              <w:jc w:val="center"/>
              <w:rPr>
                <w:shd w:val="pct10" w:color="auto" w:fill="FFFFFF"/>
              </w:rPr>
            </w:pPr>
            <w:r>
              <w:rPr>
                <w:rFonts w:hint="eastAsia"/>
                <w:shd w:val="pct10" w:color="auto" w:fill="FFFFFF"/>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shd w:val="clear" w:color="auto" w:fill="auto"/>
            <w:vAlign w:val="center"/>
          </w:tcPr>
          <w:p>
            <w:pPr>
              <w:pStyle w:val="105"/>
              <w:jc w:val="center"/>
            </w:pPr>
            <w:r>
              <w:rPr>
                <w:rFonts w:hint="eastAsia"/>
              </w:rPr>
              <w:t>2</w:t>
            </w:r>
          </w:p>
        </w:tc>
        <w:tc>
          <w:tcPr>
            <w:tcW w:w="1719" w:type="pct"/>
            <w:shd w:val="clear" w:color="auto" w:fill="auto"/>
            <w:vAlign w:val="center"/>
          </w:tcPr>
          <w:p>
            <w:pPr>
              <w:pStyle w:val="105"/>
              <w:jc w:val="center"/>
            </w:pPr>
            <w:r>
              <w:rPr>
                <w:rFonts w:hint="eastAsia"/>
              </w:rPr>
              <w:t>溶解氧≥</w:t>
            </w:r>
          </w:p>
        </w:tc>
        <w:tc>
          <w:tcPr>
            <w:tcW w:w="673" w:type="pct"/>
            <w:shd w:val="clear" w:color="auto" w:fill="auto"/>
            <w:vAlign w:val="center"/>
          </w:tcPr>
          <w:p>
            <w:pPr>
              <w:pStyle w:val="105"/>
              <w:jc w:val="center"/>
            </w:pPr>
            <w:r>
              <w:rPr>
                <w:rFonts w:hint="eastAsia"/>
              </w:rPr>
              <w:t>6</w:t>
            </w:r>
          </w:p>
        </w:tc>
        <w:tc>
          <w:tcPr>
            <w:tcW w:w="780" w:type="pct"/>
            <w:shd w:val="clear" w:color="auto" w:fill="auto"/>
            <w:vAlign w:val="center"/>
          </w:tcPr>
          <w:p>
            <w:pPr>
              <w:pStyle w:val="105"/>
              <w:jc w:val="center"/>
              <w:rPr>
                <w:shd w:val="pct10" w:color="auto" w:fill="FFFFFF"/>
              </w:rPr>
            </w:pPr>
            <w:r>
              <w:rPr>
                <w:rFonts w:hint="eastAsia"/>
                <w:shd w:val="pct10" w:color="auto" w:fill="FFFFFF"/>
              </w:rPr>
              <w:t>5</w:t>
            </w:r>
          </w:p>
        </w:tc>
        <w:tc>
          <w:tcPr>
            <w:tcW w:w="718" w:type="pct"/>
            <w:shd w:val="clear" w:color="auto" w:fill="auto"/>
            <w:vAlign w:val="center"/>
          </w:tcPr>
          <w:p>
            <w:pPr>
              <w:pStyle w:val="105"/>
              <w:jc w:val="center"/>
            </w:pPr>
            <w:r>
              <w:rPr>
                <w:rFonts w:hint="eastAsia"/>
              </w:rPr>
              <w:t>3</w:t>
            </w:r>
          </w:p>
        </w:tc>
        <w:tc>
          <w:tcPr>
            <w:tcW w:w="719" w:type="pct"/>
            <w:shd w:val="clear" w:color="auto" w:fill="auto"/>
            <w:vAlign w:val="center"/>
          </w:tcPr>
          <w:p>
            <w:pPr>
              <w:pStyle w:val="105"/>
              <w:jc w:val="center"/>
            </w:pPr>
            <w:r>
              <w:rPr>
                <w:rFonts w:hint="eastAsia"/>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shd w:val="clear" w:color="auto" w:fill="auto"/>
            <w:vAlign w:val="center"/>
          </w:tcPr>
          <w:p>
            <w:pPr>
              <w:pStyle w:val="105"/>
              <w:jc w:val="center"/>
            </w:pPr>
            <w:r>
              <w:rPr>
                <w:rFonts w:hint="eastAsia"/>
              </w:rPr>
              <w:t>3</w:t>
            </w:r>
          </w:p>
        </w:tc>
        <w:tc>
          <w:tcPr>
            <w:tcW w:w="1719" w:type="pct"/>
            <w:shd w:val="clear" w:color="auto" w:fill="auto"/>
            <w:vAlign w:val="center"/>
          </w:tcPr>
          <w:p>
            <w:pPr>
              <w:pStyle w:val="105"/>
              <w:jc w:val="center"/>
            </w:pPr>
            <w:r>
              <w:rPr>
                <w:rFonts w:hint="eastAsia"/>
              </w:rPr>
              <w:t>高锰酸盐指数≤</w:t>
            </w:r>
          </w:p>
        </w:tc>
        <w:tc>
          <w:tcPr>
            <w:tcW w:w="673" w:type="pct"/>
            <w:shd w:val="clear" w:color="auto" w:fill="auto"/>
            <w:vAlign w:val="center"/>
          </w:tcPr>
          <w:p>
            <w:pPr>
              <w:pStyle w:val="105"/>
              <w:jc w:val="center"/>
            </w:pPr>
            <w:r>
              <w:rPr>
                <w:rFonts w:hint="eastAsia"/>
              </w:rPr>
              <w:t>4</w:t>
            </w:r>
          </w:p>
        </w:tc>
        <w:tc>
          <w:tcPr>
            <w:tcW w:w="780" w:type="pct"/>
            <w:shd w:val="clear" w:color="auto" w:fill="auto"/>
            <w:vAlign w:val="center"/>
          </w:tcPr>
          <w:p>
            <w:pPr>
              <w:pStyle w:val="105"/>
              <w:jc w:val="center"/>
              <w:rPr>
                <w:shd w:val="pct10" w:color="auto" w:fill="FFFFFF"/>
              </w:rPr>
            </w:pPr>
            <w:r>
              <w:rPr>
                <w:rFonts w:hint="eastAsia"/>
                <w:shd w:val="pct10" w:color="auto" w:fill="FFFFFF"/>
              </w:rPr>
              <w:t>6</w:t>
            </w:r>
          </w:p>
        </w:tc>
        <w:tc>
          <w:tcPr>
            <w:tcW w:w="718" w:type="pct"/>
            <w:shd w:val="clear" w:color="auto" w:fill="auto"/>
            <w:vAlign w:val="center"/>
          </w:tcPr>
          <w:p>
            <w:pPr>
              <w:pStyle w:val="105"/>
              <w:jc w:val="center"/>
            </w:pPr>
            <w:r>
              <w:rPr>
                <w:rFonts w:hint="eastAsia"/>
              </w:rPr>
              <w:t>10</w:t>
            </w:r>
          </w:p>
        </w:tc>
        <w:tc>
          <w:tcPr>
            <w:tcW w:w="719" w:type="pct"/>
            <w:shd w:val="clear" w:color="auto" w:fill="auto"/>
            <w:vAlign w:val="center"/>
          </w:tcPr>
          <w:p>
            <w:pPr>
              <w:pStyle w:val="105"/>
              <w:jc w:val="center"/>
            </w:pPr>
            <w:r>
              <w:rPr>
                <w:rFonts w:hint="eastAsia"/>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shd w:val="clear" w:color="auto" w:fill="auto"/>
            <w:vAlign w:val="center"/>
          </w:tcPr>
          <w:p>
            <w:pPr>
              <w:pStyle w:val="105"/>
              <w:jc w:val="center"/>
            </w:pPr>
            <w:r>
              <w:rPr>
                <w:rFonts w:hint="eastAsia"/>
              </w:rPr>
              <w:t>4</w:t>
            </w:r>
          </w:p>
        </w:tc>
        <w:tc>
          <w:tcPr>
            <w:tcW w:w="1719" w:type="pct"/>
            <w:shd w:val="clear" w:color="auto" w:fill="auto"/>
            <w:vAlign w:val="center"/>
          </w:tcPr>
          <w:p>
            <w:pPr>
              <w:pStyle w:val="105"/>
              <w:jc w:val="center"/>
            </w:pPr>
            <w:r>
              <w:rPr>
                <w:rFonts w:hint="eastAsia"/>
              </w:rPr>
              <w:t>化学需氧量（COD）≤</w:t>
            </w:r>
          </w:p>
        </w:tc>
        <w:tc>
          <w:tcPr>
            <w:tcW w:w="673" w:type="pct"/>
            <w:shd w:val="clear" w:color="auto" w:fill="auto"/>
            <w:vAlign w:val="center"/>
          </w:tcPr>
          <w:p>
            <w:pPr>
              <w:pStyle w:val="105"/>
              <w:jc w:val="center"/>
            </w:pPr>
            <w:r>
              <w:rPr>
                <w:rFonts w:hint="eastAsia"/>
              </w:rPr>
              <w:t>15</w:t>
            </w:r>
          </w:p>
        </w:tc>
        <w:tc>
          <w:tcPr>
            <w:tcW w:w="780" w:type="pct"/>
            <w:shd w:val="clear" w:color="auto" w:fill="auto"/>
            <w:vAlign w:val="center"/>
          </w:tcPr>
          <w:p>
            <w:pPr>
              <w:pStyle w:val="105"/>
              <w:jc w:val="center"/>
              <w:rPr>
                <w:shd w:val="pct10" w:color="auto" w:fill="FFFFFF"/>
              </w:rPr>
            </w:pPr>
            <w:r>
              <w:rPr>
                <w:rFonts w:hint="eastAsia"/>
                <w:shd w:val="pct10" w:color="auto" w:fill="FFFFFF"/>
              </w:rPr>
              <w:t>20</w:t>
            </w:r>
          </w:p>
        </w:tc>
        <w:tc>
          <w:tcPr>
            <w:tcW w:w="718" w:type="pct"/>
            <w:shd w:val="clear" w:color="auto" w:fill="auto"/>
            <w:vAlign w:val="center"/>
          </w:tcPr>
          <w:p>
            <w:pPr>
              <w:pStyle w:val="105"/>
              <w:jc w:val="center"/>
            </w:pPr>
            <w:r>
              <w:rPr>
                <w:rFonts w:hint="eastAsia"/>
              </w:rPr>
              <w:t>30</w:t>
            </w:r>
          </w:p>
        </w:tc>
        <w:tc>
          <w:tcPr>
            <w:tcW w:w="719" w:type="pct"/>
            <w:shd w:val="clear" w:color="auto" w:fill="auto"/>
            <w:vAlign w:val="center"/>
          </w:tcPr>
          <w:p>
            <w:pPr>
              <w:pStyle w:val="105"/>
              <w:jc w:val="center"/>
            </w:pPr>
            <w:r>
              <w:rPr>
                <w:rFonts w:hint="eastAsia"/>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shd w:val="clear" w:color="auto" w:fill="auto"/>
            <w:vAlign w:val="center"/>
          </w:tcPr>
          <w:p>
            <w:pPr>
              <w:pStyle w:val="105"/>
              <w:jc w:val="center"/>
            </w:pPr>
            <w:r>
              <w:rPr>
                <w:rFonts w:hint="eastAsia"/>
              </w:rPr>
              <w:t>5</w:t>
            </w:r>
          </w:p>
        </w:tc>
        <w:tc>
          <w:tcPr>
            <w:tcW w:w="1719" w:type="pct"/>
            <w:shd w:val="clear" w:color="auto" w:fill="auto"/>
            <w:vAlign w:val="center"/>
          </w:tcPr>
          <w:p>
            <w:pPr>
              <w:pStyle w:val="105"/>
              <w:jc w:val="center"/>
            </w:pPr>
            <w:r>
              <w:rPr>
                <w:rFonts w:hint="eastAsia"/>
              </w:rPr>
              <w:t>五日生化需氧量（BOD5）≤</w:t>
            </w:r>
          </w:p>
        </w:tc>
        <w:tc>
          <w:tcPr>
            <w:tcW w:w="673" w:type="pct"/>
            <w:shd w:val="clear" w:color="auto" w:fill="auto"/>
            <w:vAlign w:val="center"/>
          </w:tcPr>
          <w:p>
            <w:pPr>
              <w:pStyle w:val="105"/>
              <w:jc w:val="center"/>
            </w:pPr>
            <w:r>
              <w:rPr>
                <w:rFonts w:hint="eastAsia"/>
              </w:rPr>
              <w:t>3</w:t>
            </w:r>
          </w:p>
        </w:tc>
        <w:tc>
          <w:tcPr>
            <w:tcW w:w="780" w:type="pct"/>
            <w:shd w:val="clear" w:color="auto" w:fill="auto"/>
            <w:vAlign w:val="center"/>
          </w:tcPr>
          <w:p>
            <w:pPr>
              <w:pStyle w:val="105"/>
              <w:jc w:val="center"/>
              <w:rPr>
                <w:shd w:val="pct10" w:color="auto" w:fill="FFFFFF"/>
              </w:rPr>
            </w:pPr>
            <w:r>
              <w:rPr>
                <w:rFonts w:hint="eastAsia"/>
                <w:shd w:val="pct10" w:color="auto" w:fill="FFFFFF"/>
              </w:rPr>
              <w:t>4</w:t>
            </w:r>
          </w:p>
        </w:tc>
        <w:tc>
          <w:tcPr>
            <w:tcW w:w="718" w:type="pct"/>
            <w:shd w:val="clear" w:color="auto" w:fill="auto"/>
            <w:vAlign w:val="center"/>
          </w:tcPr>
          <w:p>
            <w:pPr>
              <w:pStyle w:val="105"/>
              <w:jc w:val="center"/>
            </w:pPr>
            <w:r>
              <w:rPr>
                <w:rFonts w:hint="eastAsia"/>
              </w:rPr>
              <w:t>6</w:t>
            </w:r>
          </w:p>
        </w:tc>
        <w:tc>
          <w:tcPr>
            <w:tcW w:w="719" w:type="pct"/>
            <w:shd w:val="clear" w:color="auto" w:fill="auto"/>
            <w:vAlign w:val="center"/>
          </w:tcPr>
          <w:p>
            <w:pPr>
              <w:pStyle w:val="105"/>
              <w:jc w:val="center"/>
            </w:pPr>
            <w:r>
              <w:rPr>
                <w:rFonts w:hint="eastAsia"/>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shd w:val="clear" w:color="auto" w:fill="auto"/>
            <w:vAlign w:val="center"/>
          </w:tcPr>
          <w:p>
            <w:pPr>
              <w:pStyle w:val="105"/>
              <w:jc w:val="center"/>
            </w:pPr>
            <w:r>
              <w:rPr>
                <w:rFonts w:hint="eastAsia"/>
              </w:rPr>
              <w:t>6</w:t>
            </w:r>
          </w:p>
        </w:tc>
        <w:tc>
          <w:tcPr>
            <w:tcW w:w="1719" w:type="pct"/>
            <w:shd w:val="clear" w:color="auto" w:fill="auto"/>
            <w:vAlign w:val="center"/>
          </w:tcPr>
          <w:p>
            <w:pPr>
              <w:pStyle w:val="105"/>
              <w:jc w:val="center"/>
            </w:pPr>
            <w:r>
              <w:rPr>
                <w:rFonts w:hint="eastAsia"/>
              </w:rPr>
              <w:t>氨氮（NH3-N）≤</w:t>
            </w:r>
          </w:p>
        </w:tc>
        <w:tc>
          <w:tcPr>
            <w:tcW w:w="673" w:type="pct"/>
            <w:shd w:val="clear" w:color="auto" w:fill="auto"/>
            <w:vAlign w:val="center"/>
          </w:tcPr>
          <w:p>
            <w:pPr>
              <w:pStyle w:val="105"/>
              <w:jc w:val="center"/>
            </w:pPr>
            <w:r>
              <w:rPr>
                <w:rFonts w:hint="eastAsia"/>
              </w:rPr>
              <w:t>0.5</w:t>
            </w:r>
          </w:p>
        </w:tc>
        <w:tc>
          <w:tcPr>
            <w:tcW w:w="780" w:type="pct"/>
            <w:shd w:val="clear" w:color="auto" w:fill="auto"/>
            <w:vAlign w:val="center"/>
          </w:tcPr>
          <w:p>
            <w:pPr>
              <w:pStyle w:val="105"/>
              <w:jc w:val="center"/>
              <w:rPr>
                <w:shd w:val="pct10" w:color="auto" w:fill="FFFFFF"/>
              </w:rPr>
            </w:pPr>
            <w:r>
              <w:rPr>
                <w:rFonts w:hint="eastAsia"/>
                <w:shd w:val="pct10" w:color="auto" w:fill="FFFFFF"/>
              </w:rPr>
              <w:t>1</w:t>
            </w:r>
          </w:p>
        </w:tc>
        <w:tc>
          <w:tcPr>
            <w:tcW w:w="718" w:type="pct"/>
            <w:shd w:val="clear" w:color="auto" w:fill="auto"/>
            <w:vAlign w:val="center"/>
          </w:tcPr>
          <w:p>
            <w:pPr>
              <w:pStyle w:val="105"/>
              <w:jc w:val="center"/>
            </w:pPr>
            <w:r>
              <w:rPr>
                <w:rFonts w:hint="eastAsia"/>
              </w:rPr>
              <w:t>1.5</w:t>
            </w:r>
          </w:p>
        </w:tc>
        <w:tc>
          <w:tcPr>
            <w:tcW w:w="719" w:type="pct"/>
            <w:shd w:val="clear" w:color="auto" w:fill="auto"/>
            <w:vAlign w:val="center"/>
          </w:tcPr>
          <w:p>
            <w:pPr>
              <w:pStyle w:val="105"/>
              <w:jc w:val="center"/>
            </w:pPr>
            <w:r>
              <w:rPr>
                <w:rFonts w:hint="eastAsia"/>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shd w:val="clear" w:color="auto" w:fill="auto"/>
            <w:vAlign w:val="center"/>
          </w:tcPr>
          <w:p>
            <w:pPr>
              <w:pStyle w:val="105"/>
              <w:jc w:val="center"/>
            </w:pPr>
            <w:r>
              <w:rPr>
                <w:rFonts w:hint="eastAsia"/>
              </w:rPr>
              <w:t>7</w:t>
            </w:r>
          </w:p>
        </w:tc>
        <w:tc>
          <w:tcPr>
            <w:tcW w:w="1719" w:type="pct"/>
            <w:shd w:val="clear" w:color="auto" w:fill="auto"/>
            <w:vAlign w:val="center"/>
          </w:tcPr>
          <w:p>
            <w:pPr>
              <w:pStyle w:val="105"/>
              <w:jc w:val="center"/>
            </w:pPr>
            <w:r>
              <w:rPr>
                <w:rFonts w:hint="eastAsia"/>
              </w:rPr>
              <w:t>总磷（以P计）≤</w:t>
            </w:r>
          </w:p>
        </w:tc>
        <w:tc>
          <w:tcPr>
            <w:tcW w:w="673" w:type="pct"/>
            <w:shd w:val="clear" w:color="auto" w:fill="auto"/>
            <w:vAlign w:val="center"/>
          </w:tcPr>
          <w:p>
            <w:pPr>
              <w:pStyle w:val="105"/>
              <w:jc w:val="center"/>
            </w:pPr>
            <w:r>
              <w:rPr>
                <w:rFonts w:hint="eastAsia"/>
              </w:rPr>
              <w:t>0.1</w:t>
            </w:r>
          </w:p>
        </w:tc>
        <w:tc>
          <w:tcPr>
            <w:tcW w:w="780" w:type="pct"/>
            <w:shd w:val="clear" w:color="auto" w:fill="auto"/>
            <w:vAlign w:val="center"/>
          </w:tcPr>
          <w:p>
            <w:pPr>
              <w:pStyle w:val="105"/>
              <w:jc w:val="center"/>
              <w:rPr>
                <w:shd w:val="pct10" w:color="auto" w:fill="FFFFFF"/>
              </w:rPr>
            </w:pPr>
            <w:r>
              <w:rPr>
                <w:rFonts w:hint="eastAsia"/>
                <w:shd w:val="pct10" w:color="auto" w:fill="FFFFFF"/>
              </w:rPr>
              <w:t>0.2</w:t>
            </w:r>
          </w:p>
        </w:tc>
        <w:tc>
          <w:tcPr>
            <w:tcW w:w="718" w:type="pct"/>
            <w:shd w:val="clear" w:color="auto" w:fill="auto"/>
            <w:vAlign w:val="center"/>
          </w:tcPr>
          <w:p>
            <w:pPr>
              <w:pStyle w:val="105"/>
              <w:jc w:val="center"/>
            </w:pPr>
            <w:r>
              <w:rPr>
                <w:rFonts w:hint="eastAsia"/>
              </w:rPr>
              <w:t>0.3</w:t>
            </w:r>
          </w:p>
        </w:tc>
        <w:tc>
          <w:tcPr>
            <w:tcW w:w="719" w:type="pct"/>
            <w:shd w:val="clear" w:color="auto" w:fill="auto"/>
            <w:vAlign w:val="center"/>
          </w:tcPr>
          <w:p>
            <w:pPr>
              <w:pStyle w:val="105"/>
              <w:jc w:val="center"/>
            </w:pPr>
            <w:r>
              <w:rPr>
                <w:rFonts w:hint="eastAsia"/>
              </w:rPr>
              <w:t>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shd w:val="clear" w:color="auto" w:fill="auto"/>
            <w:vAlign w:val="center"/>
          </w:tcPr>
          <w:p>
            <w:pPr>
              <w:pStyle w:val="105"/>
              <w:jc w:val="center"/>
            </w:pPr>
            <w:r>
              <w:t>8</w:t>
            </w:r>
          </w:p>
        </w:tc>
        <w:tc>
          <w:tcPr>
            <w:tcW w:w="1719" w:type="pct"/>
            <w:shd w:val="clear" w:color="auto" w:fill="auto"/>
            <w:vAlign w:val="center"/>
          </w:tcPr>
          <w:p>
            <w:pPr>
              <w:pStyle w:val="105"/>
              <w:jc w:val="center"/>
            </w:pPr>
            <w:r>
              <w:rPr>
                <w:rFonts w:hint="eastAsia"/>
              </w:rPr>
              <w:t>总氮（湖、库，以N计）≤</w:t>
            </w:r>
          </w:p>
        </w:tc>
        <w:tc>
          <w:tcPr>
            <w:tcW w:w="673" w:type="pct"/>
            <w:shd w:val="clear" w:color="auto" w:fill="auto"/>
            <w:vAlign w:val="center"/>
          </w:tcPr>
          <w:p>
            <w:pPr>
              <w:pStyle w:val="105"/>
              <w:jc w:val="center"/>
            </w:pPr>
            <w:r>
              <w:rPr>
                <w:rFonts w:hint="eastAsia"/>
              </w:rPr>
              <w:t>0.5</w:t>
            </w:r>
          </w:p>
        </w:tc>
        <w:tc>
          <w:tcPr>
            <w:tcW w:w="780" w:type="pct"/>
            <w:shd w:val="clear" w:color="auto" w:fill="auto"/>
            <w:vAlign w:val="center"/>
          </w:tcPr>
          <w:p>
            <w:pPr>
              <w:pStyle w:val="105"/>
              <w:jc w:val="center"/>
              <w:rPr>
                <w:shd w:val="pct10" w:color="auto" w:fill="FFFFFF"/>
              </w:rPr>
            </w:pPr>
            <w:r>
              <w:rPr>
                <w:rFonts w:hint="eastAsia"/>
                <w:shd w:val="pct10" w:color="auto" w:fill="FFFFFF"/>
              </w:rPr>
              <w:t>1</w:t>
            </w:r>
          </w:p>
        </w:tc>
        <w:tc>
          <w:tcPr>
            <w:tcW w:w="718" w:type="pct"/>
            <w:shd w:val="clear" w:color="auto" w:fill="auto"/>
            <w:vAlign w:val="center"/>
          </w:tcPr>
          <w:p>
            <w:pPr>
              <w:pStyle w:val="105"/>
              <w:jc w:val="center"/>
            </w:pPr>
            <w:r>
              <w:rPr>
                <w:rFonts w:hint="eastAsia"/>
              </w:rPr>
              <w:t>1.5</w:t>
            </w:r>
          </w:p>
        </w:tc>
        <w:tc>
          <w:tcPr>
            <w:tcW w:w="719" w:type="pct"/>
            <w:shd w:val="clear" w:color="auto" w:fill="auto"/>
            <w:vAlign w:val="center"/>
          </w:tcPr>
          <w:p>
            <w:pPr>
              <w:pStyle w:val="105"/>
              <w:jc w:val="center"/>
            </w:pPr>
            <w:r>
              <w:rPr>
                <w:rFonts w:hint="eastAsia"/>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1" w:type="pct"/>
            <w:shd w:val="clear" w:color="auto" w:fill="auto"/>
            <w:vAlign w:val="center"/>
          </w:tcPr>
          <w:p>
            <w:pPr>
              <w:pStyle w:val="105"/>
              <w:jc w:val="center"/>
            </w:pPr>
            <w:r>
              <w:rPr>
                <w:rFonts w:hint="eastAsia"/>
              </w:rPr>
              <w:t>9</w:t>
            </w:r>
          </w:p>
        </w:tc>
        <w:tc>
          <w:tcPr>
            <w:tcW w:w="1719" w:type="pct"/>
            <w:shd w:val="clear" w:color="auto" w:fill="auto"/>
            <w:vAlign w:val="center"/>
          </w:tcPr>
          <w:p>
            <w:pPr>
              <w:pStyle w:val="105"/>
              <w:jc w:val="center"/>
            </w:pPr>
            <w:r>
              <w:rPr>
                <w:rFonts w:hint="eastAsia"/>
              </w:rPr>
              <w:t>石油类≤</w:t>
            </w:r>
          </w:p>
        </w:tc>
        <w:tc>
          <w:tcPr>
            <w:tcW w:w="673" w:type="pct"/>
            <w:shd w:val="clear" w:color="auto" w:fill="auto"/>
            <w:vAlign w:val="center"/>
          </w:tcPr>
          <w:p>
            <w:pPr>
              <w:pStyle w:val="105"/>
              <w:jc w:val="center"/>
            </w:pPr>
            <w:r>
              <w:rPr>
                <w:rFonts w:hint="eastAsia"/>
              </w:rPr>
              <w:t>0.05</w:t>
            </w:r>
          </w:p>
        </w:tc>
        <w:tc>
          <w:tcPr>
            <w:tcW w:w="780" w:type="pct"/>
            <w:shd w:val="clear" w:color="auto" w:fill="auto"/>
            <w:vAlign w:val="center"/>
          </w:tcPr>
          <w:p>
            <w:pPr>
              <w:pStyle w:val="105"/>
              <w:jc w:val="center"/>
              <w:rPr>
                <w:shd w:val="pct10" w:color="auto" w:fill="FFFFFF"/>
              </w:rPr>
            </w:pPr>
            <w:r>
              <w:rPr>
                <w:rFonts w:hint="eastAsia"/>
                <w:shd w:val="pct10" w:color="auto" w:fill="FFFFFF"/>
              </w:rPr>
              <w:t>0.05</w:t>
            </w:r>
          </w:p>
        </w:tc>
        <w:tc>
          <w:tcPr>
            <w:tcW w:w="718" w:type="pct"/>
            <w:shd w:val="clear" w:color="auto" w:fill="auto"/>
            <w:vAlign w:val="center"/>
          </w:tcPr>
          <w:p>
            <w:pPr>
              <w:pStyle w:val="105"/>
              <w:jc w:val="center"/>
            </w:pPr>
            <w:r>
              <w:rPr>
                <w:rFonts w:hint="eastAsia"/>
              </w:rPr>
              <w:t>0.5</w:t>
            </w:r>
          </w:p>
        </w:tc>
        <w:tc>
          <w:tcPr>
            <w:tcW w:w="719" w:type="pct"/>
            <w:shd w:val="clear" w:color="auto" w:fill="auto"/>
            <w:vAlign w:val="center"/>
          </w:tcPr>
          <w:p>
            <w:pPr>
              <w:pStyle w:val="105"/>
              <w:jc w:val="center"/>
            </w:pPr>
            <w:r>
              <w:rPr>
                <w:rFonts w:hint="eastAsia"/>
              </w:rPr>
              <w:t>1</w:t>
            </w:r>
          </w:p>
        </w:tc>
      </w:tr>
    </w:tbl>
    <w:p>
      <w:pPr>
        <w:pStyle w:val="118"/>
        <w:spacing w:before="240"/>
      </w:pPr>
      <w:r>
        <w:t>声环境</w:t>
      </w:r>
    </w:p>
    <w:p>
      <w:pPr>
        <w:ind w:firstLine="960" w:firstLineChars="400"/>
      </w:pPr>
      <w:r>
        <w:rPr>
          <w:rFonts w:hint="eastAsia"/>
        </w:rPr>
        <w:t>项目为旅游公路，设计等级为二级公路，属于交通干线，项目建成后，当临街（路）建筑高于3层楼房以上（含三层）时，将临街建筑面向交通干线一侧至交通干线边界线的区域执行GB3096-2008中4a类标准，当临街（路）建筑低于3层楼交通干线边界线（公路红线）外</w:t>
      </w:r>
      <w:r>
        <w:t>35</w:t>
      </w:r>
      <w:r>
        <w:rPr>
          <w:rFonts w:hint="eastAsia"/>
        </w:rPr>
        <w:t>m以内面向公路一侧区域声环境执行GB3096-2008中4a类标准，评价范围内的其他区域，执行2类标准。根据《关于公路、铁路（含轻轨）等建设项目环境影响评价中环境噪声有关问题的通知》，评价范围内的学校、医院（疗养院、敬老院）等特殊敏感建筑，其室外噪声昼间按60</w:t>
      </w:r>
      <w:r>
        <w:t>dB</w:t>
      </w:r>
      <w:r>
        <w:rPr>
          <w:rFonts w:hint="eastAsia"/>
        </w:rPr>
        <w:t>、夜间按50</w:t>
      </w:r>
      <w:r>
        <w:t>dB</w:t>
      </w:r>
      <w:r>
        <w:rPr>
          <w:rFonts w:hint="eastAsia"/>
        </w:rPr>
        <w:t>执行。</w:t>
      </w:r>
      <w:r>
        <w:t>详见</w:t>
      </w:r>
      <w:r>
        <w:fldChar w:fldCharType="begin"/>
      </w:r>
      <w:r>
        <w:instrText xml:space="preserve"> REF _Ref140135727 \r \h  \* MERGEFORMAT </w:instrText>
      </w:r>
      <w:r>
        <w:fldChar w:fldCharType="separate"/>
      </w:r>
      <w:r>
        <w:rPr>
          <w:rFonts w:hint="eastAsia"/>
        </w:rPr>
        <w:t>表2.5-4</w:t>
      </w:r>
      <w:r>
        <w:fldChar w:fldCharType="end"/>
      </w:r>
      <w:r>
        <w:t>。</w:t>
      </w:r>
    </w:p>
    <w:p>
      <w:pPr>
        <w:pStyle w:val="87"/>
        <w:spacing w:before="120"/>
      </w:pPr>
      <w:bookmarkStart w:id="123" w:name="_Ref140135727"/>
      <w:r>
        <w:t>《声环境质量标准》（摘录）单位：dB（A）</w:t>
      </w:r>
      <w:bookmarkEnd w:id="123"/>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6457"/>
        <w:gridCol w:w="969"/>
        <w:gridCol w:w="9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9" w:type="pct"/>
            <w:vAlign w:val="center"/>
          </w:tcPr>
          <w:p>
            <w:pPr>
              <w:pStyle w:val="105"/>
            </w:pPr>
            <w:r>
              <w:t>类别</w:t>
            </w:r>
          </w:p>
        </w:tc>
        <w:tc>
          <w:tcPr>
            <w:tcW w:w="3477" w:type="pct"/>
            <w:vAlign w:val="center"/>
          </w:tcPr>
          <w:p>
            <w:pPr>
              <w:pStyle w:val="105"/>
            </w:pPr>
            <w:r>
              <w:t>适用区域</w:t>
            </w:r>
          </w:p>
        </w:tc>
        <w:tc>
          <w:tcPr>
            <w:tcW w:w="522" w:type="pct"/>
            <w:vAlign w:val="center"/>
          </w:tcPr>
          <w:p>
            <w:pPr>
              <w:pStyle w:val="105"/>
              <w:jc w:val="center"/>
            </w:pPr>
            <w:r>
              <w:t>昼间</w:t>
            </w:r>
          </w:p>
        </w:tc>
        <w:tc>
          <w:tcPr>
            <w:tcW w:w="522" w:type="pct"/>
            <w:vAlign w:val="center"/>
          </w:tcPr>
          <w:p>
            <w:pPr>
              <w:pStyle w:val="105"/>
              <w:jc w:val="center"/>
            </w:pPr>
            <w: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9" w:type="pct"/>
            <w:vAlign w:val="center"/>
          </w:tcPr>
          <w:p>
            <w:pPr>
              <w:pStyle w:val="105"/>
            </w:pPr>
            <w:r>
              <w:t>2类</w:t>
            </w:r>
          </w:p>
        </w:tc>
        <w:tc>
          <w:tcPr>
            <w:tcW w:w="3477" w:type="pct"/>
            <w:vAlign w:val="center"/>
          </w:tcPr>
          <w:p>
            <w:pPr>
              <w:pStyle w:val="105"/>
            </w:pPr>
            <w:r>
              <w:t>以商业金融、集市贸易为主要功能，或者居住、商业、工业混杂，需要维护住宅安静的区域</w:t>
            </w:r>
          </w:p>
        </w:tc>
        <w:tc>
          <w:tcPr>
            <w:tcW w:w="522" w:type="pct"/>
            <w:vAlign w:val="center"/>
          </w:tcPr>
          <w:p>
            <w:pPr>
              <w:pStyle w:val="105"/>
              <w:jc w:val="center"/>
            </w:pPr>
            <w:r>
              <w:t>60</w:t>
            </w:r>
          </w:p>
        </w:tc>
        <w:tc>
          <w:tcPr>
            <w:tcW w:w="522" w:type="pct"/>
            <w:vAlign w:val="center"/>
          </w:tcPr>
          <w:p>
            <w:pPr>
              <w:pStyle w:val="105"/>
              <w:jc w:val="center"/>
            </w:pPr>
            <w: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9" w:type="pct"/>
            <w:vAlign w:val="center"/>
          </w:tcPr>
          <w:p>
            <w:pPr>
              <w:pStyle w:val="105"/>
            </w:pPr>
            <w:r>
              <w:t>4a类</w:t>
            </w:r>
          </w:p>
        </w:tc>
        <w:tc>
          <w:tcPr>
            <w:tcW w:w="3477" w:type="pct"/>
            <w:vAlign w:val="center"/>
          </w:tcPr>
          <w:p>
            <w:pPr>
              <w:pStyle w:val="105"/>
            </w:pPr>
            <w:r>
              <w:t>高速公路、一级公路、二级公路、城市快速路、城市主干路、城市次干路、城市轨道交通（地面段）、内河航道两侧区域</w:t>
            </w:r>
          </w:p>
        </w:tc>
        <w:tc>
          <w:tcPr>
            <w:tcW w:w="522" w:type="pct"/>
            <w:vAlign w:val="center"/>
          </w:tcPr>
          <w:p>
            <w:pPr>
              <w:pStyle w:val="105"/>
              <w:jc w:val="center"/>
            </w:pPr>
            <w:r>
              <w:t>70</w:t>
            </w:r>
          </w:p>
        </w:tc>
        <w:tc>
          <w:tcPr>
            <w:tcW w:w="522" w:type="pct"/>
            <w:vAlign w:val="center"/>
          </w:tcPr>
          <w:p>
            <w:pPr>
              <w:pStyle w:val="105"/>
              <w:jc w:val="center"/>
            </w:pPr>
            <w:r>
              <w:t>55</w:t>
            </w:r>
          </w:p>
        </w:tc>
      </w:tr>
    </w:tbl>
    <w:p>
      <w:pPr>
        <w:pStyle w:val="120"/>
        <w:rPr>
          <w:color w:val="auto"/>
        </w:rPr>
      </w:pPr>
      <w:r>
        <w:rPr>
          <w:rFonts w:hint="eastAsia"/>
          <w:color w:val="auto"/>
        </w:rPr>
        <w:t>排放标准</w:t>
      </w:r>
    </w:p>
    <w:p>
      <w:pPr>
        <w:ind w:firstLine="480"/>
      </w:pPr>
      <w:r>
        <w:rPr>
          <w:rFonts w:hint="eastAsia"/>
        </w:rPr>
        <w:t>（1）大气污染物排放标准：本项目现场不设置水稳站及水泥混凝土拌合站，施工期颗粒物、沥青烟排放执行《大气污染物综合排放标准》（GB16297-1996）表2中二级标准及无组织排放监控浓度限值。</w:t>
      </w:r>
      <w:r>
        <w:t>详见</w:t>
      </w:r>
      <w:r>
        <w:fldChar w:fldCharType="begin"/>
      </w:r>
      <w:r>
        <w:instrText xml:space="preserve"> REF _Ref140136948 \r \h  \* MERGEFORMAT </w:instrText>
      </w:r>
      <w:r>
        <w:fldChar w:fldCharType="separate"/>
      </w:r>
      <w:r>
        <w:rPr>
          <w:rFonts w:hint="eastAsia"/>
        </w:rPr>
        <w:t>表2.5-5</w:t>
      </w:r>
      <w:r>
        <w:fldChar w:fldCharType="end"/>
      </w:r>
      <w:r>
        <w:t>。</w:t>
      </w:r>
    </w:p>
    <w:p>
      <w:pPr>
        <w:ind w:firstLine="480"/>
      </w:pPr>
    </w:p>
    <w:p>
      <w:pPr>
        <w:ind w:firstLine="480"/>
      </w:pPr>
    </w:p>
    <w:p>
      <w:pPr>
        <w:ind w:firstLine="480"/>
        <w:rPr>
          <w:rFonts w:hint="eastAsia"/>
        </w:rPr>
      </w:pPr>
    </w:p>
    <w:p>
      <w:pPr>
        <w:pStyle w:val="87"/>
        <w:spacing w:before="120"/>
      </w:pPr>
      <w:bookmarkStart w:id="124" w:name="_Ref140136948"/>
      <w:r>
        <w:rPr>
          <w:rFonts w:hint="eastAsia"/>
        </w:rPr>
        <w:t>大气污染物综合排放标准</w:t>
      </w:r>
      <w:bookmarkEnd w:id="124"/>
    </w:p>
    <w:tbl>
      <w:tblPr>
        <w:tblStyle w:val="84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18"/>
        <w:gridCol w:w="2977"/>
        <w:gridCol w:w="46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782" w:type="pct"/>
            <w:vAlign w:val="center"/>
          </w:tcPr>
          <w:p>
            <w:pPr>
              <w:pStyle w:val="105"/>
              <w:jc w:val="center"/>
              <w:rPr>
                <w:snapToGrid w:val="0"/>
              </w:rPr>
            </w:pPr>
            <w:r>
              <w:rPr>
                <w:rFonts w:hint="eastAsia"/>
                <w:snapToGrid w:val="0"/>
              </w:rPr>
              <w:t>污染物</w:t>
            </w:r>
          </w:p>
        </w:tc>
        <w:tc>
          <w:tcPr>
            <w:tcW w:w="1641" w:type="pct"/>
            <w:vAlign w:val="center"/>
          </w:tcPr>
          <w:p>
            <w:pPr>
              <w:pStyle w:val="105"/>
              <w:jc w:val="center"/>
              <w:rPr>
                <w:snapToGrid w:val="0"/>
              </w:rPr>
            </w:pPr>
            <w:r>
              <w:rPr>
                <w:rFonts w:hint="eastAsia"/>
                <w:snapToGrid w:val="0"/>
              </w:rPr>
              <w:t>最高浓度限值（mg/m</w:t>
            </w:r>
            <w:r>
              <w:rPr>
                <w:snapToGrid w:val="0"/>
                <w:vertAlign w:val="superscript"/>
              </w:rPr>
              <w:t>3</w:t>
            </w:r>
            <w:r>
              <w:rPr>
                <w:rFonts w:hint="eastAsia"/>
                <w:snapToGrid w:val="0"/>
              </w:rPr>
              <w:t>）</w:t>
            </w:r>
          </w:p>
        </w:tc>
        <w:tc>
          <w:tcPr>
            <w:tcW w:w="2577" w:type="pct"/>
            <w:vAlign w:val="center"/>
          </w:tcPr>
          <w:p>
            <w:pPr>
              <w:pStyle w:val="105"/>
              <w:jc w:val="center"/>
              <w:rPr>
                <w:snapToGrid w:val="0"/>
              </w:rPr>
            </w:pPr>
            <w:r>
              <w:rPr>
                <w:rFonts w:hint="eastAsia"/>
                <w:snapToGrid w:val="0"/>
              </w:rPr>
              <w:t>无组织排放监控浓度限值点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782" w:type="pct"/>
            <w:vAlign w:val="center"/>
          </w:tcPr>
          <w:p>
            <w:pPr>
              <w:pStyle w:val="105"/>
              <w:jc w:val="center"/>
              <w:rPr>
                <w:snapToGrid w:val="0"/>
              </w:rPr>
            </w:pPr>
            <w:r>
              <w:rPr>
                <w:rFonts w:hint="eastAsia"/>
                <w:snapToGrid w:val="0"/>
              </w:rPr>
              <w:t>颗粒物</w:t>
            </w:r>
          </w:p>
        </w:tc>
        <w:tc>
          <w:tcPr>
            <w:tcW w:w="1641" w:type="pct"/>
            <w:vAlign w:val="center"/>
          </w:tcPr>
          <w:p>
            <w:pPr>
              <w:pStyle w:val="105"/>
              <w:jc w:val="center"/>
              <w:rPr>
                <w:snapToGrid w:val="0"/>
              </w:rPr>
            </w:pPr>
            <w:r>
              <w:rPr>
                <w:rFonts w:hint="eastAsia"/>
                <w:snapToGrid w:val="0"/>
              </w:rPr>
              <w:t>120</w:t>
            </w:r>
          </w:p>
        </w:tc>
        <w:tc>
          <w:tcPr>
            <w:tcW w:w="2577" w:type="pct"/>
            <w:vAlign w:val="center"/>
          </w:tcPr>
          <w:p>
            <w:pPr>
              <w:pStyle w:val="105"/>
              <w:jc w:val="center"/>
              <w:rPr>
                <w:snapToGrid w:val="0"/>
              </w:rPr>
            </w:pPr>
            <w:r>
              <w:rPr>
                <w:rFonts w:hint="eastAsia"/>
                <w:snapToGrid w:val="0"/>
              </w:rPr>
              <w:t>周界外浓度最高点1.0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782" w:type="pct"/>
            <w:vAlign w:val="center"/>
          </w:tcPr>
          <w:p>
            <w:pPr>
              <w:pStyle w:val="105"/>
              <w:jc w:val="center"/>
              <w:rPr>
                <w:snapToGrid w:val="0"/>
              </w:rPr>
            </w:pPr>
            <w:r>
              <w:rPr>
                <w:rFonts w:hint="eastAsia"/>
                <w:snapToGrid w:val="0"/>
              </w:rPr>
              <w:t>沥青烟</w:t>
            </w:r>
          </w:p>
        </w:tc>
        <w:tc>
          <w:tcPr>
            <w:tcW w:w="1641" w:type="pct"/>
            <w:vAlign w:val="center"/>
          </w:tcPr>
          <w:p>
            <w:pPr>
              <w:pStyle w:val="105"/>
              <w:jc w:val="center"/>
              <w:rPr>
                <w:snapToGrid w:val="0"/>
              </w:rPr>
            </w:pPr>
            <w:r>
              <w:rPr>
                <w:rFonts w:hint="eastAsia"/>
                <w:snapToGrid w:val="0"/>
              </w:rPr>
              <w:t>40（沥青熔炼）</w:t>
            </w:r>
          </w:p>
        </w:tc>
        <w:tc>
          <w:tcPr>
            <w:tcW w:w="2577" w:type="pct"/>
            <w:vMerge w:val="restart"/>
            <w:vAlign w:val="center"/>
          </w:tcPr>
          <w:p>
            <w:pPr>
              <w:pStyle w:val="105"/>
              <w:jc w:val="center"/>
              <w:rPr>
                <w:snapToGrid w:val="0"/>
              </w:rPr>
            </w:pPr>
            <w:r>
              <w:rPr>
                <w:rFonts w:hint="eastAsia"/>
                <w:snapToGrid w:val="0"/>
              </w:rPr>
              <w:t>生产设备不得有明显的无组织排放存在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782" w:type="pct"/>
            <w:vAlign w:val="center"/>
          </w:tcPr>
          <w:p>
            <w:pPr>
              <w:pStyle w:val="105"/>
              <w:jc w:val="center"/>
              <w:rPr>
                <w:snapToGrid w:val="0"/>
              </w:rPr>
            </w:pPr>
            <w:r>
              <w:rPr>
                <w:rFonts w:hint="eastAsia"/>
                <w:snapToGrid w:val="0"/>
              </w:rPr>
              <w:t>沥青烟</w:t>
            </w:r>
          </w:p>
        </w:tc>
        <w:tc>
          <w:tcPr>
            <w:tcW w:w="1641" w:type="pct"/>
            <w:vAlign w:val="center"/>
          </w:tcPr>
          <w:p>
            <w:pPr>
              <w:pStyle w:val="105"/>
              <w:jc w:val="center"/>
              <w:rPr>
                <w:snapToGrid w:val="0"/>
              </w:rPr>
            </w:pPr>
            <w:r>
              <w:rPr>
                <w:rFonts w:hint="eastAsia"/>
                <w:snapToGrid w:val="0"/>
              </w:rPr>
              <w:t>75（沥青搅拌）</w:t>
            </w:r>
          </w:p>
        </w:tc>
        <w:tc>
          <w:tcPr>
            <w:tcW w:w="2577" w:type="pct"/>
            <w:vMerge w:val="continue"/>
            <w:vAlign w:val="center"/>
          </w:tcPr>
          <w:p>
            <w:pPr>
              <w:pStyle w:val="105"/>
              <w:jc w:val="center"/>
              <w:rPr>
                <w:snapToGrid w:val="0"/>
              </w:rPr>
            </w:pPr>
          </w:p>
        </w:tc>
      </w:tr>
    </w:tbl>
    <w:p>
      <w:pPr>
        <w:pStyle w:val="124"/>
      </w:pPr>
      <w:r>
        <w:t>（2）水污染物排放标准</w:t>
      </w:r>
    </w:p>
    <w:p>
      <w:pPr>
        <w:ind w:firstLine="480"/>
      </w:pPr>
      <w:r>
        <w:rPr>
          <w:rFonts w:hint="eastAsia"/>
        </w:rPr>
        <w:t>项目施工废水经处理后回用，不外排；</w:t>
      </w:r>
      <w:r>
        <w:t>施工人员租用工程沿线民房，生活污水利用当地民房的化粪池等处理</w:t>
      </w:r>
      <w:r>
        <w:rPr>
          <w:rFonts w:hint="eastAsia"/>
        </w:rPr>
        <w:t>后</w:t>
      </w:r>
      <w:r>
        <w:t>，</w:t>
      </w:r>
      <w:r>
        <w:rPr>
          <w:rFonts w:hint="eastAsia"/>
        </w:rPr>
        <w:t>分散纳入当地污水处理系统。</w:t>
      </w:r>
      <w:r>
        <w:t>运营期只有地表径流，无生活、生产污水排放。</w:t>
      </w:r>
    </w:p>
    <w:p>
      <w:pPr>
        <w:ind w:firstLine="480"/>
      </w:pPr>
      <w:r>
        <w:t>（3）噪声排放标准</w:t>
      </w:r>
    </w:p>
    <w:p>
      <w:pPr>
        <w:ind w:firstLine="480"/>
      </w:pPr>
      <w:r>
        <w:t>施工期场地噪声执行《建筑施工场界环境噪声排放标准》（GB12523-2011）</w:t>
      </w:r>
      <w:r>
        <w:rPr>
          <w:rFonts w:hint="eastAsia"/>
        </w:rPr>
        <w:t>，详见</w:t>
      </w:r>
      <w:r>
        <w:fldChar w:fldCharType="begin"/>
      </w:r>
      <w:r>
        <w:instrText xml:space="preserve"> </w:instrText>
      </w:r>
      <w:r>
        <w:rPr>
          <w:rFonts w:hint="eastAsia"/>
        </w:rPr>
        <w:instrText xml:space="preserve">REF _Ref140137059 \r \h</w:instrText>
      </w:r>
      <w:r>
        <w:instrText xml:space="preserve">  \* MERGEFORMAT </w:instrText>
      </w:r>
      <w:r>
        <w:fldChar w:fldCharType="separate"/>
      </w:r>
      <w:r>
        <w:rPr>
          <w:rFonts w:hint="eastAsia"/>
        </w:rPr>
        <w:t>表2.5-6</w:t>
      </w:r>
      <w:r>
        <w:fldChar w:fldCharType="end"/>
      </w:r>
      <w:r>
        <w:t>。</w:t>
      </w:r>
    </w:p>
    <w:p>
      <w:pPr>
        <w:pStyle w:val="87"/>
        <w:spacing w:before="120"/>
        <w:ind w:left="480" w:firstLine="480"/>
      </w:pPr>
      <w:bookmarkStart w:id="125" w:name="_Ref140137059"/>
      <w:r>
        <w:rPr>
          <w:rFonts w:hint="eastAsia"/>
        </w:rPr>
        <w:t>建筑施工场界环境噪声排放限值</w:t>
      </w:r>
      <w:bookmarkEnd w:id="125"/>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4"/>
        <w:gridCol w:w="3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shd w:val="clear" w:color="auto" w:fill="auto"/>
            <w:vAlign w:val="center"/>
          </w:tcPr>
          <w:p>
            <w:pPr>
              <w:pStyle w:val="105"/>
              <w:jc w:val="center"/>
              <w:rPr>
                <w:snapToGrid w:val="0"/>
              </w:rPr>
            </w:pPr>
            <w:r>
              <w:rPr>
                <w:rFonts w:hint="eastAsia"/>
                <w:snapToGrid w:val="0"/>
              </w:rPr>
              <w:t>类别</w:t>
            </w:r>
          </w:p>
        </w:tc>
        <w:tc>
          <w:tcPr>
            <w:tcW w:w="1666" w:type="pct"/>
            <w:shd w:val="clear" w:color="auto" w:fill="auto"/>
            <w:vAlign w:val="center"/>
          </w:tcPr>
          <w:p>
            <w:pPr>
              <w:pStyle w:val="105"/>
              <w:jc w:val="center"/>
              <w:rPr>
                <w:snapToGrid w:val="0"/>
              </w:rPr>
            </w:pPr>
            <w:r>
              <w:rPr>
                <w:rFonts w:hint="eastAsia"/>
                <w:snapToGrid w:val="0"/>
              </w:rPr>
              <w:t>昼间</w:t>
            </w:r>
          </w:p>
        </w:tc>
        <w:tc>
          <w:tcPr>
            <w:tcW w:w="1667" w:type="pct"/>
            <w:shd w:val="clear" w:color="auto" w:fill="auto"/>
            <w:vAlign w:val="center"/>
          </w:tcPr>
          <w:p>
            <w:pPr>
              <w:pStyle w:val="105"/>
              <w:jc w:val="center"/>
              <w:rPr>
                <w:snapToGrid w:val="0"/>
              </w:rPr>
            </w:pPr>
            <w:r>
              <w:rPr>
                <w:rFonts w:hint="eastAsia"/>
                <w:snapToGrid w:val="0"/>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shd w:val="clear" w:color="auto" w:fill="auto"/>
            <w:vAlign w:val="center"/>
          </w:tcPr>
          <w:p>
            <w:pPr>
              <w:pStyle w:val="105"/>
              <w:jc w:val="center"/>
              <w:rPr>
                <w:snapToGrid w:val="0"/>
              </w:rPr>
            </w:pPr>
            <w:r>
              <w:rPr>
                <w:rFonts w:hint="eastAsia"/>
                <w:snapToGrid w:val="0"/>
              </w:rPr>
              <w:t>施工场界环境噪声</w:t>
            </w:r>
          </w:p>
        </w:tc>
        <w:tc>
          <w:tcPr>
            <w:tcW w:w="1666" w:type="pct"/>
            <w:shd w:val="clear" w:color="auto" w:fill="auto"/>
            <w:vAlign w:val="center"/>
          </w:tcPr>
          <w:p>
            <w:pPr>
              <w:pStyle w:val="105"/>
              <w:jc w:val="center"/>
              <w:rPr>
                <w:snapToGrid w:val="0"/>
              </w:rPr>
            </w:pPr>
            <w:r>
              <w:rPr>
                <w:rFonts w:hint="eastAsia"/>
                <w:snapToGrid w:val="0"/>
              </w:rPr>
              <w:t>70</w:t>
            </w:r>
            <w:r>
              <w:rPr>
                <w:snapToGrid w:val="0"/>
              </w:rPr>
              <w:t>dB</w:t>
            </w:r>
            <w:r>
              <w:rPr>
                <w:rFonts w:hint="eastAsia"/>
                <w:snapToGrid w:val="0"/>
              </w:rPr>
              <w:t>(</w:t>
            </w:r>
            <w:r>
              <w:rPr>
                <w:snapToGrid w:val="0"/>
              </w:rPr>
              <w:t>A</w:t>
            </w:r>
            <w:r>
              <w:rPr>
                <w:rFonts w:hint="eastAsia"/>
                <w:snapToGrid w:val="0"/>
              </w:rPr>
              <w:t>)</w:t>
            </w:r>
          </w:p>
        </w:tc>
        <w:tc>
          <w:tcPr>
            <w:tcW w:w="1667" w:type="pct"/>
            <w:shd w:val="clear" w:color="auto" w:fill="auto"/>
            <w:vAlign w:val="center"/>
          </w:tcPr>
          <w:p>
            <w:pPr>
              <w:pStyle w:val="105"/>
              <w:jc w:val="center"/>
              <w:rPr>
                <w:snapToGrid w:val="0"/>
              </w:rPr>
            </w:pPr>
            <w:r>
              <w:rPr>
                <w:rFonts w:hint="eastAsia"/>
                <w:snapToGrid w:val="0"/>
              </w:rPr>
              <w:t>55</w:t>
            </w:r>
            <w:r>
              <w:rPr>
                <w:snapToGrid w:val="0"/>
              </w:rPr>
              <w:t>dB</w:t>
            </w:r>
            <w:r>
              <w:rPr>
                <w:rFonts w:hint="eastAsia"/>
                <w:snapToGrid w:val="0"/>
              </w:rPr>
              <w:t>(</w:t>
            </w:r>
            <w:r>
              <w:rPr>
                <w:snapToGrid w:val="0"/>
              </w:rPr>
              <w:t>A</w:t>
            </w:r>
            <w:r>
              <w:rPr>
                <w:rFonts w:hint="eastAsia"/>
                <w:snapToGrid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shd w:val="clear" w:color="auto" w:fill="auto"/>
            <w:vAlign w:val="center"/>
          </w:tcPr>
          <w:p>
            <w:pPr>
              <w:pStyle w:val="105"/>
              <w:rPr>
                <w:snapToGrid w:val="0"/>
              </w:rPr>
            </w:pPr>
            <w:r>
              <w:rPr>
                <w:rFonts w:hint="eastAsia"/>
                <w:snapToGrid w:val="0"/>
              </w:rPr>
              <w:t>①夜间噪声最大声级超过限值的幅度不得高于15dB（A）。</w:t>
            </w:r>
          </w:p>
          <w:p>
            <w:pPr>
              <w:pStyle w:val="105"/>
              <w:rPr>
                <w:snapToGrid w:val="0"/>
              </w:rPr>
            </w:pPr>
            <w:r>
              <w:rPr>
                <w:rFonts w:hint="eastAsia"/>
                <w:snapToGrid w:val="0"/>
              </w:rPr>
              <w:t>②当场界距噪声敏感建筑物较近，其室外不满足测量条件时，可在噪声敏感建筑物室内测量，并将表1.5-7中相应的限值减10dB（A）作为评价依据。</w:t>
            </w:r>
          </w:p>
        </w:tc>
      </w:tr>
    </w:tbl>
    <w:p>
      <w:pPr>
        <w:pStyle w:val="116"/>
        <w:spacing w:before="240"/>
      </w:pPr>
      <w:bookmarkStart w:id="126" w:name="_Toc204676228"/>
      <w:bookmarkStart w:id="127" w:name="_Toc61517052"/>
      <w:bookmarkStart w:id="128" w:name="_Toc159405456"/>
      <w:bookmarkStart w:id="129" w:name="_Toc88764829"/>
      <w:bookmarkStart w:id="130" w:name="_Toc153957812"/>
      <w:bookmarkStart w:id="131" w:name="_Toc88864635"/>
      <w:r>
        <w:rPr>
          <w:rFonts w:hint="eastAsia"/>
        </w:rPr>
        <w:t>评价等级及范围</w:t>
      </w:r>
      <w:bookmarkEnd w:id="126"/>
      <w:bookmarkEnd w:id="127"/>
      <w:bookmarkEnd w:id="128"/>
      <w:bookmarkEnd w:id="129"/>
      <w:bookmarkEnd w:id="130"/>
      <w:bookmarkEnd w:id="131"/>
    </w:p>
    <w:p>
      <w:pPr>
        <w:pStyle w:val="120"/>
        <w:rPr>
          <w:color w:val="auto"/>
        </w:rPr>
      </w:pPr>
      <w:r>
        <w:rPr>
          <w:rFonts w:hint="eastAsia"/>
          <w:color w:val="auto"/>
        </w:rPr>
        <w:t>生态</w:t>
      </w:r>
    </w:p>
    <w:p>
      <w:pPr>
        <w:ind w:firstLine="480"/>
      </w:pPr>
      <w:r>
        <w:rPr>
          <w:rFonts w:hint="eastAsia"/>
        </w:rPr>
        <w:t>（1）评价等级：</w:t>
      </w:r>
      <w:r>
        <w:rPr>
          <w:rFonts w:hint="eastAsia"/>
          <w:spacing w:val="-7"/>
        </w:rPr>
        <w:t xml:space="preserve">项目总占地面积 </w:t>
      </w:r>
      <w:r>
        <w:rPr>
          <w:spacing w:val="-7"/>
        </w:rPr>
        <w:t>15.3517</w:t>
      </w:r>
      <w:r>
        <w:rPr>
          <w:rFonts w:hint="eastAsia"/>
          <w:spacing w:val="-7"/>
        </w:rPr>
        <w:t>hm</w:t>
      </w:r>
      <w:r>
        <w:rPr>
          <w:rFonts w:hint="eastAsia"/>
          <w:spacing w:val="-7"/>
          <w:vertAlign w:val="superscript"/>
        </w:rPr>
        <w:t>2</w:t>
      </w:r>
      <w:r>
        <w:rPr>
          <w:rFonts w:hint="eastAsia"/>
          <w:spacing w:val="-7"/>
        </w:rPr>
        <w:t xml:space="preserve">，其中永久占地 </w:t>
      </w:r>
      <w:r>
        <w:rPr>
          <w:spacing w:val="-7"/>
        </w:rPr>
        <w:t>1</w:t>
      </w:r>
      <w:r>
        <w:rPr>
          <w:rFonts w:hint="eastAsia"/>
          <w:spacing w:val="-7"/>
        </w:rPr>
        <w:t>4.</w:t>
      </w:r>
      <w:r>
        <w:rPr>
          <w:spacing w:val="-7"/>
        </w:rPr>
        <w:t>6617</w:t>
      </w:r>
      <w:r>
        <w:rPr>
          <w:rFonts w:hint="eastAsia"/>
          <w:spacing w:val="-7"/>
        </w:rPr>
        <w:t>hm</w:t>
      </w:r>
      <w:r>
        <w:rPr>
          <w:rFonts w:hint="eastAsia"/>
          <w:spacing w:val="-7"/>
          <w:vertAlign w:val="superscript"/>
        </w:rPr>
        <w:t>2</w:t>
      </w:r>
      <w:r>
        <w:rPr>
          <w:rFonts w:hint="eastAsia"/>
          <w:spacing w:val="-7"/>
        </w:rPr>
        <w:t xml:space="preserve"> ，临时占地 新增</w:t>
      </w:r>
      <w:r>
        <w:rPr>
          <w:spacing w:val="-7"/>
        </w:rPr>
        <w:t>0.69</w:t>
      </w:r>
      <w:r>
        <w:rPr>
          <w:rFonts w:hint="eastAsia"/>
          <w:spacing w:val="-7"/>
        </w:rPr>
        <w:t>hm</w:t>
      </w:r>
      <w:r>
        <w:rPr>
          <w:rFonts w:hint="eastAsia"/>
          <w:spacing w:val="-7"/>
          <w:vertAlign w:val="superscript"/>
        </w:rPr>
        <w:t>2</w:t>
      </w:r>
      <w:r>
        <w:rPr>
          <w:rFonts w:hint="eastAsia"/>
        </w:rPr>
        <w:t>，本项目不涉及国家公园、自然保护区、世界自然遗产、重要生境等区域，不涉及自然公园、生态保护红线等区域。因此，根据HJ19-2022、</w:t>
      </w:r>
      <w:r>
        <w:t>HJ1358—2024</w:t>
      </w:r>
      <w:r>
        <w:rPr>
          <w:rFonts w:hint="eastAsia"/>
        </w:rPr>
        <w:t>，本项目</w:t>
      </w:r>
      <w:r>
        <w:rPr>
          <w:rFonts w:hint="eastAsia"/>
          <w:kern w:val="0"/>
          <w:szCs w:val="24"/>
          <w:lang w:val="zh-CN"/>
        </w:rPr>
        <w:t>生态评价</w:t>
      </w:r>
      <w:r>
        <w:rPr>
          <w:rFonts w:hint="eastAsia"/>
        </w:rPr>
        <w:t>工作等级为三级。</w:t>
      </w:r>
    </w:p>
    <w:p>
      <w:pPr>
        <w:ind w:firstLine="480"/>
      </w:pPr>
      <w:r>
        <w:rPr>
          <w:rFonts w:hint="eastAsia"/>
        </w:rPr>
        <w:t>（2）评价范围：线路中心线两侧外延300 m，项目临时占地四周外延</w:t>
      </w:r>
      <w:r>
        <w:t>200</w:t>
      </w:r>
      <w:r>
        <w:rPr>
          <w:rFonts w:hint="eastAsia"/>
        </w:rPr>
        <w:t>m。</w:t>
      </w:r>
    </w:p>
    <w:p>
      <w:pPr>
        <w:pStyle w:val="120"/>
        <w:rPr>
          <w:color w:val="auto"/>
        </w:rPr>
      </w:pPr>
      <w:r>
        <w:rPr>
          <w:rFonts w:hint="eastAsia"/>
          <w:color w:val="auto"/>
        </w:rPr>
        <w:t>声环境</w:t>
      </w:r>
    </w:p>
    <w:p>
      <w:pPr>
        <w:ind w:firstLine="480"/>
      </w:pPr>
      <w:r>
        <w:rPr>
          <w:rFonts w:hint="eastAsia"/>
        </w:rPr>
        <w:t>评价等级：根据《环境影响评价技术导则 公路建设项目》（</w:t>
      </w:r>
      <w:r>
        <w:t>HJ1358—2024</w:t>
      </w:r>
      <w:r>
        <w:rPr>
          <w:rFonts w:hint="eastAsia"/>
        </w:rPr>
        <w:t>），项目所处区域执行《声环境质量标准》（GB3096-2008）规定的2类区标准，建设前后噪声级有明显增高（项目建设前后评价范围内敏感目标噪声级增高量在5dB以上），故噪声影响评价确定为一级。</w:t>
      </w:r>
    </w:p>
    <w:p>
      <w:pPr>
        <w:ind w:firstLine="480"/>
      </w:pPr>
      <w:r>
        <w:t>评价范围：</w:t>
      </w:r>
      <w:r>
        <w:rPr>
          <w:rFonts w:hint="eastAsia"/>
        </w:rPr>
        <w:t>线路中心线两侧</w:t>
      </w:r>
      <w:r>
        <w:t>200m</w:t>
      </w:r>
      <w:r>
        <w:rPr>
          <w:rFonts w:hint="eastAsia"/>
        </w:rPr>
        <w:t>范围</w:t>
      </w:r>
      <w:r>
        <w:t>及拟设施工场地、临时用地</w:t>
      </w:r>
      <w:r>
        <w:rPr>
          <w:rFonts w:hint="eastAsia"/>
        </w:rPr>
        <w:t>厂界外200m</w:t>
      </w:r>
      <w:r>
        <w:t>。</w:t>
      </w:r>
    </w:p>
    <w:p>
      <w:pPr>
        <w:pStyle w:val="120"/>
        <w:rPr>
          <w:color w:val="auto"/>
        </w:rPr>
      </w:pPr>
      <w:r>
        <w:rPr>
          <w:rFonts w:hint="eastAsia"/>
          <w:color w:val="auto"/>
        </w:rPr>
        <w:t>地表水环境</w:t>
      </w:r>
    </w:p>
    <w:p>
      <w:pPr>
        <w:ind w:firstLine="480"/>
      </w:pPr>
      <w:r>
        <w:rPr>
          <w:rFonts w:hint="eastAsia"/>
        </w:rPr>
        <w:t>水污染影响型：本项目为公路建设工程，对照《环境影响评价技术导则 地表水环境》（HJ23-2018），本项目属于水污染影响型建设项目。本项目施工期主要为施工人员生活污水和施工废水等，施工废水经沉淀处理后回用，不外排；</w:t>
      </w:r>
      <w:r>
        <w:t>施工人员租用工程沿线民房，生活污水利用当地民房的化粪池等处理</w:t>
      </w:r>
      <w:r>
        <w:rPr>
          <w:rFonts w:hint="eastAsia"/>
        </w:rPr>
        <w:t>后</w:t>
      </w:r>
      <w:r>
        <w:t>，</w:t>
      </w:r>
      <w:r>
        <w:rPr>
          <w:rFonts w:hint="eastAsia"/>
        </w:rPr>
        <w:t>分散纳入当地污水处理系统。</w:t>
      </w:r>
      <w:r>
        <w:t>运营期只有地表径流，无生活、生产污水排放。</w:t>
      </w:r>
      <w:r>
        <w:rPr>
          <w:rFonts w:hint="eastAsia"/>
        </w:rPr>
        <w:t>根据《环境影响评价技术导则 公路建设项目》（</w:t>
      </w:r>
      <w:r>
        <w:t>HJ1358</w:t>
      </w:r>
      <w:r>
        <w:rPr>
          <w:rFonts w:hint="eastAsia"/>
        </w:rPr>
        <w:t>-</w:t>
      </w:r>
      <w:r>
        <w:t>2024</w:t>
      </w:r>
      <w:r>
        <w:rPr>
          <w:rFonts w:hint="eastAsia"/>
        </w:rPr>
        <w:t>），本项目地表水环境评价不定级。</w:t>
      </w:r>
    </w:p>
    <w:p>
      <w:pPr>
        <w:pStyle w:val="120"/>
        <w:rPr>
          <w:color w:val="auto"/>
        </w:rPr>
      </w:pPr>
      <w:bookmarkStart w:id="132" w:name="_Toc468088764"/>
      <w:bookmarkStart w:id="133" w:name="_Toc514780778"/>
      <w:bookmarkStart w:id="134" w:name="_Toc4590790"/>
      <w:bookmarkStart w:id="135" w:name="_Toc12539229"/>
      <w:bookmarkStart w:id="136" w:name="_Toc458945292"/>
      <w:bookmarkStart w:id="137" w:name="_Toc514780775"/>
      <w:bookmarkStart w:id="138" w:name="_Toc468088761"/>
      <w:bookmarkStart w:id="139" w:name="_Toc4590787"/>
      <w:bookmarkStart w:id="140" w:name="_Toc12539226"/>
      <w:bookmarkStart w:id="141" w:name="_Toc458945289"/>
      <w:bookmarkStart w:id="142" w:name="_Hlk90113524"/>
      <w:r>
        <w:rPr>
          <w:rFonts w:hint="eastAsia"/>
          <w:color w:val="auto"/>
        </w:rPr>
        <w:t>环境空气</w:t>
      </w:r>
      <w:bookmarkEnd w:id="132"/>
      <w:bookmarkEnd w:id="133"/>
      <w:bookmarkEnd w:id="134"/>
      <w:bookmarkEnd w:id="135"/>
      <w:bookmarkEnd w:id="136"/>
    </w:p>
    <w:p>
      <w:pPr>
        <w:ind w:firstLine="480"/>
      </w:pPr>
      <w:r>
        <w:t>根据《环境影响评价技术导则</w:t>
      </w:r>
      <w:r>
        <w:rPr>
          <w:rFonts w:eastAsia="Times New Roman"/>
        </w:rPr>
        <w:t>——</w:t>
      </w:r>
      <w:r>
        <w:t>大气环境》（</w:t>
      </w:r>
      <w:r>
        <w:rPr>
          <w:rFonts w:eastAsia="Times New Roman"/>
        </w:rPr>
        <w:t>HJ2.2-2018</w:t>
      </w:r>
      <w:r>
        <w:t>）</w:t>
      </w:r>
      <w:r>
        <w:rPr>
          <w:rFonts w:hint="eastAsia"/>
        </w:rPr>
        <w:t>和《环境影响评价技术导则 公路建设项目</w:t>
      </w:r>
      <w:r>
        <w:t>HJ1358—2024</w:t>
      </w:r>
      <w:r>
        <w:rPr>
          <w:rFonts w:hint="eastAsia"/>
        </w:rPr>
        <w:t>》，</w:t>
      </w:r>
      <w:r>
        <w:t>本项目</w:t>
      </w:r>
      <w:r>
        <w:rPr>
          <w:rFonts w:hint="eastAsia"/>
        </w:rPr>
        <w:t>为旅游公路（二级公路），全线未设置服务区、车站等集中式排放源，</w:t>
      </w:r>
      <w:r>
        <w:t>不存在集中式大气污染物排放源</w:t>
      </w:r>
      <w:r>
        <w:rPr>
          <w:rFonts w:hint="eastAsia"/>
        </w:rPr>
        <w:t>。</w:t>
      </w:r>
      <w:r>
        <w:t>因此，本项目大气环境</w:t>
      </w:r>
      <w:r>
        <w:rPr>
          <w:rFonts w:hint="eastAsia"/>
        </w:rPr>
        <w:t>评价不定级</w:t>
      </w:r>
      <w:r>
        <w:t>，不需设置大气环境影响评价范围。</w:t>
      </w:r>
    </w:p>
    <w:bookmarkEnd w:id="137"/>
    <w:bookmarkEnd w:id="138"/>
    <w:bookmarkEnd w:id="139"/>
    <w:bookmarkEnd w:id="140"/>
    <w:bookmarkEnd w:id="141"/>
    <w:p>
      <w:pPr>
        <w:pStyle w:val="120"/>
        <w:rPr>
          <w:color w:val="auto"/>
        </w:rPr>
      </w:pPr>
      <w:bookmarkStart w:id="143" w:name="_Toc4590789"/>
      <w:bookmarkStart w:id="144" w:name="_Toc458945291"/>
      <w:bookmarkStart w:id="145" w:name="_Toc12539228"/>
      <w:bookmarkStart w:id="146" w:name="_Toc468088763"/>
      <w:bookmarkStart w:id="147" w:name="_Toc514780777"/>
      <w:r>
        <w:rPr>
          <w:rFonts w:hint="eastAsia"/>
          <w:color w:val="auto"/>
        </w:rPr>
        <w:t>地下水</w:t>
      </w:r>
      <w:bookmarkEnd w:id="143"/>
      <w:bookmarkEnd w:id="144"/>
      <w:bookmarkEnd w:id="145"/>
      <w:bookmarkEnd w:id="146"/>
      <w:bookmarkEnd w:id="147"/>
    </w:p>
    <w:p>
      <w:pPr>
        <w:ind w:firstLine="480"/>
      </w:pPr>
      <w:r>
        <w:rPr>
          <w:rFonts w:hint="eastAsia"/>
        </w:rPr>
        <w:t>根据</w:t>
      </w:r>
      <w:r>
        <w:t>《环境影响评价技术导则</w:t>
      </w:r>
      <w:r>
        <w:rPr>
          <w:rFonts w:eastAsia="Times New Roman"/>
        </w:rPr>
        <w:t>——</w:t>
      </w:r>
      <w:r>
        <w:t>大气环境》（</w:t>
      </w:r>
      <w:r>
        <w:rPr>
          <w:rFonts w:eastAsia="Times New Roman"/>
        </w:rPr>
        <w:t>HJ2.2-2018</w:t>
      </w:r>
      <w:r>
        <w:t>）</w:t>
      </w:r>
      <w:r>
        <w:rPr>
          <w:rFonts w:hint="eastAsia"/>
        </w:rPr>
        <w:t>和《环境影响评价技术导则 公路建设项目</w:t>
      </w:r>
      <w:r>
        <w:t>HJ1358—2024</w:t>
      </w:r>
      <w:r>
        <w:rPr>
          <w:rFonts w:hint="eastAsia"/>
        </w:rPr>
        <w:t>》，本项目为“P公路-123公路”，为Ⅳ类地下水环境影响评价项目，不涉及地下水“敏感区”，项目不涉及加油站，评价不定级，不开展地下水环境影响评价。</w:t>
      </w:r>
    </w:p>
    <w:p>
      <w:pPr>
        <w:pStyle w:val="120"/>
        <w:rPr>
          <w:color w:val="auto"/>
        </w:rPr>
      </w:pPr>
      <w:bookmarkStart w:id="148" w:name="_Toc468088765"/>
      <w:bookmarkStart w:id="149" w:name="_Toc12539230"/>
      <w:bookmarkStart w:id="150" w:name="_Toc458945293"/>
      <w:bookmarkStart w:id="151" w:name="_Toc514780779"/>
      <w:bookmarkStart w:id="152" w:name="_Toc4590791"/>
      <w:r>
        <w:rPr>
          <w:rFonts w:hint="eastAsia"/>
          <w:color w:val="auto"/>
        </w:rPr>
        <w:t>土壤环境</w:t>
      </w:r>
    </w:p>
    <w:p>
      <w:pPr>
        <w:ind w:firstLine="480"/>
      </w:pPr>
      <w:r>
        <w:rPr>
          <w:rFonts w:hint="eastAsia"/>
        </w:rPr>
        <w:t>根据《环境影响评价技术导则土壤环境（试行）》（</w:t>
      </w:r>
      <w:r>
        <w:t>HJ964-2018</w:t>
      </w:r>
      <w:r>
        <w:rPr>
          <w:rFonts w:hint="eastAsia"/>
        </w:rPr>
        <w:t>）附录A和《环境影响评价技术导则 公路建设项目</w:t>
      </w:r>
      <w:r>
        <w:t>HJ1358—2024</w:t>
      </w:r>
      <w:r>
        <w:rPr>
          <w:rFonts w:hint="eastAsia"/>
        </w:rPr>
        <w:t>》，项目属于“交通运输仓储邮政业”中“其他”，为Ⅳ类项目，不涉及加油站，评价不定级，可不开展土壤环境影响评价。</w:t>
      </w:r>
    </w:p>
    <w:bookmarkEnd w:id="148"/>
    <w:bookmarkEnd w:id="149"/>
    <w:bookmarkEnd w:id="150"/>
    <w:bookmarkEnd w:id="151"/>
    <w:bookmarkEnd w:id="152"/>
    <w:p>
      <w:pPr>
        <w:pStyle w:val="120"/>
        <w:rPr>
          <w:color w:val="auto"/>
        </w:rPr>
      </w:pPr>
      <w:bookmarkStart w:id="153" w:name="_Toc4590792"/>
      <w:bookmarkStart w:id="154" w:name="_Toc514780780"/>
      <w:bookmarkStart w:id="155" w:name="_Toc12539231"/>
      <w:bookmarkStart w:id="156" w:name="_Toc468088766"/>
      <w:bookmarkStart w:id="157" w:name="_Toc458945294"/>
      <w:r>
        <w:rPr>
          <w:rFonts w:hint="eastAsia"/>
          <w:color w:val="auto"/>
        </w:rPr>
        <w:t>环境风险</w:t>
      </w:r>
      <w:bookmarkEnd w:id="153"/>
      <w:bookmarkEnd w:id="154"/>
      <w:bookmarkEnd w:id="155"/>
      <w:bookmarkEnd w:id="156"/>
      <w:bookmarkEnd w:id="157"/>
    </w:p>
    <w:bookmarkEnd w:id="142"/>
    <w:p>
      <w:pPr>
        <w:ind w:firstLine="480"/>
      </w:pPr>
      <w:r>
        <w:rPr>
          <w:rFonts w:hint="eastAsia"/>
        </w:rPr>
        <w:t>项目不涉及有毒有害和易燃易爆危险物质的生产、使用、储存，根据</w:t>
      </w:r>
      <w:r>
        <w:t>HJ1358—2024</w:t>
      </w:r>
      <w:r>
        <w:rPr>
          <w:rFonts w:hint="eastAsia"/>
        </w:rPr>
        <w:t>，环境风险不定级，本次评价简单分析公路交通事故的环境风险。主要考虑运营期路段发生交通事故导致油品等进入周边水体，对水体及水环境带来的污染影响。</w:t>
      </w:r>
    </w:p>
    <w:p>
      <w:pPr>
        <w:pStyle w:val="116"/>
      </w:pPr>
      <w:bookmarkStart w:id="158" w:name="_Toc153957813"/>
      <w:bookmarkStart w:id="159" w:name="_Toc88864636"/>
      <w:bookmarkStart w:id="160" w:name="_Toc61517053"/>
      <w:bookmarkStart w:id="161" w:name="_Toc88764830"/>
      <w:bookmarkStart w:id="162" w:name="_Hlk195520106"/>
      <w:r>
        <w:rPr>
          <w:rFonts w:hint="eastAsia"/>
        </w:rPr>
        <w:t xml:space="preserve"> </w:t>
      </w:r>
      <w:bookmarkStart w:id="163" w:name="_Toc204676229"/>
      <w:bookmarkStart w:id="164" w:name="_Toc159405457"/>
      <w:r>
        <w:rPr>
          <w:rFonts w:hint="eastAsia"/>
        </w:rPr>
        <w:t>环境保护目标</w:t>
      </w:r>
      <w:bookmarkEnd w:id="158"/>
      <w:bookmarkEnd w:id="159"/>
      <w:bookmarkEnd w:id="160"/>
      <w:bookmarkEnd w:id="161"/>
      <w:bookmarkEnd w:id="163"/>
      <w:bookmarkEnd w:id="164"/>
    </w:p>
    <w:bookmarkEnd w:id="162"/>
    <w:p>
      <w:pPr>
        <w:pStyle w:val="120"/>
        <w:rPr>
          <w:color w:val="auto"/>
        </w:rPr>
      </w:pPr>
      <w:bookmarkStart w:id="165" w:name="_Hlk89350206"/>
      <w:r>
        <w:rPr>
          <w:rFonts w:hint="eastAsia"/>
          <w:color w:val="auto"/>
        </w:rPr>
        <w:t>大气环境、声环境敏感目标</w:t>
      </w:r>
      <w:bookmarkEnd w:id="165"/>
    </w:p>
    <w:p>
      <w:pPr>
        <w:ind w:firstLine="480"/>
      </w:pPr>
      <w:bookmarkStart w:id="166" w:name="_Hlk89350732"/>
      <w:bookmarkStart w:id="167" w:name="_Hlk89350705"/>
      <w:r>
        <w:rPr>
          <w:rFonts w:hint="eastAsia"/>
        </w:rPr>
        <w:t>根据《声环境质量标准》GB 3096-2008定义，噪声敏感建筑物指医院、学校、机关、科研单位、住宅等需要保持安静的建筑物。根据</w:t>
      </w:r>
      <w:bookmarkStart w:id="168" w:name="_Hlk195520122"/>
      <w:r>
        <w:rPr>
          <w:rFonts w:hint="eastAsia"/>
        </w:rPr>
        <w:t>本次评价范围叠图及现场踏勘，</w:t>
      </w:r>
      <w:bookmarkStart w:id="169" w:name="_Hlk89350216"/>
      <w:r>
        <w:rPr>
          <w:rFonts w:hint="eastAsia"/>
        </w:rPr>
        <w:t>项目沿线大气环境、声环境</w:t>
      </w:r>
      <w:bookmarkEnd w:id="168"/>
      <w:bookmarkStart w:id="170" w:name="_Hlk195520141"/>
      <w:r>
        <w:rPr>
          <w:rFonts w:hint="eastAsia"/>
        </w:rPr>
        <w:t>详见</w:t>
      </w:r>
      <w:bookmarkEnd w:id="169"/>
      <w:r>
        <w:fldChar w:fldCharType="begin"/>
      </w:r>
      <w:r>
        <w:instrText xml:space="preserve"> </w:instrText>
      </w:r>
      <w:r>
        <w:rPr>
          <w:rFonts w:hint="eastAsia"/>
        </w:rPr>
        <w:instrText xml:space="preserve">REF _Ref149722272 \r \h</w:instrText>
      </w:r>
      <w:r>
        <w:instrText xml:space="preserve">  \* MERGEFORMAT </w:instrText>
      </w:r>
      <w:r>
        <w:fldChar w:fldCharType="separate"/>
      </w:r>
      <w:r>
        <w:rPr>
          <w:rFonts w:hint="eastAsia"/>
        </w:rPr>
        <w:t>表2.7-1</w:t>
      </w:r>
      <w:r>
        <w:fldChar w:fldCharType="end"/>
      </w:r>
      <w:r>
        <w:rPr>
          <w:rFonts w:hint="eastAsia"/>
        </w:rPr>
        <w:t>，</w:t>
      </w:r>
      <w:r>
        <w:fldChar w:fldCharType="begin"/>
      </w:r>
      <w:r>
        <w:instrText xml:space="preserve"> REF _Ref149635498 \r \h  \* MERGEFORMAT </w:instrText>
      </w:r>
      <w:r>
        <w:fldChar w:fldCharType="separate"/>
      </w:r>
      <w:r>
        <w:rPr>
          <w:rFonts w:hint="eastAsia"/>
        </w:rPr>
        <w:t>表2.7-2</w:t>
      </w:r>
      <w:r>
        <w:fldChar w:fldCharType="end"/>
      </w:r>
      <w:r>
        <w:rPr>
          <w:rFonts w:hint="eastAsia"/>
        </w:rPr>
        <w:t>。</w:t>
      </w:r>
    </w:p>
    <w:p>
      <w:pPr>
        <w:ind w:firstLine="480"/>
        <w:sectPr>
          <w:pgSz w:w="11906" w:h="16838"/>
          <w:pgMar w:top="1418" w:right="1418" w:bottom="1418" w:left="1418" w:header="851" w:footer="851" w:gutter="0"/>
          <w:cols w:space="425" w:num="1"/>
          <w:docGrid w:linePitch="326" w:charSpace="0"/>
        </w:sectPr>
      </w:pPr>
    </w:p>
    <w:p>
      <w:pPr>
        <w:pStyle w:val="87"/>
        <w:spacing w:before="120"/>
        <w:ind w:left="480" w:firstLine="480"/>
      </w:pPr>
      <w:bookmarkStart w:id="171" w:name="_Ref149722272"/>
      <w:r>
        <w:rPr>
          <w:rFonts w:hint="eastAsia"/>
        </w:rPr>
        <w:t>公路大气、声环境保护目标调查表</w:t>
      </w:r>
      <w:bookmarkEnd w:id="171"/>
      <w:r>
        <w:rPr>
          <w:rFonts w:hint="eastAsia"/>
        </w:rPr>
        <w:t>（现状）</w:t>
      </w:r>
    </w:p>
    <w:tbl>
      <w:tblPr>
        <w:tblStyle w:val="53"/>
        <w:tblW w:w="51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89"/>
        <w:gridCol w:w="584"/>
        <w:gridCol w:w="580"/>
        <w:gridCol w:w="730"/>
        <w:gridCol w:w="439"/>
        <w:gridCol w:w="435"/>
        <w:gridCol w:w="435"/>
        <w:gridCol w:w="875"/>
        <w:gridCol w:w="730"/>
        <w:gridCol w:w="730"/>
        <w:gridCol w:w="580"/>
        <w:gridCol w:w="730"/>
        <w:gridCol w:w="1745"/>
        <w:gridCol w:w="4368"/>
        <w:gridCol w:w="5889"/>
        <w:gridCol w:w="28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6" w:type="pct"/>
            <w:shd w:val="clear" w:color="auto" w:fill="auto"/>
            <w:vAlign w:val="center"/>
          </w:tcPr>
          <w:p>
            <w:pPr>
              <w:pStyle w:val="105"/>
              <w:jc w:val="center"/>
              <w:rPr>
                <w:sz w:val="18"/>
                <w:szCs w:val="18"/>
              </w:rPr>
            </w:pPr>
            <w:bookmarkStart w:id="172" w:name="_Hlk179295945"/>
            <w:r>
              <w:rPr>
                <w:rFonts w:hint="eastAsia"/>
                <w:sz w:val="18"/>
                <w:szCs w:val="18"/>
              </w:rPr>
              <w:t>序</w:t>
            </w:r>
          </w:p>
          <w:p>
            <w:pPr>
              <w:pStyle w:val="105"/>
              <w:jc w:val="center"/>
              <w:rPr>
                <w:sz w:val="18"/>
                <w:szCs w:val="18"/>
              </w:rPr>
            </w:pPr>
            <w:r>
              <w:rPr>
                <w:rFonts w:hint="eastAsia"/>
                <w:sz w:val="18"/>
                <w:szCs w:val="18"/>
              </w:rPr>
              <w:t>号</w:t>
            </w:r>
          </w:p>
        </w:tc>
        <w:tc>
          <w:tcPr>
            <w:tcW w:w="133" w:type="pct"/>
            <w:shd w:val="clear" w:color="auto" w:fill="auto"/>
            <w:vAlign w:val="center"/>
          </w:tcPr>
          <w:p>
            <w:pPr>
              <w:pStyle w:val="105"/>
              <w:jc w:val="center"/>
              <w:rPr>
                <w:sz w:val="18"/>
                <w:szCs w:val="18"/>
              </w:rPr>
            </w:pPr>
            <w:r>
              <w:rPr>
                <w:rFonts w:hint="eastAsia"/>
                <w:sz w:val="18"/>
                <w:szCs w:val="18"/>
              </w:rPr>
              <w:t>声环境保护目标名称</w:t>
            </w:r>
          </w:p>
        </w:tc>
        <w:tc>
          <w:tcPr>
            <w:tcW w:w="132" w:type="pct"/>
            <w:shd w:val="clear" w:color="auto" w:fill="auto"/>
            <w:vAlign w:val="center"/>
          </w:tcPr>
          <w:p>
            <w:pPr>
              <w:pStyle w:val="105"/>
              <w:jc w:val="center"/>
              <w:rPr>
                <w:sz w:val="18"/>
                <w:szCs w:val="18"/>
              </w:rPr>
            </w:pPr>
            <w:r>
              <w:rPr>
                <w:rFonts w:hint="eastAsia"/>
                <w:sz w:val="18"/>
                <w:szCs w:val="18"/>
              </w:rPr>
              <w:t>所在</w:t>
            </w:r>
          </w:p>
          <w:p>
            <w:pPr>
              <w:pStyle w:val="105"/>
              <w:jc w:val="center"/>
              <w:rPr>
                <w:sz w:val="18"/>
                <w:szCs w:val="18"/>
              </w:rPr>
            </w:pPr>
            <w:r>
              <w:rPr>
                <w:rFonts w:hint="eastAsia"/>
                <w:sz w:val="18"/>
                <w:szCs w:val="18"/>
              </w:rPr>
              <w:t>路段</w:t>
            </w:r>
          </w:p>
        </w:tc>
        <w:tc>
          <w:tcPr>
            <w:tcW w:w="166" w:type="pct"/>
            <w:shd w:val="clear" w:color="auto" w:fill="auto"/>
            <w:vAlign w:val="center"/>
          </w:tcPr>
          <w:p>
            <w:pPr>
              <w:pStyle w:val="105"/>
              <w:jc w:val="center"/>
              <w:rPr>
                <w:sz w:val="18"/>
                <w:szCs w:val="18"/>
              </w:rPr>
            </w:pPr>
            <w:r>
              <w:rPr>
                <w:rFonts w:hint="eastAsia"/>
                <w:sz w:val="18"/>
                <w:szCs w:val="18"/>
              </w:rPr>
              <w:t>里程</w:t>
            </w:r>
          </w:p>
          <w:p>
            <w:pPr>
              <w:pStyle w:val="105"/>
              <w:jc w:val="center"/>
              <w:rPr>
                <w:sz w:val="18"/>
                <w:szCs w:val="18"/>
              </w:rPr>
            </w:pPr>
            <w:r>
              <w:rPr>
                <w:rFonts w:hint="eastAsia"/>
                <w:sz w:val="18"/>
                <w:szCs w:val="18"/>
              </w:rPr>
              <w:t>范围</w:t>
            </w:r>
          </w:p>
        </w:tc>
        <w:tc>
          <w:tcPr>
            <w:tcW w:w="100" w:type="pct"/>
            <w:shd w:val="clear" w:color="auto" w:fill="auto"/>
            <w:vAlign w:val="center"/>
          </w:tcPr>
          <w:p>
            <w:pPr>
              <w:pStyle w:val="105"/>
              <w:jc w:val="center"/>
              <w:rPr>
                <w:sz w:val="18"/>
                <w:szCs w:val="18"/>
              </w:rPr>
            </w:pPr>
            <w:r>
              <w:rPr>
                <w:rFonts w:hint="eastAsia"/>
                <w:sz w:val="18"/>
                <w:szCs w:val="18"/>
              </w:rPr>
              <w:t>线路</w:t>
            </w:r>
          </w:p>
          <w:p>
            <w:pPr>
              <w:pStyle w:val="105"/>
              <w:jc w:val="center"/>
              <w:rPr>
                <w:sz w:val="18"/>
                <w:szCs w:val="18"/>
              </w:rPr>
            </w:pPr>
            <w:r>
              <w:rPr>
                <w:rFonts w:hint="eastAsia"/>
                <w:sz w:val="18"/>
                <w:szCs w:val="18"/>
              </w:rPr>
              <w:t>形式</w:t>
            </w:r>
          </w:p>
        </w:tc>
        <w:tc>
          <w:tcPr>
            <w:tcW w:w="99" w:type="pct"/>
            <w:shd w:val="clear" w:color="auto" w:fill="auto"/>
            <w:vAlign w:val="center"/>
          </w:tcPr>
          <w:p>
            <w:pPr>
              <w:pStyle w:val="105"/>
              <w:jc w:val="center"/>
              <w:rPr>
                <w:sz w:val="18"/>
                <w:szCs w:val="18"/>
              </w:rPr>
            </w:pPr>
            <w:r>
              <w:rPr>
                <w:rFonts w:hint="eastAsia"/>
                <w:sz w:val="18"/>
                <w:szCs w:val="18"/>
              </w:rPr>
              <w:t xml:space="preserve">纵坡 </w:t>
            </w:r>
          </w:p>
          <w:p>
            <w:pPr>
              <w:pStyle w:val="105"/>
              <w:jc w:val="center"/>
              <w:rPr>
                <w:sz w:val="18"/>
                <w:szCs w:val="18"/>
              </w:rPr>
            </w:pPr>
            <w:r>
              <w:rPr>
                <w:rFonts w:hint="eastAsia"/>
                <w:sz w:val="18"/>
                <w:szCs w:val="18"/>
              </w:rPr>
              <w:t>（%）</w:t>
            </w:r>
          </w:p>
        </w:tc>
        <w:tc>
          <w:tcPr>
            <w:tcW w:w="99" w:type="pct"/>
            <w:shd w:val="clear" w:color="auto" w:fill="auto"/>
            <w:vAlign w:val="center"/>
          </w:tcPr>
          <w:p>
            <w:pPr>
              <w:pStyle w:val="105"/>
              <w:jc w:val="center"/>
              <w:rPr>
                <w:sz w:val="18"/>
                <w:szCs w:val="18"/>
              </w:rPr>
            </w:pPr>
            <w:r>
              <w:rPr>
                <w:rFonts w:hint="eastAsia"/>
                <w:sz w:val="18"/>
                <w:szCs w:val="18"/>
              </w:rPr>
              <w:t>方</w:t>
            </w:r>
          </w:p>
          <w:p>
            <w:pPr>
              <w:pStyle w:val="105"/>
              <w:jc w:val="center"/>
              <w:rPr>
                <w:sz w:val="18"/>
                <w:szCs w:val="18"/>
              </w:rPr>
            </w:pPr>
            <w:r>
              <w:rPr>
                <w:rFonts w:hint="eastAsia"/>
                <w:sz w:val="18"/>
                <w:szCs w:val="18"/>
              </w:rPr>
              <w:t>位</w:t>
            </w:r>
          </w:p>
        </w:tc>
        <w:tc>
          <w:tcPr>
            <w:tcW w:w="199" w:type="pct"/>
            <w:shd w:val="clear" w:color="auto" w:fill="auto"/>
            <w:vAlign w:val="center"/>
          </w:tcPr>
          <w:p>
            <w:pPr>
              <w:pStyle w:val="105"/>
              <w:jc w:val="center"/>
              <w:rPr>
                <w:sz w:val="18"/>
                <w:szCs w:val="18"/>
              </w:rPr>
            </w:pPr>
            <w:r>
              <w:rPr>
                <w:rFonts w:hint="eastAsia"/>
                <w:sz w:val="18"/>
                <w:szCs w:val="18"/>
              </w:rPr>
              <w:t>敏感目标与路面高差/m</w:t>
            </w:r>
          </w:p>
        </w:tc>
        <w:tc>
          <w:tcPr>
            <w:tcW w:w="166" w:type="pct"/>
            <w:shd w:val="clear" w:color="auto" w:fill="auto"/>
            <w:vAlign w:val="center"/>
          </w:tcPr>
          <w:p>
            <w:pPr>
              <w:pStyle w:val="105"/>
              <w:jc w:val="center"/>
              <w:rPr>
                <w:sz w:val="18"/>
                <w:szCs w:val="18"/>
              </w:rPr>
            </w:pPr>
            <w:r>
              <w:rPr>
                <w:rFonts w:hint="eastAsia"/>
                <w:sz w:val="18"/>
                <w:szCs w:val="18"/>
              </w:rPr>
              <w:t>距公路红线距离/m</w:t>
            </w:r>
          </w:p>
        </w:tc>
        <w:tc>
          <w:tcPr>
            <w:tcW w:w="166" w:type="pct"/>
            <w:shd w:val="clear" w:color="auto" w:fill="auto"/>
            <w:vAlign w:val="center"/>
          </w:tcPr>
          <w:p>
            <w:pPr>
              <w:pStyle w:val="105"/>
              <w:jc w:val="center"/>
              <w:rPr>
                <w:sz w:val="18"/>
                <w:szCs w:val="18"/>
              </w:rPr>
            </w:pPr>
            <w:r>
              <w:rPr>
                <w:rFonts w:hint="eastAsia"/>
                <w:sz w:val="18"/>
                <w:szCs w:val="18"/>
              </w:rPr>
              <w:t>距公路中心线距离/m</w:t>
            </w:r>
          </w:p>
        </w:tc>
        <w:tc>
          <w:tcPr>
            <w:tcW w:w="132" w:type="pct"/>
            <w:shd w:val="clear" w:color="auto" w:fill="auto"/>
            <w:vAlign w:val="center"/>
          </w:tcPr>
          <w:p>
            <w:pPr>
              <w:pStyle w:val="105"/>
              <w:jc w:val="center"/>
              <w:rPr>
                <w:sz w:val="18"/>
                <w:szCs w:val="18"/>
              </w:rPr>
            </w:pPr>
            <w:r>
              <w:rPr>
                <w:rFonts w:hint="eastAsia"/>
                <w:sz w:val="18"/>
                <w:szCs w:val="18"/>
              </w:rPr>
              <w:t>声环境</w:t>
            </w:r>
          </w:p>
          <w:p>
            <w:pPr>
              <w:pStyle w:val="105"/>
              <w:jc w:val="center"/>
              <w:rPr>
                <w:sz w:val="18"/>
                <w:szCs w:val="18"/>
              </w:rPr>
            </w:pPr>
            <w:r>
              <w:rPr>
                <w:rFonts w:hint="eastAsia"/>
                <w:sz w:val="18"/>
                <w:szCs w:val="18"/>
              </w:rPr>
              <w:t>功能区划</w:t>
            </w:r>
          </w:p>
        </w:tc>
        <w:tc>
          <w:tcPr>
            <w:tcW w:w="166" w:type="pct"/>
            <w:shd w:val="clear" w:color="auto" w:fill="auto"/>
            <w:vAlign w:val="center"/>
          </w:tcPr>
          <w:p>
            <w:pPr>
              <w:pStyle w:val="105"/>
              <w:jc w:val="center"/>
              <w:rPr>
                <w:sz w:val="18"/>
                <w:szCs w:val="18"/>
              </w:rPr>
            </w:pPr>
            <w:r>
              <w:rPr>
                <w:rFonts w:hint="eastAsia"/>
                <w:sz w:val="18"/>
                <w:szCs w:val="18"/>
              </w:rPr>
              <w:t>受影响</w:t>
            </w:r>
          </w:p>
          <w:p>
            <w:pPr>
              <w:pStyle w:val="105"/>
              <w:jc w:val="center"/>
              <w:rPr>
                <w:sz w:val="18"/>
                <w:szCs w:val="18"/>
              </w:rPr>
            </w:pPr>
            <w:r>
              <w:rPr>
                <w:rFonts w:hint="eastAsia"/>
                <w:sz w:val="18"/>
                <w:szCs w:val="18"/>
              </w:rPr>
              <w:t>户数</w:t>
            </w:r>
          </w:p>
        </w:tc>
        <w:tc>
          <w:tcPr>
            <w:tcW w:w="397" w:type="pct"/>
            <w:shd w:val="clear" w:color="auto" w:fill="auto"/>
            <w:vAlign w:val="center"/>
          </w:tcPr>
          <w:p>
            <w:pPr>
              <w:pStyle w:val="105"/>
              <w:jc w:val="center"/>
              <w:rPr>
                <w:sz w:val="18"/>
                <w:szCs w:val="18"/>
              </w:rPr>
            </w:pPr>
            <w:r>
              <w:rPr>
                <w:rFonts w:hint="eastAsia"/>
                <w:sz w:val="18"/>
                <w:szCs w:val="18"/>
              </w:rPr>
              <w:t>声环境保护目标情况说明</w:t>
            </w:r>
          </w:p>
        </w:tc>
        <w:tc>
          <w:tcPr>
            <w:tcW w:w="994" w:type="pct"/>
            <w:shd w:val="clear" w:color="auto" w:fill="auto"/>
            <w:vAlign w:val="center"/>
          </w:tcPr>
          <w:p>
            <w:pPr>
              <w:pStyle w:val="105"/>
              <w:jc w:val="center"/>
              <w:rPr>
                <w:sz w:val="18"/>
                <w:szCs w:val="18"/>
              </w:rPr>
            </w:pPr>
            <w:r>
              <w:rPr>
                <w:rFonts w:hint="eastAsia"/>
                <w:sz w:val="18"/>
                <w:szCs w:val="18"/>
              </w:rPr>
              <w:t>平面位置关系图</w:t>
            </w:r>
          </w:p>
        </w:tc>
        <w:tc>
          <w:tcPr>
            <w:tcW w:w="1340" w:type="pct"/>
            <w:shd w:val="clear" w:color="auto" w:fill="auto"/>
            <w:vAlign w:val="center"/>
          </w:tcPr>
          <w:p>
            <w:pPr>
              <w:pStyle w:val="105"/>
              <w:jc w:val="center"/>
              <w:rPr>
                <w:sz w:val="18"/>
                <w:szCs w:val="18"/>
              </w:rPr>
            </w:pPr>
            <w:r>
              <w:rPr>
                <w:rFonts w:hint="eastAsia"/>
                <w:sz w:val="18"/>
                <w:szCs w:val="18"/>
              </w:rPr>
              <w:t>现状照片</w:t>
            </w:r>
          </w:p>
        </w:tc>
        <w:tc>
          <w:tcPr>
            <w:tcW w:w="645" w:type="pct"/>
            <w:shd w:val="clear" w:color="auto" w:fill="auto"/>
            <w:vAlign w:val="center"/>
          </w:tcPr>
          <w:p>
            <w:pPr>
              <w:pStyle w:val="105"/>
              <w:ind w:left="-120" w:leftChars="-50" w:right="-120" w:rightChars="-50"/>
              <w:jc w:val="center"/>
              <w:rPr>
                <w:sz w:val="18"/>
                <w:szCs w:val="18"/>
              </w:rPr>
            </w:pPr>
            <w:r>
              <w:rPr>
                <w:rFonts w:hint="eastAsia"/>
                <w:sz w:val="18"/>
                <w:szCs w:val="18"/>
              </w:rPr>
              <w:t>断面位置关系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599" w:hRule="atLeast"/>
          <w:jc w:val="center"/>
        </w:trPr>
        <w:tc>
          <w:tcPr>
            <w:tcW w:w="66" w:type="pct"/>
            <w:vMerge w:val="restart"/>
            <w:shd w:val="clear" w:color="auto" w:fill="auto"/>
            <w:vAlign w:val="center"/>
          </w:tcPr>
          <w:p>
            <w:pPr>
              <w:pStyle w:val="105"/>
              <w:jc w:val="center"/>
              <w:rPr>
                <w:sz w:val="18"/>
                <w:szCs w:val="18"/>
              </w:rPr>
            </w:pPr>
            <w:r>
              <w:rPr>
                <w:rFonts w:hint="eastAsia"/>
                <w:sz w:val="18"/>
                <w:szCs w:val="18"/>
              </w:rPr>
              <w:t>1</w:t>
            </w:r>
          </w:p>
        </w:tc>
        <w:tc>
          <w:tcPr>
            <w:tcW w:w="133" w:type="pct"/>
            <w:vMerge w:val="restart"/>
            <w:shd w:val="clear" w:color="auto" w:fill="auto"/>
            <w:vAlign w:val="center"/>
          </w:tcPr>
          <w:p>
            <w:pPr>
              <w:pStyle w:val="105"/>
              <w:jc w:val="center"/>
              <w:rPr>
                <w:sz w:val="18"/>
                <w:szCs w:val="18"/>
              </w:rPr>
            </w:pPr>
            <w:r>
              <w:rPr>
                <w:rFonts w:hint="eastAsia"/>
                <w:sz w:val="18"/>
                <w:szCs w:val="18"/>
              </w:rPr>
              <w:t>牌边村</w:t>
            </w:r>
            <w:bookmarkStart w:id="173" w:name="_Hlk190535304"/>
            <w:r>
              <w:rPr>
                <w:rFonts w:hint="eastAsia"/>
                <w:sz w:val="18"/>
                <w:szCs w:val="18"/>
              </w:rPr>
              <w:t>新桥</w:t>
            </w:r>
            <w:bookmarkEnd w:id="173"/>
          </w:p>
        </w:tc>
        <w:tc>
          <w:tcPr>
            <w:tcW w:w="132" w:type="pct"/>
            <w:vMerge w:val="restart"/>
            <w:shd w:val="clear" w:color="auto" w:fill="auto"/>
            <w:vAlign w:val="center"/>
          </w:tcPr>
          <w:p>
            <w:pPr>
              <w:pStyle w:val="105"/>
              <w:jc w:val="center"/>
              <w:rPr>
                <w:sz w:val="18"/>
                <w:szCs w:val="18"/>
              </w:rPr>
            </w:pPr>
            <w:r>
              <w:rPr>
                <w:rFonts w:hint="eastAsia"/>
                <w:sz w:val="18"/>
                <w:szCs w:val="18"/>
              </w:rPr>
              <w:t>主线</w:t>
            </w:r>
          </w:p>
        </w:tc>
        <w:tc>
          <w:tcPr>
            <w:tcW w:w="166" w:type="pct"/>
            <w:vMerge w:val="restart"/>
            <w:shd w:val="clear" w:color="auto" w:fill="auto"/>
            <w:vAlign w:val="center"/>
          </w:tcPr>
          <w:p>
            <w:pPr>
              <w:pStyle w:val="105"/>
              <w:jc w:val="center"/>
              <w:rPr>
                <w:sz w:val="18"/>
                <w:szCs w:val="18"/>
              </w:rPr>
            </w:pPr>
            <w:r>
              <w:rPr>
                <w:rFonts w:hint="eastAsia"/>
                <w:sz w:val="18"/>
                <w:szCs w:val="18"/>
              </w:rPr>
              <w:t>起点~</w:t>
            </w:r>
            <w:r>
              <w:rPr>
                <w:sz w:val="18"/>
                <w:szCs w:val="18"/>
              </w:rPr>
              <w:t>K0+140</w:t>
            </w:r>
          </w:p>
        </w:tc>
        <w:tc>
          <w:tcPr>
            <w:tcW w:w="100" w:type="pct"/>
            <w:vMerge w:val="restart"/>
            <w:shd w:val="clear" w:color="auto" w:fill="auto"/>
            <w:vAlign w:val="center"/>
          </w:tcPr>
          <w:p>
            <w:pPr>
              <w:pStyle w:val="105"/>
              <w:jc w:val="center"/>
              <w:rPr>
                <w:sz w:val="18"/>
                <w:szCs w:val="18"/>
              </w:rPr>
            </w:pPr>
            <w:r>
              <w:rPr>
                <w:rFonts w:hint="eastAsia"/>
                <w:sz w:val="18"/>
                <w:szCs w:val="18"/>
              </w:rPr>
              <w:t>地面线路（路堑）</w:t>
            </w:r>
          </w:p>
        </w:tc>
        <w:tc>
          <w:tcPr>
            <w:tcW w:w="99" w:type="pct"/>
            <w:vMerge w:val="restart"/>
            <w:shd w:val="clear" w:color="auto" w:fill="auto"/>
            <w:vAlign w:val="center"/>
          </w:tcPr>
          <w:p>
            <w:pPr>
              <w:pStyle w:val="105"/>
              <w:jc w:val="center"/>
              <w:rPr>
                <w:sz w:val="18"/>
                <w:szCs w:val="18"/>
              </w:rPr>
            </w:pPr>
            <w:r>
              <w:rPr>
                <w:rFonts w:hint="eastAsia"/>
                <w:sz w:val="18"/>
                <w:szCs w:val="18"/>
              </w:rPr>
              <w:t>3</w:t>
            </w:r>
          </w:p>
        </w:tc>
        <w:tc>
          <w:tcPr>
            <w:tcW w:w="99" w:type="pct"/>
            <w:vMerge w:val="restart"/>
            <w:shd w:val="clear" w:color="auto" w:fill="auto"/>
            <w:vAlign w:val="center"/>
          </w:tcPr>
          <w:p>
            <w:pPr>
              <w:pStyle w:val="105"/>
              <w:jc w:val="center"/>
              <w:rPr>
                <w:sz w:val="18"/>
                <w:szCs w:val="18"/>
              </w:rPr>
            </w:pPr>
            <w:r>
              <w:rPr>
                <w:rFonts w:hint="eastAsia"/>
                <w:sz w:val="18"/>
                <w:szCs w:val="18"/>
              </w:rPr>
              <w:t>两侧</w:t>
            </w:r>
          </w:p>
        </w:tc>
        <w:tc>
          <w:tcPr>
            <w:tcW w:w="199" w:type="pct"/>
            <w:shd w:val="clear" w:color="auto" w:fill="auto"/>
            <w:vAlign w:val="center"/>
          </w:tcPr>
          <w:p>
            <w:pPr>
              <w:pStyle w:val="105"/>
              <w:jc w:val="center"/>
              <w:rPr>
                <w:sz w:val="18"/>
                <w:szCs w:val="18"/>
              </w:rPr>
            </w:pPr>
            <w:r>
              <w:rPr>
                <w:rFonts w:hint="eastAsia"/>
                <w:sz w:val="18"/>
                <w:szCs w:val="18"/>
              </w:rPr>
              <w:t>0</w:t>
            </w:r>
            <w:r>
              <w:rPr>
                <w:sz w:val="18"/>
                <w:szCs w:val="18"/>
                <w:vertAlign w:val="superscript"/>
              </w:rPr>
              <w:t>~</w:t>
            </w:r>
            <w:r>
              <w:rPr>
                <w:sz w:val="18"/>
                <w:szCs w:val="18"/>
              </w:rPr>
              <w:t>+2</w:t>
            </w:r>
          </w:p>
        </w:tc>
        <w:tc>
          <w:tcPr>
            <w:tcW w:w="166" w:type="pct"/>
            <w:shd w:val="clear" w:color="auto" w:fill="auto"/>
            <w:vAlign w:val="center"/>
          </w:tcPr>
          <w:p>
            <w:pPr>
              <w:pStyle w:val="105"/>
              <w:jc w:val="center"/>
              <w:rPr>
                <w:sz w:val="18"/>
                <w:szCs w:val="18"/>
              </w:rPr>
            </w:pPr>
            <w:r>
              <w:rPr>
                <w:sz w:val="18"/>
                <w:szCs w:val="18"/>
              </w:rPr>
              <w:t>4</w:t>
            </w:r>
          </w:p>
        </w:tc>
        <w:tc>
          <w:tcPr>
            <w:tcW w:w="166" w:type="pct"/>
            <w:shd w:val="clear" w:color="auto" w:fill="auto"/>
            <w:vAlign w:val="center"/>
          </w:tcPr>
          <w:p>
            <w:pPr>
              <w:pStyle w:val="105"/>
              <w:jc w:val="center"/>
              <w:rPr>
                <w:sz w:val="18"/>
                <w:szCs w:val="18"/>
              </w:rPr>
            </w:pPr>
            <w:r>
              <w:rPr>
                <w:sz w:val="18"/>
                <w:szCs w:val="18"/>
              </w:rPr>
              <w:t>13</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rFonts w:hint="eastAsia"/>
                <w:sz w:val="18"/>
                <w:szCs w:val="18"/>
              </w:rPr>
              <w:t>7户35人</w:t>
            </w:r>
          </w:p>
        </w:tc>
        <w:tc>
          <w:tcPr>
            <w:tcW w:w="397" w:type="pct"/>
            <w:vMerge w:val="restart"/>
            <w:shd w:val="clear" w:color="auto" w:fill="auto"/>
            <w:vAlign w:val="center"/>
          </w:tcPr>
          <w:p>
            <w:pPr>
              <w:pStyle w:val="105"/>
              <w:jc w:val="center"/>
              <w:rPr>
                <w:sz w:val="18"/>
                <w:szCs w:val="18"/>
              </w:rPr>
            </w:pPr>
            <w:r>
              <w:rPr>
                <w:rFonts w:hint="eastAsia"/>
                <w:sz w:val="18"/>
                <w:szCs w:val="18"/>
              </w:rPr>
              <w:t>砖混结构，建筑主要为</w:t>
            </w:r>
            <w:r>
              <w:rPr>
                <w:sz w:val="18"/>
                <w:szCs w:val="18"/>
              </w:rPr>
              <w:t>3~4</w:t>
            </w:r>
            <w:r>
              <w:rPr>
                <w:rFonts w:hint="eastAsia"/>
                <w:sz w:val="18"/>
                <w:szCs w:val="18"/>
              </w:rPr>
              <w:t>层，主要建筑侧对拟建道路（东南），铝合金推拉窗，周边园地（龙眼），与道路之间无密集林带。</w:t>
            </w:r>
          </w:p>
          <w:p>
            <w:pPr>
              <w:pStyle w:val="105"/>
              <w:jc w:val="center"/>
              <w:rPr>
                <w:sz w:val="18"/>
                <w:szCs w:val="18"/>
              </w:rPr>
            </w:pPr>
            <w:r>
              <w:rPr>
                <w:rFonts w:hint="eastAsia"/>
                <w:sz w:val="18"/>
                <w:szCs w:val="18"/>
              </w:rPr>
              <w:t>2类区建筑与道路之前受密集建筑阻隔。</w:t>
            </w:r>
          </w:p>
        </w:tc>
        <w:tc>
          <w:tcPr>
            <w:tcW w:w="994" w:type="pct"/>
            <w:vMerge w:val="restart"/>
            <w:shd w:val="clear" w:color="auto" w:fill="auto"/>
            <w:vAlign w:val="center"/>
          </w:tcPr>
          <w:p>
            <w:pPr>
              <w:pStyle w:val="105"/>
              <w:jc w:val="center"/>
            </w:pPr>
            <w:r>
              <mc:AlternateContent>
                <mc:Choice Requires="wps">
                  <w:drawing>
                    <wp:anchor distT="0" distB="0" distL="114300" distR="114300" simplePos="0" relativeHeight="251697152" behindDoc="0" locked="0" layoutInCell="1" allowOverlap="1">
                      <wp:simplePos x="0" y="0"/>
                      <wp:positionH relativeFrom="column">
                        <wp:posOffset>862330</wp:posOffset>
                      </wp:positionH>
                      <wp:positionV relativeFrom="paragraph">
                        <wp:posOffset>1641475</wp:posOffset>
                      </wp:positionV>
                      <wp:extent cx="422275" cy="299720"/>
                      <wp:effectExtent l="0" t="0" r="0" b="5080"/>
                      <wp:wrapNone/>
                      <wp:docPr id="23" name="文本框 23"/>
                      <wp:cNvGraphicFramePr/>
                      <a:graphic xmlns:a="http://schemas.openxmlformats.org/drawingml/2006/main">
                        <a:graphicData uri="http://schemas.microsoft.com/office/word/2010/wordprocessingShape">
                          <wps:wsp>
                            <wps:cNvSpPr txBox="1"/>
                            <wps:spPr>
                              <a:xfrm>
                                <a:off x="0" y="0"/>
                                <a:ext cx="42227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新桥</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7.9pt;margin-top:129.25pt;height:23.6pt;width:33.25pt;z-index:251697152;mso-width-relative:page;mso-height-relative:page;" filled="f" stroked="f" coordsize="21600,21600" o:gfxdata="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Fat09kAAAALAQAADwAAAAAAAAABACAAAAAiAAAAZHJzL2Rvd25yZXYu&#10;eG1sUEsBAhQAFAAAAAgAh07iQAsjRoIzAgAAVwQAAA4AAAAAAAAAAQAgAAAAKA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新桥</w:t>
                            </w:r>
                          </w:p>
                        </w:txbxContent>
                      </v:textbox>
                    </v:shape>
                  </w:pict>
                </mc:Fallback>
              </mc:AlternateContent>
            </w:r>
          </w:p>
        </w:tc>
        <w:tc>
          <w:tcPr>
            <w:tcW w:w="1340" w:type="pct"/>
            <w:vMerge w:val="restart"/>
            <w:shd w:val="clear" w:color="auto" w:fill="auto"/>
            <w:vAlign w:val="center"/>
          </w:tcPr>
          <w:p>
            <w:pPr>
              <w:pStyle w:val="105"/>
            </w:pPr>
            <w:r>
              <mc:AlternateContent>
                <mc:Choice Requires="wps">
                  <w:drawing>
                    <wp:anchor distT="0" distB="0" distL="114300" distR="114300" simplePos="0" relativeHeight="251699200" behindDoc="0" locked="0" layoutInCell="1" allowOverlap="1">
                      <wp:simplePos x="0" y="0"/>
                      <wp:positionH relativeFrom="column">
                        <wp:posOffset>829945</wp:posOffset>
                      </wp:positionH>
                      <wp:positionV relativeFrom="paragraph">
                        <wp:posOffset>763905</wp:posOffset>
                      </wp:positionV>
                      <wp:extent cx="422275" cy="299720"/>
                      <wp:effectExtent l="0" t="0" r="0" b="5080"/>
                      <wp:wrapNone/>
                      <wp:docPr id="468" name="文本框 468"/>
                      <wp:cNvGraphicFramePr/>
                      <a:graphic xmlns:a="http://schemas.openxmlformats.org/drawingml/2006/main">
                        <a:graphicData uri="http://schemas.microsoft.com/office/word/2010/wordprocessingShape">
                          <wps:wsp>
                            <wps:cNvSpPr txBox="1"/>
                            <wps:spPr>
                              <a:xfrm>
                                <a:off x="0" y="0"/>
                                <a:ext cx="42227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新桥</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5.35pt;margin-top:60.15pt;height:23.6pt;width:33.25pt;z-index:251699200;mso-width-relative:page;mso-height-relative:page;" filled="f" stroked="f" coordsize="21600,21600" o:gfxdata="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1zGd9gAAAALAQAADwAAAAAAAAABACAAAAAiAAAAZHJzL2Rvd25yZXYu&#10;eG1sUEsBAhQAFAAAAAgAh07iQMSIjWw0AgAAWQQAAA4AAAAAAAAAAQAgAAAAJw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新桥</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1918970</wp:posOffset>
                      </wp:positionH>
                      <wp:positionV relativeFrom="paragraph">
                        <wp:posOffset>262890</wp:posOffset>
                      </wp:positionV>
                      <wp:extent cx="843915" cy="2197735"/>
                      <wp:effectExtent l="0" t="19050" r="70485" b="31115"/>
                      <wp:wrapNone/>
                      <wp:docPr id="457" name="箭头: 下 457"/>
                      <wp:cNvGraphicFramePr/>
                      <a:graphic xmlns:a="http://schemas.openxmlformats.org/drawingml/2006/main">
                        <a:graphicData uri="http://schemas.microsoft.com/office/word/2010/wordprocessingShape">
                          <wps:wsp>
                            <wps:cNvSpPr/>
                            <wps:spPr>
                              <a:xfrm rot="10978042">
                                <a:off x="0" y="0"/>
                                <a:ext cx="843915" cy="2197735"/>
                              </a:xfrm>
                              <a:prstGeom prst="downArrow">
                                <a:avLst/>
                              </a:pr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457" o:spid="_x0000_s1026" o:spt="67" type="#_x0000_t67" style="position:absolute;left:0pt;margin-left:151.1pt;margin-top:20.7pt;height:173.05pt;width:66.45pt;rotation:-11602011f;z-index:251698176;v-text-anchor:middle;mso-width-relative:page;mso-height-relative:page;" fillcolor="#FF0000" filled="t" stroked="t" coordsize="21600,21600" o:gfxdata="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PYtMHaAAAACgEAAA8AAAAAAAAAAQAgAAAAIgAAAGRycy9kb3ducmV2LnhtbFBLAQIUABQAAAAI&#10;AIdO4kBJyH7/lgIAADIFAAAOAAAAAAAAAAEAIAAAACkBAABkcnMvZTJvRG9jLnhtbFBLBQYAAAAA&#10;BgAGAFkBAAAxBgAAAAA=&#10;" adj="17453,5400">
                      <v:fill on="t" opacity="13107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-151765</wp:posOffset>
                      </wp:positionH>
                      <wp:positionV relativeFrom="paragraph">
                        <wp:posOffset>1483360</wp:posOffset>
                      </wp:positionV>
                      <wp:extent cx="937895" cy="299720"/>
                      <wp:effectExtent l="0" t="0" r="14605" b="5080"/>
                      <wp:wrapNone/>
                      <wp:docPr id="49" name="文本框 49"/>
                      <wp:cNvGraphicFramePr/>
                      <a:graphic xmlns:a="http://schemas.openxmlformats.org/drawingml/2006/main">
                        <a:graphicData uri="http://schemas.microsoft.com/office/word/2010/wordprocessingShape">
                          <wps:wsp>
                            <wps:cNvSpPr txBox="1"/>
                            <wps:spPr>
                              <a:xfrm>
                                <a:off x="0" y="0"/>
                                <a:ext cx="937895" cy="299720"/>
                              </a:xfrm>
                              <a:prstGeom prst="rect">
                                <a:avLst/>
                              </a:prstGeom>
                              <a:noFill/>
                              <a:ln w="6350">
                                <a:noFill/>
                              </a:ln>
                            </wps:spPr>
                            <wps:txbx>
                              <w:txbxContent>
                                <w:p>
                                  <w:pPr>
                                    <w:ind w:firstLine="0" w:firstLineChars="0"/>
                                    <w:rPr>
                                      <w:rFonts w:ascii="微软雅黑" w:hAnsi="微软雅黑" w:eastAsia="微软雅黑"/>
                                      <w:b/>
                                      <w:bCs/>
                                      <w:color w:val="FF0000"/>
                                      <w:sz w:val="21"/>
                                      <w:szCs w:val="20"/>
                                    </w:rPr>
                                  </w:pPr>
                                  <w:r>
                                    <w:rPr>
                                      <w:rFonts w:ascii="微软雅黑" w:hAnsi="微软雅黑" w:eastAsia="微软雅黑"/>
                                      <w:b/>
                                      <w:bCs/>
                                      <w:color w:val="FF0000"/>
                                      <w:sz w:val="21"/>
                                      <w:szCs w:val="20"/>
                                    </w:rPr>
                                    <w:t>G324</w:t>
                                  </w:r>
                                  <w:r>
                                    <w:rPr>
                                      <w:rFonts w:hint="eastAsia" w:ascii="微软雅黑" w:hAnsi="微软雅黑" w:eastAsia="微软雅黑"/>
                                      <w:b/>
                                      <w:bCs/>
                                      <w:color w:val="FF0000"/>
                                      <w:sz w:val="21"/>
                                      <w:szCs w:val="20"/>
                                    </w:rPr>
                                    <w:t>第一排</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116.8pt;height:23.6pt;width:73.85pt;z-index:251701248;mso-width-relative:page;mso-height-relative:page;" filled="f" stroked="f" coordsize="21600,21600" o:gfxdata="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QPm1dkAAAALAQAADwAAAAAAAAABACAAAAAiAAAAZHJzL2Rvd25yZXYu&#10;eG1sUEsBAhQAFAAAAAgAh07iQNNiFa4zAgAAVwQAAA4AAAAAAAAAAQAgAAAAKA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1"/>
                                <w:szCs w:val="20"/>
                              </w:rPr>
                            </w:pPr>
                            <w:r>
                              <w:rPr>
                                <w:rFonts w:ascii="微软雅黑" w:hAnsi="微软雅黑" w:eastAsia="微软雅黑"/>
                                <w:b/>
                                <w:bCs/>
                                <w:color w:val="FF0000"/>
                                <w:sz w:val="21"/>
                                <w:szCs w:val="20"/>
                              </w:rPr>
                              <w:t>G324</w:t>
                            </w:r>
                            <w:r>
                              <w:rPr>
                                <w:rFonts w:hint="eastAsia" w:ascii="微软雅黑" w:hAnsi="微软雅黑" w:eastAsia="微软雅黑"/>
                                <w:b/>
                                <w:bCs/>
                                <w:color w:val="FF0000"/>
                                <w:sz w:val="21"/>
                                <w:szCs w:val="20"/>
                              </w:rPr>
                              <w:t>第一排</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3283585</wp:posOffset>
                      </wp:positionH>
                      <wp:positionV relativeFrom="paragraph">
                        <wp:posOffset>1175385</wp:posOffset>
                      </wp:positionV>
                      <wp:extent cx="422275" cy="299720"/>
                      <wp:effectExtent l="0" t="0" r="0" b="5080"/>
                      <wp:wrapNone/>
                      <wp:docPr id="469" name="文本框 469"/>
                      <wp:cNvGraphicFramePr/>
                      <a:graphic xmlns:a="http://schemas.openxmlformats.org/drawingml/2006/main">
                        <a:graphicData uri="http://schemas.microsoft.com/office/word/2010/wordprocessingShape">
                          <wps:wsp>
                            <wps:cNvSpPr txBox="1"/>
                            <wps:spPr>
                              <a:xfrm>
                                <a:off x="0" y="0"/>
                                <a:ext cx="42227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工厂</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8.55pt;margin-top:92.55pt;height:23.6pt;width:33.25pt;z-index:251700224;mso-width-relative:page;mso-height-relative:page;" filled="f" stroked="f" coordsize="21600,21600" o:gfxdata="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Faee2gAAAAsBAAAPAAAAAAAAAAEAIAAAACIAAABkcnMvZG93bnJl&#10;di54bWxQSwECFAAUAAAACACHTuJAKtehMTQCAABZBAAADgAAAAAAAAABACAAAAApAQAAZHJzL2Uy&#10;b0RvYy54bWxQSwUGAAAAAAYABgBZAQAAzwU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工厂</w:t>
                            </w:r>
                          </w:p>
                        </w:txbxContent>
                      </v:textbox>
                    </v:shape>
                  </w:pict>
                </mc:Fallback>
              </mc:AlternateContent>
            </w:r>
            <w:r>
              <w:t xml:space="preserve"> </w:t>
            </w:r>
          </w:p>
        </w:tc>
        <w:tc>
          <w:tcPr>
            <w:tcW w:w="645" w:type="pct"/>
            <w:vMerge w:val="restart"/>
            <w:shd w:val="clear" w:color="auto" w:fill="auto"/>
            <w:vAlign w:val="center"/>
          </w:tcPr>
          <w:p>
            <w:pPr>
              <w:pStyle w:val="105"/>
              <w:ind w:left="-48" w:leftChars="-20" w:right="-48" w:rightChars="-2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064"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vMerge w:val="continue"/>
            <w:shd w:val="clear" w:color="auto" w:fill="auto"/>
            <w:vAlign w:val="center"/>
          </w:tcPr>
          <w:p>
            <w:pPr>
              <w:pStyle w:val="105"/>
              <w:jc w:val="center"/>
              <w:rPr>
                <w:sz w:val="18"/>
                <w:szCs w:val="18"/>
              </w:rPr>
            </w:pPr>
          </w:p>
        </w:tc>
        <w:tc>
          <w:tcPr>
            <w:tcW w:w="99" w:type="pct"/>
            <w:vMerge w:val="continue"/>
            <w:shd w:val="clear" w:color="auto" w:fill="auto"/>
            <w:vAlign w:val="center"/>
          </w:tcPr>
          <w:p>
            <w:pPr>
              <w:pStyle w:val="105"/>
              <w:jc w:val="center"/>
              <w:rPr>
                <w:sz w:val="18"/>
                <w:szCs w:val="18"/>
              </w:rPr>
            </w:pPr>
          </w:p>
        </w:tc>
        <w:tc>
          <w:tcPr>
            <w:tcW w:w="99" w:type="pct"/>
            <w:vMerge w:val="continue"/>
            <w:shd w:val="clear" w:color="auto" w:fill="auto"/>
            <w:vAlign w:val="center"/>
          </w:tcPr>
          <w:p>
            <w:pPr>
              <w:pStyle w:val="105"/>
              <w:jc w:val="center"/>
              <w:rPr>
                <w:sz w:val="18"/>
                <w:szCs w:val="18"/>
              </w:rPr>
            </w:pPr>
          </w:p>
        </w:tc>
        <w:tc>
          <w:tcPr>
            <w:tcW w:w="199" w:type="pct"/>
            <w:shd w:val="clear" w:color="auto" w:fill="auto"/>
            <w:vAlign w:val="center"/>
          </w:tcPr>
          <w:p>
            <w:pPr>
              <w:pStyle w:val="105"/>
              <w:jc w:val="center"/>
              <w:rPr>
                <w:sz w:val="18"/>
                <w:szCs w:val="18"/>
              </w:rPr>
            </w:pPr>
            <w:r>
              <w:rPr>
                <w:rFonts w:hint="eastAsia"/>
                <w:sz w:val="18"/>
                <w:szCs w:val="18"/>
              </w:rPr>
              <w:t>0</w:t>
            </w:r>
            <w:r>
              <w:rPr>
                <w:sz w:val="18"/>
                <w:szCs w:val="18"/>
                <w:vertAlign w:val="superscript"/>
              </w:rPr>
              <w:t>~</w:t>
            </w:r>
            <w:r>
              <w:rPr>
                <w:sz w:val="18"/>
                <w:szCs w:val="18"/>
              </w:rPr>
              <w:t>+2</w:t>
            </w:r>
          </w:p>
        </w:tc>
        <w:tc>
          <w:tcPr>
            <w:tcW w:w="166" w:type="pct"/>
            <w:shd w:val="clear" w:color="auto" w:fill="auto"/>
            <w:vAlign w:val="center"/>
          </w:tcPr>
          <w:p>
            <w:pPr>
              <w:pStyle w:val="105"/>
              <w:jc w:val="center"/>
              <w:rPr>
                <w:sz w:val="18"/>
                <w:szCs w:val="18"/>
              </w:rPr>
            </w:pPr>
            <w:r>
              <w:rPr>
                <w:rFonts w:hint="eastAsia"/>
                <w:sz w:val="18"/>
                <w:szCs w:val="18"/>
              </w:rPr>
              <w:t>3</w:t>
            </w:r>
            <w:r>
              <w:rPr>
                <w:sz w:val="18"/>
                <w:szCs w:val="18"/>
              </w:rPr>
              <w:t>5</w:t>
            </w:r>
          </w:p>
        </w:tc>
        <w:tc>
          <w:tcPr>
            <w:tcW w:w="166" w:type="pct"/>
            <w:shd w:val="clear" w:color="auto" w:fill="auto"/>
            <w:vAlign w:val="center"/>
          </w:tcPr>
          <w:p>
            <w:pPr>
              <w:pStyle w:val="105"/>
              <w:jc w:val="center"/>
              <w:rPr>
                <w:sz w:val="18"/>
                <w:szCs w:val="18"/>
              </w:rPr>
            </w:pPr>
            <w:r>
              <w:rPr>
                <w:rFonts w:hint="eastAsia"/>
                <w:sz w:val="18"/>
                <w:szCs w:val="18"/>
              </w:rPr>
              <w:t>4</w:t>
            </w:r>
            <w:r>
              <w:rPr>
                <w:sz w:val="18"/>
                <w:szCs w:val="18"/>
              </w:rPr>
              <w:t>1</w:t>
            </w:r>
          </w:p>
        </w:tc>
        <w:tc>
          <w:tcPr>
            <w:tcW w:w="132" w:type="pct"/>
            <w:shd w:val="clear" w:color="auto" w:fill="auto"/>
            <w:vAlign w:val="center"/>
          </w:tcPr>
          <w:p>
            <w:pPr>
              <w:pStyle w:val="105"/>
              <w:jc w:val="center"/>
              <w:rPr>
                <w:sz w:val="18"/>
                <w:szCs w:val="18"/>
              </w:rPr>
            </w:pPr>
            <w:r>
              <w:rPr>
                <w:sz w:val="18"/>
                <w:szCs w:val="18"/>
              </w:rPr>
              <w:t>2</w:t>
            </w:r>
            <w:r>
              <w:rPr>
                <w:rFonts w:hint="eastAsia"/>
                <w:sz w:val="18"/>
                <w:szCs w:val="18"/>
              </w:rPr>
              <w:t>类</w:t>
            </w:r>
          </w:p>
        </w:tc>
        <w:tc>
          <w:tcPr>
            <w:tcW w:w="166" w:type="pct"/>
            <w:shd w:val="clear" w:color="auto" w:fill="auto"/>
            <w:vAlign w:val="center"/>
          </w:tcPr>
          <w:p>
            <w:pPr>
              <w:pStyle w:val="105"/>
              <w:jc w:val="center"/>
              <w:rPr>
                <w:sz w:val="18"/>
                <w:szCs w:val="18"/>
              </w:rPr>
            </w:pPr>
            <w:r>
              <w:rPr>
                <w:rFonts w:hint="eastAsia"/>
                <w:sz w:val="18"/>
                <w:szCs w:val="18"/>
              </w:rPr>
              <w:t>16户80人</w:t>
            </w:r>
          </w:p>
        </w:tc>
        <w:tc>
          <w:tcPr>
            <w:tcW w:w="397" w:type="pct"/>
            <w:vMerge w:val="continue"/>
            <w:shd w:val="clear" w:color="auto" w:fill="auto"/>
            <w:vAlign w:val="center"/>
          </w:tcPr>
          <w:p>
            <w:pPr>
              <w:pStyle w:val="105"/>
              <w:jc w:val="center"/>
              <w:rPr>
                <w:sz w:val="18"/>
                <w:szCs w:val="18"/>
              </w:rPr>
            </w:pPr>
          </w:p>
        </w:tc>
        <w:tc>
          <w:tcPr>
            <w:tcW w:w="994" w:type="pct"/>
            <w:vMerge w:val="continue"/>
            <w:shd w:val="clear" w:color="auto" w:fill="auto"/>
            <w:vAlign w:val="center"/>
          </w:tcPr>
          <w:p>
            <w:pPr>
              <w:pStyle w:val="105"/>
              <w:jc w:val="center"/>
            </w:pPr>
          </w:p>
        </w:tc>
        <w:tc>
          <w:tcPr>
            <w:tcW w:w="1340" w:type="pct"/>
            <w:vMerge w:val="continue"/>
            <w:shd w:val="clear" w:color="auto" w:fill="auto"/>
            <w:vAlign w:val="center"/>
          </w:tcPr>
          <w:p>
            <w:pPr>
              <w:pStyle w:val="105"/>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vMerge w:val="continue"/>
            <w:shd w:val="clear" w:color="auto" w:fill="auto"/>
            <w:vAlign w:val="center"/>
          </w:tcPr>
          <w:p>
            <w:pPr>
              <w:pStyle w:val="105"/>
              <w:jc w:val="center"/>
              <w:rPr>
                <w:sz w:val="18"/>
                <w:szCs w:val="18"/>
              </w:rPr>
            </w:pPr>
          </w:p>
        </w:tc>
        <w:tc>
          <w:tcPr>
            <w:tcW w:w="99" w:type="pct"/>
            <w:vMerge w:val="continue"/>
            <w:shd w:val="clear" w:color="auto" w:fill="auto"/>
            <w:vAlign w:val="center"/>
          </w:tcPr>
          <w:p>
            <w:pPr>
              <w:pStyle w:val="105"/>
              <w:jc w:val="center"/>
              <w:rPr>
                <w:sz w:val="18"/>
                <w:szCs w:val="18"/>
              </w:rPr>
            </w:pPr>
          </w:p>
        </w:tc>
        <w:tc>
          <w:tcPr>
            <w:tcW w:w="99" w:type="pct"/>
            <w:vMerge w:val="continue"/>
            <w:shd w:val="clear" w:color="auto" w:fill="auto"/>
            <w:vAlign w:val="center"/>
          </w:tcPr>
          <w:p>
            <w:pPr>
              <w:pStyle w:val="105"/>
              <w:jc w:val="center"/>
              <w:rPr>
                <w:sz w:val="18"/>
                <w:szCs w:val="18"/>
              </w:rPr>
            </w:pPr>
          </w:p>
        </w:tc>
        <w:tc>
          <w:tcPr>
            <w:tcW w:w="199" w:type="pct"/>
            <w:shd w:val="clear" w:color="auto" w:fill="auto"/>
            <w:vAlign w:val="center"/>
          </w:tcPr>
          <w:p>
            <w:pPr>
              <w:pStyle w:val="105"/>
              <w:jc w:val="center"/>
              <w:rPr>
                <w:sz w:val="18"/>
                <w:szCs w:val="18"/>
              </w:rPr>
            </w:pPr>
            <w:r>
              <w:rPr>
                <w:rFonts w:hint="eastAsia"/>
                <w:sz w:val="18"/>
                <w:szCs w:val="18"/>
              </w:rPr>
              <w:t>0</w:t>
            </w:r>
            <w:r>
              <w:rPr>
                <w:sz w:val="18"/>
                <w:szCs w:val="18"/>
                <w:vertAlign w:val="superscript"/>
              </w:rPr>
              <w:t>~</w:t>
            </w:r>
            <w:r>
              <w:rPr>
                <w:sz w:val="18"/>
                <w:szCs w:val="18"/>
              </w:rPr>
              <w:t>+2</w:t>
            </w:r>
          </w:p>
        </w:tc>
        <w:tc>
          <w:tcPr>
            <w:tcW w:w="166" w:type="pct"/>
            <w:shd w:val="clear" w:color="auto" w:fill="auto"/>
            <w:vAlign w:val="center"/>
          </w:tcPr>
          <w:p>
            <w:pPr>
              <w:pStyle w:val="105"/>
              <w:jc w:val="center"/>
              <w:rPr>
                <w:sz w:val="18"/>
                <w:szCs w:val="18"/>
              </w:rPr>
            </w:pPr>
            <w:r>
              <w:rPr>
                <w:sz w:val="18"/>
                <w:szCs w:val="18"/>
              </w:rPr>
              <w:t>48</w:t>
            </w:r>
          </w:p>
        </w:tc>
        <w:tc>
          <w:tcPr>
            <w:tcW w:w="166" w:type="pct"/>
            <w:shd w:val="clear" w:color="auto" w:fill="auto"/>
            <w:vAlign w:val="center"/>
          </w:tcPr>
          <w:p>
            <w:pPr>
              <w:pStyle w:val="105"/>
              <w:jc w:val="center"/>
              <w:rPr>
                <w:sz w:val="18"/>
                <w:szCs w:val="18"/>
              </w:rPr>
            </w:pPr>
            <w:r>
              <w:rPr>
                <w:sz w:val="18"/>
                <w:szCs w:val="18"/>
              </w:rPr>
              <w:t>57</w:t>
            </w:r>
          </w:p>
        </w:tc>
        <w:tc>
          <w:tcPr>
            <w:tcW w:w="132" w:type="pct"/>
            <w:shd w:val="clear" w:color="auto" w:fill="auto"/>
            <w:vAlign w:val="center"/>
          </w:tcPr>
          <w:p>
            <w:pPr>
              <w:pStyle w:val="105"/>
              <w:jc w:val="center"/>
              <w:rPr>
                <w:sz w:val="18"/>
                <w:szCs w:val="18"/>
              </w:rPr>
            </w:pPr>
            <w:r>
              <w:rPr>
                <w:rFonts w:hint="eastAsia"/>
                <w:sz w:val="18"/>
                <w:szCs w:val="18"/>
              </w:rPr>
              <w:t>4a类（G</w:t>
            </w:r>
            <w:r>
              <w:rPr>
                <w:sz w:val="18"/>
                <w:szCs w:val="18"/>
              </w:rPr>
              <w:t>324</w:t>
            </w:r>
            <w:r>
              <w:rPr>
                <w:rFonts w:hint="eastAsia"/>
                <w:sz w:val="18"/>
                <w:szCs w:val="18"/>
              </w:rPr>
              <w:t>的4a类）</w:t>
            </w:r>
          </w:p>
        </w:tc>
        <w:tc>
          <w:tcPr>
            <w:tcW w:w="166" w:type="pct"/>
            <w:shd w:val="clear" w:color="auto" w:fill="auto"/>
            <w:vAlign w:val="center"/>
          </w:tcPr>
          <w:p>
            <w:pPr>
              <w:pStyle w:val="105"/>
              <w:jc w:val="center"/>
              <w:rPr>
                <w:sz w:val="18"/>
                <w:szCs w:val="18"/>
              </w:rPr>
            </w:pPr>
            <w:r>
              <w:rPr>
                <w:sz w:val="18"/>
                <w:szCs w:val="18"/>
              </w:rPr>
              <w:t>7</w:t>
            </w:r>
            <w:r>
              <w:rPr>
                <w:rFonts w:hint="eastAsia"/>
                <w:sz w:val="18"/>
                <w:szCs w:val="18"/>
              </w:rPr>
              <w:t>户</w:t>
            </w:r>
            <w:r>
              <w:rPr>
                <w:sz w:val="18"/>
                <w:szCs w:val="18"/>
              </w:rPr>
              <w:t>35</w:t>
            </w:r>
            <w:r>
              <w:rPr>
                <w:rFonts w:hint="eastAsia"/>
                <w:sz w:val="18"/>
                <w:szCs w:val="18"/>
              </w:rPr>
              <w:t>人</w:t>
            </w:r>
          </w:p>
        </w:tc>
        <w:tc>
          <w:tcPr>
            <w:tcW w:w="397" w:type="pct"/>
            <w:shd w:val="clear" w:color="auto" w:fill="auto"/>
            <w:vAlign w:val="center"/>
          </w:tcPr>
          <w:p>
            <w:pPr>
              <w:pStyle w:val="105"/>
              <w:jc w:val="center"/>
              <w:rPr>
                <w:sz w:val="18"/>
                <w:szCs w:val="18"/>
              </w:rPr>
            </w:pPr>
            <w:r>
              <w:rPr>
                <w:rFonts w:hint="eastAsia"/>
                <w:sz w:val="18"/>
                <w:szCs w:val="18"/>
              </w:rPr>
              <w:t>砖混结构，建筑主要为</w:t>
            </w:r>
            <w:r>
              <w:rPr>
                <w:sz w:val="18"/>
                <w:szCs w:val="18"/>
              </w:rPr>
              <w:t>3~4</w:t>
            </w:r>
            <w:r>
              <w:rPr>
                <w:rFonts w:hint="eastAsia"/>
                <w:sz w:val="18"/>
                <w:szCs w:val="18"/>
              </w:rPr>
              <w:t>层，临G</w:t>
            </w:r>
            <w:r>
              <w:rPr>
                <w:sz w:val="18"/>
                <w:szCs w:val="18"/>
              </w:rPr>
              <w:t>324</w:t>
            </w:r>
            <w:r>
              <w:rPr>
                <w:rFonts w:hint="eastAsia"/>
                <w:sz w:val="18"/>
                <w:szCs w:val="18"/>
              </w:rPr>
              <w:t>第一排，自身采取中空隔声窗。</w:t>
            </w:r>
          </w:p>
        </w:tc>
        <w:tc>
          <w:tcPr>
            <w:tcW w:w="994" w:type="pct"/>
            <w:vMerge w:val="continue"/>
            <w:shd w:val="clear" w:color="auto" w:fill="auto"/>
            <w:vAlign w:val="center"/>
          </w:tcPr>
          <w:p>
            <w:pPr>
              <w:pStyle w:val="105"/>
              <w:jc w:val="center"/>
              <w:rPr>
                <w:sz w:val="18"/>
                <w:szCs w:val="18"/>
              </w:rPr>
            </w:pPr>
          </w:p>
        </w:tc>
        <w:tc>
          <w:tcPr>
            <w:tcW w:w="1340" w:type="pct"/>
            <w:vMerge w:val="continue"/>
            <w:shd w:val="clear" w:color="auto" w:fill="auto"/>
            <w:vAlign w:val="center"/>
          </w:tcPr>
          <w:p>
            <w:pPr>
              <w:pStyle w:val="105"/>
              <w:jc w:val="cente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110" w:hRule="atLeast"/>
          <w:jc w:val="center"/>
        </w:trPr>
        <w:tc>
          <w:tcPr>
            <w:tcW w:w="66" w:type="pct"/>
            <w:vMerge w:val="restart"/>
            <w:shd w:val="clear" w:color="auto" w:fill="auto"/>
            <w:vAlign w:val="center"/>
          </w:tcPr>
          <w:p>
            <w:pPr>
              <w:pStyle w:val="105"/>
              <w:jc w:val="center"/>
              <w:rPr>
                <w:sz w:val="18"/>
                <w:szCs w:val="18"/>
              </w:rPr>
            </w:pPr>
            <w:r>
              <w:rPr>
                <w:rFonts w:hint="eastAsia"/>
                <w:sz w:val="18"/>
                <w:szCs w:val="18"/>
              </w:rPr>
              <w:t>2</w:t>
            </w:r>
          </w:p>
        </w:tc>
        <w:tc>
          <w:tcPr>
            <w:tcW w:w="133" w:type="pct"/>
            <w:vMerge w:val="restart"/>
            <w:shd w:val="clear" w:color="auto" w:fill="auto"/>
            <w:vAlign w:val="center"/>
          </w:tcPr>
          <w:p>
            <w:pPr>
              <w:pStyle w:val="105"/>
              <w:jc w:val="center"/>
              <w:rPr>
                <w:sz w:val="18"/>
                <w:szCs w:val="18"/>
              </w:rPr>
            </w:pPr>
            <w:r>
              <w:rPr>
                <w:rFonts w:hint="eastAsia"/>
                <w:sz w:val="18"/>
                <w:szCs w:val="18"/>
              </w:rPr>
              <w:t>上张村林泉</w:t>
            </w:r>
          </w:p>
        </w:tc>
        <w:tc>
          <w:tcPr>
            <w:tcW w:w="132" w:type="pct"/>
            <w:vMerge w:val="restart"/>
            <w:shd w:val="clear" w:color="auto" w:fill="auto"/>
            <w:vAlign w:val="center"/>
          </w:tcPr>
          <w:p>
            <w:pPr>
              <w:pStyle w:val="105"/>
              <w:jc w:val="center"/>
              <w:rPr>
                <w:sz w:val="18"/>
                <w:szCs w:val="18"/>
              </w:rPr>
            </w:pPr>
            <w:r>
              <w:rPr>
                <w:rFonts w:hint="eastAsia"/>
                <w:sz w:val="18"/>
                <w:szCs w:val="18"/>
              </w:rPr>
              <w:t>主线</w:t>
            </w:r>
          </w:p>
        </w:tc>
        <w:tc>
          <w:tcPr>
            <w:tcW w:w="166" w:type="pct"/>
            <w:vMerge w:val="restart"/>
            <w:shd w:val="clear" w:color="auto" w:fill="auto"/>
            <w:vAlign w:val="center"/>
          </w:tcPr>
          <w:p>
            <w:pPr>
              <w:pStyle w:val="105"/>
              <w:jc w:val="center"/>
              <w:rPr>
                <w:sz w:val="18"/>
                <w:szCs w:val="18"/>
              </w:rPr>
            </w:pPr>
            <w:r>
              <w:rPr>
                <w:sz w:val="18"/>
                <w:szCs w:val="18"/>
              </w:rPr>
              <w:t>K0+</w:t>
            </w:r>
            <w:r>
              <w:rPr>
                <w:rFonts w:hint="eastAsia"/>
                <w:sz w:val="18"/>
                <w:szCs w:val="18"/>
              </w:rPr>
              <w:t>4</w:t>
            </w:r>
            <w:r>
              <w:rPr>
                <w:sz w:val="18"/>
                <w:szCs w:val="18"/>
              </w:rPr>
              <w:t>20~ K0+724</w:t>
            </w:r>
          </w:p>
        </w:tc>
        <w:tc>
          <w:tcPr>
            <w:tcW w:w="100" w:type="pct"/>
            <w:vMerge w:val="restart"/>
            <w:shd w:val="clear" w:color="auto" w:fill="auto"/>
            <w:vAlign w:val="center"/>
          </w:tcPr>
          <w:p>
            <w:pPr>
              <w:pStyle w:val="105"/>
              <w:jc w:val="center"/>
              <w:rPr>
                <w:sz w:val="18"/>
                <w:szCs w:val="18"/>
              </w:rPr>
            </w:pPr>
            <w:r>
              <w:rPr>
                <w:rFonts w:hint="eastAsia"/>
                <w:sz w:val="18"/>
                <w:szCs w:val="18"/>
              </w:rPr>
              <w:t>地面线路（路基）</w:t>
            </w:r>
          </w:p>
        </w:tc>
        <w:tc>
          <w:tcPr>
            <w:tcW w:w="99" w:type="pct"/>
            <w:shd w:val="clear" w:color="auto" w:fill="auto"/>
            <w:vAlign w:val="center"/>
          </w:tcPr>
          <w:p>
            <w:pPr>
              <w:pStyle w:val="105"/>
              <w:jc w:val="center"/>
              <w:rPr>
                <w:sz w:val="18"/>
                <w:szCs w:val="18"/>
              </w:rPr>
            </w:pPr>
            <w:r>
              <w:rPr>
                <w:rFonts w:hint="eastAsia"/>
                <w:sz w:val="18"/>
                <w:szCs w:val="18"/>
              </w:rPr>
              <w:t>0</w:t>
            </w:r>
            <w:r>
              <w:rPr>
                <w:sz w:val="18"/>
                <w:szCs w:val="18"/>
              </w:rPr>
              <w:t>.3</w:t>
            </w:r>
          </w:p>
        </w:tc>
        <w:tc>
          <w:tcPr>
            <w:tcW w:w="99" w:type="pct"/>
            <w:shd w:val="clear" w:color="auto" w:fill="auto"/>
            <w:vAlign w:val="center"/>
          </w:tcPr>
          <w:p>
            <w:pPr>
              <w:pStyle w:val="105"/>
              <w:jc w:val="center"/>
              <w:rPr>
                <w:sz w:val="18"/>
                <w:szCs w:val="18"/>
              </w:rPr>
            </w:pPr>
            <w:r>
              <w:rPr>
                <w:rFonts w:hint="eastAsia"/>
                <w:sz w:val="18"/>
                <w:szCs w:val="18"/>
              </w:rPr>
              <w:t>路左</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3</w:t>
            </w:r>
          </w:p>
        </w:tc>
        <w:tc>
          <w:tcPr>
            <w:tcW w:w="166" w:type="pct"/>
            <w:shd w:val="clear" w:color="auto" w:fill="auto"/>
            <w:vAlign w:val="center"/>
          </w:tcPr>
          <w:p>
            <w:pPr>
              <w:pStyle w:val="105"/>
              <w:jc w:val="center"/>
              <w:rPr>
                <w:sz w:val="18"/>
                <w:szCs w:val="18"/>
              </w:rPr>
            </w:pPr>
            <w:r>
              <w:rPr>
                <w:sz w:val="18"/>
                <w:szCs w:val="18"/>
              </w:rPr>
              <w:t>26</w:t>
            </w:r>
          </w:p>
        </w:tc>
        <w:tc>
          <w:tcPr>
            <w:tcW w:w="166" w:type="pct"/>
            <w:shd w:val="clear" w:color="auto" w:fill="auto"/>
            <w:vAlign w:val="center"/>
          </w:tcPr>
          <w:p>
            <w:pPr>
              <w:pStyle w:val="105"/>
              <w:jc w:val="center"/>
              <w:rPr>
                <w:sz w:val="18"/>
                <w:szCs w:val="18"/>
              </w:rPr>
            </w:pPr>
            <w:r>
              <w:rPr>
                <w:rFonts w:hint="eastAsia"/>
                <w:sz w:val="18"/>
                <w:szCs w:val="18"/>
              </w:rPr>
              <w:t>4</w:t>
            </w:r>
            <w:r>
              <w:rPr>
                <w:sz w:val="18"/>
                <w:szCs w:val="18"/>
              </w:rPr>
              <w:t>0</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sz w:val="18"/>
                <w:szCs w:val="18"/>
              </w:rPr>
              <w:t>1</w:t>
            </w:r>
            <w:r>
              <w:rPr>
                <w:rFonts w:hint="eastAsia"/>
                <w:sz w:val="18"/>
                <w:szCs w:val="18"/>
              </w:rPr>
              <w:t>户5人</w:t>
            </w:r>
          </w:p>
        </w:tc>
        <w:tc>
          <w:tcPr>
            <w:tcW w:w="397" w:type="pct"/>
            <w:vMerge w:val="restart"/>
            <w:shd w:val="clear" w:color="auto" w:fill="auto"/>
          </w:tcPr>
          <w:p>
            <w:pPr>
              <w:pStyle w:val="105"/>
              <w:jc w:val="center"/>
              <w:rPr>
                <w:sz w:val="18"/>
                <w:szCs w:val="18"/>
              </w:rPr>
            </w:pPr>
            <w:r>
              <w:rPr>
                <w:rFonts w:hint="eastAsia"/>
                <w:sz w:val="18"/>
                <w:szCs w:val="18"/>
              </w:rPr>
              <w:t>砖混结构，建筑主要为</w:t>
            </w:r>
            <w:r>
              <w:rPr>
                <w:sz w:val="18"/>
                <w:szCs w:val="18"/>
              </w:rPr>
              <w:t>3~4</w:t>
            </w:r>
            <w:r>
              <w:rPr>
                <w:rFonts w:hint="eastAsia"/>
                <w:sz w:val="18"/>
                <w:szCs w:val="18"/>
              </w:rPr>
              <w:t>层，主要建筑背对拟建道路（南），铝合金推拉窗，周边园地（龙眼），与道路之间分布有疏林带。</w:t>
            </w:r>
          </w:p>
          <w:p>
            <w:pPr>
              <w:pStyle w:val="105"/>
              <w:jc w:val="center"/>
              <w:rPr>
                <w:sz w:val="18"/>
                <w:szCs w:val="18"/>
              </w:rPr>
            </w:pPr>
            <w:r>
              <w:rPr>
                <w:rFonts w:hint="eastAsia"/>
                <w:sz w:val="18"/>
                <w:szCs w:val="18"/>
              </w:rPr>
              <w:t>2类区建筑与道路之前受密集建筑阻隔。</w:t>
            </w:r>
          </w:p>
        </w:tc>
        <w:tc>
          <w:tcPr>
            <w:tcW w:w="994"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687936" behindDoc="0" locked="0" layoutInCell="1" allowOverlap="1">
                      <wp:simplePos x="0" y="0"/>
                      <wp:positionH relativeFrom="column">
                        <wp:posOffset>730250</wp:posOffset>
                      </wp:positionH>
                      <wp:positionV relativeFrom="paragraph">
                        <wp:posOffset>862330</wp:posOffset>
                      </wp:positionV>
                      <wp:extent cx="723900" cy="264160"/>
                      <wp:effectExtent l="0" t="19050" r="0" b="21590"/>
                      <wp:wrapNone/>
                      <wp:docPr id="40" name="文本框 40"/>
                      <wp:cNvGraphicFramePr/>
                      <a:graphic xmlns:a="http://schemas.openxmlformats.org/drawingml/2006/main">
                        <a:graphicData uri="http://schemas.microsoft.com/office/word/2010/wordprocessingShape">
                          <wps:wsp>
                            <wps:cNvSpPr txBox="1"/>
                            <wps:spPr>
                              <a:xfrm rot="219664">
                                <a:off x="0" y="0"/>
                                <a:ext cx="723900" cy="264160"/>
                              </a:xfrm>
                              <a:prstGeom prst="rect">
                                <a:avLst/>
                              </a:prstGeom>
                              <a:noFill/>
                              <a:ln w="6350">
                                <a:noFill/>
                              </a:ln>
                            </wps:spPr>
                            <wps:txbx>
                              <w:txbxContent>
                                <w:p>
                                  <w:pPr>
                                    <w:ind w:firstLine="0" w:firstLineChars="0"/>
                                    <w:rPr>
                                      <w:rFonts w:ascii="微软雅黑" w:hAnsi="微软雅黑" w:eastAsia="微软雅黑"/>
                                      <w:color w:val="FF0000"/>
                                      <w:sz w:val="18"/>
                                      <w:szCs w:val="16"/>
                                    </w:rPr>
                                  </w:pPr>
                                  <w:r>
                                    <w:rPr>
                                      <w:rFonts w:hint="eastAsia" w:ascii="微软雅黑" w:hAnsi="微软雅黑" w:eastAsia="微软雅黑"/>
                                      <w:color w:val="FF0000"/>
                                      <w:sz w:val="18"/>
                                      <w:szCs w:val="16"/>
                                    </w:rPr>
                                    <w:t>鳗鱼养殖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5pt;margin-top:67.9pt;height:20.8pt;width:57pt;rotation:239932f;z-index:251687936;mso-width-relative:page;mso-height-relative:page;" filled="f" stroked="f" coordsize="21600,21600" o:gfxdata="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00C2fYAAAACwEAAA8AAAAAAAAAAQAgAAAA&#10;IgAAAGRycy9kb3ducmV2LnhtbFBLAQIUABQAAAAIAIdO4kBcffe6RAIAAHQEAAAOAAAAAAAAAAEA&#10;IAAAACcBAABkcnMvZTJvRG9jLnhtbFBLBQYAAAAABgAGAFkBAADdBQAAAAA=&#10;">
                      <v:fill on="f" focussize="0,0"/>
                      <v:stroke on="f" weight="0.5pt"/>
                      <v:imagedata o:title=""/>
                      <o:lock v:ext="edit" aspectratio="f"/>
                      <v:textbox>
                        <w:txbxContent>
                          <w:p>
                            <w:pPr>
                              <w:ind w:firstLine="0" w:firstLineChars="0"/>
                              <w:rPr>
                                <w:rFonts w:ascii="微软雅黑" w:hAnsi="微软雅黑" w:eastAsia="微软雅黑"/>
                                <w:color w:val="FF0000"/>
                                <w:sz w:val="18"/>
                                <w:szCs w:val="16"/>
                              </w:rPr>
                            </w:pPr>
                            <w:r>
                              <w:rPr>
                                <w:rFonts w:hint="eastAsia" w:ascii="微软雅黑" w:hAnsi="微软雅黑" w:eastAsia="微软雅黑"/>
                                <w:color w:val="FF0000"/>
                                <w:sz w:val="18"/>
                                <w:szCs w:val="16"/>
                              </w:rPr>
                              <w:t>鳗鱼养殖</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1026160</wp:posOffset>
                      </wp:positionH>
                      <wp:positionV relativeFrom="paragraph">
                        <wp:posOffset>1822450</wp:posOffset>
                      </wp:positionV>
                      <wp:extent cx="989330" cy="299720"/>
                      <wp:effectExtent l="19050" t="76200" r="20320" b="81280"/>
                      <wp:wrapNone/>
                      <wp:docPr id="471" name="文本框 471"/>
                      <wp:cNvGraphicFramePr/>
                      <a:graphic xmlns:a="http://schemas.openxmlformats.org/drawingml/2006/main">
                        <a:graphicData uri="http://schemas.microsoft.com/office/word/2010/wordprocessingShape">
                          <wps:wsp>
                            <wps:cNvSpPr txBox="1"/>
                            <wps:spPr>
                              <a:xfrm rot="21075227">
                                <a:off x="0" y="0"/>
                                <a:ext cx="989330"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上张村林泉</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0.8pt;margin-top:143.5pt;height:23.6pt;width:77.9pt;rotation:-573192f;z-index:251692032;mso-width-relative:page;mso-height-relative:page;" filled="f" stroked="f" coordsize="21600,21600" o:gfxdata="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&#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Elff1wAAAAsBAAAPAAAAAAAAAAEAIAAAACIAAABk&#10;cnMvZG93bnJldi54bWxQSwECFAAUAAAACACHTuJAS50Ao0ACAABoBAAADgAAAAAAAAABACAAAAAm&#10;AQAAZHJzL2Uyb0RvYy54bWxQSwUGAAAAAAYABgBZAQAA2AU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上张村林泉</w:t>
                            </w:r>
                          </w:p>
                        </w:txbxContent>
                      </v:textbox>
                    </v:shape>
                  </w:pict>
                </mc:Fallback>
              </mc:AlternateContent>
            </w:r>
          </w:p>
        </w:tc>
        <w:tc>
          <w:tcPr>
            <w:tcW w:w="1340"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691008" behindDoc="0" locked="0" layoutInCell="1" allowOverlap="1">
                      <wp:simplePos x="0" y="0"/>
                      <wp:positionH relativeFrom="column">
                        <wp:posOffset>2128520</wp:posOffset>
                      </wp:positionH>
                      <wp:positionV relativeFrom="paragraph">
                        <wp:posOffset>1463040</wp:posOffset>
                      </wp:positionV>
                      <wp:extent cx="989330" cy="299720"/>
                      <wp:effectExtent l="0" t="0" r="1270" b="5080"/>
                      <wp:wrapNone/>
                      <wp:docPr id="470" name="文本框 470"/>
                      <wp:cNvGraphicFramePr/>
                      <a:graphic xmlns:a="http://schemas.openxmlformats.org/drawingml/2006/main">
                        <a:graphicData uri="http://schemas.microsoft.com/office/word/2010/wordprocessingShape">
                          <wps:wsp>
                            <wps:cNvSpPr txBox="1"/>
                            <wps:spPr>
                              <a:xfrm>
                                <a:off x="0" y="0"/>
                                <a:ext cx="989330"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上张村林泉</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7.6pt;margin-top:115.2pt;height:23.6pt;width:77.9pt;z-index:251691008;mso-width-relative:page;mso-height-relative:page;" filled="f" stroked="f" coordsize="21600,21600" o:gfxdata="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zPQM2gAAAAsBAAAPAAAAAAAAAAEAIAAAACIAAABkcnMvZG93bnJl&#10;di54bWxQSwECFAAUAAAACACHTuJAI9/yHzQCAABZBAAADgAAAAAAAAABACAAAAApAQAAZHJzL2Uy&#10;b0RvYy54bWxQSwUGAAAAAAYABgBZAQAAzwU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上张村林泉</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666115</wp:posOffset>
                      </wp:positionH>
                      <wp:positionV relativeFrom="paragraph">
                        <wp:posOffset>484505</wp:posOffset>
                      </wp:positionV>
                      <wp:extent cx="610235" cy="1923415"/>
                      <wp:effectExtent l="57150" t="38100" r="0" b="19685"/>
                      <wp:wrapNone/>
                      <wp:docPr id="462" name="箭头: 下 462"/>
                      <wp:cNvGraphicFramePr/>
                      <a:graphic xmlns:a="http://schemas.openxmlformats.org/drawingml/2006/main">
                        <a:graphicData uri="http://schemas.microsoft.com/office/word/2010/wordprocessingShape">
                          <wps:wsp>
                            <wps:cNvSpPr/>
                            <wps:spPr>
                              <a:xfrm rot="370134">
                                <a:off x="0" y="0"/>
                                <a:ext cx="610235" cy="1923415"/>
                              </a:xfrm>
                              <a:prstGeom prst="downArrow">
                                <a:avLst>
                                  <a:gd name="adj1" fmla="val 50000"/>
                                  <a:gd name="adj2" fmla="val 98063"/>
                                </a:avLst>
                              </a:pr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462" o:spid="_x0000_s1026" o:spt="67" type="#_x0000_t67" style="position:absolute;left:0pt;margin-left:52.45pt;margin-top:38.15pt;height:151.45pt;width:48.05pt;rotation:404285f;z-index:251688960;v-text-anchor:middle;mso-width-relative:page;mso-height-relative:page;" fillcolor="#FF0000" filled="t" stroked="t" coordsize="21600,21600" o:gfxdata="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k8petcAAAAKAQAADwAAAAAAAAABACAA&#10;AAAiAAAAZHJzL2Rvd25yZXYueG1sUEsBAhQAFAAAAAgAh07iQHrQSbO5AgAAgQUAAA4AAAAAAAAA&#10;AQAgAAAAJgEAAGRycy9lMm9Eb2MueG1sUEsFBgAAAAAGAAYAWQEAAFEGAAAAAA==&#10;" adj="14880,5400">
                      <v:fill on="t" opacity="13107f" focussize="0,0"/>
                      <v:stroke weight="1pt" color="#FF0000 [3204]" miterlimit="8" joinstyle="miter"/>
                      <v:imagedata o:title=""/>
                      <o:lock v:ext="edit" aspectratio="f"/>
                    </v:shape>
                  </w:pict>
                </mc:Fallback>
              </mc:AlternateContent>
            </w:r>
            <w:r>
              <w:t xml:space="preserve"> </w:t>
            </w:r>
          </w:p>
        </w:tc>
        <w:tc>
          <w:tcPr>
            <w:tcW w:w="645" w:type="pct"/>
            <w:vMerge w:val="restar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vMerge w:val="continue"/>
            <w:shd w:val="clear" w:color="auto" w:fill="auto"/>
            <w:vAlign w:val="center"/>
          </w:tcPr>
          <w:p>
            <w:pPr>
              <w:pStyle w:val="105"/>
              <w:jc w:val="center"/>
              <w:rPr>
                <w:sz w:val="18"/>
                <w:szCs w:val="18"/>
              </w:rPr>
            </w:pPr>
          </w:p>
        </w:tc>
        <w:tc>
          <w:tcPr>
            <w:tcW w:w="99" w:type="pct"/>
            <w:shd w:val="clear" w:color="auto" w:fill="auto"/>
            <w:vAlign w:val="center"/>
          </w:tcPr>
          <w:p>
            <w:pPr>
              <w:pStyle w:val="105"/>
              <w:jc w:val="center"/>
              <w:rPr>
                <w:sz w:val="18"/>
                <w:szCs w:val="18"/>
              </w:rPr>
            </w:pPr>
            <w:r>
              <w:rPr>
                <w:rFonts w:hint="eastAsia"/>
                <w:sz w:val="18"/>
                <w:szCs w:val="18"/>
              </w:rPr>
              <w:t>0</w:t>
            </w:r>
            <w:r>
              <w:rPr>
                <w:sz w:val="18"/>
                <w:szCs w:val="18"/>
              </w:rPr>
              <w:t>.3</w:t>
            </w:r>
          </w:p>
        </w:tc>
        <w:tc>
          <w:tcPr>
            <w:tcW w:w="99" w:type="pct"/>
            <w:shd w:val="clear" w:color="auto" w:fill="auto"/>
            <w:vAlign w:val="center"/>
          </w:tcPr>
          <w:p>
            <w:pPr>
              <w:pStyle w:val="105"/>
              <w:jc w:val="center"/>
              <w:rPr>
                <w:sz w:val="18"/>
                <w:szCs w:val="18"/>
              </w:rPr>
            </w:pPr>
            <w:r>
              <w:rPr>
                <w:rFonts w:hint="eastAsia"/>
                <w:sz w:val="18"/>
                <w:szCs w:val="18"/>
              </w:rPr>
              <w:t>路左</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4</w:t>
            </w:r>
          </w:p>
        </w:tc>
        <w:tc>
          <w:tcPr>
            <w:tcW w:w="166" w:type="pct"/>
            <w:shd w:val="clear" w:color="auto" w:fill="auto"/>
            <w:vAlign w:val="center"/>
          </w:tcPr>
          <w:p>
            <w:pPr>
              <w:pStyle w:val="105"/>
              <w:jc w:val="center"/>
              <w:rPr>
                <w:sz w:val="18"/>
                <w:szCs w:val="18"/>
              </w:rPr>
            </w:pPr>
            <w:r>
              <w:rPr>
                <w:rFonts w:hint="eastAsia"/>
                <w:sz w:val="18"/>
                <w:szCs w:val="18"/>
              </w:rPr>
              <w:t>5</w:t>
            </w:r>
            <w:r>
              <w:rPr>
                <w:sz w:val="18"/>
                <w:szCs w:val="18"/>
              </w:rPr>
              <w:t>7</w:t>
            </w:r>
          </w:p>
        </w:tc>
        <w:tc>
          <w:tcPr>
            <w:tcW w:w="166" w:type="pct"/>
            <w:shd w:val="clear" w:color="auto" w:fill="auto"/>
            <w:vAlign w:val="center"/>
          </w:tcPr>
          <w:p>
            <w:pPr>
              <w:pStyle w:val="105"/>
              <w:jc w:val="center"/>
              <w:rPr>
                <w:sz w:val="18"/>
                <w:szCs w:val="18"/>
              </w:rPr>
            </w:pPr>
            <w:r>
              <w:rPr>
                <w:rFonts w:hint="eastAsia"/>
                <w:sz w:val="18"/>
                <w:szCs w:val="18"/>
              </w:rPr>
              <w:t>6</w:t>
            </w:r>
            <w:r>
              <w:rPr>
                <w:sz w:val="18"/>
                <w:szCs w:val="18"/>
              </w:rPr>
              <w:t>3</w:t>
            </w:r>
          </w:p>
        </w:tc>
        <w:tc>
          <w:tcPr>
            <w:tcW w:w="132" w:type="pct"/>
            <w:shd w:val="clear" w:color="auto" w:fill="auto"/>
            <w:vAlign w:val="center"/>
          </w:tcPr>
          <w:p>
            <w:pPr>
              <w:pStyle w:val="105"/>
              <w:jc w:val="center"/>
              <w:rPr>
                <w:sz w:val="18"/>
                <w:szCs w:val="18"/>
              </w:rPr>
            </w:pPr>
            <w:r>
              <w:rPr>
                <w:sz w:val="18"/>
                <w:szCs w:val="18"/>
              </w:rPr>
              <w:t>2</w:t>
            </w:r>
            <w:r>
              <w:rPr>
                <w:rFonts w:hint="eastAsia"/>
                <w:sz w:val="18"/>
                <w:szCs w:val="18"/>
              </w:rPr>
              <w:t>类</w:t>
            </w:r>
          </w:p>
        </w:tc>
        <w:tc>
          <w:tcPr>
            <w:tcW w:w="166" w:type="pct"/>
            <w:shd w:val="clear" w:color="auto" w:fill="auto"/>
            <w:vAlign w:val="center"/>
          </w:tcPr>
          <w:p>
            <w:pPr>
              <w:pStyle w:val="105"/>
              <w:jc w:val="center"/>
              <w:rPr>
                <w:sz w:val="18"/>
                <w:szCs w:val="18"/>
              </w:rPr>
            </w:pPr>
            <w:r>
              <w:rPr>
                <w:rFonts w:hint="eastAsia"/>
                <w:sz w:val="18"/>
                <w:szCs w:val="18"/>
              </w:rPr>
              <w:t>16户80人</w:t>
            </w:r>
          </w:p>
        </w:tc>
        <w:tc>
          <w:tcPr>
            <w:tcW w:w="397" w:type="pct"/>
            <w:vMerge w:val="continue"/>
            <w:shd w:val="clear" w:color="auto" w:fill="auto"/>
          </w:tcPr>
          <w:p>
            <w:pPr>
              <w:pStyle w:val="105"/>
              <w:jc w:val="center"/>
              <w:rPr>
                <w:sz w:val="18"/>
                <w:szCs w:val="18"/>
              </w:rPr>
            </w:pPr>
          </w:p>
        </w:tc>
        <w:tc>
          <w:tcPr>
            <w:tcW w:w="994" w:type="pct"/>
            <w:vMerge w:val="continue"/>
            <w:shd w:val="clear" w:color="auto" w:fill="auto"/>
            <w:vAlign w:val="center"/>
          </w:tcPr>
          <w:p>
            <w:pPr>
              <w:pStyle w:val="105"/>
              <w:jc w:val="center"/>
              <w:rPr>
                <w:sz w:val="18"/>
                <w:szCs w:val="18"/>
              </w:rP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409" w:hRule="atLeast"/>
          <w:jc w:val="center"/>
        </w:trPr>
        <w:tc>
          <w:tcPr>
            <w:tcW w:w="66" w:type="pct"/>
            <w:vMerge w:val="restart"/>
            <w:shd w:val="clear" w:color="auto" w:fill="auto"/>
            <w:vAlign w:val="center"/>
          </w:tcPr>
          <w:p>
            <w:pPr>
              <w:pStyle w:val="105"/>
              <w:jc w:val="center"/>
              <w:rPr>
                <w:sz w:val="18"/>
                <w:szCs w:val="18"/>
              </w:rPr>
            </w:pPr>
            <w:r>
              <w:rPr>
                <w:rFonts w:hint="eastAsia"/>
                <w:sz w:val="18"/>
                <w:szCs w:val="18"/>
              </w:rPr>
              <w:t>3</w:t>
            </w:r>
          </w:p>
        </w:tc>
        <w:tc>
          <w:tcPr>
            <w:tcW w:w="133" w:type="pct"/>
            <w:vMerge w:val="restart"/>
            <w:shd w:val="clear" w:color="auto" w:fill="auto"/>
            <w:vAlign w:val="center"/>
          </w:tcPr>
          <w:p>
            <w:pPr>
              <w:pStyle w:val="105"/>
              <w:jc w:val="center"/>
              <w:rPr>
                <w:sz w:val="18"/>
                <w:szCs w:val="18"/>
              </w:rPr>
            </w:pPr>
            <w:r>
              <w:rPr>
                <w:rFonts w:hint="eastAsia"/>
                <w:sz w:val="18"/>
                <w:szCs w:val="18"/>
              </w:rPr>
              <w:t>上张村王</w:t>
            </w:r>
            <w:bookmarkStart w:id="174" w:name="_Hlk190789969"/>
            <w:r>
              <w:rPr>
                <w:rFonts w:hint="eastAsia"/>
                <w:sz w:val="18"/>
                <w:szCs w:val="18"/>
              </w:rPr>
              <w:t>房</w:t>
            </w:r>
            <w:bookmarkEnd w:id="174"/>
          </w:p>
        </w:tc>
        <w:tc>
          <w:tcPr>
            <w:tcW w:w="132" w:type="pct"/>
            <w:vMerge w:val="restart"/>
            <w:shd w:val="clear" w:color="auto" w:fill="auto"/>
            <w:vAlign w:val="center"/>
          </w:tcPr>
          <w:p>
            <w:pPr>
              <w:pStyle w:val="105"/>
              <w:jc w:val="center"/>
              <w:rPr>
                <w:sz w:val="18"/>
                <w:szCs w:val="18"/>
              </w:rPr>
            </w:pPr>
            <w:r>
              <w:rPr>
                <w:rFonts w:hint="eastAsia"/>
                <w:sz w:val="18"/>
                <w:szCs w:val="18"/>
              </w:rPr>
              <w:t>主线</w:t>
            </w:r>
          </w:p>
        </w:tc>
        <w:tc>
          <w:tcPr>
            <w:tcW w:w="166" w:type="pct"/>
            <w:vMerge w:val="restart"/>
            <w:shd w:val="clear" w:color="auto" w:fill="auto"/>
            <w:vAlign w:val="center"/>
          </w:tcPr>
          <w:p>
            <w:pPr>
              <w:pStyle w:val="105"/>
              <w:jc w:val="center"/>
              <w:rPr>
                <w:sz w:val="18"/>
                <w:szCs w:val="18"/>
              </w:rPr>
            </w:pPr>
            <w:r>
              <w:rPr>
                <w:sz w:val="18"/>
                <w:szCs w:val="18"/>
              </w:rPr>
              <w:t>K1+200~ K1+550</w:t>
            </w:r>
          </w:p>
        </w:tc>
        <w:tc>
          <w:tcPr>
            <w:tcW w:w="100" w:type="pct"/>
            <w:vMerge w:val="restart"/>
            <w:shd w:val="clear" w:color="auto" w:fill="auto"/>
            <w:vAlign w:val="center"/>
          </w:tcPr>
          <w:p>
            <w:pPr>
              <w:pStyle w:val="105"/>
              <w:jc w:val="center"/>
              <w:rPr>
                <w:sz w:val="18"/>
                <w:szCs w:val="18"/>
              </w:rPr>
            </w:pPr>
            <w:r>
              <w:rPr>
                <w:rFonts w:hint="eastAsia"/>
                <w:sz w:val="18"/>
                <w:szCs w:val="18"/>
              </w:rPr>
              <w:t>地面线路（路基）</w:t>
            </w:r>
          </w:p>
        </w:tc>
        <w:tc>
          <w:tcPr>
            <w:tcW w:w="99" w:type="pct"/>
            <w:vMerge w:val="restart"/>
            <w:shd w:val="clear" w:color="auto" w:fill="auto"/>
            <w:vAlign w:val="center"/>
          </w:tcPr>
          <w:p>
            <w:pPr>
              <w:pStyle w:val="105"/>
              <w:jc w:val="center"/>
              <w:rPr>
                <w:sz w:val="18"/>
                <w:szCs w:val="18"/>
              </w:rPr>
            </w:pPr>
            <w:r>
              <w:rPr>
                <w:rFonts w:hint="eastAsia"/>
                <w:sz w:val="18"/>
                <w:szCs w:val="18"/>
              </w:rPr>
              <w:t>0</w:t>
            </w:r>
            <w:r>
              <w:rPr>
                <w:sz w:val="18"/>
                <w:szCs w:val="18"/>
              </w:rPr>
              <w:t>.3~1.2</w:t>
            </w: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1</w:t>
            </w:r>
          </w:p>
        </w:tc>
        <w:tc>
          <w:tcPr>
            <w:tcW w:w="166" w:type="pct"/>
            <w:shd w:val="clear" w:color="auto" w:fill="auto"/>
            <w:vAlign w:val="center"/>
          </w:tcPr>
          <w:p>
            <w:pPr>
              <w:pStyle w:val="105"/>
              <w:jc w:val="center"/>
              <w:rPr>
                <w:sz w:val="18"/>
                <w:szCs w:val="18"/>
              </w:rPr>
            </w:pPr>
            <w:r>
              <w:rPr>
                <w:sz w:val="18"/>
                <w:szCs w:val="18"/>
              </w:rPr>
              <w:t>5</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4</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sz w:val="18"/>
                <w:szCs w:val="18"/>
              </w:rPr>
              <w:t>2</w:t>
            </w:r>
            <w:r>
              <w:rPr>
                <w:rFonts w:hint="eastAsia"/>
                <w:sz w:val="18"/>
                <w:szCs w:val="18"/>
              </w:rPr>
              <w:t>户</w:t>
            </w:r>
            <w:r>
              <w:rPr>
                <w:sz w:val="18"/>
                <w:szCs w:val="18"/>
              </w:rPr>
              <w:t>11</w:t>
            </w:r>
            <w:r>
              <w:rPr>
                <w:rFonts w:hint="eastAsia"/>
                <w:sz w:val="18"/>
                <w:szCs w:val="18"/>
              </w:rPr>
              <w:t>人</w:t>
            </w:r>
          </w:p>
        </w:tc>
        <w:tc>
          <w:tcPr>
            <w:tcW w:w="397" w:type="pct"/>
            <w:vMerge w:val="restart"/>
            <w:shd w:val="clear" w:color="auto" w:fill="auto"/>
          </w:tcPr>
          <w:p>
            <w:pPr>
              <w:pStyle w:val="105"/>
              <w:jc w:val="center"/>
              <w:rPr>
                <w:sz w:val="18"/>
                <w:szCs w:val="18"/>
              </w:rPr>
            </w:pPr>
            <w:r>
              <w:rPr>
                <w:rFonts w:hint="eastAsia"/>
                <w:sz w:val="18"/>
                <w:szCs w:val="18"/>
              </w:rPr>
              <w:t>砖混结构，建筑主要为</w:t>
            </w:r>
            <w:r>
              <w:rPr>
                <w:sz w:val="18"/>
                <w:szCs w:val="18"/>
              </w:rPr>
              <w:t>3~4</w:t>
            </w:r>
            <w:r>
              <w:rPr>
                <w:rFonts w:hint="eastAsia"/>
                <w:sz w:val="18"/>
                <w:szCs w:val="18"/>
              </w:rPr>
              <w:t>层，主要建筑正对拟建道路（南），铝合金推拉窗，周边园地，与道路之间无密集林带。</w:t>
            </w:r>
          </w:p>
          <w:p>
            <w:pPr>
              <w:pStyle w:val="105"/>
              <w:jc w:val="center"/>
              <w:rPr>
                <w:sz w:val="18"/>
                <w:szCs w:val="18"/>
              </w:rPr>
            </w:pPr>
            <w:r>
              <w:rPr>
                <w:rFonts w:hint="eastAsia"/>
                <w:sz w:val="18"/>
                <w:szCs w:val="18"/>
              </w:rPr>
              <w:t>2类区建筑与道路之前受密集建筑阻隔。</w:t>
            </w:r>
          </w:p>
        </w:tc>
        <w:tc>
          <w:tcPr>
            <w:tcW w:w="994"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694080" behindDoc="0" locked="0" layoutInCell="1" allowOverlap="1">
                      <wp:simplePos x="0" y="0"/>
                      <wp:positionH relativeFrom="column">
                        <wp:posOffset>459740</wp:posOffset>
                      </wp:positionH>
                      <wp:positionV relativeFrom="paragraph">
                        <wp:posOffset>45085</wp:posOffset>
                      </wp:positionV>
                      <wp:extent cx="989330" cy="299720"/>
                      <wp:effectExtent l="0" t="0" r="1270" b="5080"/>
                      <wp:wrapNone/>
                      <wp:docPr id="474" name="文本框 474"/>
                      <wp:cNvGraphicFramePr/>
                      <a:graphic xmlns:a="http://schemas.openxmlformats.org/drawingml/2006/main">
                        <a:graphicData uri="http://schemas.microsoft.com/office/word/2010/wordprocessingShape">
                          <wps:wsp>
                            <wps:cNvSpPr txBox="1"/>
                            <wps:spPr>
                              <a:xfrm>
                                <a:off x="0" y="0"/>
                                <a:ext cx="989330"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上张村王房</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6.2pt;margin-top:3.55pt;height:23.6pt;width:77.9pt;z-index:251694080;mso-width-relative:page;mso-height-relative:page;" filled="f" stroked="f" coordsize="21600,21600" o:gfxdata="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ZHvBLWAAAABwEAAA8AAAAAAAAAAQAgAAAAIgAAAGRycy9kb3ducmV2Lnht&#10;bFBLAQIUABQAAAAIAIdO4kDapjKwNAIAAFkEAAAOAAAAAAAAAAEAIAAAACUBAABkcnMvZTJvRG9j&#10;LnhtbFBLBQYAAAAABgAGAFkBAADL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上张村王房</w:t>
                            </w:r>
                          </w:p>
                        </w:txbxContent>
                      </v:textbox>
                    </v:shape>
                  </w:pict>
                </mc:Fallback>
              </mc:AlternateContent>
            </w:r>
            <w:r>
              <w:t xml:space="preserve"> </w:t>
            </w:r>
          </w:p>
        </w:tc>
        <w:tc>
          <w:tcPr>
            <w:tcW w:w="1340"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62688" behindDoc="0" locked="0" layoutInCell="1" allowOverlap="1">
                      <wp:simplePos x="0" y="0"/>
                      <wp:positionH relativeFrom="column">
                        <wp:posOffset>2726690</wp:posOffset>
                      </wp:positionH>
                      <wp:positionV relativeFrom="paragraph">
                        <wp:posOffset>710565</wp:posOffset>
                      </wp:positionV>
                      <wp:extent cx="248285" cy="299720"/>
                      <wp:effectExtent l="0" t="0" r="0" b="5080"/>
                      <wp:wrapNone/>
                      <wp:docPr id="1593004305" name="文本框 1593004305"/>
                      <wp:cNvGraphicFramePr/>
                      <a:graphic xmlns:a="http://schemas.openxmlformats.org/drawingml/2006/main">
                        <a:graphicData uri="http://schemas.microsoft.com/office/word/2010/wordprocessingShape">
                          <wps:wsp>
                            <wps:cNvSpPr txBox="1"/>
                            <wps:spPr>
                              <a:xfrm>
                                <a:off x="0" y="0"/>
                                <a:ext cx="24828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4.7pt;margin-top:55.95pt;height:23.6pt;width:19.55pt;z-index:251762688;mso-width-relative:page;mso-height-relative:page;" filled="f" stroked="f" coordsize="21600,21600" o:gfxdata="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64LLZAAAACwEAAA8AAAAAAAAAAQAgAAAAIgAAAGRycy9k&#10;b3ducmV2LnhtbFBLAQIUABQAAAAIAIdO4kBJYUraOgIAAGcEAAAOAAAAAAAAAAEAIAAAACgBAABk&#10;cnMvZTJvRG9jLnhtbFBLBQYAAAAABgAGAFkBAADU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拆</w:t>
                            </w:r>
                          </w:p>
                        </w:txbxContent>
                      </v:textbox>
                    </v:shape>
                  </w:pict>
                </mc:Fallback>
              </mc:AlternateContent>
            </w:r>
            <w:r>
              <w:rPr>
                <w:sz w:val="18"/>
                <w:szCs w:val="18"/>
              </w:rPr>
              <mc:AlternateContent>
                <mc:Choice Requires="wps">
                  <w:drawing>
                    <wp:anchor distT="0" distB="0" distL="114300" distR="114300" simplePos="0" relativeHeight="251696128" behindDoc="0" locked="0" layoutInCell="1" allowOverlap="1">
                      <wp:simplePos x="0" y="0"/>
                      <wp:positionH relativeFrom="column">
                        <wp:posOffset>3185160</wp:posOffset>
                      </wp:positionH>
                      <wp:positionV relativeFrom="paragraph">
                        <wp:posOffset>1443355</wp:posOffset>
                      </wp:positionV>
                      <wp:extent cx="543560" cy="258445"/>
                      <wp:effectExtent l="0" t="704850" r="27940" b="27305"/>
                      <wp:wrapNone/>
                      <wp:docPr id="477" name="对话气泡: 圆角矩形 477"/>
                      <wp:cNvGraphicFramePr/>
                      <a:graphic xmlns:a="http://schemas.openxmlformats.org/drawingml/2006/main">
                        <a:graphicData uri="http://schemas.microsoft.com/office/word/2010/wordprocessingShape">
                          <wps:wsp>
                            <wps:cNvSpPr/>
                            <wps:spPr>
                              <a:xfrm>
                                <a:off x="0" y="0"/>
                                <a:ext cx="543560" cy="258445"/>
                              </a:xfrm>
                              <a:prstGeom prst="wedgeRoundRectCallout">
                                <a:avLst>
                                  <a:gd name="adj1" fmla="val -34005"/>
                                  <a:gd name="adj2" fmla="val -299341"/>
                                  <a:gd name="adj3" fmla="val 16667"/>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color w:val="FF0000"/>
                                    </w:rPr>
                                  </w:pPr>
                                  <w:r>
                                    <w:rPr>
                                      <w:rFonts w:hint="eastAsia"/>
                                      <w:color w:val="FF0000"/>
                                    </w:rPr>
                                    <w:t>已建段</w:t>
                                  </w:r>
                                </w:p>
                              </w:txbxContent>
                            </wps:txbx>
                            <wps:bodyPr rot="0" spcFirstLastPara="0" vertOverflow="overflow" horzOverflow="overflow" vert="horz" wrap="square" lIns="18000" tIns="18000" rIns="18000" bIns="18000" numCol="1" spcCol="0" rtlCol="0" fromWordArt="0" anchor="ctr" anchorCtr="0" forceAA="0" compatLnSpc="1">
                              <a:noAutofit/>
                            </wps:bodyPr>
                          </wps:wsp>
                        </a:graphicData>
                      </a:graphic>
                    </wp:anchor>
                  </w:drawing>
                </mc:Choice>
                <mc:Fallback>
                  <w:pict>
                    <v:shape id="对话气泡: 圆角矩形 477" o:spid="_x0000_s1026" o:spt="62" type="#_x0000_t62" style="position:absolute;left:0pt;margin-left:250.8pt;margin-top:113.65pt;height:20.35pt;width:42.8pt;z-index:251696128;v-text-anchor:middle;mso-width-relative:page;mso-height-relative:page;" fillcolor="#FFFFFF [3212]" filled="t" stroked="t" coordsize="21600,21600" o:gfxdata="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D4dNmLaAAAACwEAAA8AAAAAAAAAAQAg&#10;AAAAIgAAAGRycy9kb3ducmV2LnhtbFBLAQIUABQAAAAIAIdO4kAIEJZ08AIAANcFAAAOAAAAAAAA&#10;AAEAIAAAACkBAABkcnMvZTJvRG9jLnhtbFBLBQYAAAAABgAGAFkBAACLBgAAAAA=&#10;" adj="3455,-53858,14400">
                      <v:fill on="t" focussize="0,0"/>
                      <v:stroke weight="1pt" color="#0D0D0D [3069]" miterlimit="8" joinstyle="miter"/>
                      <v:imagedata o:title=""/>
                      <o:lock v:ext="edit" aspectratio="f"/>
                      <v:textbox inset="0.5mm,0.5mm,0.5mm,0.5mm">
                        <w:txbxContent>
                          <w:p>
                            <w:pPr>
                              <w:ind w:firstLine="0" w:firstLineChars="0"/>
                              <w:rPr>
                                <w:color w:val="FF0000"/>
                              </w:rPr>
                            </w:pPr>
                            <w:r>
                              <w:rPr>
                                <w:rFonts w:hint="eastAsia"/>
                                <w:color w:val="FF0000"/>
                              </w:rPr>
                              <w:t>已建段</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2765425</wp:posOffset>
                      </wp:positionH>
                      <wp:positionV relativeFrom="paragraph">
                        <wp:posOffset>1062355</wp:posOffset>
                      </wp:positionV>
                      <wp:extent cx="520700" cy="1456690"/>
                      <wp:effectExtent l="19050" t="38100" r="12700" b="29210"/>
                      <wp:wrapNone/>
                      <wp:docPr id="465" name="箭头: 下 465"/>
                      <wp:cNvGraphicFramePr/>
                      <a:graphic xmlns:a="http://schemas.openxmlformats.org/drawingml/2006/main">
                        <a:graphicData uri="http://schemas.microsoft.com/office/word/2010/wordprocessingShape">
                          <wps:wsp>
                            <wps:cNvSpPr/>
                            <wps:spPr>
                              <a:xfrm rot="393840">
                                <a:off x="0" y="0"/>
                                <a:ext cx="520700" cy="1456690"/>
                              </a:xfrm>
                              <a:prstGeom prst="downArrow">
                                <a:avLst>
                                  <a:gd name="adj1" fmla="val 50000"/>
                                  <a:gd name="adj2" fmla="val 131606"/>
                                </a:avLst>
                              </a:pr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465" o:spid="_x0000_s1026" o:spt="67" type="#_x0000_t67" style="position:absolute;left:0pt;margin-left:217.75pt;margin-top:83.65pt;height:114.7pt;width:41pt;rotation:430178f;z-index:251689984;v-text-anchor:middle;mso-width-relative:page;mso-height-relative:page;" fillcolor="#FF0000" filled="t" stroked="t" coordsize="21600,21600" o:gfxdata="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JmePO2wAAAAsBAAAPAAAAAAAAAAEA&#10;IAAAACIAAABkcnMvZG93bnJldi54bWxQSwECFAAUAAAACACHTuJAyqKNxLcCAACCBQAADgAAAAAA&#10;AAABACAAAAAqAQAAZHJzL2Uyb0RvYy54bWxQSwUGAAAAAAYABgBZAQAAUwYAAAAA&#10;" adj="11439,5400">
                      <v:fill on="t" opacity="13107f" focussize="0,0"/>
                      <v:stroke weight="1pt" color="#FF0000 [3204]" miterlimit="8" joinstyle="miter"/>
                      <v:imagedata o:title=""/>
                      <o:lock v:ext="edit" aspectratio="f"/>
                    </v:shape>
                  </w:pict>
                </mc:Fallback>
              </mc:AlternateContent>
            </w:r>
            <w:r>
              <w:rPr>
                <w:sz w:val="18"/>
                <w:szCs w:val="18"/>
              </w:rPr>
              <mc:AlternateContent>
                <mc:Choice Requires="wps">
                  <w:drawing>
                    <wp:anchor distT="0" distB="0" distL="114300" distR="114300" simplePos="0" relativeHeight="251695104" behindDoc="0" locked="0" layoutInCell="1" allowOverlap="1">
                      <wp:simplePos x="0" y="0"/>
                      <wp:positionH relativeFrom="column">
                        <wp:posOffset>402590</wp:posOffset>
                      </wp:positionH>
                      <wp:positionV relativeFrom="paragraph">
                        <wp:posOffset>240030</wp:posOffset>
                      </wp:positionV>
                      <wp:extent cx="405130" cy="258445"/>
                      <wp:effectExtent l="0" t="95250" r="471170" b="27305"/>
                      <wp:wrapNone/>
                      <wp:docPr id="476" name="对话气泡: 圆角矩形 476"/>
                      <wp:cNvGraphicFramePr/>
                      <a:graphic xmlns:a="http://schemas.openxmlformats.org/drawingml/2006/main">
                        <a:graphicData uri="http://schemas.microsoft.com/office/word/2010/wordprocessingShape">
                          <wps:wsp>
                            <wps:cNvSpPr/>
                            <wps:spPr>
                              <a:xfrm>
                                <a:off x="9486181" y="7358332"/>
                                <a:ext cx="405130" cy="258445"/>
                              </a:xfrm>
                              <a:prstGeom prst="wedgeRoundRectCallout">
                                <a:avLst>
                                  <a:gd name="adj1" fmla="val 155278"/>
                                  <a:gd name="adj2" fmla="val -72369"/>
                                  <a:gd name="adj3" fmla="val 16667"/>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color w:val="FF0000"/>
                                    </w:rPr>
                                  </w:pPr>
                                  <w:r>
                                    <w:rPr>
                                      <w:rFonts w:hint="eastAsia"/>
                                      <w:color w:val="FF0000"/>
                                    </w:rPr>
                                    <w:t>高铁</w:t>
                                  </w:r>
                                </w:p>
                              </w:txbxContent>
                            </wps:txbx>
                            <wps:bodyPr rot="0" spcFirstLastPara="0" vertOverflow="overflow" horzOverflow="overflow" vert="horz" wrap="square" lIns="18000" tIns="18000" rIns="18000" bIns="18000" numCol="1" spcCol="0" rtlCol="0" fromWordArt="0" anchor="ctr" anchorCtr="0" forceAA="0" compatLnSpc="1">
                              <a:noAutofit/>
                            </wps:bodyPr>
                          </wps:wsp>
                        </a:graphicData>
                      </a:graphic>
                    </wp:anchor>
                  </w:drawing>
                </mc:Choice>
                <mc:Fallback>
                  <w:pict>
                    <v:shape id="对话气泡: 圆角矩形 476" o:spid="_x0000_s1026" o:spt="62" type="#_x0000_t62" style="position:absolute;left:0pt;margin-left:31.7pt;margin-top:18.9pt;height:20.35pt;width:31.9pt;z-index:251695104;v-text-anchor:middle;mso-width-relative:page;mso-height-relative:page;" fillcolor="#FFFFFF [3212]" filled="t" stroked="t" coordsize="21600,21600" o:gfxdata="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c9Mlf2AAAAAgBAAAP&#10;AAAAAAAAAAEAIAAAACIAAABkcnMvZG93bnJldi54bWxQSwECFAAUAAAACACHTuJATMy41PwCAADi&#10;BQAADgAAAAAAAAABACAAAAAnAQAAZHJzL2Uyb0RvYy54bWxQSwUGAAAAAAYABgBZAQAAlQYAAAAA&#10;" adj="44340,-4832,14400">
                      <v:fill on="t" focussize="0,0"/>
                      <v:stroke weight="1pt" color="#0D0D0D [3069]" miterlimit="8" joinstyle="miter"/>
                      <v:imagedata o:title=""/>
                      <o:lock v:ext="edit" aspectratio="f"/>
                      <v:textbox inset="0.5mm,0.5mm,0.5mm,0.5mm">
                        <w:txbxContent>
                          <w:p>
                            <w:pPr>
                              <w:ind w:firstLine="0" w:firstLineChars="0"/>
                              <w:rPr>
                                <w:color w:val="FF0000"/>
                              </w:rPr>
                            </w:pPr>
                            <w:r>
                              <w:rPr>
                                <w:rFonts w:hint="eastAsia"/>
                                <w:color w:val="FF0000"/>
                              </w:rPr>
                              <w:t>高铁</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937260</wp:posOffset>
                      </wp:positionH>
                      <wp:positionV relativeFrom="paragraph">
                        <wp:posOffset>1414780</wp:posOffset>
                      </wp:positionV>
                      <wp:extent cx="989330" cy="299720"/>
                      <wp:effectExtent l="0" t="0" r="1270" b="5080"/>
                      <wp:wrapNone/>
                      <wp:docPr id="473" name="文本框 473"/>
                      <wp:cNvGraphicFramePr/>
                      <a:graphic xmlns:a="http://schemas.openxmlformats.org/drawingml/2006/main">
                        <a:graphicData uri="http://schemas.microsoft.com/office/word/2010/wordprocessingShape">
                          <wps:wsp>
                            <wps:cNvSpPr txBox="1"/>
                            <wps:spPr>
                              <a:xfrm>
                                <a:off x="0" y="0"/>
                                <a:ext cx="989330"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上张村王房</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3.8pt;margin-top:111.4pt;height:23.6pt;width:77.9pt;z-index:251693056;mso-width-relative:page;mso-height-relative:page;" filled="f" stroked="f" coordsize="21600,21600" o:gfxdata="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bteCPZAAAACwEAAA8AAAAAAAAAAQAgAAAAIgAAAGRycy9kb3ducmV2&#10;LnhtbFBLAQIUABQAAAAIAIdO4kARP4b4NAIAAFkEAAAOAAAAAAAAAAEAIAAAACgBAABkcnMvZTJv&#10;RG9jLnhtbFBLBQYAAAAABgAGAFkBAADO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上张村王房</w:t>
                            </w:r>
                          </w:p>
                        </w:txbxContent>
                      </v:textbox>
                    </v:shape>
                  </w:pict>
                </mc:Fallback>
              </mc:AlternateContent>
            </w:r>
          </w:p>
        </w:tc>
        <w:tc>
          <w:tcPr>
            <w:tcW w:w="645" w:type="pct"/>
            <w:vMerge w:val="restar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255"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vMerge w:val="continue"/>
            <w:shd w:val="clear" w:color="auto" w:fill="auto"/>
            <w:vAlign w:val="center"/>
          </w:tcPr>
          <w:p>
            <w:pPr>
              <w:pStyle w:val="105"/>
              <w:jc w:val="center"/>
              <w:rPr>
                <w:sz w:val="18"/>
                <w:szCs w:val="18"/>
              </w:rPr>
            </w:pPr>
          </w:p>
        </w:tc>
        <w:tc>
          <w:tcPr>
            <w:tcW w:w="99" w:type="pct"/>
            <w:vMerge w:val="continue"/>
            <w:shd w:val="clear" w:color="auto" w:fill="auto"/>
            <w:vAlign w:val="center"/>
          </w:tcPr>
          <w:p>
            <w:pPr>
              <w:pStyle w:val="105"/>
              <w:jc w:val="center"/>
              <w:rPr>
                <w:sz w:val="18"/>
                <w:szCs w:val="18"/>
              </w:rPr>
            </w:pP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1~+3</w:t>
            </w:r>
          </w:p>
        </w:tc>
        <w:tc>
          <w:tcPr>
            <w:tcW w:w="166" w:type="pct"/>
            <w:shd w:val="clear" w:color="auto" w:fill="auto"/>
            <w:vAlign w:val="center"/>
          </w:tcPr>
          <w:p>
            <w:pPr>
              <w:pStyle w:val="105"/>
              <w:jc w:val="center"/>
              <w:rPr>
                <w:sz w:val="18"/>
                <w:szCs w:val="18"/>
              </w:rPr>
            </w:pPr>
            <w:r>
              <w:rPr>
                <w:sz w:val="18"/>
                <w:szCs w:val="18"/>
              </w:rPr>
              <w:t>53</w:t>
            </w:r>
          </w:p>
        </w:tc>
        <w:tc>
          <w:tcPr>
            <w:tcW w:w="166" w:type="pct"/>
            <w:shd w:val="clear" w:color="auto" w:fill="auto"/>
            <w:vAlign w:val="center"/>
          </w:tcPr>
          <w:p>
            <w:pPr>
              <w:pStyle w:val="105"/>
              <w:jc w:val="center"/>
              <w:rPr>
                <w:sz w:val="18"/>
                <w:szCs w:val="18"/>
              </w:rPr>
            </w:pPr>
            <w:r>
              <w:rPr>
                <w:sz w:val="18"/>
                <w:szCs w:val="18"/>
              </w:rPr>
              <w:t>63</w:t>
            </w:r>
          </w:p>
        </w:tc>
        <w:tc>
          <w:tcPr>
            <w:tcW w:w="132" w:type="pct"/>
            <w:shd w:val="clear" w:color="auto" w:fill="auto"/>
            <w:vAlign w:val="center"/>
          </w:tcPr>
          <w:p>
            <w:pPr>
              <w:pStyle w:val="105"/>
              <w:jc w:val="center"/>
              <w:rPr>
                <w:sz w:val="18"/>
                <w:szCs w:val="18"/>
              </w:rPr>
            </w:pPr>
            <w:r>
              <w:rPr>
                <w:sz w:val="18"/>
                <w:szCs w:val="18"/>
              </w:rPr>
              <w:t>2</w:t>
            </w:r>
            <w:r>
              <w:rPr>
                <w:rFonts w:hint="eastAsia"/>
                <w:sz w:val="18"/>
                <w:szCs w:val="18"/>
              </w:rPr>
              <w:t>类</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7</w:t>
            </w:r>
            <w:r>
              <w:rPr>
                <w:rFonts w:hint="eastAsia"/>
                <w:sz w:val="18"/>
                <w:szCs w:val="18"/>
              </w:rPr>
              <w:t>户</w:t>
            </w:r>
            <w:r>
              <w:rPr>
                <w:sz w:val="18"/>
                <w:szCs w:val="18"/>
              </w:rPr>
              <w:t>92</w:t>
            </w:r>
            <w:r>
              <w:rPr>
                <w:rFonts w:hint="eastAsia"/>
                <w:sz w:val="18"/>
                <w:szCs w:val="18"/>
              </w:rPr>
              <w:t>人</w:t>
            </w:r>
          </w:p>
        </w:tc>
        <w:tc>
          <w:tcPr>
            <w:tcW w:w="397" w:type="pct"/>
            <w:vMerge w:val="continue"/>
            <w:shd w:val="clear" w:color="auto" w:fill="auto"/>
          </w:tcPr>
          <w:p>
            <w:pPr>
              <w:pStyle w:val="105"/>
              <w:jc w:val="center"/>
              <w:rPr>
                <w:sz w:val="18"/>
                <w:szCs w:val="18"/>
              </w:rPr>
            </w:pPr>
          </w:p>
        </w:tc>
        <w:tc>
          <w:tcPr>
            <w:tcW w:w="994" w:type="pct"/>
            <w:vMerge w:val="continue"/>
            <w:shd w:val="clear" w:color="auto" w:fill="auto"/>
            <w:vAlign w:val="center"/>
          </w:tcPr>
          <w:p>
            <w:pPr>
              <w:pStyle w:val="105"/>
              <w:jc w:val="cente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vMerge w:val="continue"/>
            <w:shd w:val="clear" w:color="auto" w:fill="auto"/>
            <w:vAlign w:val="center"/>
          </w:tcPr>
          <w:p>
            <w:pPr>
              <w:pStyle w:val="105"/>
              <w:jc w:val="center"/>
              <w:rPr>
                <w:sz w:val="18"/>
                <w:szCs w:val="18"/>
              </w:rPr>
            </w:pPr>
          </w:p>
        </w:tc>
        <w:tc>
          <w:tcPr>
            <w:tcW w:w="99" w:type="pct"/>
            <w:vMerge w:val="continue"/>
            <w:shd w:val="clear" w:color="auto" w:fill="auto"/>
            <w:vAlign w:val="center"/>
          </w:tcPr>
          <w:p>
            <w:pPr>
              <w:pStyle w:val="105"/>
              <w:jc w:val="center"/>
              <w:rPr>
                <w:sz w:val="18"/>
                <w:szCs w:val="18"/>
              </w:rPr>
            </w:pP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1</w:t>
            </w:r>
          </w:p>
        </w:tc>
        <w:tc>
          <w:tcPr>
            <w:tcW w:w="166" w:type="pct"/>
            <w:shd w:val="clear" w:color="auto" w:fill="auto"/>
            <w:vAlign w:val="center"/>
          </w:tcPr>
          <w:p>
            <w:pPr>
              <w:pStyle w:val="105"/>
              <w:jc w:val="center"/>
              <w:rPr>
                <w:sz w:val="18"/>
                <w:szCs w:val="18"/>
              </w:rPr>
            </w:pPr>
            <w:r>
              <w:rPr>
                <w:rFonts w:hint="eastAsia"/>
                <w:sz w:val="18"/>
                <w:szCs w:val="18"/>
              </w:rPr>
              <w:t>4</w:t>
            </w:r>
            <w:r>
              <w:rPr>
                <w:sz w:val="18"/>
                <w:szCs w:val="18"/>
              </w:rPr>
              <w:t>0</w:t>
            </w:r>
          </w:p>
        </w:tc>
        <w:tc>
          <w:tcPr>
            <w:tcW w:w="166" w:type="pct"/>
            <w:shd w:val="clear" w:color="auto" w:fill="auto"/>
            <w:vAlign w:val="center"/>
          </w:tcPr>
          <w:p>
            <w:pPr>
              <w:pStyle w:val="105"/>
              <w:jc w:val="center"/>
              <w:rPr>
                <w:sz w:val="18"/>
                <w:szCs w:val="18"/>
              </w:rPr>
            </w:pPr>
            <w:r>
              <w:rPr>
                <w:rFonts w:hint="eastAsia"/>
                <w:sz w:val="18"/>
                <w:szCs w:val="18"/>
              </w:rPr>
              <w:t>4</w:t>
            </w:r>
            <w:r>
              <w:rPr>
                <w:sz w:val="18"/>
                <w:szCs w:val="18"/>
              </w:rPr>
              <w:t>9</w:t>
            </w:r>
          </w:p>
        </w:tc>
        <w:tc>
          <w:tcPr>
            <w:tcW w:w="132" w:type="pct"/>
            <w:shd w:val="clear" w:color="auto" w:fill="auto"/>
            <w:vAlign w:val="center"/>
          </w:tcPr>
          <w:p>
            <w:pPr>
              <w:pStyle w:val="105"/>
              <w:jc w:val="center"/>
              <w:rPr>
                <w:sz w:val="18"/>
                <w:szCs w:val="18"/>
              </w:rPr>
            </w:pPr>
            <w:r>
              <w:rPr>
                <w:sz w:val="18"/>
                <w:szCs w:val="18"/>
              </w:rPr>
              <w:t>4</w:t>
            </w:r>
            <w:r>
              <w:rPr>
                <w:rFonts w:hint="eastAsia"/>
                <w:sz w:val="18"/>
                <w:szCs w:val="18"/>
              </w:rPr>
              <w:t>b类（高铁）</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7</w:t>
            </w:r>
            <w:r>
              <w:rPr>
                <w:rFonts w:hint="eastAsia"/>
                <w:sz w:val="18"/>
                <w:szCs w:val="18"/>
              </w:rPr>
              <w:t>户</w:t>
            </w:r>
            <w:r>
              <w:rPr>
                <w:sz w:val="18"/>
                <w:szCs w:val="18"/>
              </w:rPr>
              <w:t>92</w:t>
            </w:r>
            <w:r>
              <w:rPr>
                <w:rFonts w:hint="eastAsia"/>
                <w:sz w:val="18"/>
                <w:szCs w:val="18"/>
              </w:rPr>
              <w:t>人</w:t>
            </w:r>
          </w:p>
        </w:tc>
        <w:tc>
          <w:tcPr>
            <w:tcW w:w="397" w:type="pct"/>
            <w:vMerge w:val="continue"/>
            <w:shd w:val="clear" w:color="auto" w:fill="auto"/>
          </w:tcPr>
          <w:p>
            <w:pPr>
              <w:pStyle w:val="105"/>
              <w:jc w:val="center"/>
              <w:rPr>
                <w:sz w:val="18"/>
                <w:szCs w:val="18"/>
              </w:rPr>
            </w:pPr>
          </w:p>
        </w:tc>
        <w:tc>
          <w:tcPr>
            <w:tcW w:w="994" w:type="pct"/>
            <w:vMerge w:val="continue"/>
            <w:shd w:val="clear" w:color="auto" w:fill="auto"/>
            <w:vAlign w:val="center"/>
          </w:tcPr>
          <w:p>
            <w:pPr>
              <w:pStyle w:val="105"/>
              <w:jc w:val="center"/>
              <w:rPr>
                <w:sz w:val="18"/>
                <w:szCs w:val="18"/>
              </w:rP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111" w:hRule="atLeast"/>
          <w:jc w:val="center"/>
        </w:trPr>
        <w:tc>
          <w:tcPr>
            <w:tcW w:w="66" w:type="pct"/>
            <w:vMerge w:val="restart"/>
            <w:shd w:val="clear" w:color="auto" w:fill="auto"/>
            <w:vAlign w:val="center"/>
          </w:tcPr>
          <w:p>
            <w:pPr>
              <w:pStyle w:val="105"/>
              <w:jc w:val="center"/>
              <w:rPr>
                <w:sz w:val="18"/>
                <w:szCs w:val="18"/>
              </w:rPr>
            </w:pPr>
            <w:r>
              <w:rPr>
                <w:rFonts w:hint="eastAsia"/>
                <w:sz w:val="18"/>
                <w:szCs w:val="18"/>
              </w:rPr>
              <w:t>4</w:t>
            </w:r>
          </w:p>
        </w:tc>
        <w:tc>
          <w:tcPr>
            <w:tcW w:w="133" w:type="pct"/>
            <w:vMerge w:val="restart"/>
            <w:shd w:val="clear" w:color="auto" w:fill="auto"/>
            <w:vAlign w:val="center"/>
          </w:tcPr>
          <w:p>
            <w:pPr>
              <w:pStyle w:val="105"/>
              <w:jc w:val="center"/>
              <w:rPr>
                <w:sz w:val="18"/>
                <w:szCs w:val="18"/>
              </w:rPr>
            </w:pPr>
            <w:r>
              <w:rPr>
                <w:rFonts w:hint="eastAsia"/>
                <w:sz w:val="18"/>
                <w:szCs w:val="18"/>
              </w:rPr>
              <w:t>联华村后郑</w:t>
            </w:r>
          </w:p>
        </w:tc>
        <w:tc>
          <w:tcPr>
            <w:tcW w:w="132" w:type="pct"/>
            <w:vMerge w:val="restart"/>
            <w:shd w:val="clear" w:color="auto" w:fill="auto"/>
            <w:vAlign w:val="center"/>
          </w:tcPr>
          <w:p>
            <w:pPr>
              <w:pStyle w:val="105"/>
              <w:jc w:val="center"/>
              <w:rPr>
                <w:sz w:val="18"/>
                <w:szCs w:val="18"/>
              </w:rPr>
            </w:pPr>
            <w:r>
              <w:rPr>
                <w:rFonts w:hint="eastAsia"/>
                <w:sz w:val="18"/>
                <w:szCs w:val="18"/>
              </w:rPr>
              <w:t>主线</w:t>
            </w:r>
          </w:p>
        </w:tc>
        <w:tc>
          <w:tcPr>
            <w:tcW w:w="166" w:type="pct"/>
            <w:vMerge w:val="restart"/>
            <w:shd w:val="clear" w:color="auto" w:fill="auto"/>
            <w:vAlign w:val="center"/>
          </w:tcPr>
          <w:p>
            <w:pPr>
              <w:pStyle w:val="105"/>
              <w:jc w:val="center"/>
              <w:rPr>
                <w:sz w:val="18"/>
                <w:szCs w:val="18"/>
              </w:rPr>
            </w:pPr>
            <w:r>
              <w:rPr>
                <w:rFonts w:hint="eastAsia"/>
                <w:sz w:val="18"/>
                <w:szCs w:val="18"/>
              </w:rPr>
              <w:t>K</w:t>
            </w:r>
            <w:r>
              <w:rPr>
                <w:sz w:val="18"/>
                <w:szCs w:val="18"/>
              </w:rPr>
              <w:t>1+560~K1+820</w:t>
            </w:r>
          </w:p>
        </w:tc>
        <w:tc>
          <w:tcPr>
            <w:tcW w:w="100" w:type="pct"/>
            <w:vMerge w:val="restart"/>
            <w:shd w:val="clear" w:color="auto" w:fill="auto"/>
            <w:vAlign w:val="center"/>
          </w:tcPr>
          <w:p>
            <w:pPr>
              <w:pStyle w:val="105"/>
              <w:jc w:val="center"/>
              <w:rPr>
                <w:sz w:val="18"/>
                <w:szCs w:val="18"/>
              </w:rPr>
            </w:pPr>
            <w:r>
              <w:rPr>
                <w:rFonts w:hint="eastAsia"/>
                <w:sz w:val="18"/>
                <w:szCs w:val="18"/>
              </w:rPr>
              <w:t>地面线路（路基）</w:t>
            </w:r>
          </w:p>
        </w:tc>
        <w:tc>
          <w:tcPr>
            <w:tcW w:w="99" w:type="pct"/>
            <w:shd w:val="clear" w:color="auto" w:fill="auto"/>
            <w:vAlign w:val="center"/>
          </w:tcPr>
          <w:p>
            <w:pPr>
              <w:pStyle w:val="105"/>
              <w:jc w:val="center"/>
              <w:rPr>
                <w:sz w:val="18"/>
                <w:szCs w:val="18"/>
              </w:rPr>
            </w:pPr>
            <w:r>
              <w:rPr>
                <w:rFonts w:hint="eastAsia"/>
                <w:sz w:val="18"/>
                <w:szCs w:val="18"/>
              </w:rPr>
              <w:t>1</w:t>
            </w:r>
            <w:r>
              <w:rPr>
                <w:sz w:val="18"/>
                <w:szCs w:val="18"/>
              </w:rPr>
              <w:t>.2</w:t>
            </w:r>
          </w:p>
        </w:tc>
        <w:tc>
          <w:tcPr>
            <w:tcW w:w="99" w:type="pct"/>
            <w:shd w:val="clear" w:color="auto" w:fill="auto"/>
            <w:vAlign w:val="center"/>
          </w:tcPr>
          <w:p>
            <w:pPr>
              <w:pStyle w:val="105"/>
              <w:jc w:val="center"/>
              <w:rPr>
                <w:sz w:val="18"/>
                <w:szCs w:val="18"/>
              </w:rPr>
            </w:pPr>
            <w:r>
              <w:rPr>
                <w:rFonts w:hint="eastAsia"/>
                <w:sz w:val="18"/>
                <w:szCs w:val="18"/>
              </w:rPr>
              <w:t>路左</w:t>
            </w:r>
          </w:p>
        </w:tc>
        <w:tc>
          <w:tcPr>
            <w:tcW w:w="199" w:type="pct"/>
            <w:shd w:val="clear" w:color="auto" w:fill="auto"/>
            <w:vAlign w:val="center"/>
          </w:tcPr>
          <w:p>
            <w:pPr>
              <w:pStyle w:val="105"/>
              <w:jc w:val="center"/>
              <w:rPr>
                <w:sz w:val="18"/>
                <w:szCs w:val="18"/>
              </w:rPr>
            </w:pPr>
            <w:r>
              <w:rPr>
                <w:rFonts w:hint="eastAsia"/>
                <w:sz w:val="18"/>
                <w:szCs w:val="18"/>
              </w:rPr>
              <w:t>0</w:t>
            </w:r>
          </w:p>
        </w:tc>
        <w:tc>
          <w:tcPr>
            <w:tcW w:w="166" w:type="pct"/>
            <w:shd w:val="clear" w:color="auto" w:fill="auto"/>
            <w:vAlign w:val="center"/>
          </w:tcPr>
          <w:p>
            <w:pPr>
              <w:pStyle w:val="105"/>
              <w:jc w:val="center"/>
              <w:rPr>
                <w:sz w:val="18"/>
                <w:szCs w:val="18"/>
              </w:rPr>
            </w:pPr>
            <w:r>
              <w:rPr>
                <w:sz w:val="18"/>
                <w:szCs w:val="18"/>
              </w:rPr>
              <w:t>2</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1</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sz w:val="18"/>
                <w:szCs w:val="18"/>
              </w:rPr>
              <w:t>2</w:t>
            </w:r>
            <w:r>
              <w:rPr>
                <w:rFonts w:hint="eastAsia"/>
                <w:sz w:val="18"/>
                <w:szCs w:val="18"/>
              </w:rPr>
              <w:t>户</w:t>
            </w:r>
            <w:r>
              <w:rPr>
                <w:sz w:val="18"/>
                <w:szCs w:val="18"/>
              </w:rPr>
              <w:t>12</w:t>
            </w:r>
            <w:r>
              <w:rPr>
                <w:rFonts w:hint="eastAsia"/>
                <w:sz w:val="18"/>
                <w:szCs w:val="18"/>
              </w:rPr>
              <w:t>人</w:t>
            </w:r>
          </w:p>
        </w:tc>
        <w:tc>
          <w:tcPr>
            <w:tcW w:w="397" w:type="pct"/>
            <w:vMerge w:val="restart"/>
            <w:shd w:val="clear" w:color="auto" w:fill="auto"/>
          </w:tcPr>
          <w:p>
            <w:pPr>
              <w:pStyle w:val="105"/>
              <w:jc w:val="center"/>
              <w:rPr>
                <w:sz w:val="18"/>
                <w:szCs w:val="18"/>
              </w:rPr>
            </w:pPr>
            <w:r>
              <w:rPr>
                <w:rFonts w:hint="eastAsia"/>
                <w:sz w:val="18"/>
                <w:szCs w:val="18"/>
              </w:rPr>
              <w:t>砖混结构，建筑主要为</w:t>
            </w:r>
            <w:r>
              <w:rPr>
                <w:sz w:val="18"/>
                <w:szCs w:val="18"/>
              </w:rPr>
              <w:t>3~6</w:t>
            </w:r>
            <w:r>
              <w:rPr>
                <w:rFonts w:hint="eastAsia"/>
                <w:sz w:val="18"/>
                <w:szCs w:val="18"/>
              </w:rPr>
              <w:t>层，主要建筑侧向、背对拟建道路（南），铝合金推拉窗，周边园地，与道路之间无密集林带。</w:t>
            </w:r>
          </w:p>
        </w:tc>
        <w:tc>
          <w:tcPr>
            <w:tcW w:w="994"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03296" behindDoc="0" locked="0" layoutInCell="1" allowOverlap="1">
                      <wp:simplePos x="0" y="0"/>
                      <wp:positionH relativeFrom="column">
                        <wp:posOffset>1818005</wp:posOffset>
                      </wp:positionH>
                      <wp:positionV relativeFrom="paragraph">
                        <wp:posOffset>791845</wp:posOffset>
                      </wp:positionV>
                      <wp:extent cx="989330" cy="299720"/>
                      <wp:effectExtent l="0" t="0" r="1270" b="5080"/>
                      <wp:wrapNone/>
                      <wp:docPr id="480" name="文本框 480"/>
                      <wp:cNvGraphicFramePr/>
                      <a:graphic xmlns:a="http://schemas.openxmlformats.org/drawingml/2006/main">
                        <a:graphicData uri="http://schemas.microsoft.com/office/word/2010/wordprocessingShape">
                          <wps:wsp>
                            <wps:cNvSpPr txBox="1"/>
                            <wps:spPr>
                              <a:xfrm>
                                <a:off x="0" y="0"/>
                                <a:ext cx="989330"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上张村王房</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43.15pt;margin-top:62.35pt;height:23.6pt;width:77.9pt;z-index:251703296;mso-width-relative:page;mso-height-relative:page;" filled="f" stroked="f" coordsize="21600,21600" o:gfxdata="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4Iyv3ZAAAACwEAAA8AAAAAAAAAAQAgAAAAIgAAAGRycy9kb3ducmV2&#10;LnhtbFBLAQIUABQAAAAIAIdO4kBBY+BBNAIAAFkEAAAOAAAAAAAAAAEAIAAAACgBAABkcnMvZTJv&#10;RG9jLnhtbFBLBQYAAAAABgAGAFkBAADO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上张村王房</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801370</wp:posOffset>
                      </wp:positionH>
                      <wp:positionV relativeFrom="paragraph">
                        <wp:posOffset>1913255</wp:posOffset>
                      </wp:positionV>
                      <wp:extent cx="989330" cy="299720"/>
                      <wp:effectExtent l="0" t="0" r="1270" b="5080"/>
                      <wp:wrapNone/>
                      <wp:docPr id="481" name="文本框 481"/>
                      <wp:cNvGraphicFramePr/>
                      <a:graphic xmlns:a="http://schemas.openxmlformats.org/drawingml/2006/main">
                        <a:graphicData uri="http://schemas.microsoft.com/office/word/2010/wordprocessingShape">
                          <wps:wsp>
                            <wps:cNvSpPr txBox="1"/>
                            <wps:spPr>
                              <a:xfrm>
                                <a:off x="0" y="0"/>
                                <a:ext cx="989330"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联华村后郑</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1pt;margin-top:150.65pt;height:23.6pt;width:77.9pt;z-index:251704320;mso-width-relative:page;mso-height-relative:page;" filled="f" stroked="f" coordsize="21600,21600" o:gfxdata="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ZWthtgAAAALAQAADwAAAAAAAAABACAAAAAiAAAAZHJzL2Rvd25yZXYu&#10;eG1sUEsBAhQAFAAAAAgAh07iQK88zBw0AgAAWQQAAA4AAAAAAAAAAQAgAAAAJw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联华村后郑</w:t>
                            </w:r>
                          </w:p>
                        </w:txbxContent>
                      </v:textbox>
                    </v:shape>
                  </w:pict>
                </mc:Fallback>
              </mc:AlternateContent>
            </w:r>
          </w:p>
        </w:tc>
        <w:tc>
          <w:tcPr>
            <w:tcW w:w="1340"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02272" behindDoc="0" locked="0" layoutInCell="1" allowOverlap="1">
                      <wp:simplePos x="0" y="0"/>
                      <wp:positionH relativeFrom="column">
                        <wp:posOffset>2790190</wp:posOffset>
                      </wp:positionH>
                      <wp:positionV relativeFrom="paragraph">
                        <wp:posOffset>60325</wp:posOffset>
                      </wp:positionV>
                      <wp:extent cx="908685" cy="2134870"/>
                      <wp:effectExtent l="0" t="19050" r="43815" b="36830"/>
                      <wp:wrapNone/>
                      <wp:docPr id="479" name="箭头: 下 479"/>
                      <wp:cNvGraphicFramePr/>
                      <a:graphic xmlns:a="http://schemas.openxmlformats.org/drawingml/2006/main">
                        <a:graphicData uri="http://schemas.microsoft.com/office/word/2010/wordprocessingShape">
                          <wps:wsp>
                            <wps:cNvSpPr/>
                            <wps:spPr>
                              <a:xfrm rot="11200367">
                                <a:off x="0" y="0"/>
                                <a:ext cx="908685" cy="2134870"/>
                              </a:xfrm>
                              <a:prstGeom prst="downArrow">
                                <a:avLst>
                                  <a:gd name="adj1" fmla="val 50000"/>
                                  <a:gd name="adj2" fmla="val 94415"/>
                                </a:avLst>
                              </a:pr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479" o:spid="_x0000_s1026" o:spt="67" type="#_x0000_t67" style="position:absolute;left:0pt;margin-left:219.7pt;margin-top:4.75pt;height:168.1pt;width:71.55pt;rotation:-11359172f;z-index:251702272;v-text-anchor:middle;mso-width-relative:page;mso-height-relative:page;" fillcolor="#FF0000" filled="t" stroked="t" coordsize="21600,21600" o:gfxdata="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P15Vl2gAAAAkBAAAPAAAAAAAAAAEA&#10;IAAAACIAAABkcnMvZG93bnJldi54bWxQSwECFAAUAAAACACHTuJAMNGetbgCAACDBQAADgAAAAAA&#10;AAABACAAAAApAQAAZHJzL2Uyb0RvYy54bWxQSwUGAAAAAAYABgBZAQAAUwYAAAAA&#10;" adj="12920,5400">
                      <v:fill on="t" opacity="13107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439420</wp:posOffset>
                      </wp:positionH>
                      <wp:positionV relativeFrom="paragraph">
                        <wp:posOffset>1100455</wp:posOffset>
                      </wp:positionV>
                      <wp:extent cx="989330" cy="299720"/>
                      <wp:effectExtent l="0" t="0" r="1270" b="5080"/>
                      <wp:wrapNone/>
                      <wp:docPr id="483" name="文本框 483"/>
                      <wp:cNvGraphicFramePr/>
                      <a:graphic xmlns:a="http://schemas.openxmlformats.org/drawingml/2006/main">
                        <a:graphicData uri="http://schemas.microsoft.com/office/word/2010/wordprocessingShape">
                          <wps:wsp>
                            <wps:cNvSpPr txBox="1"/>
                            <wps:spPr>
                              <a:xfrm>
                                <a:off x="0" y="0"/>
                                <a:ext cx="989330"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联华村后郑</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6pt;margin-top:86.65pt;height:23.6pt;width:77.9pt;z-index:251705344;mso-width-relative:page;mso-height-relative:page;" filled="f" stroked="f" coordsize="21600,21600" o:gfxdata="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MBhS2AAAAAoBAAAPAAAAAAAAAAEAIAAAACIAAABkcnMvZG93bnJldi54&#10;bWxQSwECFAAUAAAACACHTuJAc4OUpjMCAABZBAAADgAAAAAAAAABACAAAAAnAQAAZHJzL2Uyb0Rv&#10;Yy54bWxQSwUGAAAAAAYABgBZAQAAzAU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联华村后郑</w:t>
                            </w:r>
                          </w:p>
                        </w:txbxContent>
                      </v:textbox>
                    </v:shape>
                  </w:pict>
                </mc:Fallback>
              </mc:AlternateContent>
            </w:r>
          </w:p>
        </w:tc>
        <w:tc>
          <w:tcPr>
            <w:tcW w:w="645" w:type="pct"/>
            <w:vMerge w:val="restar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120"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vMerge w:val="continue"/>
            <w:shd w:val="clear" w:color="auto" w:fill="auto"/>
            <w:vAlign w:val="center"/>
          </w:tcPr>
          <w:p>
            <w:pPr>
              <w:pStyle w:val="105"/>
              <w:jc w:val="center"/>
              <w:rPr>
                <w:sz w:val="18"/>
                <w:szCs w:val="18"/>
              </w:rPr>
            </w:pPr>
          </w:p>
        </w:tc>
        <w:tc>
          <w:tcPr>
            <w:tcW w:w="99" w:type="pct"/>
            <w:shd w:val="clear" w:color="auto" w:fill="auto"/>
            <w:vAlign w:val="center"/>
          </w:tcPr>
          <w:p>
            <w:pPr>
              <w:pStyle w:val="105"/>
              <w:jc w:val="center"/>
              <w:rPr>
                <w:sz w:val="18"/>
                <w:szCs w:val="18"/>
              </w:rPr>
            </w:pPr>
            <w:r>
              <w:rPr>
                <w:rFonts w:hint="eastAsia"/>
                <w:sz w:val="18"/>
                <w:szCs w:val="18"/>
              </w:rPr>
              <w:t>1</w:t>
            </w:r>
            <w:r>
              <w:rPr>
                <w:sz w:val="18"/>
                <w:szCs w:val="18"/>
              </w:rPr>
              <w:t>.2~1.885</w:t>
            </w:r>
          </w:p>
        </w:tc>
        <w:tc>
          <w:tcPr>
            <w:tcW w:w="99" w:type="pct"/>
            <w:shd w:val="clear" w:color="auto" w:fill="auto"/>
            <w:vAlign w:val="center"/>
          </w:tcPr>
          <w:p>
            <w:pPr>
              <w:pStyle w:val="105"/>
              <w:jc w:val="center"/>
              <w:rPr>
                <w:sz w:val="18"/>
                <w:szCs w:val="18"/>
              </w:rPr>
            </w:pPr>
            <w:r>
              <w:rPr>
                <w:rFonts w:hint="eastAsia"/>
                <w:sz w:val="18"/>
                <w:szCs w:val="18"/>
              </w:rPr>
              <w:t>路左</w:t>
            </w:r>
          </w:p>
        </w:tc>
        <w:tc>
          <w:tcPr>
            <w:tcW w:w="199" w:type="pct"/>
            <w:shd w:val="clear" w:color="auto" w:fill="auto"/>
            <w:vAlign w:val="center"/>
          </w:tcPr>
          <w:p>
            <w:pPr>
              <w:pStyle w:val="105"/>
              <w:jc w:val="center"/>
              <w:rPr>
                <w:sz w:val="18"/>
                <w:szCs w:val="18"/>
              </w:rPr>
            </w:pPr>
            <w:r>
              <w:rPr>
                <w:rFonts w:hint="eastAsia"/>
                <w:sz w:val="18"/>
                <w:szCs w:val="18"/>
              </w:rPr>
              <w:t>0</w:t>
            </w:r>
          </w:p>
        </w:tc>
        <w:tc>
          <w:tcPr>
            <w:tcW w:w="166" w:type="pct"/>
            <w:shd w:val="clear" w:color="auto" w:fill="auto"/>
            <w:vAlign w:val="center"/>
          </w:tcPr>
          <w:p>
            <w:pPr>
              <w:pStyle w:val="105"/>
              <w:jc w:val="center"/>
              <w:rPr>
                <w:sz w:val="18"/>
                <w:szCs w:val="18"/>
              </w:rPr>
            </w:pPr>
            <w:r>
              <w:rPr>
                <w:rFonts w:hint="eastAsia"/>
                <w:sz w:val="18"/>
                <w:szCs w:val="18"/>
              </w:rPr>
              <w:t>5</w:t>
            </w:r>
            <w:r>
              <w:rPr>
                <w:sz w:val="18"/>
                <w:szCs w:val="18"/>
              </w:rPr>
              <w:t>4</w:t>
            </w:r>
          </w:p>
        </w:tc>
        <w:tc>
          <w:tcPr>
            <w:tcW w:w="166" w:type="pct"/>
            <w:shd w:val="clear" w:color="auto" w:fill="auto"/>
            <w:vAlign w:val="center"/>
          </w:tcPr>
          <w:p>
            <w:pPr>
              <w:pStyle w:val="105"/>
              <w:jc w:val="center"/>
              <w:rPr>
                <w:sz w:val="18"/>
                <w:szCs w:val="18"/>
              </w:rPr>
            </w:pPr>
            <w:r>
              <w:rPr>
                <w:rFonts w:hint="eastAsia"/>
                <w:sz w:val="18"/>
                <w:szCs w:val="18"/>
              </w:rPr>
              <w:t>6</w:t>
            </w:r>
            <w:r>
              <w:rPr>
                <w:sz w:val="18"/>
                <w:szCs w:val="18"/>
              </w:rPr>
              <w:t>3</w:t>
            </w:r>
          </w:p>
        </w:tc>
        <w:tc>
          <w:tcPr>
            <w:tcW w:w="132" w:type="pct"/>
            <w:shd w:val="clear" w:color="auto" w:fill="auto"/>
            <w:vAlign w:val="center"/>
          </w:tcPr>
          <w:p>
            <w:pPr>
              <w:pStyle w:val="105"/>
              <w:jc w:val="center"/>
              <w:rPr>
                <w:sz w:val="18"/>
                <w:szCs w:val="18"/>
              </w:rPr>
            </w:pPr>
            <w:r>
              <w:rPr>
                <w:sz w:val="18"/>
                <w:szCs w:val="18"/>
              </w:rPr>
              <w:t>2</w:t>
            </w:r>
            <w:r>
              <w:rPr>
                <w:rFonts w:hint="eastAsia"/>
                <w:sz w:val="18"/>
                <w:szCs w:val="18"/>
              </w:rPr>
              <w:t>类</w:t>
            </w:r>
          </w:p>
        </w:tc>
        <w:tc>
          <w:tcPr>
            <w:tcW w:w="166" w:type="pct"/>
            <w:shd w:val="clear" w:color="auto" w:fill="auto"/>
            <w:vAlign w:val="center"/>
          </w:tcPr>
          <w:p>
            <w:pPr>
              <w:pStyle w:val="105"/>
              <w:jc w:val="center"/>
              <w:rPr>
                <w:sz w:val="18"/>
                <w:szCs w:val="18"/>
              </w:rPr>
            </w:pPr>
            <w:r>
              <w:rPr>
                <w:sz w:val="18"/>
                <w:szCs w:val="18"/>
              </w:rPr>
              <w:t>21</w:t>
            </w:r>
            <w:r>
              <w:rPr>
                <w:rFonts w:hint="eastAsia"/>
                <w:sz w:val="18"/>
                <w:szCs w:val="18"/>
              </w:rPr>
              <w:t>户</w:t>
            </w:r>
            <w:r>
              <w:rPr>
                <w:sz w:val="18"/>
                <w:szCs w:val="18"/>
              </w:rPr>
              <w:t>103</w:t>
            </w:r>
            <w:r>
              <w:rPr>
                <w:rFonts w:hint="eastAsia"/>
                <w:sz w:val="18"/>
                <w:szCs w:val="18"/>
              </w:rPr>
              <w:t>人</w:t>
            </w:r>
          </w:p>
        </w:tc>
        <w:tc>
          <w:tcPr>
            <w:tcW w:w="397" w:type="pct"/>
            <w:vMerge w:val="continue"/>
            <w:shd w:val="clear" w:color="auto" w:fill="auto"/>
          </w:tcPr>
          <w:p>
            <w:pPr>
              <w:pStyle w:val="105"/>
              <w:jc w:val="center"/>
              <w:rPr>
                <w:sz w:val="18"/>
                <w:szCs w:val="18"/>
              </w:rPr>
            </w:pPr>
          </w:p>
        </w:tc>
        <w:tc>
          <w:tcPr>
            <w:tcW w:w="994" w:type="pct"/>
            <w:vMerge w:val="continue"/>
            <w:shd w:val="clear" w:color="auto" w:fill="auto"/>
            <w:vAlign w:val="center"/>
          </w:tcPr>
          <w:p>
            <w:pPr>
              <w:pStyle w:val="105"/>
              <w:jc w:val="center"/>
              <w:rPr>
                <w:sz w:val="18"/>
                <w:szCs w:val="18"/>
              </w:rP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565" w:hRule="atLeast"/>
          <w:jc w:val="center"/>
        </w:trPr>
        <w:tc>
          <w:tcPr>
            <w:tcW w:w="66" w:type="pct"/>
            <w:shd w:val="clear" w:color="auto" w:fill="auto"/>
            <w:vAlign w:val="center"/>
          </w:tcPr>
          <w:p>
            <w:pPr>
              <w:pStyle w:val="105"/>
              <w:jc w:val="center"/>
              <w:rPr>
                <w:sz w:val="18"/>
                <w:szCs w:val="18"/>
              </w:rPr>
            </w:pPr>
          </w:p>
        </w:tc>
        <w:tc>
          <w:tcPr>
            <w:tcW w:w="133" w:type="pct"/>
            <w:shd w:val="clear" w:color="auto" w:fill="auto"/>
            <w:vAlign w:val="center"/>
          </w:tcPr>
          <w:p>
            <w:pPr>
              <w:pStyle w:val="105"/>
              <w:jc w:val="center"/>
              <w:rPr>
                <w:sz w:val="18"/>
                <w:szCs w:val="18"/>
              </w:rPr>
            </w:pPr>
            <w:r>
              <w:rPr>
                <w:rFonts w:hint="eastAsia"/>
                <w:sz w:val="18"/>
                <w:szCs w:val="18"/>
              </w:rPr>
              <w:t>基督教洋下堂</w:t>
            </w:r>
            <w:r>
              <w:rPr>
                <w:rFonts w:hint="eastAsia"/>
                <w:sz w:val="18"/>
                <w:szCs w:val="18"/>
                <w:shd w:val="pct10" w:color="auto" w:fill="FFFFFF"/>
              </w:rPr>
              <w:t>（不作为声环境敏感目标）</w:t>
            </w:r>
          </w:p>
        </w:tc>
        <w:tc>
          <w:tcPr>
            <w:tcW w:w="132" w:type="pct"/>
            <w:shd w:val="clear" w:color="auto" w:fill="auto"/>
            <w:vAlign w:val="center"/>
          </w:tcPr>
          <w:p>
            <w:pPr>
              <w:pStyle w:val="105"/>
              <w:jc w:val="center"/>
              <w:rPr>
                <w:sz w:val="18"/>
                <w:szCs w:val="18"/>
              </w:rPr>
            </w:pPr>
            <w:r>
              <w:rPr>
                <w:rFonts w:hint="eastAsia"/>
                <w:sz w:val="18"/>
                <w:szCs w:val="18"/>
              </w:rPr>
              <w:t>主线</w:t>
            </w:r>
          </w:p>
        </w:tc>
        <w:tc>
          <w:tcPr>
            <w:tcW w:w="166" w:type="pct"/>
            <w:shd w:val="clear" w:color="auto" w:fill="auto"/>
            <w:vAlign w:val="center"/>
          </w:tcPr>
          <w:p>
            <w:pPr>
              <w:pStyle w:val="105"/>
              <w:jc w:val="center"/>
              <w:rPr>
                <w:sz w:val="18"/>
                <w:szCs w:val="18"/>
              </w:rPr>
            </w:pPr>
            <w:r>
              <w:rPr>
                <w:rFonts w:hint="eastAsia"/>
                <w:sz w:val="18"/>
                <w:szCs w:val="18"/>
              </w:rPr>
              <w:t>K</w:t>
            </w:r>
            <w:r>
              <w:rPr>
                <w:sz w:val="18"/>
                <w:szCs w:val="18"/>
              </w:rPr>
              <w:t>1+890</w:t>
            </w:r>
          </w:p>
        </w:tc>
        <w:tc>
          <w:tcPr>
            <w:tcW w:w="100" w:type="pct"/>
            <w:shd w:val="clear" w:color="auto" w:fill="auto"/>
            <w:vAlign w:val="center"/>
          </w:tcPr>
          <w:p>
            <w:pPr>
              <w:pStyle w:val="105"/>
              <w:jc w:val="center"/>
              <w:rPr>
                <w:sz w:val="18"/>
                <w:szCs w:val="18"/>
              </w:rPr>
            </w:pPr>
            <w:r>
              <w:rPr>
                <w:rFonts w:hint="eastAsia"/>
                <w:sz w:val="18"/>
                <w:szCs w:val="18"/>
              </w:rPr>
              <w:t>地面线路（路基）</w:t>
            </w:r>
          </w:p>
        </w:tc>
        <w:tc>
          <w:tcPr>
            <w:tcW w:w="99" w:type="pct"/>
            <w:shd w:val="clear" w:color="auto" w:fill="auto"/>
            <w:vAlign w:val="center"/>
          </w:tcPr>
          <w:p>
            <w:pPr>
              <w:pStyle w:val="105"/>
              <w:jc w:val="center"/>
              <w:rPr>
                <w:sz w:val="18"/>
                <w:szCs w:val="18"/>
              </w:rPr>
            </w:pPr>
            <w:r>
              <w:rPr>
                <w:rFonts w:hint="eastAsia"/>
                <w:sz w:val="18"/>
                <w:szCs w:val="18"/>
              </w:rPr>
              <w:t>1</w:t>
            </w:r>
            <w:r>
              <w:rPr>
                <w:sz w:val="18"/>
                <w:szCs w:val="18"/>
              </w:rPr>
              <w:t>.885</w:t>
            </w: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0</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58</w:t>
            </w:r>
          </w:p>
        </w:tc>
        <w:tc>
          <w:tcPr>
            <w:tcW w:w="166" w:type="pct"/>
            <w:shd w:val="clear" w:color="auto" w:fill="auto"/>
            <w:vAlign w:val="center"/>
          </w:tcPr>
          <w:p>
            <w:pPr>
              <w:pStyle w:val="105"/>
              <w:jc w:val="center"/>
              <w:rPr>
                <w:sz w:val="18"/>
                <w:szCs w:val="18"/>
              </w:rPr>
            </w:pPr>
            <w:r>
              <w:rPr>
                <w:sz w:val="18"/>
                <w:szCs w:val="18"/>
              </w:rPr>
              <w:t>166</w:t>
            </w:r>
          </w:p>
        </w:tc>
        <w:tc>
          <w:tcPr>
            <w:tcW w:w="132" w:type="pct"/>
            <w:shd w:val="clear" w:color="auto" w:fill="auto"/>
            <w:vAlign w:val="center"/>
          </w:tcPr>
          <w:p>
            <w:pPr>
              <w:pStyle w:val="105"/>
              <w:jc w:val="center"/>
              <w:rPr>
                <w:sz w:val="18"/>
                <w:szCs w:val="18"/>
              </w:rPr>
            </w:pPr>
            <w:r>
              <w:rPr>
                <w:sz w:val="18"/>
                <w:szCs w:val="18"/>
              </w:rPr>
              <w:t>2</w:t>
            </w:r>
            <w:r>
              <w:rPr>
                <w:rFonts w:hint="eastAsia"/>
                <w:sz w:val="18"/>
                <w:szCs w:val="18"/>
              </w:rPr>
              <w:t>类</w:t>
            </w:r>
          </w:p>
        </w:tc>
        <w:tc>
          <w:tcPr>
            <w:tcW w:w="166" w:type="pct"/>
            <w:shd w:val="clear" w:color="auto" w:fill="auto"/>
            <w:vAlign w:val="center"/>
          </w:tcPr>
          <w:p>
            <w:pPr>
              <w:pStyle w:val="105"/>
              <w:jc w:val="center"/>
              <w:rPr>
                <w:sz w:val="18"/>
                <w:szCs w:val="18"/>
              </w:rPr>
            </w:pPr>
            <w:r>
              <w:rPr>
                <w:rFonts w:hint="eastAsia"/>
                <w:sz w:val="18"/>
                <w:szCs w:val="18"/>
              </w:rPr>
              <w:t>2栋</w:t>
            </w:r>
          </w:p>
        </w:tc>
        <w:tc>
          <w:tcPr>
            <w:tcW w:w="397" w:type="pct"/>
            <w:shd w:val="clear" w:color="auto" w:fill="auto"/>
          </w:tcPr>
          <w:p>
            <w:pPr>
              <w:pStyle w:val="105"/>
              <w:jc w:val="center"/>
              <w:rPr>
                <w:sz w:val="18"/>
                <w:szCs w:val="18"/>
              </w:rPr>
            </w:pPr>
            <w:r>
              <w:rPr>
                <w:rFonts w:hint="eastAsia"/>
                <w:sz w:val="18"/>
                <w:szCs w:val="18"/>
              </w:rPr>
              <w:t>砖混结构，建筑主要为</w:t>
            </w:r>
            <w:r>
              <w:rPr>
                <w:sz w:val="18"/>
                <w:szCs w:val="18"/>
              </w:rPr>
              <w:t>4</w:t>
            </w:r>
            <w:r>
              <w:rPr>
                <w:rFonts w:hint="eastAsia"/>
                <w:sz w:val="18"/>
                <w:szCs w:val="18"/>
              </w:rPr>
              <w:t>层。</w:t>
            </w:r>
          </w:p>
        </w:tc>
        <w:tc>
          <w:tcPr>
            <w:tcW w:w="994"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08416" behindDoc="0" locked="0" layoutInCell="1" allowOverlap="1">
                      <wp:simplePos x="0" y="0"/>
                      <wp:positionH relativeFrom="column">
                        <wp:posOffset>135255</wp:posOffset>
                      </wp:positionH>
                      <wp:positionV relativeFrom="paragraph">
                        <wp:posOffset>883920</wp:posOffset>
                      </wp:positionV>
                      <wp:extent cx="410210" cy="202565"/>
                      <wp:effectExtent l="0" t="0" r="27940" b="445135"/>
                      <wp:wrapNone/>
                      <wp:docPr id="11" name="对话气泡: 圆角矩形 11"/>
                      <wp:cNvGraphicFramePr/>
                      <a:graphic xmlns:a="http://schemas.openxmlformats.org/drawingml/2006/main">
                        <a:graphicData uri="http://schemas.microsoft.com/office/word/2010/wordprocessingShape">
                          <wps:wsp>
                            <wps:cNvSpPr/>
                            <wps:spPr>
                              <a:xfrm>
                                <a:off x="6483248" y="5288890"/>
                                <a:ext cx="410210" cy="202565"/>
                              </a:xfrm>
                              <a:prstGeom prst="wedgeRoundRectCallout">
                                <a:avLst>
                                  <a:gd name="adj1" fmla="val -24926"/>
                                  <a:gd name="adj2" fmla="val 227800"/>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FF0000"/>
                                      <w:sz w:val="18"/>
                                      <w:szCs w:val="16"/>
                                    </w:rPr>
                                  </w:pPr>
                                  <w:r>
                                    <w:rPr>
                                      <w:rFonts w:hint="eastAsia"/>
                                      <w:b/>
                                      <w:bCs/>
                                      <w:color w:val="FF0000"/>
                                      <w:sz w:val="18"/>
                                      <w:szCs w:val="16"/>
                                    </w:rPr>
                                    <w:t>侨丰村</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1" o:spid="_x0000_s1026" o:spt="62" type="#_x0000_t62" style="position:absolute;left:0pt;margin-left:10.65pt;margin-top:69.6pt;height:15.95pt;width:32.3pt;z-index:251708416;v-text-anchor:middle;mso-width-relative:page;mso-height-relative:page;" fillcolor="#FFFFFF [3212]" filled="t" stroked="t" coordsize="21600,21600" o:gfxdata="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IdH3V7ZAAAACQEAAA8AAAAAAAAAAQAgAAAAIgAAAGRycy9kb3ducmV2LnhtbFBL&#10;AQIUABQAAAAIAIdO4kDU6uXy2QIAAJgFAAAOAAAAAAAAAAEAIAAAACgBAABkcnMvZTJvRG9jLnht&#10;bFBLBQYAAAAABgAGAFkBAABzBgAAAAA=&#10;" adj="5416,60005,14400">
                      <v:fill on="t" focussize="0,0"/>
                      <v:stroke weight="1pt" color="#FF0000 [3204]" miterlimit="8" joinstyle="miter"/>
                      <v:imagedata o:title=""/>
                      <o:lock v:ext="edit" aspectratio="f"/>
                      <v:textbox inset="0mm,0mm,0mm,0mm">
                        <w:txbxContent>
                          <w:p>
                            <w:pPr>
                              <w:ind w:firstLine="0" w:firstLineChars="0"/>
                              <w:rPr>
                                <w:b/>
                                <w:bCs/>
                                <w:color w:val="FF0000"/>
                                <w:sz w:val="18"/>
                                <w:szCs w:val="16"/>
                              </w:rPr>
                            </w:pPr>
                            <w:r>
                              <w:rPr>
                                <w:rFonts w:hint="eastAsia"/>
                                <w:b/>
                                <w:bCs/>
                                <w:color w:val="FF0000"/>
                                <w:sz w:val="18"/>
                                <w:szCs w:val="16"/>
                              </w:rPr>
                              <w:t>侨丰村</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789940</wp:posOffset>
                      </wp:positionH>
                      <wp:positionV relativeFrom="paragraph">
                        <wp:posOffset>509905</wp:posOffset>
                      </wp:positionV>
                      <wp:extent cx="839470" cy="264160"/>
                      <wp:effectExtent l="0" t="0" r="0" b="2540"/>
                      <wp:wrapNone/>
                      <wp:docPr id="958" name="文本框 958"/>
                      <wp:cNvGraphicFramePr/>
                      <a:graphic xmlns:a="http://schemas.openxmlformats.org/drawingml/2006/main">
                        <a:graphicData uri="http://schemas.microsoft.com/office/word/2010/wordprocessingShape">
                          <wps:wsp>
                            <wps:cNvSpPr txBox="1"/>
                            <wps:spPr>
                              <a:xfrm>
                                <a:off x="0" y="0"/>
                                <a:ext cx="839470" cy="264160"/>
                              </a:xfrm>
                              <a:prstGeom prst="rect">
                                <a:avLst/>
                              </a:prstGeom>
                              <a:noFill/>
                              <a:ln w="6350">
                                <a:noFill/>
                              </a:ln>
                            </wps:spPr>
                            <wps:txbx>
                              <w:txbxContent>
                                <w:p>
                                  <w:pPr>
                                    <w:ind w:firstLine="0" w:firstLineChars="0"/>
                                    <w:rPr>
                                      <w:rFonts w:ascii="微软雅黑" w:hAnsi="微软雅黑" w:eastAsia="微软雅黑"/>
                                      <w:b/>
                                      <w:bCs/>
                                      <w:color w:val="FF0000"/>
                                      <w:sz w:val="15"/>
                                      <w:szCs w:val="13"/>
                                    </w:rPr>
                                  </w:pPr>
                                  <w:r>
                                    <w:rPr>
                                      <w:rFonts w:hint="eastAsia"/>
                                      <w:b/>
                                      <w:bCs/>
                                      <w:color w:val="FF0000"/>
                                      <w:sz w:val="18"/>
                                      <w:szCs w:val="18"/>
                                    </w:rPr>
                                    <w:t>鳗鱼基地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2pt;margin-top:40.15pt;height:20.8pt;width:66.1pt;z-index:251707392;mso-width-relative:page;mso-height-relative:page;" filled="f" stroked="f" coordsize="21600,21600" o:gfxdata="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&#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qdApNoAAAAKAQAADwAAAAAAAAABACAAAAAiAAAA&#10;ZHJzL2Rvd25yZXYueG1sUEsBAhQAFAAAAAgAh07iQBzg2z0+AgAAaQQAAA4AAAAAAAAAAQAgAAAA&#10;KQEAAGRycy9lMm9Eb2MueG1sUEsFBgAAAAAGAAYAWQEAANkFAAAAAA==&#10;">
                      <v:fill on="f" focussize="0,0"/>
                      <v:stroke on="f" weight="0.5pt"/>
                      <v:imagedata o:title=""/>
                      <o:lock v:ext="edit" aspectratio="f"/>
                      <v:textbox>
                        <w:txbxContent>
                          <w:p>
                            <w:pPr>
                              <w:ind w:firstLine="0" w:firstLineChars="0"/>
                              <w:rPr>
                                <w:rFonts w:ascii="微软雅黑" w:hAnsi="微软雅黑" w:eastAsia="微软雅黑"/>
                                <w:b/>
                                <w:bCs/>
                                <w:color w:val="FF0000"/>
                                <w:sz w:val="15"/>
                                <w:szCs w:val="13"/>
                              </w:rPr>
                            </w:pPr>
                            <w:r>
                              <w:rPr>
                                <w:rFonts w:hint="eastAsia"/>
                                <w:b/>
                                <w:bCs/>
                                <w:color w:val="FF0000"/>
                                <w:sz w:val="18"/>
                                <w:szCs w:val="18"/>
                              </w:rPr>
                              <w:t>鳗鱼基地</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1852295</wp:posOffset>
                      </wp:positionH>
                      <wp:positionV relativeFrom="paragraph">
                        <wp:posOffset>43180</wp:posOffset>
                      </wp:positionV>
                      <wp:extent cx="746125" cy="202565"/>
                      <wp:effectExtent l="0" t="0" r="15875" b="349885"/>
                      <wp:wrapNone/>
                      <wp:docPr id="957" name="对话气泡: 圆角矩形 957"/>
                      <wp:cNvGraphicFramePr/>
                      <a:graphic xmlns:a="http://schemas.openxmlformats.org/drawingml/2006/main">
                        <a:graphicData uri="http://schemas.microsoft.com/office/word/2010/wordprocessingShape">
                          <wps:wsp>
                            <wps:cNvSpPr/>
                            <wps:spPr>
                              <a:xfrm>
                                <a:off x="8200339" y="4447642"/>
                                <a:ext cx="746125" cy="202565"/>
                              </a:xfrm>
                              <a:prstGeom prst="wedgeRoundRectCallout">
                                <a:avLst>
                                  <a:gd name="adj1" fmla="val 11056"/>
                                  <a:gd name="adj2" fmla="val 191687"/>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FF0000"/>
                                      <w:sz w:val="18"/>
                                      <w:szCs w:val="16"/>
                                    </w:rPr>
                                  </w:pPr>
                                  <w:r>
                                    <w:rPr>
                                      <w:rFonts w:hint="eastAsia"/>
                                      <w:b/>
                                      <w:bCs/>
                                      <w:color w:val="FF0000"/>
                                      <w:sz w:val="18"/>
                                      <w:szCs w:val="16"/>
                                    </w:rPr>
                                    <w:t>基督教洋下堂</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957" o:spid="_x0000_s1026" o:spt="62" type="#_x0000_t62" style="position:absolute;left:0pt;margin-left:145.85pt;margin-top:3.4pt;height:15.95pt;width:58.75pt;z-index:251706368;v-text-anchor:middle;mso-width-relative:page;mso-height-relative:page;" fillcolor="#FFFFFF [3212]" filled="t" stroked="t" coordsize="21600,21600" o:gfxdata="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Ijab1dgAAAAIAQAADwAAAAAAAAABACAAAAAiAAAAZHJzL2Rvd25yZXYueG1s&#10;UEsBAhQAFAAAAAgAh07iQErUd7HcAgAAmQUAAA4AAAAAAAAAAQAgAAAAJwEAAGRycy9lMm9Eb2Mu&#10;eG1sUEsFBgAAAAAGAAYAWQEAAHUGAAAAAA==&#10;" adj="13188,52204,14400">
                      <v:fill on="t" focussize="0,0"/>
                      <v:stroke weight="1pt" color="#FF0000 [3204]" miterlimit="8" joinstyle="miter"/>
                      <v:imagedata o:title=""/>
                      <o:lock v:ext="edit" aspectratio="f"/>
                      <v:textbox inset="0mm,0mm,0mm,0mm">
                        <w:txbxContent>
                          <w:p>
                            <w:pPr>
                              <w:ind w:firstLine="0" w:firstLineChars="0"/>
                              <w:rPr>
                                <w:b/>
                                <w:bCs/>
                                <w:color w:val="FF0000"/>
                                <w:sz w:val="18"/>
                                <w:szCs w:val="16"/>
                              </w:rPr>
                            </w:pPr>
                            <w:r>
                              <w:rPr>
                                <w:rFonts w:hint="eastAsia"/>
                                <w:b/>
                                <w:bCs/>
                                <w:color w:val="FF0000"/>
                                <w:sz w:val="18"/>
                                <w:szCs w:val="16"/>
                              </w:rPr>
                              <w:t>基督教洋下堂</w:t>
                            </w:r>
                          </w:p>
                        </w:txbxContent>
                      </v:textbox>
                    </v:shape>
                  </w:pict>
                </mc:Fallback>
              </mc:AlternateContent>
            </w:r>
          </w:p>
        </w:tc>
        <w:tc>
          <w:tcPr>
            <w:tcW w:w="1340"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09440" behindDoc="0" locked="0" layoutInCell="1" allowOverlap="1">
                      <wp:simplePos x="0" y="0"/>
                      <wp:positionH relativeFrom="column">
                        <wp:posOffset>2734945</wp:posOffset>
                      </wp:positionH>
                      <wp:positionV relativeFrom="paragraph">
                        <wp:posOffset>114935</wp:posOffset>
                      </wp:positionV>
                      <wp:extent cx="410210" cy="202565"/>
                      <wp:effectExtent l="514350" t="0" r="27940" b="654685"/>
                      <wp:wrapNone/>
                      <wp:docPr id="485" name="对话气泡: 圆角矩形 485"/>
                      <wp:cNvGraphicFramePr/>
                      <a:graphic xmlns:a="http://schemas.openxmlformats.org/drawingml/2006/main">
                        <a:graphicData uri="http://schemas.microsoft.com/office/word/2010/wordprocessingShape">
                          <wps:wsp>
                            <wps:cNvSpPr/>
                            <wps:spPr>
                              <a:xfrm>
                                <a:off x="11818189" y="4399472"/>
                                <a:ext cx="410210" cy="202565"/>
                              </a:xfrm>
                              <a:prstGeom prst="wedgeRoundRectCallout">
                                <a:avLst>
                                  <a:gd name="adj1" fmla="val -163719"/>
                                  <a:gd name="adj2" fmla="val 330006"/>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FF0000"/>
                                      <w:sz w:val="18"/>
                                      <w:szCs w:val="16"/>
                                    </w:rPr>
                                  </w:pPr>
                                  <w:r>
                                    <w:rPr>
                                      <w:rFonts w:hint="eastAsia"/>
                                      <w:b/>
                                      <w:bCs/>
                                      <w:color w:val="FF0000"/>
                                      <w:sz w:val="18"/>
                                      <w:szCs w:val="16"/>
                                    </w:rPr>
                                    <w:t>侨丰村</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485" o:spid="_x0000_s1026" o:spt="62" type="#_x0000_t62" style="position:absolute;left:0pt;margin-left:215.35pt;margin-top:9.05pt;height:15.95pt;width:32.3pt;z-index:251709440;v-text-anchor:middle;mso-width-relative:page;mso-height-relative:page;" fillcolor="#FFFFFF [3212]" filled="t" stroked="t" coordsize="21600,21600" o:gfxdata="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QasU72AAAAAkBAAAPAAAAAAAAAAEAIAAAACIAAABkcnMvZG93bnJldi54bWxQ&#10;SwECFAAUAAAACACHTuJAQIMl3dsCAACcBQAADgAAAAAAAAABACAAAAAnAQAAZHJzL2Uyb0RvYy54&#10;bWxQSwUGAAAAAAYABgBZAQAAdAYAAAAA&#10;" adj="-24563,82081,14400">
                      <v:fill on="t" focussize="0,0"/>
                      <v:stroke weight="1pt" color="#FF0000 [3204]" miterlimit="8" joinstyle="miter"/>
                      <v:imagedata o:title=""/>
                      <o:lock v:ext="edit" aspectratio="f"/>
                      <v:textbox inset="0mm,0mm,0mm,0mm">
                        <w:txbxContent>
                          <w:p>
                            <w:pPr>
                              <w:ind w:firstLine="0" w:firstLineChars="0"/>
                              <w:rPr>
                                <w:b/>
                                <w:bCs/>
                                <w:color w:val="FF0000"/>
                                <w:sz w:val="18"/>
                                <w:szCs w:val="16"/>
                              </w:rPr>
                            </w:pPr>
                            <w:r>
                              <w:rPr>
                                <w:rFonts w:hint="eastAsia"/>
                                <w:b/>
                                <w:bCs/>
                                <w:color w:val="FF0000"/>
                                <w:sz w:val="18"/>
                                <w:szCs w:val="16"/>
                              </w:rPr>
                              <w:t>侨丰村</w:t>
                            </w:r>
                          </w:p>
                        </w:txbxContent>
                      </v:textbox>
                    </v:shape>
                  </w:pict>
                </mc:Fallback>
              </mc:AlternateContent>
            </w:r>
          </w:p>
        </w:tc>
        <w:tc>
          <w:tcPr>
            <w:tcW w:w="645" w:type="pct"/>
            <w:vMerge w:val="restar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91" w:hRule="atLeast"/>
          <w:jc w:val="center"/>
        </w:trPr>
        <w:tc>
          <w:tcPr>
            <w:tcW w:w="66" w:type="pct"/>
            <w:shd w:val="clear" w:color="auto" w:fill="auto"/>
            <w:vAlign w:val="center"/>
          </w:tcPr>
          <w:p>
            <w:pPr>
              <w:pStyle w:val="105"/>
              <w:jc w:val="center"/>
              <w:rPr>
                <w:sz w:val="18"/>
                <w:szCs w:val="18"/>
              </w:rPr>
            </w:pPr>
            <w:r>
              <w:rPr>
                <w:rFonts w:hint="eastAsia"/>
                <w:sz w:val="18"/>
                <w:szCs w:val="18"/>
              </w:rPr>
              <w:t>5</w:t>
            </w:r>
          </w:p>
        </w:tc>
        <w:tc>
          <w:tcPr>
            <w:tcW w:w="133" w:type="pct"/>
            <w:shd w:val="clear" w:color="auto" w:fill="auto"/>
            <w:vAlign w:val="center"/>
          </w:tcPr>
          <w:p>
            <w:pPr>
              <w:pStyle w:val="105"/>
              <w:jc w:val="center"/>
              <w:rPr>
                <w:sz w:val="18"/>
                <w:szCs w:val="18"/>
              </w:rPr>
            </w:pPr>
            <w:r>
              <w:rPr>
                <w:rFonts w:hint="eastAsia"/>
                <w:sz w:val="18"/>
                <w:szCs w:val="18"/>
              </w:rPr>
              <w:t>侨丰村</w:t>
            </w:r>
          </w:p>
        </w:tc>
        <w:tc>
          <w:tcPr>
            <w:tcW w:w="132" w:type="pct"/>
            <w:shd w:val="clear" w:color="auto" w:fill="auto"/>
            <w:vAlign w:val="center"/>
          </w:tcPr>
          <w:p>
            <w:pPr>
              <w:pStyle w:val="105"/>
              <w:jc w:val="center"/>
              <w:rPr>
                <w:sz w:val="18"/>
                <w:szCs w:val="18"/>
              </w:rPr>
            </w:pPr>
            <w:r>
              <w:rPr>
                <w:rFonts w:hint="eastAsia"/>
                <w:sz w:val="18"/>
                <w:szCs w:val="18"/>
              </w:rPr>
              <w:t>主线</w:t>
            </w:r>
          </w:p>
        </w:tc>
        <w:tc>
          <w:tcPr>
            <w:tcW w:w="166" w:type="pct"/>
            <w:shd w:val="clear" w:color="auto" w:fill="auto"/>
            <w:vAlign w:val="center"/>
          </w:tcPr>
          <w:p>
            <w:pPr>
              <w:pStyle w:val="105"/>
              <w:jc w:val="center"/>
              <w:rPr>
                <w:sz w:val="18"/>
                <w:szCs w:val="18"/>
              </w:rPr>
            </w:pPr>
            <w:r>
              <w:rPr>
                <w:rFonts w:hint="eastAsia"/>
                <w:sz w:val="18"/>
                <w:szCs w:val="18"/>
              </w:rPr>
              <w:t>K</w:t>
            </w:r>
            <w:r>
              <w:rPr>
                <w:sz w:val="18"/>
                <w:szCs w:val="18"/>
              </w:rPr>
              <w:t>2+160</w:t>
            </w:r>
          </w:p>
        </w:tc>
        <w:tc>
          <w:tcPr>
            <w:tcW w:w="100" w:type="pct"/>
            <w:shd w:val="clear" w:color="auto" w:fill="auto"/>
            <w:vAlign w:val="center"/>
          </w:tcPr>
          <w:p>
            <w:pPr>
              <w:pStyle w:val="105"/>
              <w:jc w:val="center"/>
              <w:rPr>
                <w:sz w:val="18"/>
                <w:szCs w:val="18"/>
              </w:rPr>
            </w:pPr>
            <w:r>
              <w:rPr>
                <w:rFonts w:hint="eastAsia"/>
                <w:sz w:val="18"/>
                <w:szCs w:val="18"/>
              </w:rPr>
              <w:t>路基+桥梁</w:t>
            </w:r>
          </w:p>
        </w:tc>
        <w:tc>
          <w:tcPr>
            <w:tcW w:w="99" w:type="pct"/>
            <w:shd w:val="clear" w:color="auto" w:fill="auto"/>
            <w:vAlign w:val="center"/>
          </w:tcPr>
          <w:p>
            <w:pPr>
              <w:pStyle w:val="105"/>
              <w:jc w:val="center"/>
              <w:rPr>
                <w:sz w:val="18"/>
                <w:szCs w:val="18"/>
              </w:rPr>
            </w:pPr>
            <w:r>
              <w:rPr>
                <w:rFonts w:hint="eastAsia"/>
                <w:sz w:val="18"/>
                <w:szCs w:val="18"/>
              </w:rPr>
              <w:t>3</w:t>
            </w:r>
            <w:r>
              <w:rPr>
                <w:sz w:val="18"/>
                <w:szCs w:val="18"/>
              </w:rPr>
              <w:t>.5</w:t>
            </w: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10</w:t>
            </w:r>
          </w:p>
        </w:tc>
        <w:tc>
          <w:tcPr>
            <w:tcW w:w="166" w:type="pct"/>
            <w:shd w:val="clear" w:color="auto" w:fill="auto"/>
            <w:vAlign w:val="center"/>
          </w:tcPr>
          <w:p>
            <w:pPr>
              <w:pStyle w:val="105"/>
              <w:jc w:val="center"/>
              <w:rPr>
                <w:sz w:val="18"/>
                <w:szCs w:val="18"/>
              </w:rPr>
            </w:pPr>
            <w:r>
              <w:rPr>
                <w:sz w:val="18"/>
                <w:szCs w:val="18"/>
              </w:rPr>
              <w:t>0</w:t>
            </w:r>
          </w:p>
        </w:tc>
        <w:tc>
          <w:tcPr>
            <w:tcW w:w="166" w:type="pct"/>
            <w:shd w:val="clear" w:color="auto" w:fill="auto"/>
            <w:vAlign w:val="center"/>
          </w:tcPr>
          <w:p>
            <w:pPr>
              <w:pStyle w:val="105"/>
              <w:jc w:val="center"/>
              <w:rPr>
                <w:sz w:val="18"/>
                <w:szCs w:val="18"/>
              </w:rPr>
            </w:pPr>
            <w:r>
              <w:rPr>
                <w:sz w:val="18"/>
                <w:szCs w:val="18"/>
              </w:rPr>
              <w:t>9</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sz w:val="18"/>
                <w:szCs w:val="18"/>
              </w:rPr>
              <w:t>1</w:t>
            </w:r>
            <w:r>
              <w:rPr>
                <w:rFonts w:hint="eastAsia"/>
                <w:sz w:val="18"/>
                <w:szCs w:val="18"/>
              </w:rPr>
              <w:t>户</w:t>
            </w:r>
            <w:r>
              <w:rPr>
                <w:sz w:val="18"/>
                <w:szCs w:val="18"/>
              </w:rPr>
              <w:t>3</w:t>
            </w:r>
            <w:r>
              <w:rPr>
                <w:rFonts w:hint="eastAsia"/>
                <w:sz w:val="18"/>
                <w:szCs w:val="18"/>
              </w:rPr>
              <w:t>人</w:t>
            </w:r>
          </w:p>
        </w:tc>
        <w:tc>
          <w:tcPr>
            <w:tcW w:w="397" w:type="pct"/>
            <w:shd w:val="clear" w:color="auto" w:fill="auto"/>
          </w:tcPr>
          <w:p>
            <w:pPr>
              <w:pStyle w:val="105"/>
              <w:jc w:val="center"/>
              <w:rPr>
                <w:sz w:val="18"/>
                <w:szCs w:val="18"/>
              </w:rPr>
            </w:pPr>
            <w:r>
              <w:rPr>
                <w:rFonts w:hint="eastAsia"/>
                <w:sz w:val="18"/>
                <w:szCs w:val="18"/>
              </w:rPr>
              <w:t>砖混结构，建筑主要为</w:t>
            </w:r>
            <w:r>
              <w:rPr>
                <w:sz w:val="18"/>
                <w:szCs w:val="18"/>
              </w:rPr>
              <w:t>1</w:t>
            </w:r>
            <w:r>
              <w:rPr>
                <w:rFonts w:hint="eastAsia"/>
                <w:sz w:val="18"/>
                <w:szCs w:val="18"/>
              </w:rPr>
              <w:t>层。</w:t>
            </w:r>
          </w:p>
        </w:tc>
        <w:tc>
          <w:tcPr>
            <w:tcW w:w="994" w:type="pct"/>
            <w:vMerge w:val="continue"/>
            <w:shd w:val="clear" w:color="auto" w:fill="auto"/>
            <w:vAlign w:val="center"/>
          </w:tcPr>
          <w:p>
            <w:pPr>
              <w:pStyle w:val="105"/>
              <w:jc w:val="center"/>
              <w:rPr>
                <w:sz w:val="18"/>
                <w:szCs w:val="18"/>
              </w:rP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569" w:hRule="atLeast"/>
          <w:jc w:val="center"/>
        </w:trPr>
        <w:tc>
          <w:tcPr>
            <w:tcW w:w="66" w:type="pct"/>
            <w:shd w:val="clear" w:color="auto" w:fill="auto"/>
            <w:vAlign w:val="center"/>
          </w:tcPr>
          <w:p>
            <w:pPr>
              <w:pStyle w:val="105"/>
              <w:jc w:val="center"/>
              <w:rPr>
                <w:sz w:val="18"/>
                <w:szCs w:val="18"/>
              </w:rPr>
            </w:pPr>
            <w:r>
              <w:rPr>
                <w:sz w:val="18"/>
                <w:szCs w:val="18"/>
              </w:rPr>
              <w:t>6</w:t>
            </w:r>
          </w:p>
        </w:tc>
        <w:tc>
          <w:tcPr>
            <w:tcW w:w="133" w:type="pct"/>
            <w:shd w:val="clear" w:color="auto" w:fill="auto"/>
            <w:vAlign w:val="center"/>
          </w:tcPr>
          <w:p>
            <w:pPr>
              <w:pStyle w:val="105"/>
              <w:jc w:val="center"/>
              <w:rPr>
                <w:sz w:val="18"/>
                <w:szCs w:val="18"/>
              </w:rPr>
            </w:pPr>
            <w:r>
              <w:rPr>
                <w:rFonts w:hint="eastAsia"/>
                <w:sz w:val="18"/>
                <w:szCs w:val="18"/>
              </w:rPr>
              <w:t>联华村火烧埔</w:t>
            </w:r>
          </w:p>
        </w:tc>
        <w:tc>
          <w:tcPr>
            <w:tcW w:w="132" w:type="pct"/>
            <w:shd w:val="clear" w:color="auto" w:fill="auto"/>
            <w:vAlign w:val="center"/>
          </w:tcPr>
          <w:p>
            <w:pPr>
              <w:pStyle w:val="105"/>
              <w:jc w:val="center"/>
              <w:rPr>
                <w:sz w:val="18"/>
                <w:szCs w:val="18"/>
              </w:rPr>
            </w:pPr>
            <w:r>
              <w:rPr>
                <w:rFonts w:hint="eastAsia"/>
                <w:sz w:val="18"/>
                <w:szCs w:val="18"/>
              </w:rPr>
              <w:t>主线</w:t>
            </w:r>
          </w:p>
        </w:tc>
        <w:tc>
          <w:tcPr>
            <w:tcW w:w="166" w:type="pct"/>
            <w:shd w:val="clear" w:color="auto" w:fill="auto"/>
            <w:vAlign w:val="center"/>
          </w:tcPr>
          <w:p>
            <w:pPr>
              <w:pStyle w:val="105"/>
              <w:jc w:val="center"/>
              <w:rPr>
                <w:sz w:val="18"/>
                <w:szCs w:val="18"/>
              </w:rPr>
            </w:pPr>
            <w:r>
              <w:rPr>
                <w:rFonts w:hint="eastAsia"/>
                <w:sz w:val="18"/>
                <w:szCs w:val="18"/>
              </w:rPr>
              <w:t>K</w:t>
            </w:r>
            <w:r>
              <w:rPr>
                <w:sz w:val="18"/>
                <w:szCs w:val="18"/>
              </w:rPr>
              <w:t>1+960~K2+420</w:t>
            </w:r>
          </w:p>
        </w:tc>
        <w:tc>
          <w:tcPr>
            <w:tcW w:w="100" w:type="pct"/>
            <w:shd w:val="clear" w:color="auto" w:fill="auto"/>
            <w:vAlign w:val="center"/>
          </w:tcPr>
          <w:p>
            <w:pPr>
              <w:pStyle w:val="105"/>
              <w:jc w:val="center"/>
              <w:rPr>
                <w:sz w:val="18"/>
                <w:szCs w:val="18"/>
              </w:rPr>
            </w:pPr>
            <w:r>
              <w:rPr>
                <w:rFonts w:hint="eastAsia"/>
                <w:sz w:val="18"/>
                <w:szCs w:val="18"/>
              </w:rPr>
              <w:t>桥梁</w:t>
            </w:r>
          </w:p>
        </w:tc>
        <w:tc>
          <w:tcPr>
            <w:tcW w:w="99" w:type="pct"/>
            <w:shd w:val="clear" w:color="auto" w:fill="auto"/>
            <w:vAlign w:val="center"/>
          </w:tcPr>
          <w:p>
            <w:pPr>
              <w:pStyle w:val="105"/>
              <w:jc w:val="center"/>
              <w:rPr>
                <w:sz w:val="18"/>
                <w:szCs w:val="18"/>
              </w:rPr>
            </w:pPr>
            <w:r>
              <w:rPr>
                <w:rFonts w:hint="eastAsia"/>
                <w:sz w:val="18"/>
                <w:szCs w:val="18"/>
              </w:rPr>
              <w:t>3</w:t>
            </w:r>
            <w:r>
              <w:rPr>
                <w:sz w:val="18"/>
                <w:szCs w:val="18"/>
              </w:rPr>
              <w:t>.5</w:t>
            </w:r>
          </w:p>
        </w:tc>
        <w:tc>
          <w:tcPr>
            <w:tcW w:w="99" w:type="pct"/>
            <w:shd w:val="clear" w:color="auto" w:fill="auto"/>
            <w:vAlign w:val="center"/>
          </w:tcPr>
          <w:p>
            <w:pPr>
              <w:pStyle w:val="105"/>
              <w:jc w:val="center"/>
              <w:rPr>
                <w:sz w:val="18"/>
                <w:szCs w:val="18"/>
              </w:rPr>
            </w:pPr>
            <w:r>
              <w:rPr>
                <w:rFonts w:hint="eastAsia"/>
                <w:sz w:val="18"/>
                <w:szCs w:val="18"/>
              </w:rPr>
              <w:t>路左</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4~-10</w:t>
            </w:r>
          </w:p>
        </w:tc>
        <w:tc>
          <w:tcPr>
            <w:tcW w:w="166" w:type="pct"/>
            <w:shd w:val="clear" w:color="auto" w:fill="auto"/>
            <w:vAlign w:val="center"/>
          </w:tcPr>
          <w:p>
            <w:pPr>
              <w:pStyle w:val="105"/>
              <w:jc w:val="center"/>
              <w:rPr>
                <w:sz w:val="18"/>
                <w:szCs w:val="18"/>
              </w:rPr>
            </w:pPr>
            <w:r>
              <w:rPr>
                <w:sz w:val="18"/>
                <w:szCs w:val="18"/>
              </w:rPr>
              <w:t>95</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04</w:t>
            </w:r>
          </w:p>
        </w:tc>
        <w:tc>
          <w:tcPr>
            <w:tcW w:w="132" w:type="pct"/>
            <w:shd w:val="clear" w:color="auto" w:fill="auto"/>
            <w:vAlign w:val="center"/>
          </w:tcPr>
          <w:p>
            <w:pPr>
              <w:pStyle w:val="105"/>
              <w:jc w:val="center"/>
              <w:rPr>
                <w:sz w:val="18"/>
                <w:szCs w:val="18"/>
              </w:rPr>
            </w:pPr>
            <w:r>
              <w:rPr>
                <w:rFonts w:hint="eastAsia"/>
                <w:sz w:val="18"/>
                <w:szCs w:val="18"/>
              </w:rPr>
              <w:t>2类</w:t>
            </w:r>
          </w:p>
        </w:tc>
        <w:tc>
          <w:tcPr>
            <w:tcW w:w="166" w:type="pct"/>
            <w:shd w:val="clear" w:color="auto" w:fill="auto"/>
            <w:vAlign w:val="center"/>
          </w:tcPr>
          <w:p>
            <w:pPr>
              <w:pStyle w:val="105"/>
              <w:jc w:val="center"/>
              <w:rPr>
                <w:sz w:val="18"/>
                <w:szCs w:val="18"/>
              </w:rPr>
            </w:pPr>
            <w:r>
              <w:rPr>
                <w:rFonts w:hint="eastAsia"/>
                <w:sz w:val="18"/>
                <w:szCs w:val="18"/>
              </w:rPr>
              <w:t>2</w:t>
            </w:r>
            <w:r>
              <w:rPr>
                <w:sz w:val="18"/>
                <w:szCs w:val="18"/>
              </w:rPr>
              <w:t>1</w:t>
            </w:r>
            <w:r>
              <w:rPr>
                <w:rFonts w:hint="eastAsia"/>
                <w:sz w:val="18"/>
                <w:szCs w:val="18"/>
              </w:rPr>
              <w:t>户</w:t>
            </w:r>
            <w:r>
              <w:rPr>
                <w:sz w:val="18"/>
                <w:szCs w:val="18"/>
              </w:rPr>
              <w:t>105</w:t>
            </w:r>
            <w:r>
              <w:rPr>
                <w:rFonts w:hint="eastAsia"/>
                <w:sz w:val="18"/>
                <w:szCs w:val="18"/>
              </w:rPr>
              <w:t>人</w:t>
            </w:r>
          </w:p>
        </w:tc>
        <w:tc>
          <w:tcPr>
            <w:tcW w:w="397" w:type="pct"/>
            <w:shd w:val="clear" w:color="auto" w:fill="auto"/>
          </w:tcPr>
          <w:p>
            <w:pPr>
              <w:pStyle w:val="105"/>
              <w:jc w:val="center"/>
              <w:rPr>
                <w:sz w:val="18"/>
                <w:szCs w:val="18"/>
              </w:rPr>
            </w:pPr>
            <w:r>
              <w:rPr>
                <w:rFonts w:hint="eastAsia"/>
                <w:sz w:val="18"/>
                <w:szCs w:val="18"/>
              </w:rPr>
              <w:t>砖混结构，建筑主要为</w:t>
            </w:r>
            <w:r>
              <w:rPr>
                <w:sz w:val="18"/>
                <w:szCs w:val="18"/>
              </w:rPr>
              <w:t>3~5</w:t>
            </w:r>
            <w:r>
              <w:rPr>
                <w:rFonts w:hint="eastAsia"/>
                <w:sz w:val="18"/>
                <w:szCs w:val="18"/>
              </w:rPr>
              <w:t>层，主要建筑背对拟建道路（南），铝合金推拉窗，周边园地和鳗鱼养殖，与道路之间分布有稀疏林带。</w:t>
            </w:r>
          </w:p>
        </w:tc>
        <w:tc>
          <w:tcPr>
            <w:tcW w:w="994" w:type="pct"/>
            <w:vMerge w:val="restart"/>
            <w:shd w:val="clear" w:color="auto" w:fill="auto"/>
            <w:vAlign w:val="center"/>
          </w:tcPr>
          <w:p>
            <w:pPr>
              <w:pStyle w:val="105"/>
              <w:jc w:val="center"/>
            </w:pPr>
            <w:r>
              <mc:AlternateContent>
                <mc:Choice Requires="wps">
                  <w:drawing>
                    <wp:anchor distT="0" distB="0" distL="114300" distR="114300" simplePos="0" relativeHeight="251717632" behindDoc="0" locked="0" layoutInCell="1" allowOverlap="1">
                      <wp:simplePos x="0" y="0"/>
                      <wp:positionH relativeFrom="column">
                        <wp:posOffset>1200150</wp:posOffset>
                      </wp:positionH>
                      <wp:positionV relativeFrom="paragraph">
                        <wp:posOffset>1984375</wp:posOffset>
                      </wp:positionV>
                      <wp:extent cx="1190625" cy="299720"/>
                      <wp:effectExtent l="0" t="0" r="9525" b="5080"/>
                      <wp:wrapNone/>
                      <wp:docPr id="496" name="文本框 496"/>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联华村火烧埔</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156.25pt;height:23.6pt;width:93.75pt;z-index:251717632;mso-width-relative:page;mso-height-relative:page;" filled="f" stroked="f" coordsize="21600,21600" o:gfxdata="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YWC5tgAAAALAQAADwAAAAAAAAABACAAAAAiAAAAZHJzL2Rvd25yZXYu&#10;eG1sUEsBAhQAFAAAAAgAh07iQO1kbF80AgAAWgQAAA4AAAAAAAAAAQAgAAAAJw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联华村火烧埔</w:t>
                            </w:r>
                          </w:p>
                        </w:txbxContent>
                      </v:textbox>
                    </v:shape>
                  </w:pict>
                </mc:Fallback>
              </mc:AlternateContent>
            </w:r>
          </w:p>
        </w:tc>
        <w:tc>
          <w:tcPr>
            <w:tcW w:w="1340"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16608" behindDoc="0" locked="0" layoutInCell="1" allowOverlap="1">
                      <wp:simplePos x="0" y="0"/>
                      <wp:positionH relativeFrom="column">
                        <wp:posOffset>251460</wp:posOffset>
                      </wp:positionH>
                      <wp:positionV relativeFrom="paragraph">
                        <wp:posOffset>814070</wp:posOffset>
                      </wp:positionV>
                      <wp:extent cx="1190625" cy="299720"/>
                      <wp:effectExtent l="0" t="0" r="9525" b="5080"/>
                      <wp:wrapNone/>
                      <wp:docPr id="492" name="文本框 492"/>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联华村火烧埔</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64.1pt;height:23.6pt;width:93.75pt;z-index:251716608;mso-width-relative:page;mso-height-relative:page;" filled="f" stroked="f" coordsize="21600,21600" o:gfxdata="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PwV59gAAAAKAQAADwAAAAAAAAABACAAAAAiAAAAZHJzL2Rvd25yZXYu&#10;eG1sUEsBAhQAFAAAAAgAh07iQCzuops0AgAAWgQAAA4AAAAAAAAAAQAgAAAAJw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联华村火烧埔</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2386965</wp:posOffset>
                      </wp:positionH>
                      <wp:positionV relativeFrom="paragraph">
                        <wp:posOffset>415925</wp:posOffset>
                      </wp:positionV>
                      <wp:extent cx="908685" cy="2134870"/>
                      <wp:effectExtent l="19050" t="19050" r="24765" b="36830"/>
                      <wp:wrapNone/>
                      <wp:docPr id="487" name="箭头: 下 487"/>
                      <wp:cNvGraphicFramePr/>
                      <a:graphic xmlns:a="http://schemas.openxmlformats.org/drawingml/2006/main">
                        <a:graphicData uri="http://schemas.microsoft.com/office/word/2010/wordprocessingShape">
                          <wps:wsp>
                            <wps:cNvSpPr/>
                            <wps:spPr>
                              <a:xfrm rot="10984817">
                                <a:off x="0" y="0"/>
                                <a:ext cx="908685" cy="2134870"/>
                              </a:xfrm>
                              <a:prstGeom prst="downArrow">
                                <a:avLst>
                                  <a:gd name="adj1" fmla="val 50000"/>
                                  <a:gd name="adj2" fmla="val 94415"/>
                                </a:avLst>
                              </a:pr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487" o:spid="_x0000_s1026" o:spt="67" type="#_x0000_t67" style="position:absolute;left:0pt;margin-left:187.95pt;margin-top:32.75pt;height:168.1pt;width:71.55pt;rotation:-11594611f;z-index:251715584;v-text-anchor:middle;mso-width-relative:page;mso-height-relative:page;" fillcolor="#FF0000" filled="t" stroked="t" coordsize="21600,21600" o:gfxdata="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ih8c92wAAAAoBAAAPAAAAAAAAAAEA&#10;IAAAACIAAABkcnMvZG93bnJldi54bWxQSwECFAAUAAAACACHTuJA3n/N3LcCAACDBQAADgAAAAAA&#10;AAABACAAAAAqAQAAZHJzL2Uyb0RvYy54bWxQSwUGAAAAAAYABgBZAQAAUwYAAAAA&#10;" adj="12920,5400">
                      <v:fill on="t" opacity="13107f" focussize="0,0"/>
                      <v:stroke weight="1pt" color="#FF0000 [3204]" miterlimit="8" joinstyle="miter"/>
                      <v:imagedata o:title=""/>
                      <o:lock v:ext="edit" aspectratio="f"/>
                    </v:shape>
                  </w:pict>
                </mc:Fallback>
              </mc:AlternateContent>
            </w:r>
          </w:p>
        </w:tc>
        <w:tc>
          <w:tcPr>
            <w:tcW w:w="645" w:type="pct"/>
            <w:vMerge w:val="restar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569" w:hRule="atLeast"/>
          <w:jc w:val="center"/>
        </w:trPr>
        <w:tc>
          <w:tcPr>
            <w:tcW w:w="66" w:type="pct"/>
            <w:shd w:val="clear" w:color="auto" w:fill="auto"/>
            <w:vAlign w:val="center"/>
          </w:tcPr>
          <w:p>
            <w:pPr>
              <w:pStyle w:val="105"/>
              <w:jc w:val="center"/>
              <w:rPr>
                <w:sz w:val="18"/>
                <w:szCs w:val="18"/>
              </w:rPr>
            </w:pPr>
            <w:r>
              <w:rPr>
                <w:sz w:val="18"/>
                <w:szCs w:val="18"/>
              </w:rPr>
              <w:t>7</w:t>
            </w:r>
          </w:p>
        </w:tc>
        <w:tc>
          <w:tcPr>
            <w:tcW w:w="133" w:type="pct"/>
            <w:shd w:val="clear" w:color="auto" w:fill="auto"/>
            <w:vAlign w:val="center"/>
          </w:tcPr>
          <w:p>
            <w:pPr>
              <w:pStyle w:val="105"/>
              <w:jc w:val="center"/>
              <w:rPr>
                <w:sz w:val="18"/>
                <w:szCs w:val="18"/>
              </w:rPr>
            </w:pPr>
            <w:r>
              <w:rPr>
                <w:rFonts w:hint="eastAsia"/>
                <w:sz w:val="18"/>
                <w:szCs w:val="18"/>
              </w:rPr>
              <w:t>联华村火烧埔（临高速第一排）</w:t>
            </w:r>
          </w:p>
        </w:tc>
        <w:tc>
          <w:tcPr>
            <w:tcW w:w="132" w:type="pct"/>
            <w:shd w:val="clear" w:color="auto" w:fill="auto"/>
            <w:vAlign w:val="center"/>
          </w:tcPr>
          <w:p>
            <w:pPr>
              <w:pStyle w:val="105"/>
              <w:jc w:val="center"/>
              <w:rPr>
                <w:sz w:val="18"/>
                <w:szCs w:val="18"/>
              </w:rPr>
            </w:pPr>
            <w:r>
              <w:rPr>
                <w:rFonts w:hint="eastAsia"/>
                <w:sz w:val="18"/>
                <w:szCs w:val="18"/>
              </w:rPr>
              <w:t>主线</w:t>
            </w:r>
          </w:p>
        </w:tc>
        <w:tc>
          <w:tcPr>
            <w:tcW w:w="166" w:type="pct"/>
            <w:shd w:val="clear" w:color="auto" w:fill="auto"/>
            <w:vAlign w:val="center"/>
          </w:tcPr>
          <w:p>
            <w:pPr>
              <w:pStyle w:val="105"/>
              <w:jc w:val="center"/>
              <w:rPr>
                <w:sz w:val="18"/>
                <w:szCs w:val="18"/>
              </w:rPr>
            </w:pPr>
            <w:r>
              <w:rPr>
                <w:rFonts w:hint="eastAsia"/>
                <w:sz w:val="18"/>
                <w:szCs w:val="18"/>
              </w:rPr>
              <w:t>K</w:t>
            </w:r>
            <w:r>
              <w:rPr>
                <w:sz w:val="18"/>
                <w:szCs w:val="18"/>
              </w:rPr>
              <w:t>1+960~K2+420</w:t>
            </w:r>
          </w:p>
        </w:tc>
        <w:tc>
          <w:tcPr>
            <w:tcW w:w="100" w:type="pct"/>
            <w:shd w:val="clear" w:color="auto" w:fill="auto"/>
            <w:vAlign w:val="center"/>
          </w:tcPr>
          <w:p>
            <w:pPr>
              <w:pStyle w:val="105"/>
              <w:jc w:val="center"/>
              <w:rPr>
                <w:sz w:val="18"/>
                <w:szCs w:val="18"/>
              </w:rPr>
            </w:pPr>
            <w:r>
              <w:rPr>
                <w:rFonts w:hint="eastAsia"/>
                <w:sz w:val="18"/>
                <w:szCs w:val="18"/>
              </w:rPr>
              <w:t>桥梁</w:t>
            </w:r>
          </w:p>
        </w:tc>
        <w:tc>
          <w:tcPr>
            <w:tcW w:w="99" w:type="pct"/>
            <w:shd w:val="clear" w:color="auto" w:fill="auto"/>
            <w:vAlign w:val="center"/>
          </w:tcPr>
          <w:p>
            <w:pPr>
              <w:pStyle w:val="105"/>
              <w:jc w:val="center"/>
              <w:rPr>
                <w:sz w:val="18"/>
                <w:szCs w:val="18"/>
              </w:rPr>
            </w:pPr>
            <w:r>
              <w:rPr>
                <w:rFonts w:hint="eastAsia"/>
                <w:sz w:val="18"/>
                <w:szCs w:val="18"/>
              </w:rPr>
              <w:t>3</w:t>
            </w:r>
            <w:r>
              <w:rPr>
                <w:sz w:val="18"/>
                <w:szCs w:val="18"/>
              </w:rPr>
              <w:t>.5</w:t>
            </w:r>
          </w:p>
        </w:tc>
        <w:tc>
          <w:tcPr>
            <w:tcW w:w="99" w:type="pct"/>
            <w:shd w:val="clear" w:color="auto" w:fill="auto"/>
            <w:vAlign w:val="center"/>
          </w:tcPr>
          <w:p>
            <w:pPr>
              <w:pStyle w:val="105"/>
              <w:jc w:val="center"/>
              <w:rPr>
                <w:sz w:val="18"/>
                <w:szCs w:val="18"/>
              </w:rPr>
            </w:pPr>
            <w:r>
              <w:rPr>
                <w:rFonts w:hint="eastAsia"/>
                <w:sz w:val="18"/>
                <w:szCs w:val="18"/>
              </w:rPr>
              <w:t>路左</w:t>
            </w:r>
          </w:p>
        </w:tc>
        <w:tc>
          <w:tcPr>
            <w:tcW w:w="199" w:type="pct"/>
            <w:shd w:val="clear" w:color="auto" w:fill="auto"/>
            <w:vAlign w:val="center"/>
          </w:tcPr>
          <w:p>
            <w:pPr>
              <w:pStyle w:val="105"/>
              <w:jc w:val="center"/>
              <w:rPr>
                <w:sz w:val="18"/>
                <w:szCs w:val="18"/>
              </w:rPr>
            </w:pPr>
            <w:r>
              <w:rPr>
                <w:sz w:val="18"/>
                <w:szCs w:val="18"/>
              </w:rPr>
              <w:t>-10</w:t>
            </w:r>
          </w:p>
        </w:tc>
        <w:tc>
          <w:tcPr>
            <w:tcW w:w="166" w:type="pct"/>
            <w:shd w:val="clear" w:color="auto" w:fill="auto"/>
            <w:vAlign w:val="center"/>
          </w:tcPr>
          <w:p>
            <w:pPr>
              <w:pStyle w:val="105"/>
              <w:jc w:val="center"/>
              <w:rPr>
                <w:sz w:val="18"/>
                <w:szCs w:val="18"/>
              </w:rPr>
            </w:pPr>
            <w:r>
              <w:rPr>
                <w:sz w:val="18"/>
                <w:szCs w:val="18"/>
              </w:rPr>
              <w:t>152</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61</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rFonts w:hint="eastAsia"/>
                <w:sz w:val="18"/>
                <w:szCs w:val="18"/>
              </w:rPr>
              <w:t>1户</w:t>
            </w:r>
            <w:r>
              <w:rPr>
                <w:sz w:val="18"/>
                <w:szCs w:val="18"/>
              </w:rPr>
              <w:t>5</w:t>
            </w:r>
            <w:r>
              <w:rPr>
                <w:rFonts w:hint="eastAsia"/>
                <w:sz w:val="18"/>
                <w:szCs w:val="18"/>
              </w:rPr>
              <w:t>人</w:t>
            </w:r>
          </w:p>
        </w:tc>
        <w:tc>
          <w:tcPr>
            <w:tcW w:w="397" w:type="pct"/>
            <w:shd w:val="clear" w:color="auto" w:fill="auto"/>
          </w:tcPr>
          <w:p>
            <w:pPr>
              <w:pStyle w:val="105"/>
              <w:jc w:val="center"/>
              <w:rPr>
                <w:sz w:val="18"/>
                <w:szCs w:val="18"/>
              </w:rPr>
            </w:pPr>
            <w:r>
              <w:rPr>
                <w:rFonts w:hint="eastAsia"/>
                <w:sz w:val="18"/>
                <w:szCs w:val="18"/>
              </w:rPr>
              <w:t>砖混结构，建筑主要为</w:t>
            </w:r>
            <w:r>
              <w:rPr>
                <w:sz w:val="18"/>
                <w:szCs w:val="18"/>
              </w:rPr>
              <w:t>2</w:t>
            </w:r>
            <w:r>
              <w:rPr>
                <w:rFonts w:hint="eastAsia"/>
                <w:sz w:val="18"/>
                <w:szCs w:val="18"/>
              </w:rPr>
              <w:t>层，主要建筑背对拟建道路，侧向高速，与拟建道路之间分布有稀疏林带。</w:t>
            </w:r>
          </w:p>
        </w:tc>
        <w:tc>
          <w:tcPr>
            <w:tcW w:w="994" w:type="pct"/>
            <w:vMerge w:val="continue"/>
            <w:shd w:val="clear" w:color="auto" w:fill="auto"/>
            <w:vAlign w:val="center"/>
          </w:tcPr>
          <w:p>
            <w:pPr>
              <w:pStyle w:val="105"/>
              <w:jc w:val="center"/>
            </w:pPr>
          </w:p>
        </w:tc>
        <w:tc>
          <w:tcPr>
            <w:tcW w:w="1340" w:type="pct"/>
            <w:vMerge w:val="continue"/>
            <w:shd w:val="clear" w:color="auto" w:fill="auto"/>
            <w:vAlign w:val="center"/>
          </w:tcPr>
          <w:p>
            <w:pPr>
              <w:pStyle w:val="105"/>
              <w:jc w:val="cente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969" w:hRule="atLeast"/>
          <w:jc w:val="center"/>
        </w:trPr>
        <w:tc>
          <w:tcPr>
            <w:tcW w:w="66" w:type="pct"/>
            <w:vMerge w:val="restart"/>
            <w:shd w:val="clear" w:color="auto" w:fill="auto"/>
            <w:vAlign w:val="center"/>
          </w:tcPr>
          <w:p>
            <w:pPr>
              <w:pStyle w:val="105"/>
              <w:jc w:val="center"/>
              <w:rPr>
                <w:sz w:val="18"/>
                <w:szCs w:val="18"/>
              </w:rPr>
            </w:pPr>
            <w:r>
              <w:rPr>
                <w:sz w:val="18"/>
                <w:szCs w:val="18"/>
              </w:rPr>
              <w:t>8</w:t>
            </w:r>
          </w:p>
        </w:tc>
        <w:tc>
          <w:tcPr>
            <w:tcW w:w="133" w:type="pct"/>
            <w:vMerge w:val="restart"/>
            <w:shd w:val="clear" w:color="auto" w:fill="auto"/>
            <w:vAlign w:val="center"/>
          </w:tcPr>
          <w:p>
            <w:pPr>
              <w:pStyle w:val="105"/>
              <w:jc w:val="center"/>
              <w:rPr>
                <w:sz w:val="18"/>
                <w:szCs w:val="18"/>
              </w:rPr>
            </w:pPr>
            <w:r>
              <w:rPr>
                <w:rFonts w:hint="eastAsia"/>
                <w:sz w:val="18"/>
                <w:szCs w:val="18"/>
              </w:rPr>
              <w:t>联华村田楼</w:t>
            </w:r>
          </w:p>
        </w:tc>
        <w:tc>
          <w:tcPr>
            <w:tcW w:w="132" w:type="pct"/>
            <w:vMerge w:val="restart"/>
            <w:shd w:val="clear" w:color="auto" w:fill="auto"/>
            <w:vAlign w:val="center"/>
          </w:tcPr>
          <w:p>
            <w:pPr>
              <w:pStyle w:val="105"/>
              <w:jc w:val="center"/>
              <w:rPr>
                <w:sz w:val="18"/>
                <w:szCs w:val="18"/>
              </w:rPr>
            </w:pPr>
            <w:r>
              <w:rPr>
                <w:rFonts w:hint="eastAsia"/>
                <w:sz w:val="18"/>
                <w:szCs w:val="18"/>
              </w:rPr>
              <w:t>主线</w:t>
            </w:r>
          </w:p>
        </w:tc>
        <w:tc>
          <w:tcPr>
            <w:tcW w:w="166" w:type="pct"/>
            <w:vMerge w:val="restart"/>
            <w:shd w:val="clear" w:color="auto" w:fill="auto"/>
            <w:vAlign w:val="center"/>
          </w:tcPr>
          <w:p>
            <w:pPr>
              <w:pStyle w:val="105"/>
              <w:jc w:val="center"/>
              <w:rPr>
                <w:sz w:val="18"/>
                <w:szCs w:val="18"/>
              </w:rPr>
            </w:pPr>
            <w:r>
              <w:rPr>
                <w:sz w:val="18"/>
                <w:szCs w:val="18"/>
              </w:rPr>
              <w:t>K2+420~</w:t>
            </w:r>
            <w:r>
              <w:rPr>
                <w:rFonts w:hint="eastAsia"/>
                <w:sz w:val="18"/>
                <w:szCs w:val="18"/>
              </w:rPr>
              <w:t xml:space="preserve"> K</w:t>
            </w:r>
            <w:r>
              <w:rPr>
                <w:sz w:val="18"/>
                <w:szCs w:val="18"/>
              </w:rPr>
              <w:t>2+940</w:t>
            </w:r>
          </w:p>
        </w:tc>
        <w:tc>
          <w:tcPr>
            <w:tcW w:w="100" w:type="pct"/>
            <w:vMerge w:val="restart"/>
            <w:shd w:val="clear" w:color="auto" w:fill="auto"/>
            <w:vAlign w:val="center"/>
          </w:tcPr>
          <w:p>
            <w:pPr>
              <w:pStyle w:val="105"/>
              <w:jc w:val="center"/>
              <w:rPr>
                <w:sz w:val="18"/>
                <w:szCs w:val="18"/>
              </w:rPr>
            </w:pPr>
            <w:r>
              <w:rPr>
                <w:rFonts w:hint="eastAsia"/>
                <w:sz w:val="18"/>
                <w:szCs w:val="18"/>
              </w:rPr>
              <w:t>路基+桥梁</w:t>
            </w:r>
          </w:p>
        </w:tc>
        <w:tc>
          <w:tcPr>
            <w:tcW w:w="99" w:type="pct"/>
            <w:shd w:val="clear" w:color="auto" w:fill="auto"/>
            <w:vAlign w:val="center"/>
          </w:tcPr>
          <w:p>
            <w:pPr>
              <w:pStyle w:val="105"/>
              <w:jc w:val="center"/>
              <w:rPr>
                <w:sz w:val="18"/>
                <w:szCs w:val="18"/>
              </w:rPr>
            </w:pPr>
            <w:r>
              <w:rPr>
                <w:rFonts w:hint="eastAsia"/>
                <w:sz w:val="18"/>
                <w:szCs w:val="18"/>
              </w:rPr>
              <w:t>0</w:t>
            </w:r>
            <w:r>
              <w:rPr>
                <w:sz w:val="18"/>
                <w:szCs w:val="18"/>
              </w:rPr>
              <w:t>.7</w:t>
            </w:r>
          </w:p>
        </w:tc>
        <w:tc>
          <w:tcPr>
            <w:tcW w:w="99" w:type="pct"/>
            <w:shd w:val="clear" w:color="auto" w:fill="auto"/>
            <w:vAlign w:val="center"/>
          </w:tcPr>
          <w:p>
            <w:pPr>
              <w:pStyle w:val="105"/>
              <w:jc w:val="center"/>
              <w:rPr>
                <w:sz w:val="18"/>
                <w:szCs w:val="18"/>
              </w:rPr>
            </w:pPr>
            <w:r>
              <w:rPr>
                <w:rFonts w:hint="eastAsia"/>
                <w:sz w:val="18"/>
                <w:szCs w:val="18"/>
              </w:rPr>
              <w:t>路左</w:t>
            </w:r>
          </w:p>
        </w:tc>
        <w:tc>
          <w:tcPr>
            <w:tcW w:w="199" w:type="pct"/>
            <w:shd w:val="clear" w:color="auto" w:fill="auto"/>
            <w:vAlign w:val="center"/>
          </w:tcPr>
          <w:p>
            <w:pPr>
              <w:pStyle w:val="105"/>
              <w:jc w:val="center"/>
              <w:rPr>
                <w:sz w:val="18"/>
                <w:szCs w:val="18"/>
              </w:rPr>
            </w:pPr>
            <w:r>
              <w:rPr>
                <w:sz w:val="18"/>
                <w:szCs w:val="18"/>
              </w:rPr>
              <w:t>0~-2</w:t>
            </w:r>
          </w:p>
        </w:tc>
        <w:tc>
          <w:tcPr>
            <w:tcW w:w="166" w:type="pct"/>
            <w:shd w:val="clear" w:color="auto" w:fill="auto"/>
            <w:vAlign w:val="center"/>
          </w:tcPr>
          <w:p>
            <w:pPr>
              <w:pStyle w:val="105"/>
              <w:jc w:val="center"/>
              <w:rPr>
                <w:sz w:val="18"/>
                <w:szCs w:val="18"/>
              </w:rPr>
            </w:pPr>
            <w:r>
              <w:rPr>
                <w:sz w:val="18"/>
                <w:szCs w:val="18"/>
              </w:rPr>
              <w:t>21</w:t>
            </w:r>
          </w:p>
        </w:tc>
        <w:tc>
          <w:tcPr>
            <w:tcW w:w="166" w:type="pct"/>
            <w:shd w:val="clear" w:color="auto" w:fill="auto"/>
            <w:vAlign w:val="center"/>
          </w:tcPr>
          <w:p>
            <w:pPr>
              <w:pStyle w:val="105"/>
              <w:jc w:val="center"/>
              <w:rPr>
                <w:sz w:val="18"/>
                <w:szCs w:val="18"/>
              </w:rPr>
            </w:pPr>
            <w:r>
              <w:rPr>
                <w:rFonts w:hint="eastAsia"/>
                <w:sz w:val="18"/>
                <w:szCs w:val="18"/>
              </w:rPr>
              <w:t>3</w:t>
            </w:r>
            <w:r>
              <w:rPr>
                <w:sz w:val="18"/>
                <w:szCs w:val="18"/>
              </w:rPr>
              <w:t>0</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sz w:val="18"/>
                <w:szCs w:val="18"/>
              </w:rPr>
              <w:t>4</w:t>
            </w:r>
            <w:r>
              <w:rPr>
                <w:rFonts w:hint="eastAsia"/>
                <w:sz w:val="18"/>
                <w:szCs w:val="18"/>
              </w:rPr>
              <w:t>户</w:t>
            </w:r>
            <w:r>
              <w:rPr>
                <w:sz w:val="18"/>
                <w:szCs w:val="18"/>
              </w:rPr>
              <w:t>21</w:t>
            </w:r>
            <w:r>
              <w:rPr>
                <w:rFonts w:hint="eastAsia"/>
                <w:sz w:val="18"/>
                <w:szCs w:val="18"/>
              </w:rPr>
              <w:t>人</w:t>
            </w:r>
          </w:p>
        </w:tc>
        <w:tc>
          <w:tcPr>
            <w:tcW w:w="397" w:type="pct"/>
            <w:vMerge w:val="restart"/>
            <w:shd w:val="clear" w:color="auto" w:fill="auto"/>
          </w:tcPr>
          <w:p>
            <w:pPr>
              <w:pStyle w:val="105"/>
              <w:jc w:val="center"/>
              <w:rPr>
                <w:sz w:val="18"/>
                <w:szCs w:val="18"/>
              </w:rPr>
            </w:pPr>
            <w:r>
              <w:rPr>
                <w:rFonts w:hint="eastAsia"/>
                <w:sz w:val="18"/>
                <w:szCs w:val="18"/>
              </w:rPr>
              <w:t>砖混结构，建筑主要为</w:t>
            </w:r>
            <w:r>
              <w:rPr>
                <w:sz w:val="18"/>
                <w:szCs w:val="18"/>
              </w:rPr>
              <w:t>3~4</w:t>
            </w:r>
            <w:r>
              <w:rPr>
                <w:rFonts w:hint="eastAsia"/>
                <w:sz w:val="18"/>
                <w:szCs w:val="18"/>
              </w:rPr>
              <w:t>层，主要建筑侧向、背对拟建道路（南），铝合金推拉窗，周边园地，与道路之间无密集林带。</w:t>
            </w:r>
          </w:p>
        </w:tc>
        <w:tc>
          <w:tcPr>
            <w:tcW w:w="994" w:type="pct"/>
            <w:vMerge w:val="restart"/>
            <w:shd w:val="clear" w:color="auto" w:fill="auto"/>
            <w:vAlign w:val="center"/>
          </w:tcPr>
          <w:p>
            <w:pPr>
              <w:pStyle w:val="105"/>
              <w:jc w:val="center"/>
            </w:pPr>
            <w:r>
              <mc:AlternateContent>
                <mc:Choice Requires="wps">
                  <w:drawing>
                    <wp:anchor distT="0" distB="0" distL="114300" distR="114300" simplePos="0" relativeHeight="251710464" behindDoc="0" locked="0" layoutInCell="1" allowOverlap="1">
                      <wp:simplePos x="0" y="0"/>
                      <wp:positionH relativeFrom="column">
                        <wp:posOffset>800100</wp:posOffset>
                      </wp:positionH>
                      <wp:positionV relativeFrom="paragraph">
                        <wp:posOffset>1859915</wp:posOffset>
                      </wp:positionV>
                      <wp:extent cx="1190625" cy="299720"/>
                      <wp:effectExtent l="0" t="0" r="9525" b="5080"/>
                      <wp:wrapNone/>
                      <wp:docPr id="497" name="文本框 497"/>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联华村田楼</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146.45pt;height:23.6pt;width:93.75pt;z-index:251710464;mso-width-relative:page;mso-height-relative:page;" filled="f" stroked="f" coordsize="21600,21600" o:gfxdata="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H30NDZAAAACwEAAA8AAAAAAAAAAQAgAAAAIgAAAGRycy9kb3ducmV2&#10;LnhtbFBLAQIUABQAAAAIAIdO4kDNh4MYNAIAAFoEAAAOAAAAAAAAAAEAIAAAACgBAABkcnMvZTJv&#10;RG9jLnhtbFBLBQYAAAAABgAGAFkBAADO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联华村田楼</w:t>
                            </w:r>
                          </w:p>
                        </w:txbxContent>
                      </v:textbox>
                    </v:shape>
                  </w:pict>
                </mc:Fallback>
              </mc:AlternateContent>
            </w:r>
          </w:p>
        </w:tc>
        <w:tc>
          <w:tcPr>
            <w:tcW w:w="1340"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11488" behindDoc="0" locked="0" layoutInCell="1" allowOverlap="1">
                      <wp:simplePos x="0" y="0"/>
                      <wp:positionH relativeFrom="column">
                        <wp:posOffset>2371725</wp:posOffset>
                      </wp:positionH>
                      <wp:positionV relativeFrom="paragraph">
                        <wp:posOffset>1127760</wp:posOffset>
                      </wp:positionV>
                      <wp:extent cx="1190625" cy="299720"/>
                      <wp:effectExtent l="0" t="0" r="9525" b="5080"/>
                      <wp:wrapNone/>
                      <wp:docPr id="498" name="文本框 498"/>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联华村田楼</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6.75pt;margin-top:88.8pt;height:23.6pt;width:93.75pt;z-index:251711488;mso-width-relative:page;mso-height-relative:page;" filled="f" stroked="f" coordsize="21600,21600" o:gfxdata="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VIPcDaAAAACwEAAA8AAAAAAAAAAQAgAAAAIgAAAGRycy9kb3ducmV2&#10;LnhtbFBLAQIUABQAAAAIAIdO4kCvO5FGMwIAAFoEAAAOAAAAAAAAAAEAIAAAACkBAABkcnMvZTJv&#10;RG9jLnhtbFBLBQYAAAAABgAGAFkBAADO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联华村田楼</w:t>
                            </w:r>
                          </w:p>
                        </w:txbxContent>
                      </v:textbox>
                    </v:shape>
                  </w:pict>
                </mc:Fallback>
              </mc:AlternateContent>
            </w:r>
          </w:p>
        </w:tc>
        <w:tc>
          <w:tcPr>
            <w:tcW w:w="645" w:type="pct"/>
            <w:vMerge w:val="restar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569"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vMerge w:val="continue"/>
            <w:shd w:val="clear" w:color="auto" w:fill="auto"/>
            <w:vAlign w:val="center"/>
          </w:tcPr>
          <w:p>
            <w:pPr>
              <w:pStyle w:val="105"/>
              <w:jc w:val="center"/>
              <w:rPr>
                <w:sz w:val="18"/>
                <w:szCs w:val="18"/>
              </w:rPr>
            </w:pPr>
          </w:p>
        </w:tc>
        <w:tc>
          <w:tcPr>
            <w:tcW w:w="99" w:type="pct"/>
            <w:shd w:val="clear" w:color="auto" w:fill="auto"/>
            <w:vAlign w:val="center"/>
          </w:tcPr>
          <w:p>
            <w:pPr>
              <w:pStyle w:val="105"/>
              <w:jc w:val="center"/>
              <w:rPr>
                <w:sz w:val="18"/>
                <w:szCs w:val="18"/>
              </w:rPr>
            </w:pPr>
            <w:r>
              <w:rPr>
                <w:rFonts w:hint="eastAsia"/>
                <w:sz w:val="18"/>
                <w:szCs w:val="18"/>
              </w:rPr>
              <w:t>0</w:t>
            </w:r>
            <w:r>
              <w:rPr>
                <w:sz w:val="18"/>
                <w:szCs w:val="18"/>
              </w:rPr>
              <w:t>.7</w:t>
            </w:r>
          </w:p>
        </w:tc>
        <w:tc>
          <w:tcPr>
            <w:tcW w:w="99" w:type="pct"/>
            <w:shd w:val="clear" w:color="auto" w:fill="auto"/>
            <w:vAlign w:val="center"/>
          </w:tcPr>
          <w:p>
            <w:pPr>
              <w:pStyle w:val="105"/>
              <w:jc w:val="center"/>
              <w:rPr>
                <w:sz w:val="18"/>
                <w:szCs w:val="18"/>
              </w:rPr>
            </w:pPr>
            <w:r>
              <w:rPr>
                <w:rFonts w:hint="eastAsia"/>
                <w:sz w:val="18"/>
                <w:szCs w:val="18"/>
              </w:rPr>
              <w:t>两侧</w:t>
            </w:r>
          </w:p>
        </w:tc>
        <w:tc>
          <w:tcPr>
            <w:tcW w:w="199" w:type="pct"/>
            <w:shd w:val="clear" w:color="auto" w:fill="auto"/>
            <w:vAlign w:val="center"/>
          </w:tcPr>
          <w:p>
            <w:pPr>
              <w:pStyle w:val="105"/>
              <w:jc w:val="center"/>
              <w:rPr>
                <w:sz w:val="18"/>
                <w:szCs w:val="18"/>
              </w:rPr>
            </w:pPr>
            <w:r>
              <w:rPr>
                <w:sz w:val="18"/>
                <w:szCs w:val="18"/>
              </w:rPr>
              <w:t>0~-2</w:t>
            </w:r>
          </w:p>
        </w:tc>
        <w:tc>
          <w:tcPr>
            <w:tcW w:w="166" w:type="pct"/>
            <w:shd w:val="clear" w:color="auto" w:fill="auto"/>
            <w:vAlign w:val="center"/>
          </w:tcPr>
          <w:p>
            <w:pPr>
              <w:pStyle w:val="105"/>
              <w:jc w:val="center"/>
              <w:rPr>
                <w:sz w:val="18"/>
                <w:szCs w:val="18"/>
              </w:rPr>
            </w:pPr>
            <w:r>
              <w:rPr>
                <w:sz w:val="18"/>
                <w:szCs w:val="18"/>
              </w:rPr>
              <w:t>37</w:t>
            </w:r>
          </w:p>
        </w:tc>
        <w:tc>
          <w:tcPr>
            <w:tcW w:w="166" w:type="pct"/>
            <w:shd w:val="clear" w:color="auto" w:fill="auto"/>
            <w:vAlign w:val="center"/>
          </w:tcPr>
          <w:p>
            <w:pPr>
              <w:pStyle w:val="105"/>
              <w:jc w:val="center"/>
              <w:rPr>
                <w:sz w:val="18"/>
                <w:szCs w:val="18"/>
              </w:rPr>
            </w:pPr>
            <w:r>
              <w:rPr>
                <w:rFonts w:hint="eastAsia"/>
                <w:sz w:val="18"/>
                <w:szCs w:val="18"/>
              </w:rPr>
              <w:t>4</w:t>
            </w:r>
            <w:r>
              <w:rPr>
                <w:sz w:val="18"/>
                <w:szCs w:val="18"/>
              </w:rPr>
              <w:t>6</w:t>
            </w:r>
          </w:p>
        </w:tc>
        <w:tc>
          <w:tcPr>
            <w:tcW w:w="132" w:type="pct"/>
            <w:shd w:val="clear" w:color="auto" w:fill="auto"/>
            <w:vAlign w:val="center"/>
          </w:tcPr>
          <w:p>
            <w:pPr>
              <w:pStyle w:val="105"/>
              <w:jc w:val="center"/>
              <w:rPr>
                <w:sz w:val="18"/>
                <w:szCs w:val="18"/>
              </w:rPr>
            </w:pPr>
            <w:r>
              <w:rPr>
                <w:rFonts w:hint="eastAsia"/>
                <w:sz w:val="18"/>
                <w:szCs w:val="18"/>
              </w:rPr>
              <w:t>2类</w:t>
            </w:r>
          </w:p>
        </w:tc>
        <w:tc>
          <w:tcPr>
            <w:tcW w:w="166" w:type="pct"/>
            <w:shd w:val="clear" w:color="auto" w:fill="auto"/>
            <w:vAlign w:val="center"/>
          </w:tcPr>
          <w:p>
            <w:pPr>
              <w:pStyle w:val="105"/>
              <w:jc w:val="center"/>
              <w:rPr>
                <w:sz w:val="18"/>
                <w:szCs w:val="18"/>
              </w:rPr>
            </w:pPr>
            <w:r>
              <w:rPr>
                <w:rFonts w:hint="eastAsia"/>
                <w:sz w:val="18"/>
                <w:szCs w:val="18"/>
              </w:rPr>
              <w:t>3</w:t>
            </w:r>
            <w:r>
              <w:rPr>
                <w:sz w:val="18"/>
                <w:szCs w:val="18"/>
              </w:rPr>
              <w:t>8</w:t>
            </w:r>
            <w:r>
              <w:rPr>
                <w:rFonts w:hint="eastAsia"/>
                <w:sz w:val="18"/>
                <w:szCs w:val="18"/>
              </w:rPr>
              <w:t>户</w:t>
            </w:r>
            <w:r>
              <w:rPr>
                <w:sz w:val="18"/>
                <w:szCs w:val="18"/>
              </w:rPr>
              <w:t>191</w:t>
            </w:r>
            <w:r>
              <w:rPr>
                <w:rFonts w:hint="eastAsia"/>
                <w:sz w:val="18"/>
                <w:szCs w:val="18"/>
              </w:rPr>
              <w:t>人</w:t>
            </w:r>
          </w:p>
        </w:tc>
        <w:tc>
          <w:tcPr>
            <w:tcW w:w="397" w:type="pct"/>
            <w:vMerge w:val="continue"/>
            <w:shd w:val="clear" w:color="auto" w:fill="auto"/>
          </w:tcPr>
          <w:p>
            <w:pPr>
              <w:pStyle w:val="105"/>
              <w:jc w:val="center"/>
              <w:rPr>
                <w:sz w:val="18"/>
                <w:szCs w:val="18"/>
              </w:rPr>
            </w:pPr>
          </w:p>
        </w:tc>
        <w:tc>
          <w:tcPr>
            <w:tcW w:w="994" w:type="pct"/>
            <w:vMerge w:val="continue"/>
            <w:shd w:val="clear" w:color="auto" w:fill="auto"/>
            <w:vAlign w:val="center"/>
          </w:tcPr>
          <w:p>
            <w:pPr>
              <w:pStyle w:val="105"/>
              <w:jc w:val="cente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106" w:hRule="atLeast"/>
          <w:jc w:val="center"/>
        </w:trPr>
        <w:tc>
          <w:tcPr>
            <w:tcW w:w="66" w:type="pct"/>
            <w:vMerge w:val="restart"/>
            <w:shd w:val="clear" w:color="auto" w:fill="auto"/>
            <w:vAlign w:val="center"/>
          </w:tcPr>
          <w:p>
            <w:pPr>
              <w:pStyle w:val="105"/>
              <w:jc w:val="center"/>
              <w:rPr>
                <w:sz w:val="18"/>
                <w:szCs w:val="18"/>
              </w:rPr>
            </w:pPr>
            <w:r>
              <w:rPr>
                <w:sz w:val="18"/>
                <w:szCs w:val="18"/>
              </w:rPr>
              <w:t>9</w:t>
            </w:r>
          </w:p>
        </w:tc>
        <w:tc>
          <w:tcPr>
            <w:tcW w:w="133" w:type="pct"/>
            <w:vMerge w:val="restart"/>
            <w:shd w:val="clear" w:color="auto" w:fill="auto"/>
            <w:vAlign w:val="center"/>
          </w:tcPr>
          <w:p>
            <w:pPr>
              <w:pStyle w:val="105"/>
              <w:jc w:val="center"/>
              <w:rPr>
                <w:sz w:val="18"/>
                <w:szCs w:val="18"/>
              </w:rPr>
            </w:pPr>
            <w:r>
              <w:rPr>
                <w:rFonts w:hint="eastAsia"/>
                <w:sz w:val="18"/>
                <w:szCs w:val="18"/>
              </w:rPr>
              <w:t>联华村（西山）</w:t>
            </w:r>
          </w:p>
        </w:tc>
        <w:tc>
          <w:tcPr>
            <w:tcW w:w="132" w:type="pct"/>
            <w:vMerge w:val="restart"/>
            <w:shd w:val="clear" w:color="auto" w:fill="auto"/>
            <w:vAlign w:val="center"/>
          </w:tcPr>
          <w:p>
            <w:pPr>
              <w:pStyle w:val="105"/>
              <w:jc w:val="center"/>
              <w:rPr>
                <w:sz w:val="18"/>
                <w:szCs w:val="18"/>
              </w:rPr>
            </w:pPr>
            <w:r>
              <w:rPr>
                <w:rFonts w:hint="eastAsia"/>
                <w:sz w:val="18"/>
                <w:szCs w:val="18"/>
              </w:rPr>
              <w:t>主线</w:t>
            </w:r>
          </w:p>
        </w:tc>
        <w:tc>
          <w:tcPr>
            <w:tcW w:w="166" w:type="pct"/>
            <w:vMerge w:val="restart"/>
            <w:shd w:val="clear" w:color="auto" w:fill="auto"/>
            <w:vAlign w:val="center"/>
          </w:tcPr>
          <w:p>
            <w:pPr>
              <w:pStyle w:val="105"/>
              <w:jc w:val="center"/>
              <w:rPr>
                <w:sz w:val="18"/>
                <w:szCs w:val="18"/>
              </w:rPr>
            </w:pPr>
            <w:r>
              <w:rPr>
                <w:rFonts w:hint="eastAsia"/>
                <w:sz w:val="18"/>
                <w:szCs w:val="18"/>
              </w:rPr>
              <w:t>K</w:t>
            </w:r>
            <w:r>
              <w:rPr>
                <w:sz w:val="18"/>
                <w:szCs w:val="18"/>
              </w:rPr>
              <w:t>2+940~</w:t>
            </w:r>
            <w:r>
              <w:rPr>
                <w:rFonts w:hint="eastAsia"/>
                <w:sz w:val="18"/>
                <w:szCs w:val="18"/>
              </w:rPr>
              <w:t xml:space="preserve"> K</w:t>
            </w:r>
            <w:r>
              <w:rPr>
                <w:sz w:val="18"/>
                <w:szCs w:val="18"/>
              </w:rPr>
              <w:t>3+540</w:t>
            </w:r>
          </w:p>
        </w:tc>
        <w:tc>
          <w:tcPr>
            <w:tcW w:w="100" w:type="pct"/>
            <w:vMerge w:val="restart"/>
            <w:shd w:val="clear" w:color="auto" w:fill="auto"/>
            <w:vAlign w:val="center"/>
          </w:tcPr>
          <w:p>
            <w:pPr>
              <w:pStyle w:val="105"/>
              <w:jc w:val="center"/>
              <w:rPr>
                <w:sz w:val="18"/>
                <w:szCs w:val="18"/>
              </w:rPr>
            </w:pPr>
            <w:r>
              <w:rPr>
                <w:rFonts w:hint="eastAsia"/>
                <w:sz w:val="18"/>
                <w:szCs w:val="18"/>
              </w:rPr>
              <w:t>路基</w:t>
            </w:r>
          </w:p>
        </w:tc>
        <w:tc>
          <w:tcPr>
            <w:tcW w:w="99" w:type="pct"/>
            <w:shd w:val="clear" w:color="auto" w:fill="auto"/>
            <w:vAlign w:val="center"/>
          </w:tcPr>
          <w:p>
            <w:pPr>
              <w:pStyle w:val="105"/>
              <w:jc w:val="center"/>
              <w:rPr>
                <w:sz w:val="18"/>
                <w:szCs w:val="18"/>
              </w:rPr>
            </w:pPr>
            <w:r>
              <w:rPr>
                <w:rFonts w:hint="eastAsia"/>
                <w:sz w:val="18"/>
                <w:szCs w:val="18"/>
              </w:rPr>
              <w:t>1</w:t>
            </w:r>
            <w:r>
              <w:rPr>
                <w:sz w:val="18"/>
                <w:szCs w:val="18"/>
              </w:rPr>
              <w:t>.55</w:t>
            </w:r>
          </w:p>
        </w:tc>
        <w:tc>
          <w:tcPr>
            <w:tcW w:w="99" w:type="pct"/>
            <w:shd w:val="clear" w:color="auto" w:fill="auto"/>
            <w:vAlign w:val="center"/>
          </w:tcPr>
          <w:p>
            <w:pPr>
              <w:pStyle w:val="105"/>
              <w:jc w:val="center"/>
              <w:rPr>
                <w:sz w:val="18"/>
                <w:szCs w:val="18"/>
              </w:rPr>
            </w:pPr>
            <w:r>
              <w:rPr>
                <w:rFonts w:hint="eastAsia"/>
                <w:sz w:val="18"/>
                <w:szCs w:val="18"/>
              </w:rPr>
              <w:t>路左</w:t>
            </w:r>
          </w:p>
        </w:tc>
        <w:tc>
          <w:tcPr>
            <w:tcW w:w="199" w:type="pct"/>
            <w:shd w:val="clear" w:color="auto" w:fill="auto"/>
            <w:vAlign w:val="center"/>
          </w:tcPr>
          <w:p>
            <w:pPr>
              <w:pStyle w:val="105"/>
              <w:jc w:val="center"/>
              <w:rPr>
                <w:sz w:val="18"/>
                <w:szCs w:val="18"/>
              </w:rPr>
            </w:pPr>
            <w:r>
              <w:rPr>
                <w:rFonts w:hint="eastAsia"/>
                <w:sz w:val="18"/>
                <w:szCs w:val="18"/>
              </w:rPr>
              <w:t>0</w:t>
            </w:r>
          </w:p>
        </w:tc>
        <w:tc>
          <w:tcPr>
            <w:tcW w:w="166" w:type="pct"/>
            <w:shd w:val="clear" w:color="auto" w:fill="auto"/>
            <w:vAlign w:val="center"/>
          </w:tcPr>
          <w:p>
            <w:pPr>
              <w:pStyle w:val="105"/>
              <w:jc w:val="center"/>
              <w:rPr>
                <w:sz w:val="18"/>
                <w:szCs w:val="18"/>
              </w:rPr>
            </w:pPr>
            <w:r>
              <w:rPr>
                <w:sz w:val="18"/>
                <w:szCs w:val="18"/>
              </w:rPr>
              <w:t>1</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0</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sz w:val="18"/>
                <w:szCs w:val="18"/>
              </w:rPr>
              <w:t>4</w:t>
            </w:r>
            <w:r>
              <w:rPr>
                <w:rFonts w:hint="eastAsia"/>
                <w:sz w:val="18"/>
                <w:szCs w:val="18"/>
              </w:rPr>
              <w:t>户</w:t>
            </w:r>
            <w:r>
              <w:rPr>
                <w:sz w:val="18"/>
                <w:szCs w:val="18"/>
              </w:rPr>
              <w:t>20</w:t>
            </w:r>
            <w:r>
              <w:rPr>
                <w:rFonts w:hint="eastAsia"/>
                <w:sz w:val="18"/>
                <w:szCs w:val="18"/>
              </w:rPr>
              <w:t>人</w:t>
            </w:r>
          </w:p>
        </w:tc>
        <w:tc>
          <w:tcPr>
            <w:tcW w:w="397" w:type="pct"/>
            <w:vMerge w:val="restart"/>
            <w:shd w:val="clear" w:color="auto" w:fill="auto"/>
          </w:tcPr>
          <w:p>
            <w:pPr>
              <w:pStyle w:val="105"/>
              <w:jc w:val="center"/>
              <w:rPr>
                <w:sz w:val="18"/>
                <w:szCs w:val="18"/>
              </w:rPr>
            </w:pPr>
            <w:r>
              <w:rPr>
                <w:rFonts w:hint="eastAsia"/>
                <w:sz w:val="18"/>
                <w:szCs w:val="18"/>
              </w:rPr>
              <w:t>砖混结构，建筑主要为2</w:t>
            </w:r>
            <w:r>
              <w:rPr>
                <w:sz w:val="18"/>
                <w:szCs w:val="18"/>
              </w:rPr>
              <w:t>~4</w:t>
            </w:r>
            <w:r>
              <w:rPr>
                <w:rFonts w:hint="eastAsia"/>
                <w:sz w:val="18"/>
                <w:szCs w:val="18"/>
              </w:rPr>
              <w:t>层，主要建筑侧向、背对拟建道路（南），铝合金推拉窗，周边园地，与道路之间无密集林带。</w:t>
            </w:r>
          </w:p>
        </w:tc>
        <w:tc>
          <w:tcPr>
            <w:tcW w:w="994" w:type="pct"/>
            <w:vMerge w:val="restart"/>
            <w:shd w:val="clear" w:color="auto" w:fill="auto"/>
            <w:vAlign w:val="center"/>
          </w:tcPr>
          <w:p>
            <w:pPr>
              <w:pStyle w:val="105"/>
              <w:jc w:val="center"/>
            </w:pPr>
            <w:r>
              <mc:AlternateContent>
                <mc:Choice Requires="wps">
                  <w:drawing>
                    <wp:anchor distT="0" distB="0" distL="114300" distR="114300" simplePos="0" relativeHeight="251724800" behindDoc="0" locked="0" layoutInCell="1" allowOverlap="1">
                      <wp:simplePos x="0" y="0"/>
                      <wp:positionH relativeFrom="column">
                        <wp:posOffset>1266825</wp:posOffset>
                      </wp:positionH>
                      <wp:positionV relativeFrom="paragraph">
                        <wp:posOffset>212090</wp:posOffset>
                      </wp:positionV>
                      <wp:extent cx="1190625" cy="299720"/>
                      <wp:effectExtent l="0" t="0" r="9525" b="5080"/>
                      <wp:wrapNone/>
                      <wp:docPr id="500" name="文本框 500"/>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联华村朱里</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9.75pt;margin-top:16.7pt;height:23.6pt;width:93.75pt;z-index:251724800;mso-width-relative:page;mso-height-relative:page;" filled="f" stroked="f" coordsize="21600,21600" o:gfxdata="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AN5nNgAAAAJAQAADwAAAAAAAAABACAAAAAiAAAAZHJzL2Rvd25yZXYu&#10;eG1sUEsBAhQAFAAAAAgAh07iQNFI7IE0AgAAWgQAAA4AAAAAAAAAAQAgAAAAJw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联华村朱里</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975360</wp:posOffset>
                      </wp:positionH>
                      <wp:positionV relativeFrom="paragraph">
                        <wp:posOffset>1581785</wp:posOffset>
                      </wp:positionV>
                      <wp:extent cx="1190625" cy="299720"/>
                      <wp:effectExtent l="0" t="0" r="9525" b="5080"/>
                      <wp:wrapNone/>
                      <wp:docPr id="499" name="文本框 499"/>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联华村西山</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6.8pt;margin-top:124.55pt;height:23.6pt;width:93.75pt;z-index:251723776;mso-width-relative:page;mso-height-relative:page;" filled="f" stroked="f" coordsize="21600,21600" o:gfxdata="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V1kH7ZAAAACwEAAA8AAAAAAAAAAQAgAAAAIgAAAGRycy9kb3ducmV2&#10;LnhtbFBLAQIUABQAAAAIAIdO4kCP2H4BNAIAAFoEAAAOAAAAAAAAAAEAIAAAACgBAABkcnMvZTJv&#10;RG9jLnhtbFBLBQYAAAAABgAGAFkBAADO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联华村西山</w:t>
                            </w:r>
                          </w:p>
                        </w:txbxContent>
                      </v:textbox>
                    </v:shape>
                  </w:pict>
                </mc:Fallback>
              </mc:AlternateContent>
            </w:r>
          </w:p>
        </w:tc>
        <w:tc>
          <w:tcPr>
            <w:tcW w:w="1340"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26848" behindDoc="0" locked="0" layoutInCell="1" allowOverlap="1">
                      <wp:simplePos x="0" y="0"/>
                      <wp:positionH relativeFrom="column">
                        <wp:posOffset>4445</wp:posOffset>
                      </wp:positionH>
                      <wp:positionV relativeFrom="paragraph">
                        <wp:posOffset>960755</wp:posOffset>
                      </wp:positionV>
                      <wp:extent cx="805180" cy="2134870"/>
                      <wp:effectExtent l="285750" t="0" r="109220" b="0"/>
                      <wp:wrapNone/>
                      <wp:docPr id="4" name="箭头: 下 4"/>
                      <wp:cNvGraphicFramePr/>
                      <a:graphic xmlns:a="http://schemas.openxmlformats.org/drawingml/2006/main">
                        <a:graphicData uri="http://schemas.microsoft.com/office/word/2010/wordprocessingShape">
                          <wps:wsp>
                            <wps:cNvSpPr/>
                            <wps:spPr>
                              <a:xfrm rot="19935795">
                                <a:off x="0" y="0"/>
                                <a:ext cx="805180" cy="2134870"/>
                              </a:xfrm>
                              <a:prstGeom prst="downArrow">
                                <a:avLst>
                                  <a:gd name="adj1" fmla="val 50000"/>
                                  <a:gd name="adj2" fmla="val 94415"/>
                                </a:avLst>
                              </a:pr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4" o:spid="_x0000_s1026" o:spt="67" type="#_x0000_t67" style="position:absolute;left:0pt;margin-left:0.35pt;margin-top:75.65pt;height:168.1pt;width:63.4pt;rotation:-1817756f;z-index:251726848;v-text-anchor:middle;mso-width-relative:page;mso-height-relative:page;" fillcolor="#FF0000" filled="t" stroked="t" coordsize="21600,21600" o:gfxdata="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SLnd92AAAAAgBAAAPAAAAAAAAAAEAIAAAACIA&#10;AABkcnMvZG93bnJldi54bWxQSwECFAAUAAAACACHTuJAuXGazLQCAAB/BQAADgAAAAAAAAABACAA&#10;AAAnAQAAZHJzL2Uyb0RvYy54bWxQSwUGAAAAAAYABgBZAQAATQYAAAAA&#10;" adj="13909,5400">
                      <v:fill on="t" opacity="13107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1571625</wp:posOffset>
                      </wp:positionH>
                      <wp:positionV relativeFrom="paragraph">
                        <wp:posOffset>1116330</wp:posOffset>
                      </wp:positionV>
                      <wp:extent cx="1190625" cy="299720"/>
                      <wp:effectExtent l="0" t="0" r="9525" b="5080"/>
                      <wp:wrapNone/>
                      <wp:docPr id="502" name="文本框 502"/>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联华村西山</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3.75pt;margin-top:87.9pt;height:23.6pt;width:93.75pt;z-index:251725824;mso-width-relative:page;mso-height-relative:page;" filled="f" stroked="f" coordsize="21600,21600" o:gfxdata="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Camj2AAAAAsBAAAPAAAAAAAAAAEAIAAAACIAAABkcnMvZG93bnJldi54&#10;bWxQSwECFAAUAAAACACHTuJAkY4zDjMCAABaBAAADgAAAAAAAAABACAAAAAnAQAAZHJzL2Uyb0Rv&#10;Yy54bWxQSwUGAAAAAAYABgBZAQAAzAU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联华村西山</w:t>
                            </w:r>
                          </w:p>
                        </w:txbxContent>
                      </v:textbox>
                    </v:shape>
                  </w:pict>
                </mc:Fallback>
              </mc:AlternateContent>
            </w:r>
          </w:p>
        </w:tc>
        <w:tc>
          <w:tcPr>
            <w:tcW w:w="645" w:type="pct"/>
            <w:vMerge w:val="restar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07"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vMerge w:val="continue"/>
            <w:shd w:val="clear" w:color="auto" w:fill="auto"/>
            <w:vAlign w:val="center"/>
          </w:tcPr>
          <w:p>
            <w:pPr>
              <w:pStyle w:val="105"/>
              <w:jc w:val="center"/>
              <w:rPr>
                <w:sz w:val="18"/>
                <w:szCs w:val="18"/>
              </w:rPr>
            </w:pPr>
          </w:p>
        </w:tc>
        <w:tc>
          <w:tcPr>
            <w:tcW w:w="99" w:type="pct"/>
            <w:shd w:val="clear" w:color="auto" w:fill="auto"/>
            <w:vAlign w:val="center"/>
          </w:tcPr>
          <w:p>
            <w:pPr>
              <w:pStyle w:val="105"/>
              <w:jc w:val="center"/>
              <w:rPr>
                <w:sz w:val="18"/>
                <w:szCs w:val="18"/>
              </w:rPr>
            </w:pPr>
            <w:r>
              <w:rPr>
                <w:rFonts w:hint="eastAsia"/>
                <w:sz w:val="18"/>
                <w:szCs w:val="18"/>
              </w:rPr>
              <w:t>1</w:t>
            </w:r>
            <w:r>
              <w:rPr>
                <w:sz w:val="18"/>
                <w:szCs w:val="18"/>
              </w:rPr>
              <w:t>.55</w:t>
            </w:r>
          </w:p>
        </w:tc>
        <w:tc>
          <w:tcPr>
            <w:tcW w:w="99" w:type="pct"/>
            <w:shd w:val="clear" w:color="auto" w:fill="auto"/>
            <w:vAlign w:val="center"/>
          </w:tcPr>
          <w:p>
            <w:pPr>
              <w:pStyle w:val="105"/>
              <w:jc w:val="center"/>
              <w:rPr>
                <w:sz w:val="18"/>
                <w:szCs w:val="18"/>
              </w:rPr>
            </w:pPr>
            <w:r>
              <w:rPr>
                <w:rFonts w:hint="eastAsia"/>
                <w:sz w:val="18"/>
                <w:szCs w:val="18"/>
              </w:rPr>
              <w:t>路左</w:t>
            </w:r>
          </w:p>
        </w:tc>
        <w:tc>
          <w:tcPr>
            <w:tcW w:w="199" w:type="pct"/>
            <w:shd w:val="clear" w:color="auto" w:fill="auto"/>
            <w:vAlign w:val="center"/>
          </w:tcPr>
          <w:p>
            <w:pPr>
              <w:pStyle w:val="105"/>
              <w:jc w:val="center"/>
              <w:rPr>
                <w:sz w:val="18"/>
                <w:szCs w:val="18"/>
              </w:rPr>
            </w:pPr>
            <w:r>
              <w:rPr>
                <w:rFonts w:hint="eastAsia"/>
                <w:sz w:val="18"/>
                <w:szCs w:val="18"/>
              </w:rPr>
              <w:t>0</w:t>
            </w:r>
          </w:p>
        </w:tc>
        <w:tc>
          <w:tcPr>
            <w:tcW w:w="166" w:type="pct"/>
            <w:shd w:val="clear" w:color="auto" w:fill="auto"/>
            <w:vAlign w:val="center"/>
          </w:tcPr>
          <w:p>
            <w:pPr>
              <w:pStyle w:val="105"/>
              <w:jc w:val="center"/>
              <w:rPr>
                <w:sz w:val="18"/>
                <w:szCs w:val="18"/>
              </w:rPr>
            </w:pPr>
            <w:r>
              <w:rPr>
                <w:sz w:val="18"/>
                <w:szCs w:val="18"/>
              </w:rPr>
              <w:t>40</w:t>
            </w:r>
          </w:p>
        </w:tc>
        <w:tc>
          <w:tcPr>
            <w:tcW w:w="166" w:type="pct"/>
            <w:shd w:val="clear" w:color="auto" w:fill="auto"/>
            <w:vAlign w:val="center"/>
          </w:tcPr>
          <w:p>
            <w:pPr>
              <w:pStyle w:val="105"/>
              <w:jc w:val="center"/>
              <w:rPr>
                <w:sz w:val="18"/>
                <w:szCs w:val="18"/>
              </w:rPr>
            </w:pPr>
            <w:r>
              <w:rPr>
                <w:rFonts w:hint="eastAsia"/>
                <w:sz w:val="18"/>
                <w:szCs w:val="18"/>
              </w:rPr>
              <w:t>4</w:t>
            </w:r>
            <w:r>
              <w:rPr>
                <w:sz w:val="18"/>
                <w:szCs w:val="18"/>
              </w:rPr>
              <w:t>8</w:t>
            </w:r>
          </w:p>
        </w:tc>
        <w:tc>
          <w:tcPr>
            <w:tcW w:w="132" w:type="pct"/>
            <w:shd w:val="clear" w:color="auto" w:fill="auto"/>
            <w:vAlign w:val="center"/>
          </w:tcPr>
          <w:p>
            <w:pPr>
              <w:pStyle w:val="105"/>
              <w:jc w:val="center"/>
              <w:rPr>
                <w:sz w:val="18"/>
                <w:szCs w:val="18"/>
              </w:rPr>
            </w:pPr>
            <w:r>
              <w:rPr>
                <w:rFonts w:hint="eastAsia"/>
                <w:sz w:val="18"/>
                <w:szCs w:val="18"/>
              </w:rPr>
              <w:t>2类</w:t>
            </w:r>
          </w:p>
        </w:tc>
        <w:tc>
          <w:tcPr>
            <w:tcW w:w="166" w:type="pct"/>
            <w:shd w:val="clear" w:color="auto" w:fill="auto"/>
            <w:vAlign w:val="center"/>
          </w:tcPr>
          <w:p>
            <w:pPr>
              <w:pStyle w:val="105"/>
              <w:jc w:val="center"/>
              <w:rPr>
                <w:sz w:val="18"/>
                <w:szCs w:val="18"/>
              </w:rPr>
            </w:pPr>
            <w:r>
              <w:rPr>
                <w:rFonts w:hint="eastAsia"/>
                <w:sz w:val="18"/>
                <w:szCs w:val="18"/>
              </w:rPr>
              <w:t>4</w:t>
            </w:r>
            <w:r>
              <w:rPr>
                <w:sz w:val="18"/>
                <w:szCs w:val="18"/>
              </w:rPr>
              <w:t>6</w:t>
            </w:r>
            <w:r>
              <w:rPr>
                <w:rFonts w:hint="eastAsia"/>
                <w:sz w:val="18"/>
                <w:szCs w:val="18"/>
              </w:rPr>
              <w:t>户2</w:t>
            </w:r>
            <w:r>
              <w:rPr>
                <w:sz w:val="18"/>
                <w:szCs w:val="18"/>
              </w:rPr>
              <w:t>30</w:t>
            </w:r>
            <w:r>
              <w:rPr>
                <w:rFonts w:hint="eastAsia"/>
                <w:sz w:val="18"/>
                <w:szCs w:val="18"/>
              </w:rPr>
              <w:t>人</w:t>
            </w:r>
          </w:p>
        </w:tc>
        <w:tc>
          <w:tcPr>
            <w:tcW w:w="397" w:type="pct"/>
            <w:vMerge w:val="continue"/>
            <w:shd w:val="clear" w:color="auto" w:fill="auto"/>
          </w:tcPr>
          <w:p>
            <w:pPr>
              <w:pStyle w:val="105"/>
              <w:jc w:val="center"/>
              <w:rPr>
                <w:sz w:val="18"/>
                <w:szCs w:val="18"/>
              </w:rPr>
            </w:pPr>
          </w:p>
        </w:tc>
        <w:tc>
          <w:tcPr>
            <w:tcW w:w="994" w:type="pct"/>
            <w:vMerge w:val="continue"/>
            <w:shd w:val="clear" w:color="auto" w:fill="auto"/>
            <w:vAlign w:val="center"/>
          </w:tcPr>
          <w:p>
            <w:pPr>
              <w:pStyle w:val="105"/>
              <w:jc w:val="cente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569" w:hRule="atLeast"/>
          <w:jc w:val="center"/>
        </w:trPr>
        <w:tc>
          <w:tcPr>
            <w:tcW w:w="66" w:type="pct"/>
            <w:shd w:val="clear" w:color="auto" w:fill="auto"/>
            <w:vAlign w:val="center"/>
          </w:tcPr>
          <w:p>
            <w:pPr>
              <w:pStyle w:val="105"/>
              <w:jc w:val="center"/>
              <w:rPr>
                <w:sz w:val="18"/>
                <w:szCs w:val="18"/>
              </w:rPr>
            </w:pPr>
            <w:r>
              <w:rPr>
                <w:rFonts w:hint="eastAsia"/>
                <w:sz w:val="18"/>
                <w:szCs w:val="18"/>
              </w:rPr>
              <w:t>1</w:t>
            </w:r>
            <w:r>
              <w:rPr>
                <w:sz w:val="18"/>
                <w:szCs w:val="18"/>
              </w:rPr>
              <w:t>0</w:t>
            </w:r>
          </w:p>
        </w:tc>
        <w:tc>
          <w:tcPr>
            <w:tcW w:w="133" w:type="pct"/>
            <w:shd w:val="clear" w:color="auto" w:fill="auto"/>
            <w:vAlign w:val="center"/>
          </w:tcPr>
          <w:p>
            <w:pPr>
              <w:pStyle w:val="105"/>
              <w:jc w:val="center"/>
              <w:rPr>
                <w:sz w:val="18"/>
                <w:szCs w:val="18"/>
              </w:rPr>
            </w:pPr>
            <w:r>
              <w:rPr>
                <w:rFonts w:hint="eastAsia"/>
                <w:sz w:val="18"/>
                <w:szCs w:val="18"/>
              </w:rPr>
              <w:t>联华村（朱里）</w:t>
            </w:r>
          </w:p>
        </w:tc>
        <w:tc>
          <w:tcPr>
            <w:tcW w:w="132" w:type="pct"/>
            <w:shd w:val="clear" w:color="auto" w:fill="auto"/>
            <w:vAlign w:val="center"/>
          </w:tcPr>
          <w:p>
            <w:pPr>
              <w:pStyle w:val="105"/>
              <w:jc w:val="center"/>
              <w:rPr>
                <w:sz w:val="18"/>
                <w:szCs w:val="18"/>
              </w:rPr>
            </w:pPr>
            <w:r>
              <w:rPr>
                <w:rFonts w:hint="eastAsia"/>
                <w:sz w:val="18"/>
                <w:szCs w:val="18"/>
              </w:rPr>
              <w:t>主线</w:t>
            </w:r>
          </w:p>
        </w:tc>
        <w:tc>
          <w:tcPr>
            <w:tcW w:w="166" w:type="pct"/>
            <w:shd w:val="clear" w:color="auto" w:fill="auto"/>
            <w:vAlign w:val="center"/>
          </w:tcPr>
          <w:p>
            <w:pPr>
              <w:pStyle w:val="105"/>
              <w:jc w:val="center"/>
              <w:rPr>
                <w:sz w:val="18"/>
                <w:szCs w:val="18"/>
              </w:rPr>
            </w:pPr>
            <w:r>
              <w:rPr>
                <w:rFonts w:hint="eastAsia"/>
                <w:sz w:val="18"/>
                <w:szCs w:val="18"/>
              </w:rPr>
              <w:t>K</w:t>
            </w:r>
            <w:r>
              <w:rPr>
                <w:sz w:val="18"/>
                <w:szCs w:val="18"/>
              </w:rPr>
              <w:t>3+020~</w:t>
            </w:r>
            <w:r>
              <w:rPr>
                <w:rFonts w:hint="eastAsia"/>
                <w:sz w:val="18"/>
                <w:szCs w:val="18"/>
              </w:rPr>
              <w:t xml:space="preserve"> K</w:t>
            </w:r>
            <w:r>
              <w:rPr>
                <w:sz w:val="18"/>
                <w:szCs w:val="18"/>
              </w:rPr>
              <w:t>3+300</w:t>
            </w:r>
          </w:p>
        </w:tc>
        <w:tc>
          <w:tcPr>
            <w:tcW w:w="100" w:type="pct"/>
            <w:shd w:val="clear" w:color="auto" w:fill="auto"/>
            <w:vAlign w:val="center"/>
          </w:tcPr>
          <w:p>
            <w:pPr>
              <w:pStyle w:val="105"/>
              <w:jc w:val="center"/>
              <w:rPr>
                <w:sz w:val="18"/>
                <w:szCs w:val="18"/>
              </w:rPr>
            </w:pPr>
            <w:r>
              <w:rPr>
                <w:rFonts w:hint="eastAsia"/>
                <w:sz w:val="18"/>
                <w:szCs w:val="18"/>
              </w:rPr>
              <w:t>路基</w:t>
            </w:r>
          </w:p>
        </w:tc>
        <w:tc>
          <w:tcPr>
            <w:tcW w:w="99" w:type="pct"/>
            <w:shd w:val="clear" w:color="auto" w:fill="auto"/>
            <w:vAlign w:val="center"/>
          </w:tcPr>
          <w:p>
            <w:pPr>
              <w:pStyle w:val="105"/>
              <w:jc w:val="center"/>
              <w:rPr>
                <w:sz w:val="18"/>
                <w:szCs w:val="18"/>
              </w:rPr>
            </w:pPr>
            <w:r>
              <w:rPr>
                <w:rFonts w:hint="eastAsia"/>
                <w:sz w:val="18"/>
                <w:szCs w:val="18"/>
              </w:rPr>
              <w:t>1</w:t>
            </w:r>
            <w:r>
              <w:rPr>
                <w:sz w:val="18"/>
                <w:szCs w:val="18"/>
              </w:rPr>
              <w:t>.55</w:t>
            </w: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0</w:t>
            </w:r>
          </w:p>
        </w:tc>
        <w:tc>
          <w:tcPr>
            <w:tcW w:w="166" w:type="pct"/>
            <w:shd w:val="clear" w:color="auto" w:fill="auto"/>
            <w:vAlign w:val="center"/>
          </w:tcPr>
          <w:p>
            <w:pPr>
              <w:pStyle w:val="105"/>
              <w:jc w:val="center"/>
              <w:rPr>
                <w:sz w:val="18"/>
                <w:szCs w:val="18"/>
              </w:rPr>
            </w:pPr>
            <w:r>
              <w:rPr>
                <w:rFonts w:hint="eastAsia"/>
                <w:sz w:val="18"/>
                <w:szCs w:val="18"/>
              </w:rPr>
              <w:t>9</w:t>
            </w:r>
            <w:r>
              <w:rPr>
                <w:sz w:val="18"/>
                <w:szCs w:val="18"/>
              </w:rPr>
              <w:t>8</w:t>
            </w:r>
          </w:p>
        </w:tc>
        <w:tc>
          <w:tcPr>
            <w:tcW w:w="166" w:type="pct"/>
            <w:shd w:val="clear" w:color="auto" w:fill="auto"/>
            <w:vAlign w:val="center"/>
          </w:tcPr>
          <w:p>
            <w:pPr>
              <w:pStyle w:val="105"/>
              <w:jc w:val="center"/>
              <w:rPr>
                <w:sz w:val="18"/>
                <w:szCs w:val="18"/>
              </w:rPr>
            </w:pPr>
            <w:r>
              <w:rPr>
                <w:rFonts w:hint="eastAsia"/>
                <w:sz w:val="18"/>
                <w:szCs w:val="18"/>
              </w:rPr>
              <w:t>7</w:t>
            </w:r>
            <w:r>
              <w:rPr>
                <w:sz w:val="18"/>
                <w:szCs w:val="18"/>
              </w:rPr>
              <w:t>4</w:t>
            </w:r>
          </w:p>
        </w:tc>
        <w:tc>
          <w:tcPr>
            <w:tcW w:w="132" w:type="pct"/>
            <w:shd w:val="clear" w:color="auto" w:fill="auto"/>
            <w:vAlign w:val="center"/>
          </w:tcPr>
          <w:p>
            <w:pPr>
              <w:pStyle w:val="105"/>
              <w:jc w:val="center"/>
              <w:rPr>
                <w:sz w:val="18"/>
                <w:szCs w:val="18"/>
              </w:rPr>
            </w:pPr>
            <w:r>
              <w:rPr>
                <w:rFonts w:hint="eastAsia"/>
                <w:sz w:val="18"/>
                <w:szCs w:val="18"/>
              </w:rPr>
              <w:t>2类</w:t>
            </w:r>
          </w:p>
        </w:tc>
        <w:tc>
          <w:tcPr>
            <w:tcW w:w="166" w:type="pct"/>
            <w:shd w:val="clear" w:color="auto" w:fill="auto"/>
            <w:vAlign w:val="center"/>
          </w:tcPr>
          <w:p>
            <w:pPr>
              <w:pStyle w:val="105"/>
              <w:jc w:val="center"/>
              <w:rPr>
                <w:sz w:val="18"/>
                <w:szCs w:val="18"/>
              </w:rPr>
            </w:pPr>
            <w:r>
              <w:rPr>
                <w:sz w:val="18"/>
                <w:szCs w:val="18"/>
              </w:rPr>
              <w:t>14</w:t>
            </w:r>
            <w:r>
              <w:rPr>
                <w:rFonts w:hint="eastAsia"/>
                <w:sz w:val="18"/>
                <w:szCs w:val="18"/>
              </w:rPr>
              <w:t>户</w:t>
            </w:r>
            <w:r>
              <w:rPr>
                <w:sz w:val="18"/>
                <w:szCs w:val="18"/>
              </w:rPr>
              <w:t>70</w:t>
            </w:r>
            <w:r>
              <w:rPr>
                <w:rFonts w:hint="eastAsia"/>
                <w:sz w:val="18"/>
                <w:szCs w:val="18"/>
              </w:rPr>
              <w:t>人</w:t>
            </w:r>
          </w:p>
        </w:tc>
        <w:tc>
          <w:tcPr>
            <w:tcW w:w="397" w:type="pct"/>
            <w:shd w:val="clear" w:color="auto" w:fill="auto"/>
          </w:tcPr>
          <w:p>
            <w:pPr>
              <w:pStyle w:val="105"/>
              <w:jc w:val="center"/>
              <w:rPr>
                <w:sz w:val="18"/>
                <w:szCs w:val="18"/>
              </w:rPr>
            </w:pPr>
            <w:r>
              <w:rPr>
                <w:rFonts w:hint="eastAsia"/>
                <w:sz w:val="18"/>
                <w:szCs w:val="18"/>
              </w:rPr>
              <w:t>砖混结构，建筑主要为2</w:t>
            </w:r>
            <w:r>
              <w:rPr>
                <w:sz w:val="18"/>
                <w:szCs w:val="18"/>
              </w:rPr>
              <w:t>~4</w:t>
            </w:r>
            <w:r>
              <w:rPr>
                <w:rFonts w:hint="eastAsia"/>
                <w:sz w:val="18"/>
                <w:szCs w:val="18"/>
              </w:rPr>
              <w:t>层，主要建筑正向对拟建道路（南），铝合金推拉窗，周边园地，与道路之间无密集林带。</w:t>
            </w:r>
          </w:p>
        </w:tc>
        <w:tc>
          <w:tcPr>
            <w:tcW w:w="994" w:type="pct"/>
            <w:shd w:val="clear" w:color="auto" w:fill="auto"/>
            <w:vAlign w:val="center"/>
          </w:tcPr>
          <w:p>
            <w:pPr>
              <w:pStyle w:val="105"/>
              <w:jc w:val="center"/>
            </w:pPr>
            <w:r>
              <mc:AlternateContent>
                <mc:Choice Requires="wps">
                  <w:drawing>
                    <wp:anchor distT="0" distB="0" distL="114300" distR="114300" simplePos="0" relativeHeight="251727872" behindDoc="0" locked="0" layoutInCell="1" allowOverlap="1">
                      <wp:simplePos x="0" y="0"/>
                      <wp:positionH relativeFrom="column">
                        <wp:posOffset>421005</wp:posOffset>
                      </wp:positionH>
                      <wp:positionV relativeFrom="paragraph">
                        <wp:posOffset>118745</wp:posOffset>
                      </wp:positionV>
                      <wp:extent cx="1190625" cy="299720"/>
                      <wp:effectExtent l="0" t="0" r="9525" b="5080"/>
                      <wp:wrapNone/>
                      <wp:docPr id="6" name="文本框 6"/>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联华村朱里</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3.15pt;margin-top:9.35pt;height:23.6pt;width:93.75pt;z-index:251727872;mso-width-relative:page;mso-height-relative:page;" filled="f" stroked="f" coordsize="21600,21600" o:gfxdata="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avuivWAAAACAEAAA8AAAAAAAAAAQAgAAAAIgAAAGRycy9kb3ducmV2LnhtbFBL&#10;AQIUABQAAAAIAIdO4kDvTfZHMQIAAFYEAAAOAAAAAAAAAAEAIAAAACUBAABkcnMvZTJvRG9jLnht&#10;bFBLBQYAAAAABgAGAFkBAADI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联华村朱里</w:t>
                            </w:r>
                          </w:p>
                        </w:txbxContent>
                      </v:textbox>
                    </v:shape>
                  </w:pict>
                </mc:Fallback>
              </mc:AlternateContent>
            </w:r>
          </w:p>
        </w:tc>
        <w:tc>
          <w:tcPr>
            <w:tcW w:w="1340" w:type="pct"/>
            <w:shd w:val="clear" w:color="auto" w:fill="auto"/>
            <w:vAlign w:val="center"/>
          </w:tcPr>
          <w:p>
            <w:pPr>
              <w:pStyle w:val="105"/>
              <w:jc w:val="center"/>
              <w:rPr>
                <w:sz w:val="18"/>
                <w:szCs w:val="18"/>
              </w:rPr>
            </w:pPr>
            <w:r>
              <mc:AlternateContent>
                <mc:Choice Requires="wps">
                  <w:drawing>
                    <wp:anchor distT="0" distB="0" distL="114300" distR="114300" simplePos="0" relativeHeight="251712512" behindDoc="0" locked="0" layoutInCell="1" allowOverlap="1">
                      <wp:simplePos x="0" y="0"/>
                      <wp:positionH relativeFrom="column">
                        <wp:posOffset>1183005</wp:posOffset>
                      </wp:positionH>
                      <wp:positionV relativeFrom="paragraph">
                        <wp:posOffset>1374775</wp:posOffset>
                      </wp:positionV>
                      <wp:extent cx="1190625" cy="299720"/>
                      <wp:effectExtent l="0" t="0" r="9525" b="5080"/>
                      <wp:wrapNone/>
                      <wp:docPr id="501" name="文本框 501"/>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联华村朱里</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3.15pt;margin-top:108.25pt;height:23.6pt;width:93.75pt;z-index:251712512;mso-width-relative:page;mso-height-relative:page;" filled="f" stroked="f" coordsize="21600,21600" o:gfxdata="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Tufr9kAAAALAQAADwAAAAAAAAABACAAAAAiAAAAZHJzL2Rvd25yZXYu&#10;eG1sUEsBAhQAFAAAAAgAh07iQPGrA8YzAgAAWgQAAA4AAAAAAAAAAQAgAAAAKA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联华村朱里</w:t>
                            </w:r>
                          </w:p>
                        </w:txbxContent>
                      </v:textbox>
                    </v:shape>
                  </w:pict>
                </mc:Fallback>
              </mc:AlternateContent>
            </w:r>
          </w:p>
        </w:tc>
        <w:tc>
          <w:tcPr>
            <w:tcW w:w="645" w:type="pc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61" w:hRule="atLeast"/>
          <w:jc w:val="center"/>
        </w:trPr>
        <w:tc>
          <w:tcPr>
            <w:tcW w:w="66" w:type="pct"/>
            <w:vMerge w:val="restart"/>
            <w:shd w:val="clear" w:color="auto" w:fill="auto"/>
            <w:vAlign w:val="center"/>
          </w:tcPr>
          <w:p>
            <w:pPr>
              <w:pStyle w:val="105"/>
              <w:jc w:val="center"/>
              <w:rPr>
                <w:sz w:val="18"/>
                <w:szCs w:val="18"/>
              </w:rPr>
            </w:pPr>
            <w:r>
              <w:rPr>
                <w:rFonts w:hint="eastAsia"/>
                <w:sz w:val="18"/>
                <w:szCs w:val="18"/>
              </w:rPr>
              <w:t>1</w:t>
            </w:r>
            <w:r>
              <w:rPr>
                <w:sz w:val="18"/>
                <w:szCs w:val="18"/>
              </w:rPr>
              <w:t>1</w:t>
            </w:r>
          </w:p>
        </w:tc>
        <w:tc>
          <w:tcPr>
            <w:tcW w:w="133" w:type="pct"/>
            <w:vMerge w:val="restart"/>
            <w:shd w:val="clear" w:color="auto" w:fill="auto"/>
            <w:vAlign w:val="center"/>
          </w:tcPr>
          <w:p>
            <w:pPr>
              <w:pStyle w:val="105"/>
              <w:jc w:val="center"/>
              <w:rPr>
                <w:sz w:val="18"/>
                <w:szCs w:val="18"/>
              </w:rPr>
            </w:pPr>
            <w:r>
              <w:rPr>
                <w:rFonts w:hint="eastAsia"/>
                <w:sz w:val="18"/>
                <w:szCs w:val="18"/>
              </w:rPr>
              <w:t>联华村（木厝洋）</w:t>
            </w:r>
          </w:p>
        </w:tc>
        <w:tc>
          <w:tcPr>
            <w:tcW w:w="132" w:type="pct"/>
            <w:vMerge w:val="restart"/>
            <w:shd w:val="clear" w:color="auto" w:fill="auto"/>
            <w:vAlign w:val="center"/>
          </w:tcPr>
          <w:p>
            <w:pPr>
              <w:pStyle w:val="105"/>
              <w:jc w:val="center"/>
              <w:rPr>
                <w:sz w:val="18"/>
                <w:szCs w:val="18"/>
              </w:rPr>
            </w:pPr>
            <w:r>
              <w:rPr>
                <w:rFonts w:hint="eastAsia"/>
                <w:sz w:val="18"/>
                <w:szCs w:val="18"/>
              </w:rPr>
              <w:t>主线</w:t>
            </w:r>
          </w:p>
        </w:tc>
        <w:tc>
          <w:tcPr>
            <w:tcW w:w="166" w:type="pct"/>
            <w:vMerge w:val="restart"/>
            <w:shd w:val="clear" w:color="auto" w:fill="auto"/>
            <w:vAlign w:val="center"/>
          </w:tcPr>
          <w:p>
            <w:pPr>
              <w:pStyle w:val="105"/>
              <w:jc w:val="center"/>
              <w:rPr>
                <w:sz w:val="18"/>
                <w:szCs w:val="18"/>
              </w:rPr>
            </w:pPr>
            <w:r>
              <w:rPr>
                <w:rFonts w:hint="eastAsia"/>
                <w:sz w:val="18"/>
                <w:szCs w:val="18"/>
              </w:rPr>
              <w:t>K</w:t>
            </w:r>
            <w:r>
              <w:rPr>
                <w:sz w:val="18"/>
                <w:szCs w:val="18"/>
              </w:rPr>
              <w:t>3+360~</w:t>
            </w:r>
            <w:r>
              <w:rPr>
                <w:rFonts w:hint="eastAsia"/>
                <w:sz w:val="18"/>
                <w:szCs w:val="18"/>
              </w:rPr>
              <w:t xml:space="preserve"> K</w:t>
            </w:r>
            <w:r>
              <w:rPr>
                <w:sz w:val="18"/>
                <w:szCs w:val="18"/>
              </w:rPr>
              <w:t>3+680</w:t>
            </w:r>
          </w:p>
        </w:tc>
        <w:tc>
          <w:tcPr>
            <w:tcW w:w="100" w:type="pct"/>
            <w:shd w:val="clear" w:color="auto" w:fill="auto"/>
            <w:vAlign w:val="center"/>
          </w:tcPr>
          <w:p>
            <w:pPr>
              <w:pStyle w:val="105"/>
              <w:jc w:val="center"/>
              <w:rPr>
                <w:sz w:val="18"/>
                <w:szCs w:val="18"/>
              </w:rPr>
            </w:pPr>
            <w:r>
              <w:rPr>
                <w:rFonts w:hint="eastAsia"/>
                <w:sz w:val="18"/>
                <w:szCs w:val="18"/>
              </w:rPr>
              <w:t>路基</w:t>
            </w:r>
          </w:p>
        </w:tc>
        <w:tc>
          <w:tcPr>
            <w:tcW w:w="99" w:type="pct"/>
            <w:shd w:val="clear" w:color="auto" w:fill="auto"/>
            <w:vAlign w:val="center"/>
          </w:tcPr>
          <w:p>
            <w:pPr>
              <w:pStyle w:val="105"/>
              <w:jc w:val="center"/>
              <w:rPr>
                <w:sz w:val="18"/>
                <w:szCs w:val="18"/>
              </w:rPr>
            </w:pPr>
            <w:r>
              <w:rPr>
                <w:rFonts w:hint="eastAsia"/>
                <w:sz w:val="18"/>
                <w:szCs w:val="18"/>
              </w:rPr>
              <w:t>1</w:t>
            </w:r>
            <w:r>
              <w:rPr>
                <w:sz w:val="18"/>
                <w:szCs w:val="18"/>
              </w:rPr>
              <w:t>.55</w:t>
            </w:r>
          </w:p>
        </w:tc>
        <w:tc>
          <w:tcPr>
            <w:tcW w:w="99" w:type="pct"/>
            <w:shd w:val="clear" w:color="auto" w:fill="auto"/>
            <w:vAlign w:val="center"/>
          </w:tcPr>
          <w:p>
            <w:pPr>
              <w:pStyle w:val="105"/>
              <w:jc w:val="center"/>
              <w:rPr>
                <w:sz w:val="18"/>
                <w:szCs w:val="18"/>
              </w:rPr>
            </w:pPr>
            <w:r>
              <w:rPr>
                <w:rFonts w:hint="eastAsia"/>
                <w:sz w:val="18"/>
                <w:szCs w:val="18"/>
              </w:rPr>
              <w:t>两侧</w:t>
            </w:r>
          </w:p>
        </w:tc>
        <w:tc>
          <w:tcPr>
            <w:tcW w:w="199" w:type="pct"/>
            <w:shd w:val="clear" w:color="auto" w:fill="auto"/>
            <w:vAlign w:val="center"/>
          </w:tcPr>
          <w:p>
            <w:pPr>
              <w:pStyle w:val="105"/>
              <w:jc w:val="center"/>
              <w:rPr>
                <w:sz w:val="18"/>
                <w:szCs w:val="18"/>
              </w:rPr>
            </w:pPr>
            <w:r>
              <w:rPr>
                <w:rFonts w:hint="eastAsia"/>
                <w:sz w:val="18"/>
                <w:szCs w:val="18"/>
              </w:rPr>
              <w:t>0</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2</w:t>
            </w:r>
          </w:p>
        </w:tc>
        <w:tc>
          <w:tcPr>
            <w:tcW w:w="166" w:type="pct"/>
            <w:shd w:val="clear" w:color="auto" w:fill="auto"/>
            <w:vAlign w:val="center"/>
          </w:tcPr>
          <w:p>
            <w:pPr>
              <w:pStyle w:val="105"/>
              <w:jc w:val="center"/>
              <w:rPr>
                <w:sz w:val="18"/>
                <w:szCs w:val="18"/>
              </w:rPr>
            </w:pPr>
            <w:r>
              <w:rPr>
                <w:rFonts w:hint="eastAsia"/>
                <w:sz w:val="18"/>
                <w:szCs w:val="18"/>
              </w:rPr>
              <w:t>2</w:t>
            </w:r>
            <w:r>
              <w:rPr>
                <w:sz w:val="18"/>
                <w:szCs w:val="18"/>
              </w:rPr>
              <w:t>0</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rFonts w:hint="eastAsia"/>
                <w:sz w:val="18"/>
                <w:szCs w:val="18"/>
              </w:rPr>
              <w:t>6户3</w:t>
            </w:r>
            <w:r>
              <w:rPr>
                <w:sz w:val="18"/>
                <w:szCs w:val="18"/>
              </w:rPr>
              <w:t>0</w:t>
            </w:r>
            <w:r>
              <w:rPr>
                <w:rFonts w:hint="eastAsia"/>
                <w:sz w:val="18"/>
                <w:szCs w:val="18"/>
              </w:rPr>
              <w:t>人</w:t>
            </w:r>
          </w:p>
        </w:tc>
        <w:tc>
          <w:tcPr>
            <w:tcW w:w="397" w:type="pct"/>
            <w:vMerge w:val="restart"/>
            <w:shd w:val="clear" w:color="auto" w:fill="auto"/>
          </w:tcPr>
          <w:p>
            <w:pPr>
              <w:pStyle w:val="105"/>
              <w:jc w:val="center"/>
              <w:rPr>
                <w:sz w:val="18"/>
                <w:szCs w:val="18"/>
              </w:rPr>
            </w:pPr>
            <w:r>
              <w:rPr>
                <w:rFonts w:hint="eastAsia"/>
                <w:sz w:val="18"/>
                <w:szCs w:val="18"/>
              </w:rPr>
              <w:t>砖混结构，建筑主要为2</w:t>
            </w:r>
            <w:r>
              <w:rPr>
                <w:sz w:val="18"/>
                <w:szCs w:val="18"/>
              </w:rPr>
              <w:t>~4</w:t>
            </w:r>
            <w:r>
              <w:rPr>
                <w:rFonts w:hint="eastAsia"/>
                <w:sz w:val="18"/>
                <w:szCs w:val="18"/>
              </w:rPr>
              <w:t>层，主要建筑侧向、正向对拟建道路（南），铝合金推拉窗，周边园地，与道路之间无密集林带。</w:t>
            </w:r>
          </w:p>
        </w:tc>
        <w:tc>
          <w:tcPr>
            <w:tcW w:w="994" w:type="pct"/>
            <w:vMerge w:val="restart"/>
            <w:shd w:val="clear" w:color="auto" w:fill="auto"/>
            <w:vAlign w:val="center"/>
          </w:tcPr>
          <w:p>
            <w:pPr>
              <w:pStyle w:val="105"/>
              <w:jc w:val="center"/>
            </w:pPr>
            <w:r>
              <mc:AlternateContent>
                <mc:Choice Requires="wps">
                  <w:drawing>
                    <wp:anchor distT="0" distB="0" distL="114300" distR="114300" simplePos="0" relativeHeight="251714560" behindDoc="0" locked="0" layoutInCell="1" allowOverlap="1">
                      <wp:simplePos x="0" y="0"/>
                      <wp:positionH relativeFrom="column">
                        <wp:posOffset>1126490</wp:posOffset>
                      </wp:positionH>
                      <wp:positionV relativeFrom="paragraph">
                        <wp:posOffset>1457325</wp:posOffset>
                      </wp:positionV>
                      <wp:extent cx="1190625" cy="299720"/>
                      <wp:effectExtent l="0" t="0" r="9525" b="5080"/>
                      <wp:wrapNone/>
                      <wp:docPr id="505" name="文本框 505"/>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联华村木洋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8.7pt;margin-top:114.75pt;height:23.6pt;width:93.75pt;z-index:251714560;mso-width-relative:page;mso-height-relative:page;" filled="f" stroked="f" coordsize="21600,21600" o:gfxdata="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U1B7doAAAALAQAADwAAAAAAAAABACAAAAAiAAAAZHJzL2Rvd25yZXYu&#10;eG1sUEsBAhQAFAAAAAgAh07iQDAhzQIyAgAAWgQAAA4AAAAAAAAAAQAgAAAAKQ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联华村木洋</w:t>
                            </w:r>
                          </w:p>
                        </w:txbxContent>
                      </v:textbox>
                    </v:shape>
                  </w:pict>
                </mc:Fallback>
              </mc:AlternateContent>
            </w:r>
          </w:p>
        </w:tc>
        <w:tc>
          <w:tcPr>
            <w:tcW w:w="1340"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13536" behindDoc="0" locked="0" layoutInCell="1" allowOverlap="1">
                      <wp:simplePos x="0" y="0"/>
                      <wp:positionH relativeFrom="column">
                        <wp:posOffset>1583055</wp:posOffset>
                      </wp:positionH>
                      <wp:positionV relativeFrom="paragraph">
                        <wp:posOffset>1534795</wp:posOffset>
                      </wp:positionV>
                      <wp:extent cx="1190625" cy="299720"/>
                      <wp:effectExtent l="0" t="0" r="9525" b="5080"/>
                      <wp:wrapNone/>
                      <wp:docPr id="504" name="文本框 504"/>
                      <wp:cNvGraphicFramePr/>
                      <a:graphic xmlns:a="http://schemas.openxmlformats.org/drawingml/2006/main">
                        <a:graphicData uri="http://schemas.microsoft.com/office/word/2010/wordprocessingShape">
                          <wps:wsp>
                            <wps:cNvSpPr txBox="1"/>
                            <wps:spPr>
                              <a:xfrm>
                                <a:off x="0" y="0"/>
                                <a:ext cx="119062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联华村木厝洋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4.65pt;margin-top:120.85pt;height:23.6pt;width:93.75pt;z-index:251713536;mso-width-relative:page;mso-height-relative:page;" filled="f" stroked="f" coordsize="21600,21600" o:gfxdata="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8kg+bZAAAACwEAAA8AAAAAAAAAAQAgAAAAIgAAAGRycy9kb3ducmV2&#10;LnhtbFBLAQIUABQAAAAIAIdO4kAQwiJFNAIAAFoEAAAOAAAAAAAAAAEAIAAAACgBAABkcnMvZTJv&#10;RG9jLnhtbFBLBQYAAAAABgAGAFkBAADO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联华村木厝洋</w:t>
                            </w:r>
                          </w:p>
                        </w:txbxContent>
                      </v:textbox>
                    </v:shape>
                  </w:pict>
                </mc:Fallback>
              </mc:AlternateContent>
            </w:r>
          </w:p>
        </w:tc>
        <w:tc>
          <w:tcPr>
            <w:tcW w:w="645" w:type="pct"/>
            <w:vMerge w:val="restar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569"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shd w:val="clear" w:color="auto" w:fill="auto"/>
            <w:vAlign w:val="center"/>
          </w:tcPr>
          <w:p>
            <w:pPr>
              <w:pStyle w:val="105"/>
              <w:jc w:val="center"/>
              <w:rPr>
                <w:sz w:val="18"/>
                <w:szCs w:val="18"/>
              </w:rPr>
            </w:pPr>
            <w:r>
              <w:rPr>
                <w:rFonts w:hint="eastAsia"/>
                <w:sz w:val="18"/>
                <w:szCs w:val="18"/>
              </w:rPr>
              <w:t>路基</w:t>
            </w:r>
          </w:p>
        </w:tc>
        <w:tc>
          <w:tcPr>
            <w:tcW w:w="99" w:type="pct"/>
            <w:shd w:val="clear" w:color="auto" w:fill="auto"/>
            <w:vAlign w:val="center"/>
          </w:tcPr>
          <w:p>
            <w:pPr>
              <w:pStyle w:val="105"/>
              <w:jc w:val="center"/>
              <w:rPr>
                <w:sz w:val="18"/>
                <w:szCs w:val="18"/>
              </w:rPr>
            </w:pPr>
            <w:r>
              <w:rPr>
                <w:rFonts w:hint="eastAsia"/>
                <w:sz w:val="18"/>
                <w:szCs w:val="18"/>
              </w:rPr>
              <w:t>1</w:t>
            </w:r>
            <w:r>
              <w:rPr>
                <w:sz w:val="18"/>
                <w:szCs w:val="18"/>
              </w:rPr>
              <w:t>.55</w:t>
            </w: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0</w:t>
            </w:r>
          </w:p>
        </w:tc>
        <w:tc>
          <w:tcPr>
            <w:tcW w:w="166" w:type="pct"/>
            <w:shd w:val="clear" w:color="auto" w:fill="auto"/>
            <w:vAlign w:val="center"/>
          </w:tcPr>
          <w:p>
            <w:pPr>
              <w:pStyle w:val="105"/>
              <w:jc w:val="center"/>
              <w:rPr>
                <w:sz w:val="18"/>
                <w:szCs w:val="18"/>
              </w:rPr>
            </w:pPr>
            <w:r>
              <w:rPr>
                <w:sz w:val="18"/>
                <w:szCs w:val="18"/>
              </w:rPr>
              <w:t>42</w:t>
            </w:r>
          </w:p>
        </w:tc>
        <w:tc>
          <w:tcPr>
            <w:tcW w:w="166" w:type="pct"/>
            <w:shd w:val="clear" w:color="auto" w:fill="auto"/>
            <w:vAlign w:val="center"/>
          </w:tcPr>
          <w:p>
            <w:pPr>
              <w:pStyle w:val="105"/>
              <w:jc w:val="center"/>
              <w:rPr>
                <w:sz w:val="18"/>
                <w:szCs w:val="18"/>
              </w:rPr>
            </w:pPr>
            <w:r>
              <w:rPr>
                <w:sz w:val="18"/>
                <w:szCs w:val="18"/>
              </w:rPr>
              <w:t>50</w:t>
            </w:r>
          </w:p>
        </w:tc>
        <w:tc>
          <w:tcPr>
            <w:tcW w:w="132" w:type="pct"/>
            <w:shd w:val="clear" w:color="auto" w:fill="auto"/>
            <w:vAlign w:val="center"/>
          </w:tcPr>
          <w:p>
            <w:pPr>
              <w:pStyle w:val="105"/>
              <w:jc w:val="center"/>
              <w:rPr>
                <w:sz w:val="18"/>
                <w:szCs w:val="18"/>
              </w:rPr>
            </w:pPr>
            <w:r>
              <w:rPr>
                <w:rFonts w:hint="eastAsia"/>
                <w:sz w:val="18"/>
                <w:szCs w:val="18"/>
              </w:rPr>
              <w:t>2类</w:t>
            </w:r>
          </w:p>
        </w:tc>
        <w:tc>
          <w:tcPr>
            <w:tcW w:w="166" w:type="pct"/>
            <w:shd w:val="clear" w:color="auto" w:fill="auto"/>
            <w:vAlign w:val="center"/>
          </w:tcPr>
          <w:p>
            <w:pPr>
              <w:pStyle w:val="105"/>
              <w:jc w:val="center"/>
              <w:rPr>
                <w:sz w:val="18"/>
                <w:szCs w:val="18"/>
              </w:rPr>
            </w:pPr>
            <w:r>
              <w:rPr>
                <w:rFonts w:hint="eastAsia"/>
                <w:sz w:val="18"/>
                <w:szCs w:val="18"/>
              </w:rPr>
              <w:t>3</w:t>
            </w:r>
            <w:r>
              <w:rPr>
                <w:sz w:val="18"/>
                <w:szCs w:val="18"/>
              </w:rPr>
              <w:t>2</w:t>
            </w:r>
            <w:r>
              <w:rPr>
                <w:rFonts w:hint="eastAsia"/>
                <w:sz w:val="18"/>
                <w:szCs w:val="18"/>
              </w:rPr>
              <w:t>户1</w:t>
            </w:r>
            <w:r>
              <w:rPr>
                <w:sz w:val="18"/>
                <w:szCs w:val="18"/>
              </w:rPr>
              <w:t>60</w:t>
            </w:r>
            <w:r>
              <w:rPr>
                <w:rFonts w:hint="eastAsia"/>
                <w:sz w:val="18"/>
                <w:szCs w:val="18"/>
              </w:rPr>
              <w:t>人</w:t>
            </w:r>
          </w:p>
        </w:tc>
        <w:tc>
          <w:tcPr>
            <w:tcW w:w="397" w:type="pct"/>
            <w:vMerge w:val="continue"/>
            <w:shd w:val="clear" w:color="auto" w:fill="auto"/>
          </w:tcPr>
          <w:p>
            <w:pPr>
              <w:pStyle w:val="105"/>
              <w:jc w:val="center"/>
              <w:rPr>
                <w:sz w:val="18"/>
                <w:szCs w:val="18"/>
              </w:rPr>
            </w:pPr>
          </w:p>
        </w:tc>
        <w:tc>
          <w:tcPr>
            <w:tcW w:w="994" w:type="pct"/>
            <w:vMerge w:val="continue"/>
            <w:shd w:val="clear" w:color="auto" w:fill="auto"/>
            <w:vAlign w:val="center"/>
          </w:tcPr>
          <w:p>
            <w:pPr>
              <w:pStyle w:val="105"/>
              <w:jc w:val="cente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150" w:hRule="atLeast"/>
          <w:jc w:val="center"/>
        </w:trPr>
        <w:tc>
          <w:tcPr>
            <w:tcW w:w="66" w:type="pct"/>
            <w:vMerge w:val="restart"/>
            <w:shd w:val="clear" w:color="auto" w:fill="auto"/>
            <w:vAlign w:val="center"/>
          </w:tcPr>
          <w:p>
            <w:pPr>
              <w:pStyle w:val="105"/>
              <w:jc w:val="center"/>
              <w:rPr>
                <w:sz w:val="18"/>
                <w:szCs w:val="18"/>
              </w:rPr>
            </w:pPr>
            <w:r>
              <w:rPr>
                <w:sz w:val="18"/>
                <w:szCs w:val="18"/>
              </w:rPr>
              <w:t>12</w:t>
            </w:r>
          </w:p>
        </w:tc>
        <w:tc>
          <w:tcPr>
            <w:tcW w:w="133" w:type="pct"/>
            <w:vMerge w:val="restart"/>
            <w:shd w:val="clear" w:color="auto" w:fill="auto"/>
            <w:vAlign w:val="center"/>
          </w:tcPr>
          <w:p>
            <w:pPr>
              <w:pStyle w:val="105"/>
              <w:jc w:val="center"/>
              <w:rPr>
                <w:sz w:val="18"/>
                <w:szCs w:val="18"/>
              </w:rPr>
            </w:pPr>
            <w:bookmarkStart w:id="175" w:name="_Hlk197442223"/>
            <w:r>
              <w:rPr>
                <w:rFonts w:hint="eastAsia"/>
                <w:sz w:val="18"/>
                <w:szCs w:val="18"/>
              </w:rPr>
              <w:t>联华村三落厝</w:t>
            </w:r>
            <w:bookmarkEnd w:id="175"/>
          </w:p>
        </w:tc>
        <w:tc>
          <w:tcPr>
            <w:tcW w:w="132" w:type="pct"/>
            <w:vMerge w:val="restart"/>
            <w:shd w:val="clear" w:color="auto" w:fill="auto"/>
            <w:vAlign w:val="center"/>
          </w:tcPr>
          <w:p>
            <w:pPr>
              <w:pStyle w:val="105"/>
              <w:jc w:val="center"/>
              <w:rPr>
                <w:sz w:val="18"/>
                <w:szCs w:val="18"/>
              </w:rPr>
            </w:pPr>
            <w:r>
              <w:rPr>
                <w:rFonts w:hint="eastAsia"/>
                <w:sz w:val="18"/>
                <w:szCs w:val="18"/>
              </w:rPr>
              <w:t>主线</w:t>
            </w:r>
          </w:p>
        </w:tc>
        <w:tc>
          <w:tcPr>
            <w:tcW w:w="166" w:type="pct"/>
            <w:vMerge w:val="restart"/>
            <w:shd w:val="clear" w:color="auto" w:fill="auto"/>
            <w:vAlign w:val="center"/>
          </w:tcPr>
          <w:p>
            <w:pPr>
              <w:pStyle w:val="105"/>
              <w:jc w:val="center"/>
              <w:rPr>
                <w:sz w:val="18"/>
                <w:szCs w:val="18"/>
              </w:rPr>
            </w:pPr>
            <w:r>
              <w:rPr>
                <w:rFonts w:hint="eastAsia"/>
                <w:sz w:val="18"/>
                <w:szCs w:val="18"/>
              </w:rPr>
              <w:t>K</w:t>
            </w:r>
            <w:r>
              <w:rPr>
                <w:sz w:val="18"/>
                <w:szCs w:val="18"/>
              </w:rPr>
              <w:t>4+920~K5+040</w:t>
            </w:r>
          </w:p>
        </w:tc>
        <w:tc>
          <w:tcPr>
            <w:tcW w:w="100" w:type="pct"/>
            <w:vMerge w:val="restart"/>
            <w:shd w:val="clear" w:color="auto" w:fill="auto"/>
            <w:vAlign w:val="center"/>
          </w:tcPr>
          <w:p>
            <w:pPr>
              <w:pStyle w:val="105"/>
              <w:jc w:val="center"/>
              <w:rPr>
                <w:sz w:val="18"/>
                <w:szCs w:val="18"/>
              </w:rPr>
            </w:pPr>
            <w:r>
              <w:rPr>
                <w:rFonts w:hint="eastAsia"/>
                <w:sz w:val="18"/>
                <w:szCs w:val="18"/>
              </w:rPr>
              <w:t>路基</w:t>
            </w:r>
          </w:p>
        </w:tc>
        <w:tc>
          <w:tcPr>
            <w:tcW w:w="99" w:type="pct"/>
            <w:shd w:val="clear" w:color="auto" w:fill="auto"/>
            <w:vAlign w:val="center"/>
          </w:tcPr>
          <w:p>
            <w:pPr>
              <w:pStyle w:val="105"/>
              <w:jc w:val="center"/>
              <w:rPr>
                <w:sz w:val="18"/>
                <w:szCs w:val="18"/>
              </w:rPr>
            </w:pPr>
            <w:r>
              <w:rPr>
                <w:sz w:val="18"/>
                <w:szCs w:val="18"/>
              </w:rPr>
              <w:t>-2.8</w:t>
            </w: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9</w:t>
            </w:r>
          </w:p>
        </w:tc>
        <w:tc>
          <w:tcPr>
            <w:tcW w:w="166" w:type="pct"/>
            <w:shd w:val="clear" w:color="auto" w:fill="auto"/>
            <w:vAlign w:val="center"/>
          </w:tcPr>
          <w:p>
            <w:pPr>
              <w:pStyle w:val="105"/>
              <w:jc w:val="center"/>
              <w:rPr>
                <w:sz w:val="18"/>
                <w:szCs w:val="18"/>
              </w:rPr>
            </w:pPr>
            <w:r>
              <w:rPr>
                <w:rFonts w:hint="eastAsia"/>
                <w:sz w:val="18"/>
                <w:szCs w:val="18"/>
              </w:rPr>
              <w:t>2</w:t>
            </w:r>
            <w:r>
              <w:rPr>
                <w:sz w:val="18"/>
                <w:szCs w:val="18"/>
              </w:rPr>
              <w:t>7</w:t>
            </w:r>
          </w:p>
        </w:tc>
        <w:tc>
          <w:tcPr>
            <w:tcW w:w="166" w:type="pct"/>
            <w:shd w:val="clear" w:color="auto" w:fill="auto"/>
            <w:vAlign w:val="center"/>
          </w:tcPr>
          <w:p>
            <w:pPr>
              <w:pStyle w:val="105"/>
              <w:jc w:val="center"/>
              <w:rPr>
                <w:sz w:val="18"/>
                <w:szCs w:val="18"/>
              </w:rPr>
            </w:pPr>
            <w:r>
              <w:rPr>
                <w:rFonts w:hint="eastAsia"/>
                <w:sz w:val="18"/>
                <w:szCs w:val="18"/>
              </w:rPr>
              <w:t>3</w:t>
            </w:r>
            <w:r>
              <w:rPr>
                <w:sz w:val="18"/>
                <w:szCs w:val="18"/>
              </w:rPr>
              <w:t>5</w:t>
            </w:r>
          </w:p>
        </w:tc>
        <w:tc>
          <w:tcPr>
            <w:tcW w:w="132" w:type="pct"/>
            <w:shd w:val="clear" w:color="auto" w:fill="auto"/>
            <w:vAlign w:val="center"/>
          </w:tcPr>
          <w:p>
            <w:pPr>
              <w:pStyle w:val="105"/>
              <w:jc w:val="center"/>
              <w:rPr>
                <w:sz w:val="18"/>
                <w:szCs w:val="18"/>
              </w:rPr>
            </w:pPr>
            <w:r>
              <w:rPr>
                <w:rFonts w:hint="eastAsia"/>
                <w:sz w:val="18"/>
                <w:szCs w:val="18"/>
              </w:rPr>
              <w:t>4a类</w:t>
            </w:r>
          </w:p>
        </w:tc>
        <w:tc>
          <w:tcPr>
            <w:tcW w:w="166" w:type="pct"/>
            <w:shd w:val="clear" w:color="auto" w:fill="auto"/>
            <w:vAlign w:val="center"/>
          </w:tcPr>
          <w:p>
            <w:pPr>
              <w:pStyle w:val="105"/>
              <w:jc w:val="center"/>
              <w:rPr>
                <w:sz w:val="18"/>
                <w:szCs w:val="18"/>
              </w:rPr>
            </w:pPr>
            <w:r>
              <w:rPr>
                <w:rFonts w:hint="eastAsia"/>
                <w:sz w:val="18"/>
                <w:szCs w:val="18"/>
              </w:rPr>
              <w:t>无住人</w:t>
            </w:r>
          </w:p>
        </w:tc>
        <w:tc>
          <w:tcPr>
            <w:tcW w:w="397" w:type="pct"/>
            <w:shd w:val="clear" w:color="auto" w:fill="auto"/>
          </w:tcPr>
          <w:p>
            <w:pPr>
              <w:pStyle w:val="105"/>
              <w:jc w:val="center"/>
              <w:rPr>
                <w:sz w:val="18"/>
                <w:szCs w:val="18"/>
              </w:rPr>
            </w:pPr>
            <w:r>
              <w:rPr>
                <w:rFonts w:hint="eastAsia"/>
                <w:sz w:val="18"/>
                <w:szCs w:val="18"/>
              </w:rPr>
              <w:t>古厝，无人居住</w:t>
            </w:r>
          </w:p>
        </w:tc>
        <w:tc>
          <w:tcPr>
            <w:tcW w:w="994" w:type="pct"/>
            <w:vMerge w:val="restart"/>
            <w:shd w:val="clear" w:color="auto" w:fill="auto"/>
            <w:vAlign w:val="center"/>
          </w:tcPr>
          <w:p>
            <w:pPr>
              <w:pStyle w:val="105"/>
              <w:jc w:val="center"/>
            </w:pPr>
            <w:r>
              <mc:AlternateContent>
                <mc:Choice Requires="wps">
                  <w:drawing>
                    <wp:anchor distT="0" distB="0" distL="114300" distR="114300" simplePos="0" relativeHeight="251729920" behindDoc="0" locked="0" layoutInCell="1" allowOverlap="1">
                      <wp:simplePos x="0" y="0"/>
                      <wp:positionH relativeFrom="column">
                        <wp:posOffset>943610</wp:posOffset>
                      </wp:positionH>
                      <wp:positionV relativeFrom="paragraph">
                        <wp:posOffset>1416685</wp:posOffset>
                      </wp:positionV>
                      <wp:extent cx="1243965" cy="299720"/>
                      <wp:effectExtent l="0" t="0" r="13335" b="5080"/>
                      <wp:wrapNone/>
                      <wp:docPr id="508" name="文本框 508"/>
                      <wp:cNvGraphicFramePr/>
                      <a:graphic xmlns:a="http://schemas.openxmlformats.org/drawingml/2006/main">
                        <a:graphicData uri="http://schemas.microsoft.com/office/word/2010/wordprocessingShape">
                          <wps:wsp>
                            <wps:cNvSpPr txBox="1"/>
                            <wps:spPr>
                              <a:xfrm>
                                <a:off x="0" y="0"/>
                                <a:ext cx="124396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联华村三落厝</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4.3pt;margin-top:111.55pt;height:23.6pt;width:97.95pt;z-index:251729920;mso-width-relative:page;mso-height-relative:page;" filled="f" stroked="f" coordsize="21600,21600" o:gfxdata="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DWUa9gAAAALAQAADwAAAAAAAAABACAAAAAiAAAAZHJzL2Rvd25yZXYu&#10;eG1sUEsBAhQAFAAAAAgAh07iQIZvO/40AgAAWgQAAA4AAAAAAAAAAQAgAAAAJwEAAGRycy9lMm9E&#10;b2MueG1sUEsFBgAAAAAGAAYAWQEAAM0FA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联华村三落厝</w:t>
                            </w:r>
                          </w:p>
                        </w:txbxContent>
                      </v:textbox>
                    </v:shape>
                  </w:pict>
                </mc:Fallback>
              </mc:AlternateContent>
            </w:r>
          </w:p>
        </w:tc>
        <w:tc>
          <w:tcPr>
            <w:tcW w:w="1340" w:type="pct"/>
            <w:vMerge w:val="restart"/>
            <w:shd w:val="clear" w:color="auto" w:fill="auto"/>
            <w:vAlign w:val="center"/>
          </w:tcPr>
          <w:p>
            <w:pPr>
              <w:pStyle w:val="105"/>
              <w:jc w:val="center"/>
              <w:rPr>
                <w:sz w:val="18"/>
                <w:szCs w:val="18"/>
              </w:rPr>
            </w:pPr>
            <w:r>
              <mc:AlternateContent>
                <mc:Choice Requires="wps">
                  <w:drawing>
                    <wp:anchor distT="0" distB="0" distL="114300" distR="114300" simplePos="0" relativeHeight="251728896" behindDoc="0" locked="0" layoutInCell="1" allowOverlap="1">
                      <wp:simplePos x="0" y="0"/>
                      <wp:positionH relativeFrom="column">
                        <wp:posOffset>922020</wp:posOffset>
                      </wp:positionH>
                      <wp:positionV relativeFrom="paragraph">
                        <wp:posOffset>1126490</wp:posOffset>
                      </wp:positionV>
                      <wp:extent cx="635000" cy="1597025"/>
                      <wp:effectExtent l="19050" t="19050" r="31750" b="22225"/>
                      <wp:wrapNone/>
                      <wp:docPr id="507" name="箭头: 下 507"/>
                      <wp:cNvGraphicFramePr/>
                      <a:graphic xmlns:a="http://schemas.openxmlformats.org/drawingml/2006/main">
                        <a:graphicData uri="http://schemas.microsoft.com/office/word/2010/wordprocessingShape">
                          <wps:wsp>
                            <wps:cNvSpPr/>
                            <wps:spPr>
                              <a:xfrm rot="10800000">
                                <a:off x="0" y="0"/>
                                <a:ext cx="635000" cy="1597025"/>
                              </a:xfrm>
                              <a:prstGeom prst="downArrow">
                                <a:avLst>
                                  <a:gd name="adj1" fmla="val 50000"/>
                                  <a:gd name="adj2" fmla="val 94415"/>
                                </a:avLst>
                              </a:pr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507" o:spid="_x0000_s1026" o:spt="67" type="#_x0000_t67" style="position:absolute;left:0pt;margin-left:72.6pt;margin-top:88.7pt;height:125.75pt;width:50pt;rotation:11796480f;z-index:251728896;v-text-anchor:middle;mso-width-relative:page;mso-height-relative:page;" fillcolor="#FF0000" filled="t" stroked="t" coordsize="21600,21600" o:gfxdata="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DAbnErYAAAACwEAAA8AAAAAAAAAAQAgAAAAIgAA&#10;AGRycy9kb3ducmV2LnhtbFBLAQIUABQAAAAIAIdO4kBJJ9T5swIAAIMFAAAOAAAAAAAAAAEAIAAA&#10;ACcBAABkcnMvZTJvRG9jLnhtbFBLBQYAAAAABgAGAFkBAABMBgAAAAA=&#10;" adj="13492,5400">
                      <v:fill on="t" opacity="13107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1908810</wp:posOffset>
                      </wp:positionH>
                      <wp:positionV relativeFrom="paragraph">
                        <wp:posOffset>1322070</wp:posOffset>
                      </wp:positionV>
                      <wp:extent cx="1243965" cy="299720"/>
                      <wp:effectExtent l="0" t="0" r="13335" b="5080"/>
                      <wp:wrapNone/>
                      <wp:docPr id="509" name="文本框 509"/>
                      <wp:cNvGraphicFramePr/>
                      <a:graphic xmlns:a="http://schemas.openxmlformats.org/drawingml/2006/main">
                        <a:graphicData uri="http://schemas.microsoft.com/office/word/2010/wordprocessingShape">
                          <wps:wsp>
                            <wps:cNvSpPr txBox="1"/>
                            <wps:spPr>
                              <a:xfrm>
                                <a:off x="0" y="0"/>
                                <a:ext cx="1243965" cy="299720"/>
                              </a:xfrm>
                              <a:prstGeom prst="rect">
                                <a:avLst/>
                              </a:prstGeom>
                              <a:noFill/>
                              <a:ln w="6350">
                                <a:noFill/>
                              </a:ln>
                            </wps:spPr>
                            <wps:txbx>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联华村三落厝</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0.3pt;margin-top:104.1pt;height:23.6pt;width:97.95pt;z-index:251730944;mso-width-relative:page;mso-height-relative:page;" filled="f" stroked="f" coordsize="21600,21600" o:gfxdata="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1YHwbZAAAACwEAAA8AAAAAAAAAAQAgAAAAIgAAAGRycy9kb3ducmV2&#10;LnhtbFBLAQIUABQAAAAIAIdO4kCmjNS5NAIAAFoEAAAOAAAAAAAAAAEAIAAAACgBAABkcnMvZTJv&#10;RG9jLnhtbFBLBQYAAAAABgAGAFkBAADOBQAAAAA=&#10;">
                      <v:fill on="f" focussize="0,0"/>
                      <v:stroke on="f" weight="0.5pt"/>
                      <v:imagedata o:title=""/>
                      <o:lock v:ext="edit" aspectratio="f"/>
                      <v:textbox inset="0mm,0mm,0mm,0mm">
                        <w:txbxContent>
                          <w:p>
                            <w:pPr>
                              <w:ind w:firstLine="0" w:firstLineChars="0"/>
                              <w:rPr>
                                <w:rFonts w:ascii="微软雅黑" w:hAnsi="微软雅黑" w:eastAsia="微软雅黑"/>
                                <w:b/>
                                <w:bCs/>
                                <w:color w:val="FF0000"/>
                                <w:sz w:val="28"/>
                                <w:szCs w:val="24"/>
                              </w:rPr>
                            </w:pPr>
                            <w:r>
                              <w:rPr>
                                <w:rFonts w:hint="eastAsia" w:ascii="微软雅黑" w:hAnsi="微软雅黑" w:eastAsia="微软雅黑"/>
                                <w:b/>
                                <w:bCs/>
                                <w:color w:val="FF0000"/>
                                <w:sz w:val="28"/>
                                <w:szCs w:val="24"/>
                              </w:rPr>
                              <w:t>联华村三落厝</w:t>
                            </w:r>
                          </w:p>
                        </w:txbxContent>
                      </v:textbox>
                    </v:shape>
                  </w:pict>
                </mc:Fallback>
              </mc:AlternateContent>
            </w:r>
          </w:p>
        </w:tc>
        <w:tc>
          <w:tcPr>
            <w:tcW w:w="645" w:type="pct"/>
            <w:vMerge w:val="restart"/>
            <w:shd w:val="clear" w:color="auto" w:fill="auto"/>
            <w:vAlign w:val="center"/>
          </w:tcPr>
          <w:p>
            <w:pPr>
              <w:pStyle w:val="105"/>
              <w:ind w:left="-120" w:leftChars="-50" w:right="-120" w:rightChars="-50"/>
              <w:jc w:val="center"/>
              <w:rPr>
                <w:rFonts w:hint="eastAsia" w:eastAsia="宋体"/>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687"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vMerge w:val="continue"/>
            <w:shd w:val="clear" w:color="auto" w:fill="auto"/>
            <w:vAlign w:val="center"/>
          </w:tcPr>
          <w:p>
            <w:pPr>
              <w:pStyle w:val="105"/>
              <w:jc w:val="center"/>
              <w:rPr>
                <w:sz w:val="18"/>
                <w:szCs w:val="18"/>
              </w:rPr>
            </w:pPr>
          </w:p>
        </w:tc>
        <w:tc>
          <w:tcPr>
            <w:tcW w:w="166" w:type="pct"/>
            <w:vMerge w:val="continue"/>
            <w:shd w:val="clear" w:color="auto" w:fill="auto"/>
            <w:vAlign w:val="center"/>
          </w:tcPr>
          <w:p>
            <w:pPr>
              <w:pStyle w:val="105"/>
              <w:jc w:val="center"/>
              <w:rPr>
                <w:sz w:val="18"/>
                <w:szCs w:val="18"/>
              </w:rPr>
            </w:pPr>
          </w:p>
        </w:tc>
        <w:tc>
          <w:tcPr>
            <w:tcW w:w="100" w:type="pct"/>
            <w:vMerge w:val="continue"/>
            <w:shd w:val="clear" w:color="auto" w:fill="auto"/>
            <w:vAlign w:val="center"/>
          </w:tcPr>
          <w:p>
            <w:pPr>
              <w:pStyle w:val="105"/>
              <w:jc w:val="center"/>
              <w:rPr>
                <w:sz w:val="18"/>
                <w:szCs w:val="18"/>
              </w:rPr>
            </w:pPr>
          </w:p>
        </w:tc>
        <w:tc>
          <w:tcPr>
            <w:tcW w:w="99" w:type="pct"/>
            <w:shd w:val="clear" w:color="auto" w:fill="auto"/>
            <w:vAlign w:val="center"/>
          </w:tcPr>
          <w:p>
            <w:pPr>
              <w:pStyle w:val="105"/>
              <w:jc w:val="center"/>
              <w:rPr>
                <w:sz w:val="18"/>
                <w:szCs w:val="18"/>
              </w:rPr>
            </w:pPr>
            <w:r>
              <w:rPr>
                <w:sz w:val="18"/>
                <w:szCs w:val="18"/>
              </w:rPr>
              <w:t>-2.8</w:t>
            </w: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9</w:t>
            </w:r>
          </w:p>
        </w:tc>
        <w:tc>
          <w:tcPr>
            <w:tcW w:w="166" w:type="pct"/>
            <w:shd w:val="clear" w:color="auto" w:fill="auto"/>
            <w:vAlign w:val="center"/>
          </w:tcPr>
          <w:p>
            <w:pPr>
              <w:pStyle w:val="105"/>
              <w:jc w:val="center"/>
              <w:rPr>
                <w:sz w:val="18"/>
                <w:szCs w:val="18"/>
              </w:rPr>
            </w:pPr>
            <w:r>
              <w:rPr>
                <w:sz w:val="18"/>
                <w:szCs w:val="18"/>
              </w:rPr>
              <w:t>69</w:t>
            </w:r>
          </w:p>
        </w:tc>
        <w:tc>
          <w:tcPr>
            <w:tcW w:w="166" w:type="pct"/>
            <w:shd w:val="clear" w:color="auto" w:fill="auto"/>
            <w:vAlign w:val="center"/>
          </w:tcPr>
          <w:p>
            <w:pPr>
              <w:pStyle w:val="105"/>
              <w:jc w:val="center"/>
              <w:rPr>
                <w:sz w:val="18"/>
                <w:szCs w:val="18"/>
              </w:rPr>
            </w:pPr>
            <w:r>
              <w:rPr>
                <w:rFonts w:hint="eastAsia"/>
                <w:sz w:val="18"/>
                <w:szCs w:val="18"/>
              </w:rPr>
              <w:t>7</w:t>
            </w:r>
            <w:r>
              <w:rPr>
                <w:sz w:val="18"/>
                <w:szCs w:val="18"/>
              </w:rPr>
              <w:t>7</w:t>
            </w:r>
          </w:p>
        </w:tc>
        <w:tc>
          <w:tcPr>
            <w:tcW w:w="132" w:type="pct"/>
            <w:shd w:val="clear" w:color="auto" w:fill="auto"/>
            <w:vAlign w:val="center"/>
          </w:tcPr>
          <w:p>
            <w:pPr>
              <w:pStyle w:val="105"/>
              <w:jc w:val="center"/>
              <w:rPr>
                <w:sz w:val="18"/>
                <w:szCs w:val="18"/>
              </w:rPr>
            </w:pPr>
            <w:r>
              <w:rPr>
                <w:rFonts w:hint="eastAsia"/>
                <w:sz w:val="18"/>
                <w:szCs w:val="18"/>
              </w:rPr>
              <w:t>2类</w:t>
            </w:r>
          </w:p>
        </w:tc>
        <w:tc>
          <w:tcPr>
            <w:tcW w:w="166" w:type="pct"/>
            <w:shd w:val="clear" w:color="auto" w:fill="auto"/>
            <w:vAlign w:val="center"/>
          </w:tcPr>
          <w:p>
            <w:pPr>
              <w:pStyle w:val="105"/>
              <w:jc w:val="center"/>
              <w:rPr>
                <w:sz w:val="18"/>
                <w:szCs w:val="18"/>
              </w:rPr>
            </w:pPr>
            <w:r>
              <w:rPr>
                <w:rFonts w:hint="eastAsia"/>
                <w:sz w:val="18"/>
                <w:szCs w:val="18"/>
              </w:rPr>
              <w:t>6户3</w:t>
            </w:r>
            <w:r>
              <w:rPr>
                <w:sz w:val="18"/>
                <w:szCs w:val="18"/>
              </w:rPr>
              <w:t>0</w:t>
            </w:r>
            <w:r>
              <w:rPr>
                <w:rFonts w:hint="eastAsia"/>
                <w:sz w:val="18"/>
                <w:szCs w:val="18"/>
              </w:rPr>
              <w:t>人</w:t>
            </w:r>
          </w:p>
        </w:tc>
        <w:tc>
          <w:tcPr>
            <w:tcW w:w="397" w:type="pct"/>
            <w:vMerge w:val="restart"/>
            <w:shd w:val="clear" w:color="auto" w:fill="auto"/>
          </w:tcPr>
          <w:p>
            <w:pPr>
              <w:pStyle w:val="105"/>
              <w:jc w:val="center"/>
              <w:rPr>
                <w:sz w:val="18"/>
                <w:szCs w:val="18"/>
              </w:rPr>
            </w:pPr>
            <w:r>
              <w:rPr>
                <w:rFonts w:hint="eastAsia"/>
                <w:sz w:val="18"/>
                <w:szCs w:val="18"/>
              </w:rPr>
              <w:t>砖混结构，建筑主要为2</w:t>
            </w:r>
            <w:r>
              <w:rPr>
                <w:sz w:val="18"/>
                <w:szCs w:val="18"/>
              </w:rPr>
              <w:t>~4</w:t>
            </w:r>
            <w:r>
              <w:rPr>
                <w:rFonts w:hint="eastAsia"/>
                <w:sz w:val="18"/>
                <w:szCs w:val="18"/>
              </w:rPr>
              <w:t>层，主要建筑背对拟建道路（南），铝合金推拉窗，周边园地，与道路之间无密集林带。</w:t>
            </w:r>
          </w:p>
        </w:tc>
        <w:tc>
          <w:tcPr>
            <w:tcW w:w="994" w:type="pct"/>
            <w:vMerge w:val="continue"/>
            <w:shd w:val="clear" w:color="auto" w:fill="auto"/>
            <w:vAlign w:val="center"/>
          </w:tcPr>
          <w:p>
            <w:pPr>
              <w:pStyle w:val="105"/>
              <w:jc w:val="cente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569" w:hRule="atLeast"/>
          <w:jc w:val="center"/>
        </w:trPr>
        <w:tc>
          <w:tcPr>
            <w:tcW w:w="66" w:type="pct"/>
            <w:vMerge w:val="continue"/>
            <w:shd w:val="clear" w:color="auto" w:fill="auto"/>
            <w:vAlign w:val="center"/>
          </w:tcPr>
          <w:p>
            <w:pPr>
              <w:pStyle w:val="105"/>
              <w:jc w:val="center"/>
              <w:rPr>
                <w:sz w:val="18"/>
                <w:szCs w:val="18"/>
              </w:rPr>
            </w:pPr>
          </w:p>
        </w:tc>
        <w:tc>
          <w:tcPr>
            <w:tcW w:w="133" w:type="pct"/>
            <w:vMerge w:val="continue"/>
            <w:shd w:val="clear" w:color="auto" w:fill="auto"/>
            <w:vAlign w:val="center"/>
          </w:tcPr>
          <w:p>
            <w:pPr>
              <w:pStyle w:val="105"/>
              <w:jc w:val="center"/>
              <w:rPr>
                <w:sz w:val="18"/>
                <w:szCs w:val="18"/>
              </w:rPr>
            </w:pPr>
          </w:p>
        </w:tc>
        <w:tc>
          <w:tcPr>
            <w:tcW w:w="132" w:type="pct"/>
            <w:shd w:val="clear" w:color="auto" w:fill="auto"/>
            <w:vAlign w:val="center"/>
          </w:tcPr>
          <w:p>
            <w:pPr>
              <w:pStyle w:val="105"/>
              <w:jc w:val="center"/>
              <w:rPr>
                <w:sz w:val="18"/>
                <w:szCs w:val="18"/>
              </w:rPr>
            </w:pPr>
            <w:r>
              <w:rPr>
                <w:rFonts w:hint="eastAsia"/>
                <w:sz w:val="18"/>
                <w:szCs w:val="18"/>
              </w:rPr>
              <w:t>接线</w:t>
            </w:r>
          </w:p>
        </w:tc>
        <w:tc>
          <w:tcPr>
            <w:tcW w:w="166" w:type="pct"/>
            <w:shd w:val="clear" w:color="auto" w:fill="auto"/>
            <w:vAlign w:val="center"/>
          </w:tcPr>
          <w:p>
            <w:pPr>
              <w:pStyle w:val="105"/>
              <w:jc w:val="center"/>
              <w:rPr>
                <w:sz w:val="18"/>
                <w:szCs w:val="18"/>
              </w:rPr>
            </w:pPr>
            <w:r>
              <w:rPr>
                <w:rFonts w:hint="eastAsia"/>
                <w:sz w:val="18"/>
                <w:szCs w:val="18"/>
              </w:rPr>
              <w:t>全线</w:t>
            </w:r>
          </w:p>
        </w:tc>
        <w:tc>
          <w:tcPr>
            <w:tcW w:w="100" w:type="pct"/>
            <w:shd w:val="clear" w:color="auto" w:fill="auto"/>
            <w:vAlign w:val="center"/>
          </w:tcPr>
          <w:p>
            <w:pPr>
              <w:pStyle w:val="105"/>
              <w:jc w:val="center"/>
              <w:rPr>
                <w:sz w:val="18"/>
                <w:szCs w:val="18"/>
              </w:rPr>
            </w:pPr>
            <w:r>
              <w:rPr>
                <w:rFonts w:hint="eastAsia"/>
                <w:sz w:val="18"/>
                <w:szCs w:val="18"/>
              </w:rPr>
              <w:t>路基+桥梁</w:t>
            </w:r>
          </w:p>
        </w:tc>
        <w:tc>
          <w:tcPr>
            <w:tcW w:w="99" w:type="pct"/>
            <w:shd w:val="clear" w:color="auto" w:fill="auto"/>
            <w:vAlign w:val="center"/>
          </w:tcPr>
          <w:p>
            <w:pPr>
              <w:pStyle w:val="105"/>
              <w:jc w:val="center"/>
              <w:rPr>
                <w:sz w:val="18"/>
                <w:szCs w:val="18"/>
              </w:rPr>
            </w:pPr>
            <w:r>
              <w:rPr>
                <w:rFonts w:hint="eastAsia"/>
                <w:sz w:val="18"/>
                <w:szCs w:val="18"/>
              </w:rPr>
              <w:t>-</w:t>
            </w:r>
            <w:r>
              <w:rPr>
                <w:sz w:val="18"/>
                <w:szCs w:val="18"/>
              </w:rPr>
              <w:t>3</w:t>
            </w:r>
          </w:p>
        </w:tc>
        <w:tc>
          <w:tcPr>
            <w:tcW w:w="99" w:type="pct"/>
            <w:shd w:val="clear" w:color="auto" w:fill="auto"/>
            <w:vAlign w:val="center"/>
          </w:tcPr>
          <w:p>
            <w:pPr>
              <w:pStyle w:val="105"/>
              <w:jc w:val="center"/>
              <w:rPr>
                <w:sz w:val="18"/>
                <w:szCs w:val="18"/>
              </w:rPr>
            </w:pPr>
            <w:r>
              <w:rPr>
                <w:rFonts w:hint="eastAsia"/>
                <w:sz w:val="18"/>
                <w:szCs w:val="18"/>
              </w:rPr>
              <w:t>路右</w:t>
            </w:r>
          </w:p>
        </w:tc>
        <w:tc>
          <w:tcPr>
            <w:tcW w:w="199" w:type="pct"/>
            <w:shd w:val="clear" w:color="auto" w:fill="auto"/>
            <w:vAlign w:val="center"/>
          </w:tcPr>
          <w:p>
            <w:pPr>
              <w:pStyle w:val="105"/>
              <w:jc w:val="center"/>
              <w:rPr>
                <w:sz w:val="18"/>
                <w:szCs w:val="18"/>
              </w:rPr>
            </w:pPr>
            <w:r>
              <w:rPr>
                <w:rFonts w:hint="eastAsia"/>
                <w:sz w:val="18"/>
                <w:szCs w:val="18"/>
              </w:rPr>
              <w:t>-</w:t>
            </w:r>
            <w:r>
              <w:rPr>
                <w:sz w:val="18"/>
                <w:szCs w:val="18"/>
              </w:rPr>
              <w:t>4</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20</w:t>
            </w:r>
          </w:p>
        </w:tc>
        <w:tc>
          <w:tcPr>
            <w:tcW w:w="166" w:type="pct"/>
            <w:shd w:val="clear" w:color="auto" w:fill="auto"/>
            <w:vAlign w:val="center"/>
          </w:tcPr>
          <w:p>
            <w:pPr>
              <w:pStyle w:val="105"/>
              <w:jc w:val="center"/>
              <w:rPr>
                <w:sz w:val="18"/>
                <w:szCs w:val="18"/>
              </w:rPr>
            </w:pPr>
            <w:r>
              <w:rPr>
                <w:rFonts w:hint="eastAsia"/>
                <w:sz w:val="18"/>
                <w:szCs w:val="18"/>
              </w:rPr>
              <w:t>1</w:t>
            </w:r>
            <w:r>
              <w:rPr>
                <w:sz w:val="18"/>
                <w:szCs w:val="18"/>
              </w:rPr>
              <w:t>28</w:t>
            </w:r>
          </w:p>
        </w:tc>
        <w:tc>
          <w:tcPr>
            <w:tcW w:w="132" w:type="pct"/>
            <w:shd w:val="clear" w:color="auto" w:fill="auto"/>
            <w:vAlign w:val="center"/>
          </w:tcPr>
          <w:p>
            <w:pPr>
              <w:pStyle w:val="105"/>
              <w:jc w:val="center"/>
              <w:rPr>
                <w:sz w:val="18"/>
                <w:szCs w:val="18"/>
              </w:rPr>
            </w:pPr>
            <w:r>
              <w:rPr>
                <w:rFonts w:hint="eastAsia"/>
                <w:sz w:val="18"/>
                <w:szCs w:val="18"/>
              </w:rPr>
              <w:t>2类</w:t>
            </w:r>
          </w:p>
        </w:tc>
        <w:tc>
          <w:tcPr>
            <w:tcW w:w="166" w:type="pct"/>
            <w:shd w:val="clear" w:color="auto" w:fill="auto"/>
            <w:vAlign w:val="center"/>
          </w:tcPr>
          <w:p>
            <w:pPr>
              <w:pStyle w:val="105"/>
              <w:jc w:val="center"/>
              <w:rPr>
                <w:sz w:val="18"/>
                <w:szCs w:val="18"/>
              </w:rPr>
            </w:pPr>
            <w:r>
              <w:rPr>
                <w:sz w:val="18"/>
                <w:szCs w:val="18"/>
              </w:rPr>
              <w:t>4</w:t>
            </w:r>
            <w:r>
              <w:rPr>
                <w:rFonts w:hint="eastAsia"/>
                <w:sz w:val="18"/>
                <w:szCs w:val="18"/>
              </w:rPr>
              <w:t>户</w:t>
            </w:r>
            <w:r>
              <w:rPr>
                <w:sz w:val="18"/>
                <w:szCs w:val="18"/>
              </w:rPr>
              <w:t>20</w:t>
            </w:r>
            <w:r>
              <w:rPr>
                <w:rFonts w:hint="eastAsia"/>
                <w:sz w:val="18"/>
                <w:szCs w:val="18"/>
              </w:rPr>
              <w:t>人</w:t>
            </w:r>
          </w:p>
        </w:tc>
        <w:tc>
          <w:tcPr>
            <w:tcW w:w="397" w:type="pct"/>
            <w:vMerge w:val="continue"/>
            <w:shd w:val="clear" w:color="auto" w:fill="auto"/>
          </w:tcPr>
          <w:p>
            <w:pPr>
              <w:pStyle w:val="105"/>
              <w:jc w:val="center"/>
              <w:rPr>
                <w:sz w:val="18"/>
                <w:szCs w:val="18"/>
              </w:rPr>
            </w:pPr>
          </w:p>
        </w:tc>
        <w:tc>
          <w:tcPr>
            <w:tcW w:w="994" w:type="pct"/>
            <w:vMerge w:val="continue"/>
            <w:shd w:val="clear" w:color="auto" w:fill="auto"/>
            <w:vAlign w:val="center"/>
          </w:tcPr>
          <w:p>
            <w:pPr>
              <w:pStyle w:val="105"/>
              <w:jc w:val="center"/>
            </w:pPr>
          </w:p>
        </w:tc>
        <w:tc>
          <w:tcPr>
            <w:tcW w:w="1340" w:type="pct"/>
            <w:vMerge w:val="continue"/>
            <w:shd w:val="clear" w:color="auto" w:fill="auto"/>
            <w:vAlign w:val="center"/>
          </w:tcPr>
          <w:p>
            <w:pPr>
              <w:pStyle w:val="105"/>
              <w:jc w:val="center"/>
              <w:rPr>
                <w:sz w:val="18"/>
                <w:szCs w:val="18"/>
              </w:rPr>
            </w:pPr>
          </w:p>
        </w:tc>
        <w:tc>
          <w:tcPr>
            <w:tcW w:w="645" w:type="pct"/>
            <w:vMerge w:val="continue"/>
            <w:shd w:val="clear" w:color="auto" w:fill="auto"/>
            <w:vAlign w:val="center"/>
          </w:tcPr>
          <w:p>
            <w:pPr>
              <w:pStyle w:val="105"/>
              <w:ind w:left="-120" w:leftChars="-50" w:right="-120" w:rightChars="-5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0" w:hRule="atLeast"/>
          <w:jc w:val="center"/>
        </w:trPr>
        <w:tc>
          <w:tcPr>
            <w:tcW w:w="5000" w:type="pct"/>
            <w:gridSpan w:val="16"/>
            <w:shd w:val="clear" w:color="auto" w:fill="auto"/>
            <w:vAlign w:val="center"/>
          </w:tcPr>
          <w:p>
            <w:pPr>
              <w:pStyle w:val="105"/>
              <w:ind w:left="-120" w:leftChars="-50" w:right="-120" w:rightChars="-50"/>
              <w:rPr>
                <w:sz w:val="18"/>
                <w:szCs w:val="18"/>
              </w:rPr>
            </w:pPr>
            <w:r>
              <w:rPr>
                <w:rFonts w:hint="eastAsia"/>
                <w:sz w:val="18"/>
                <w:szCs w:val="18"/>
              </w:rPr>
              <w:t>注：敏感目标距公路红线距离采用项目征地红线边界量起。</w:t>
            </w:r>
          </w:p>
        </w:tc>
      </w:tr>
      <w:bookmarkEnd w:id="172"/>
    </w:tbl>
    <w:p>
      <w:pPr>
        <w:pStyle w:val="105"/>
        <w:ind w:left="480" w:firstLine="480"/>
        <w:sectPr>
          <w:pgSz w:w="23811" w:h="16838" w:orient="landscape"/>
          <w:pgMar w:top="1134" w:right="1134" w:bottom="1134" w:left="1134" w:header="567" w:footer="567" w:gutter="0"/>
          <w:cols w:space="425" w:num="1"/>
          <w:docGrid w:linePitch="326" w:charSpace="0"/>
        </w:sectPr>
      </w:pPr>
    </w:p>
    <w:p>
      <w:pPr>
        <w:pStyle w:val="105"/>
        <w:spacing w:before="0" w:after="0"/>
        <w:jc w:val="center"/>
      </w:pPr>
    </w:p>
    <w:p>
      <w:pPr>
        <w:pStyle w:val="122"/>
        <w:spacing w:before="0" w:after="0"/>
      </w:pPr>
      <w:r>
        <w:rPr>
          <w:rFonts w:hint="eastAsia"/>
        </w:rPr>
        <w:t>沿线声环境敏感目标分布图</w:t>
      </w:r>
    </w:p>
    <w:bookmarkEnd w:id="170"/>
    <w:p>
      <w:pPr>
        <w:pStyle w:val="105"/>
        <w:ind w:left="480" w:firstLine="480"/>
        <w:sectPr>
          <w:pgSz w:w="23811" w:h="16838" w:orient="landscape"/>
          <w:pgMar w:top="1134" w:right="1134" w:bottom="1134" w:left="1134" w:header="567" w:footer="567" w:gutter="0"/>
          <w:cols w:space="425" w:num="1"/>
          <w:docGrid w:linePitch="326" w:charSpace="0"/>
        </w:sectPr>
      </w:pPr>
    </w:p>
    <w:bookmarkEnd w:id="166"/>
    <w:bookmarkEnd w:id="167"/>
    <w:p>
      <w:pPr>
        <w:pStyle w:val="87"/>
        <w:spacing w:before="120"/>
        <w:ind w:left="480" w:firstLine="480"/>
      </w:pPr>
      <w:bookmarkStart w:id="176" w:name="_Ref149635498"/>
      <w:r>
        <w:rPr>
          <w:rFonts w:hint="eastAsia"/>
        </w:rPr>
        <w:t>施工用地周边2</w:t>
      </w:r>
      <w:r>
        <w:t>00</w:t>
      </w:r>
      <w:r>
        <w:rPr>
          <w:rFonts w:hint="eastAsia"/>
        </w:rPr>
        <w:t>m范围保护目标（大气、声环境）</w:t>
      </w:r>
    </w:p>
    <w:tbl>
      <w:tblPr>
        <w:tblStyle w:val="5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1"/>
        <w:gridCol w:w="1134"/>
        <w:gridCol w:w="1276"/>
        <w:gridCol w:w="1275"/>
        <w:gridCol w:w="993"/>
        <w:gridCol w:w="850"/>
        <w:gridCol w:w="851"/>
        <w:gridCol w:w="567"/>
        <w:gridCol w:w="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shd w:val="clear" w:color="auto" w:fill="auto"/>
            <w:vAlign w:val="center"/>
          </w:tcPr>
          <w:p>
            <w:pPr>
              <w:pStyle w:val="105"/>
            </w:pPr>
            <w:r>
              <w:rPr>
                <w:rFonts w:hint="eastAsia"/>
              </w:rPr>
              <w:t>序号</w:t>
            </w:r>
          </w:p>
        </w:tc>
        <w:tc>
          <w:tcPr>
            <w:tcW w:w="1985" w:type="dxa"/>
            <w:gridSpan w:val="2"/>
            <w:vMerge w:val="restart"/>
            <w:shd w:val="clear" w:color="auto" w:fill="auto"/>
            <w:vAlign w:val="center"/>
          </w:tcPr>
          <w:p>
            <w:pPr>
              <w:pStyle w:val="105"/>
            </w:pPr>
            <w:r>
              <w:rPr>
                <w:rFonts w:hint="eastAsia"/>
              </w:rPr>
              <w:t>主要临时占地位置</w:t>
            </w:r>
          </w:p>
        </w:tc>
        <w:tc>
          <w:tcPr>
            <w:tcW w:w="1276" w:type="dxa"/>
            <w:vMerge w:val="restart"/>
            <w:shd w:val="clear" w:color="auto" w:fill="auto"/>
            <w:vAlign w:val="center"/>
          </w:tcPr>
          <w:p>
            <w:pPr>
              <w:pStyle w:val="105"/>
            </w:pPr>
            <w:r>
              <w:rPr>
                <w:rFonts w:hint="eastAsia"/>
              </w:rPr>
              <w:t>敏感目标/关注目标</w:t>
            </w:r>
          </w:p>
        </w:tc>
        <w:tc>
          <w:tcPr>
            <w:tcW w:w="2268" w:type="dxa"/>
            <w:gridSpan w:val="2"/>
            <w:shd w:val="clear" w:color="auto" w:fill="auto"/>
            <w:vAlign w:val="center"/>
          </w:tcPr>
          <w:p>
            <w:pPr>
              <w:pStyle w:val="105"/>
            </w:pPr>
            <w:r>
              <w:rPr>
                <w:rFonts w:hint="eastAsia"/>
              </w:rPr>
              <w:t>坐标/度</w:t>
            </w:r>
          </w:p>
        </w:tc>
        <w:tc>
          <w:tcPr>
            <w:tcW w:w="850" w:type="dxa"/>
            <w:vMerge w:val="restart"/>
            <w:shd w:val="clear" w:color="auto" w:fill="auto"/>
            <w:vAlign w:val="center"/>
          </w:tcPr>
          <w:p>
            <w:pPr>
              <w:pStyle w:val="105"/>
            </w:pPr>
            <w:r>
              <w:rPr>
                <w:rFonts w:hint="eastAsia"/>
              </w:rPr>
              <w:t>保护</w:t>
            </w:r>
          </w:p>
          <w:p>
            <w:pPr>
              <w:pStyle w:val="105"/>
            </w:pPr>
            <w:r>
              <w:rPr>
                <w:rFonts w:hint="eastAsia"/>
              </w:rPr>
              <w:t>对象</w:t>
            </w:r>
          </w:p>
        </w:tc>
        <w:tc>
          <w:tcPr>
            <w:tcW w:w="851" w:type="dxa"/>
            <w:vMerge w:val="restart"/>
            <w:shd w:val="clear" w:color="auto" w:fill="auto"/>
            <w:vAlign w:val="center"/>
          </w:tcPr>
          <w:p>
            <w:pPr>
              <w:pStyle w:val="105"/>
            </w:pPr>
            <w:r>
              <w:rPr>
                <w:rFonts w:hint="eastAsia"/>
              </w:rPr>
              <w:t>户/人</w:t>
            </w:r>
          </w:p>
        </w:tc>
        <w:tc>
          <w:tcPr>
            <w:tcW w:w="567" w:type="dxa"/>
            <w:vMerge w:val="restart"/>
            <w:shd w:val="clear" w:color="auto" w:fill="auto"/>
            <w:vAlign w:val="center"/>
          </w:tcPr>
          <w:p>
            <w:pPr>
              <w:pStyle w:val="105"/>
            </w:pPr>
            <w:r>
              <w:rPr>
                <w:rFonts w:hint="eastAsia"/>
              </w:rPr>
              <w:t>相对</w:t>
            </w:r>
          </w:p>
          <w:p>
            <w:pPr>
              <w:pStyle w:val="105"/>
            </w:pPr>
            <w:r>
              <w:rPr>
                <w:rFonts w:hint="eastAsia"/>
              </w:rPr>
              <w:t>方位</w:t>
            </w:r>
          </w:p>
        </w:tc>
        <w:tc>
          <w:tcPr>
            <w:tcW w:w="706" w:type="dxa"/>
            <w:vMerge w:val="restart"/>
            <w:shd w:val="clear" w:color="auto" w:fill="auto"/>
            <w:vAlign w:val="center"/>
          </w:tcPr>
          <w:p>
            <w:pPr>
              <w:pStyle w:val="105"/>
            </w:pPr>
            <w:r>
              <w:rPr>
                <w:rFonts w:hint="eastAsia"/>
              </w:rPr>
              <w:t>相对</w:t>
            </w:r>
          </w:p>
          <w:p>
            <w:pPr>
              <w:pStyle w:val="105"/>
            </w:pPr>
            <w:r>
              <w:rPr>
                <w:rFonts w:hint="eastAsia"/>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shd w:val="clear" w:color="auto" w:fill="auto"/>
            <w:vAlign w:val="center"/>
          </w:tcPr>
          <w:p>
            <w:pPr>
              <w:pStyle w:val="105"/>
            </w:pPr>
          </w:p>
        </w:tc>
        <w:tc>
          <w:tcPr>
            <w:tcW w:w="1985" w:type="dxa"/>
            <w:gridSpan w:val="2"/>
            <w:vMerge w:val="continue"/>
            <w:shd w:val="clear" w:color="auto" w:fill="auto"/>
            <w:vAlign w:val="center"/>
          </w:tcPr>
          <w:p>
            <w:pPr>
              <w:pStyle w:val="105"/>
            </w:pPr>
          </w:p>
        </w:tc>
        <w:tc>
          <w:tcPr>
            <w:tcW w:w="1276" w:type="dxa"/>
            <w:vMerge w:val="continue"/>
            <w:shd w:val="clear" w:color="auto" w:fill="auto"/>
            <w:vAlign w:val="center"/>
          </w:tcPr>
          <w:p>
            <w:pPr>
              <w:pStyle w:val="105"/>
            </w:pPr>
          </w:p>
        </w:tc>
        <w:tc>
          <w:tcPr>
            <w:tcW w:w="1275" w:type="dxa"/>
            <w:shd w:val="clear" w:color="auto" w:fill="auto"/>
            <w:vAlign w:val="center"/>
          </w:tcPr>
          <w:p>
            <w:pPr>
              <w:pStyle w:val="105"/>
            </w:pPr>
            <w:r>
              <w:rPr>
                <w:rFonts w:hint="eastAsia"/>
              </w:rPr>
              <w:t>纬度</w:t>
            </w:r>
          </w:p>
        </w:tc>
        <w:tc>
          <w:tcPr>
            <w:tcW w:w="993" w:type="dxa"/>
            <w:shd w:val="clear" w:color="auto" w:fill="auto"/>
            <w:vAlign w:val="center"/>
          </w:tcPr>
          <w:p>
            <w:pPr>
              <w:pStyle w:val="105"/>
            </w:pPr>
            <w:r>
              <w:rPr>
                <w:rFonts w:hint="eastAsia"/>
              </w:rPr>
              <w:t>经度</w:t>
            </w:r>
          </w:p>
        </w:tc>
        <w:tc>
          <w:tcPr>
            <w:tcW w:w="850" w:type="dxa"/>
            <w:vMerge w:val="continue"/>
            <w:shd w:val="clear" w:color="auto" w:fill="auto"/>
            <w:vAlign w:val="center"/>
          </w:tcPr>
          <w:p>
            <w:pPr>
              <w:pStyle w:val="105"/>
            </w:pPr>
          </w:p>
        </w:tc>
        <w:tc>
          <w:tcPr>
            <w:tcW w:w="851" w:type="dxa"/>
            <w:vMerge w:val="continue"/>
            <w:shd w:val="clear" w:color="auto" w:fill="auto"/>
            <w:vAlign w:val="center"/>
          </w:tcPr>
          <w:p>
            <w:pPr>
              <w:pStyle w:val="105"/>
            </w:pPr>
          </w:p>
        </w:tc>
        <w:tc>
          <w:tcPr>
            <w:tcW w:w="567" w:type="dxa"/>
            <w:vMerge w:val="continue"/>
            <w:shd w:val="clear" w:color="auto" w:fill="auto"/>
            <w:vAlign w:val="center"/>
          </w:tcPr>
          <w:p>
            <w:pPr>
              <w:pStyle w:val="105"/>
            </w:pPr>
          </w:p>
        </w:tc>
        <w:tc>
          <w:tcPr>
            <w:tcW w:w="706" w:type="dxa"/>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0" w:type="dxa"/>
            <w:gridSpan w:val="10"/>
            <w:shd w:val="clear" w:color="auto" w:fill="auto"/>
            <w:vAlign w:val="center"/>
          </w:tcPr>
          <w:p>
            <w:pPr>
              <w:pStyle w:val="105"/>
            </w:pPr>
            <w:r>
              <w:rPr>
                <w:rFonts w:hint="eastAsia"/>
              </w:rPr>
              <w:t>一、施工场地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shd w:val="clear" w:color="auto" w:fill="auto"/>
            <w:vAlign w:val="center"/>
          </w:tcPr>
          <w:p>
            <w:pPr>
              <w:pStyle w:val="105"/>
            </w:pPr>
            <w:r>
              <w:rPr>
                <w:rFonts w:hint="eastAsia"/>
              </w:rPr>
              <w:t>1</w:t>
            </w:r>
          </w:p>
        </w:tc>
        <w:tc>
          <w:tcPr>
            <w:tcW w:w="851" w:type="dxa"/>
            <w:vMerge w:val="restart"/>
            <w:shd w:val="clear" w:color="auto" w:fill="auto"/>
            <w:vAlign w:val="center"/>
          </w:tcPr>
          <w:p>
            <w:pPr>
              <w:pStyle w:val="105"/>
            </w:pPr>
            <w:r>
              <w:rPr>
                <w:rFonts w:hint="eastAsia"/>
              </w:rPr>
              <w:t>1</w:t>
            </w:r>
            <w:r>
              <w:t>#</w:t>
            </w:r>
            <w:r>
              <w:rPr>
                <w:rFonts w:hint="eastAsia"/>
              </w:rPr>
              <w:t>施工场地</w:t>
            </w:r>
          </w:p>
        </w:tc>
        <w:tc>
          <w:tcPr>
            <w:tcW w:w="1134" w:type="dxa"/>
            <w:vMerge w:val="restart"/>
            <w:shd w:val="clear" w:color="auto" w:fill="auto"/>
            <w:vAlign w:val="center"/>
          </w:tcPr>
          <w:p>
            <w:pPr>
              <w:pStyle w:val="105"/>
            </w:pPr>
            <w:r>
              <w:rPr>
                <w:rFonts w:hint="eastAsia"/>
                <w:sz w:val="18"/>
                <w:szCs w:val="18"/>
              </w:rPr>
              <w:t>K1+894右侧</w:t>
            </w:r>
          </w:p>
        </w:tc>
        <w:tc>
          <w:tcPr>
            <w:tcW w:w="1276" w:type="dxa"/>
            <w:shd w:val="clear" w:color="auto" w:fill="auto"/>
            <w:vAlign w:val="center"/>
          </w:tcPr>
          <w:p>
            <w:pPr>
              <w:pStyle w:val="105"/>
            </w:pPr>
            <w:r>
              <w:rPr>
                <w:rFonts w:hint="eastAsia"/>
              </w:rPr>
              <w:t>基督教洋下堂</w:t>
            </w:r>
          </w:p>
        </w:tc>
        <w:tc>
          <w:tcPr>
            <w:tcW w:w="1275" w:type="dxa"/>
            <w:shd w:val="clear" w:color="auto" w:fill="auto"/>
            <w:vAlign w:val="center"/>
          </w:tcPr>
          <w:p>
            <w:pPr>
              <w:pStyle w:val="105"/>
              <w:rPr>
                <w:rFonts w:cs="Times New Roman"/>
              </w:rPr>
            </w:pPr>
            <w:r>
              <w:rPr>
                <w:rFonts w:cs="Times New Roman"/>
              </w:rPr>
              <w:t xml:space="preserve">119°16′43.71496″ </w:t>
            </w:r>
          </w:p>
        </w:tc>
        <w:tc>
          <w:tcPr>
            <w:tcW w:w="993" w:type="dxa"/>
            <w:shd w:val="clear" w:color="auto" w:fill="auto"/>
            <w:vAlign w:val="center"/>
          </w:tcPr>
          <w:p>
            <w:pPr>
              <w:pStyle w:val="105"/>
              <w:rPr>
                <w:rFonts w:cs="Times New Roman"/>
              </w:rPr>
            </w:pPr>
            <w:r>
              <w:rPr>
                <w:rFonts w:cs="Times New Roman"/>
              </w:rPr>
              <w:t>25°37′40.70308″</w:t>
            </w:r>
          </w:p>
        </w:tc>
        <w:tc>
          <w:tcPr>
            <w:tcW w:w="850" w:type="dxa"/>
            <w:shd w:val="clear" w:color="auto" w:fill="auto"/>
            <w:vAlign w:val="center"/>
          </w:tcPr>
          <w:p>
            <w:pPr>
              <w:pStyle w:val="105"/>
            </w:pPr>
            <w:r>
              <w:t>宗教</w:t>
            </w:r>
          </w:p>
        </w:tc>
        <w:tc>
          <w:tcPr>
            <w:tcW w:w="851" w:type="dxa"/>
            <w:shd w:val="clear" w:color="auto" w:fill="auto"/>
            <w:vAlign w:val="center"/>
          </w:tcPr>
          <w:p>
            <w:pPr>
              <w:pStyle w:val="105"/>
            </w:pPr>
            <w:r>
              <w:rPr>
                <w:rFonts w:hint="eastAsia"/>
              </w:rPr>
              <w:t>——</w:t>
            </w:r>
          </w:p>
        </w:tc>
        <w:tc>
          <w:tcPr>
            <w:tcW w:w="567" w:type="dxa"/>
            <w:shd w:val="clear" w:color="auto" w:fill="auto"/>
            <w:vAlign w:val="center"/>
          </w:tcPr>
          <w:p>
            <w:pPr>
              <w:pStyle w:val="105"/>
            </w:pPr>
            <w:r>
              <w:rPr>
                <w:rFonts w:hint="eastAsia"/>
              </w:rPr>
              <w:t>N</w:t>
            </w:r>
            <w:r>
              <w:t>E</w:t>
            </w:r>
          </w:p>
        </w:tc>
        <w:tc>
          <w:tcPr>
            <w:tcW w:w="706" w:type="dxa"/>
            <w:shd w:val="clear" w:color="auto" w:fill="auto"/>
            <w:vAlign w:val="center"/>
          </w:tcPr>
          <w:p>
            <w:pPr>
              <w:pStyle w:val="105"/>
            </w:pPr>
            <w:r>
              <w:t>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shd w:val="clear" w:color="auto" w:fill="auto"/>
            <w:vAlign w:val="center"/>
          </w:tcPr>
          <w:p>
            <w:pPr>
              <w:pStyle w:val="105"/>
            </w:pPr>
          </w:p>
        </w:tc>
        <w:tc>
          <w:tcPr>
            <w:tcW w:w="851" w:type="dxa"/>
            <w:vMerge w:val="continue"/>
            <w:shd w:val="clear" w:color="auto" w:fill="auto"/>
            <w:vAlign w:val="center"/>
          </w:tcPr>
          <w:p>
            <w:pPr>
              <w:pStyle w:val="105"/>
            </w:pPr>
          </w:p>
        </w:tc>
        <w:tc>
          <w:tcPr>
            <w:tcW w:w="1134" w:type="dxa"/>
            <w:vMerge w:val="continue"/>
            <w:shd w:val="clear" w:color="auto" w:fill="auto"/>
            <w:vAlign w:val="center"/>
          </w:tcPr>
          <w:p>
            <w:pPr>
              <w:pStyle w:val="105"/>
            </w:pPr>
          </w:p>
        </w:tc>
        <w:tc>
          <w:tcPr>
            <w:tcW w:w="1276" w:type="dxa"/>
            <w:shd w:val="clear" w:color="auto" w:fill="auto"/>
            <w:vAlign w:val="center"/>
          </w:tcPr>
          <w:p>
            <w:pPr>
              <w:pStyle w:val="105"/>
            </w:pPr>
            <w:r>
              <w:rPr>
                <w:rFonts w:hint="eastAsia"/>
              </w:rPr>
              <w:t>联华村后郑</w:t>
            </w:r>
          </w:p>
        </w:tc>
        <w:tc>
          <w:tcPr>
            <w:tcW w:w="1275" w:type="dxa"/>
            <w:shd w:val="clear" w:color="auto" w:fill="auto"/>
            <w:vAlign w:val="center"/>
          </w:tcPr>
          <w:p>
            <w:pPr>
              <w:pStyle w:val="105"/>
              <w:rPr>
                <w:rFonts w:cs="Times New Roman"/>
              </w:rPr>
            </w:pPr>
            <w:r>
              <w:rPr>
                <w:rFonts w:cs="Times New Roman"/>
              </w:rPr>
              <w:t xml:space="preserve">119°16′37.06201″ </w:t>
            </w:r>
          </w:p>
        </w:tc>
        <w:tc>
          <w:tcPr>
            <w:tcW w:w="993" w:type="dxa"/>
            <w:shd w:val="clear" w:color="auto" w:fill="auto"/>
            <w:vAlign w:val="center"/>
          </w:tcPr>
          <w:p>
            <w:pPr>
              <w:pStyle w:val="105"/>
              <w:rPr>
                <w:rFonts w:cs="Times New Roman"/>
              </w:rPr>
            </w:pPr>
            <w:r>
              <w:rPr>
                <w:rFonts w:cs="Times New Roman"/>
              </w:rPr>
              <w:t>25°37′31.05678″</w:t>
            </w:r>
          </w:p>
        </w:tc>
        <w:tc>
          <w:tcPr>
            <w:tcW w:w="850" w:type="dxa"/>
            <w:shd w:val="clear" w:color="auto" w:fill="auto"/>
            <w:vAlign w:val="center"/>
          </w:tcPr>
          <w:p>
            <w:pPr>
              <w:pStyle w:val="105"/>
            </w:pPr>
            <w:r>
              <w:rPr>
                <w:rFonts w:hint="eastAsia"/>
              </w:rPr>
              <w:t>居民点</w:t>
            </w:r>
          </w:p>
        </w:tc>
        <w:tc>
          <w:tcPr>
            <w:tcW w:w="851" w:type="dxa"/>
            <w:shd w:val="clear" w:color="auto" w:fill="auto"/>
            <w:vAlign w:val="center"/>
          </w:tcPr>
          <w:p>
            <w:pPr>
              <w:pStyle w:val="105"/>
            </w:pPr>
            <w:r>
              <w:rPr>
                <w:rFonts w:hint="eastAsia"/>
              </w:rPr>
              <w:t>2</w:t>
            </w:r>
            <w:r>
              <w:t>3</w:t>
            </w:r>
            <w:r>
              <w:rPr>
                <w:rFonts w:hint="eastAsia"/>
              </w:rPr>
              <w:t>户1</w:t>
            </w:r>
            <w:r>
              <w:t>15</w:t>
            </w:r>
            <w:r>
              <w:rPr>
                <w:rFonts w:hint="eastAsia"/>
              </w:rPr>
              <w:t>人</w:t>
            </w:r>
          </w:p>
        </w:tc>
        <w:tc>
          <w:tcPr>
            <w:tcW w:w="567" w:type="dxa"/>
            <w:shd w:val="clear" w:color="auto" w:fill="auto"/>
            <w:vAlign w:val="center"/>
          </w:tcPr>
          <w:p>
            <w:pPr>
              <w:pStyle w:val="105"/>
            </w:pPr>
            <w:r>
              <w:rPr>
                <w:rFonts w:hint="eastAsia"/>
              </w:rPr>
              <w:t>S</w:t>
            </w:r>
            <w:r>
              <w:t>E</w:t>
            </w:r>
          </w:p>
        </w:tc>
        <w:tc>
          <w:tcPr>
            <w:tcW w:w="706" w:type="dxa"/>
            <w:shd w:val="clear" w:color="auto" w:fill="auto"/>
            <w:vAlign w:val="center"/>
          </w:tcPr>
          <w:p>
            <w:pPr>
              <w:pStyle w:val="105"/>
            </w:pPr>
            <w:r>
              <w:t>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shd w:val="clear" w:color="auto" w:fill="auto"/>
            <w:vAlign w:val="center"/>
          </w:tcPr>
          <w:p>
            <w:pPr>
              <w:pStyle w:val="105"/>
            </w:pPr>
          </w:p>
        </w:tc>
        <w:tc>
          <w:tcPr>
            <w:tcW w:w="851" w:type="dxa"/>
            <w:vMerge w:val="continue"/>
            <w:shd w:val="clear" w:color="auto" w:fill="auto"/>
            <w:vAlign w:val="center"/>
          </w:tcPr>
          <w:p>
            <w:pPr>
              <w:pStyle w:val="105"/>
            </w:pPr>
          </w:p>
        </w:tc>
        <w:tc>
          <w:tcPr>
            <w:tcW w:w="1134" w:type="dxa"/>
            <w:vMerge w:val="continue"/>
            <w:shd w:val="clear" w:color="auto" w:fill="auto"/>
            <w:vAlign w:val="center"/>
          </w:tcPr>
          <w:p>
            <w:pPr>
              <w:pStyle w:val="105"/>
            </w:pPr>
          </w:p>
        </w:tc>
        <w:tc>
          <w:tcPr>
            <w:tcW w:w="1276" w:type="dxa"/>
            <w:shd w:val="clear" w:color="auto" w:fill="auto"/>
            <w:vAlign w:val="center"/>
          </w:tcPr>
          <w:p>
            <w:pPr>
              <w:pStyle w:val="105"/>
            </w:pPr>
            <w:r>
              <w:rPr>
                <w:rFonts w:hint="eastAsia"/>
              </w:rPr>
              <w:t>联华村火烧埔</w:t>
            </w:r>
          </w:p>
        </w:tc>
        <w:tc>
          <w:tcPr>
            <w:tcW w:w="1275" w:type="dxa"/>
            <w:shd w:val="clear" w:color="auto" w:fill="auto"/>
            <w:vAlign w:val="center"/>
          </w:tcPr>
          <w:p>
            <w:pPr>
              <w:pStyle w:val="105"/>
              <w:rPr>
                <w:rFonts w:cs="Times New Roman"/>
              </w:rPr>
            </w:pPr>
            <w:r>
              <w:rPr>
                <w:rFonts w:cs="Times New Roman"/>
              </w:rPr>
              <w:t xml:space="preserve">119°16′49.37335″ </w:t>
            </w:r>
          </w:p>
        </w:tc>
        <w:tc>
          <w:tcPr>
            <w:tcW w:w="993" w:type="dxa"/>
            <w:shd w:val="clear" w:color="auto" w:fill="auto"/>
            <w:vAlign w:val="center"/>
          </w:tcPr>
          <w:p>
            <w:pPr>
              <w:pStyle w:val="105"/>
              <w:rPr>
                <w:rFonts w:cs="Times New Roman"/>
              </w:rPr>
            </w:pPr>
            <w:r>
              <w:rPr>
                <w:rFonts w:cs="Times New Roman"/>
              </w:rPr>
              <w:t>25°37′32.90107″</w:t>
            </w:r>
          </w:p>
        </w:tc>
        <w:tc>
          <w:tcPr>
            <w:tcW w:w="850" w:type="dxa"/>
            <w:shd w:val="clear" w:color="auto" w:fill="auto"/>
            <w:vAlign w:val="center"/>
          </w:tcPr>
          <w:p>
            <w:pPr>
              <w:pStyle w:val="105"/>
            </w:pPr>
            <w:r>
              <w:rPr>
                <w:rFonts w:hint="eastAsia"/>
              </w:rPr>
              <w:t>居民点</w:t>
            </w:r>
          </w:p>
        </w:tc>
        <w:tc>
          <w:tcPr>
            <w:tcW w:w="851" w:type="dxa"/>
            <w:shd w:val="clear" w:color="auto" w:fill="auto"/>
            <w:vAlign w:val="center"/>
          </w:tcPr>
          <w:p>
            <w:pPr>
              <w:pStyle w:val="105"/>
            </w:pPr>
            <w:r>
              <w:rPr>
                <w:rFonts w:hint="eastAsia"/>
                <w:sz w:val="18"/>
                <w:szCs w:val="18"/>
              </w:rPr>
              <w:t>2</w:t>
            </w:r>
            <w:r>
              <w:rPr>
                <w:sz w:val="18"/>
                <w:szCs w:val="18"/>
              </w:rPr>
              <w:t>1</w:t>
            </w:r>
            <w:r>
              <w:rPr>
                <w:rFonts w:hint="eastAsia"/>
                <w:sz w:val="18"/>
                <w:szCs w:val="18"/>
              </w:rPr>
              <w:t>户</w:t>
            </w:r>
            <w:r>
              <w:rPr>
                <w:sz w:val="18"/>
                <w:szCs w:val="18"/>
              </w:rPr>
              <w:t>105</w:t>
            </w:r>
            <w:r>
              <w:rPr>
                <w:rFonts w:hint="eastAsia"/>
                <w:sz w:val="18"/>
                <w:szCs w:val="18"/>
              </w:rPr>
              <w:t>人</w:t>
            </w:r>
          </w:p>
        </w:tc>
        <w:tc>
          <w:tcPr>
            <w:tcW w:w="567" w:type="dxa"/>
            <w:shd w:val="clear" w:color="auto" w:fill="auto"/>
            <w:vAlign w:val="center"/>
          </w:tcPr>
          <w:p>
            <w:pPr>
              <w:pStyle w:val="105"/>
            </w:pPr>
            <w:r>
              <w:t>W</w:t>
            </w:r>
            <w:r>
              <w:rPr>
                <w:rFonts w:hint="eastAsia"/>
              </w:rPr>
              <w:t>S</w:t>
            </w:r>
          </w:p>
        </w:tc>
        <w:tc>
          <w:tcPr>
            <w:tcW w:w="706" w:type="dxa"/>
            <w:shd w:val="clear" w:color="auto" w:fill="auto"/>
            <w:vAlign w:val="center"/>
          </w:tcPr>
          <w:p>
            <w:pPr>
              <w:pStyle w:val="105"/>
            </w:pPr>
            <w:r>
              <w:rPr>
                <w:rFonts w:hint="eastAsia"/>
              </w:rPr>
              <w:t>1</w:t>
            </w:r>
            <w: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shd w:val="clear" w:color="auto" w:fill="auto"/>
            <w:vAlign w:val="center"/>
          </w:tcPr>
          <w:p>
            <w:pPr>
              <w:pStyle w:val="105"/>
            </w:pPr>
          </w:p>
        </w:tc>
        <w:tc>
          <w:tcPr>
            <w:tcW w:w="851" w:type="dxa"/>
            <w:vMerge w:val="continue"/>
            <w:shd w:val="clear" w:color="auto" w:fill="auto"/>
            <w:vAlign w:val="center"/>
          </w:tcPr>
          <w:p>
            <w:pPr>
              <w:pStyle w:val="105"/>
            </w:pPr>
          </w:p>
        </w:tc>
        <w:tc>
          <w:tcPr>
            <w:tcW w:w="1134" w:type="dxa"/>
            <w:vMerge w:val="continue"/>
            <w:shd w:val="clear" w:color="auto" w:fill="auto"/>
            <w:vAlign w:val="center"/>
          </w:tcPr>
          <w:p>
            <w:pPr>
              <w:pStyle w:val="105"/>
            </w:pPr>
          </w:p>
        </w:tc>
        <w:tc>
          <w:tcPr>
            <w:tcW w:w="1276" w:type="dxa"/>
            <w:shd w:val="clear" w:color="auto" w:fill="auto"/>
            <w:vAlign w:val="center"/>
          </w:tcPr>
          <w:p>
            <w:pPr>
              <w:pStyle w:val="105"/>
            </w:pPr>
            <w:r>
              <w:rPr>
                <w:rFonts w:hint="eastAsia"/>
              </w:rPr>
              <w:t>侨丰村</w:t>
            </w:r>
          </w:p>
        </w:tc>
        <w:tc>
          <w:tcPr>
            <w:tcW w:w="1275" w:type="dxa"/>
            <w:shd w:val="clear" w:color="auto" w:fill="auto"/>
            <w:vAlign w:val="center"/>
          </w:tcPr>
          <w:p>
            <w:pPr>
              <w:pStyle w:val="105"/>
              <w:rPr>
                <w:rFonts w:cs="Times New Roman"/>
              </w:rPr>
            </w:pPr>
            <w:r>
              <w:rPr>
                <w:rFonts w:cs="Times New Roman"/>
              </w:rPr>
              <w:t xml:space="preserve">119°16′32.77477″ </w:t>
            </w:r>
          </w:p>
        </w:tc>
        <w:tc>
          <w:tcPr>
            <w:tcW w:w="993" w:type="dxa"/>
            <w:shd w:val="clear" w:color="auto" w:fill="auto"/>
            <w:vAlign w:val="center"/>
          </w:tcPr>
          <w:p>
            <w:pPr>
              <w:pStyle w:val="105"/>
              <w:rPr>
                <w:rFonts w:cs="Times New Roman"/>
              </w:rPr>
            </w:pPr>
            <w:r>
              <w:rPr>
                <w:rFonts w:cs="Times New Roman"/>
              </w:rPr>
              <w:t>25°37′36.28065″</w:t>
            </w:r>
          </w:p>
        </w:tc>
        <w:tc>
          <w:tcPr>
            <w:tcW w:w="850" w:type="dxa"/>
            <w:shd w:val="clear" w:color="auto" w:fill="auto"/>
            <w:vAlign w:val="center"/>
          </w:tcPr>
          <w:p>
            <w:pPr>
              <w:pStyle w:val="105"/>
            </w:pPr>
            <w:r>
              <w:rPr>
                <w:rFonts w:hint="eastAsia"/>
              </w:rPr>
              <w:t>居民点</w:t>
            </w:r>
          </w:p>
        </w:tc>
        <w:tc>
          <w:tcPr>
            <w:tcW w:w="851" w:type="dxa"/>
            <w:shd w:val="clear" w:color="auto" w:fill="auto"/>
            <w:vAlign w:val="center"/>
          </w:tcPr>
          <w:p>
            <w:pPr>
              <w:pStyle w:val="105"/>
            </w:pPr>
            <w:r>
              <w:rPr>
                <w:rFonts w:hint="eastAsia"/>
              </w:rPr>
              <w:t>1</w:t>
            </w:r>
            <w:r>
              <w:t>户</w:t>
            </w:r>
            <w:r>
              <w:rPr>
                <w:rFonts w:hint="eastAsia"/>
              </w:rPr>
              <w:t>/</w:t>
            </w:r>
            <w:r>
              <w:t>3人</w:t>
            </w:r>
          </w:p>
        </w:tc>
        <w:tc>
          <w:tcPr>
            <w:tcW w:w="567" w:type="dxa"/>
            <w:shd w:val="clear" w:color="auto" w:fill="auto"/>
            <w:vAlign w:val="center"/>
          </w:tcPr>
          <w:p>
            <w:pPr>
              <w:pStyle w:val="105"/>
            </w:pPr>
            <w:r>
              <w:rPr>
                <w:rFonts w:hint="eastAsia"/>
              </w:rPr>
              <w:t>W</w:t>
            </w:r>
          </w:p>
        </w:tc>
        <w:tc>
          <w:tcPr>
            <w:tcW w:w="706" w:type="dxa"/>
            <w:shd w:val="clear" w:color="auto" w:fill="auto"/>
            <w:vAlign w:val="center"/>
          </w:tcPr>
          <w:p>
            <w:pPr>
              <w:pStyle w:val="105"/>
            </w:pPr>
            <w:r>
              <w:rPr>
                <w:rFonts w:hint="eastAsia"/>
              </w:rPr>
              <w:t>2</w:t>
            </w:r>
            <w: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0" w:type="dxa"/>
            <w:gridSpan w:val="10"/>
            <w:shd w:val="clear" w:color="auto" w:fill="auto"/>
            <w:vAlign w:val="center"/>
          </w:tcPr>
          <w:p>
            <w:pPr>
              <w:pStyle w:val="105"/>
            </w:pPr>
            <w:r>
              <w:rPr>
                <w:rFonts w:hint="eastAsia"/>
              </w:rPr>
              <w:t>二、表土堆场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shd w:val="clear" w:color="auto" w:fill="auto"/>
            <w:vAlign w:val="center"/>
          </w:tcPr>
          <w:p>
            <w:pPr>
              <w:pStyle w:val="105"/>
            </w:pPr>
            <w:r>
              <w:t>2</w:t>
            </w:r>
          </w:p>
        </w:tc>
        <w:tc>
          <w:tcPr>
            <w:tcW w:w="851" w:type="dxa"/>
            <w:vMerge w:val="restart"/>
            <w:shd w:val="clear" w:color="auto" w:fill="auto"/>
            <w:vAlign w:val="center"/>
          </w:tcPr>
          <w:p>
            <w:pPr>
              <w:pStyle w:val="105"/>
            </w:pPr>
            <w:r>
              <w:rPr>
                <w:rFonts w:hint="eastAsia"/>
              </w:rPr>
              <w:t>1</w:t>
            </w:r>
            <w:r>
              <w:t>#</w:t>
            </w:r>
            <w:r>
              <w:rPr>
                <w:rFonts w:hint="eastAsia"/>
              </w:rPr>
              <w:t>表土堆场</w:t>
            </w:r>
          </w:p>
        </w:tc>
        <w:tc>
          <w:tcPr>
            <w:tcW w:w="1134" w:type="dxa"/>
            <w:vMerge w:val="restart"/>
            <w:shd w:val="clear" w:color="auto" w:fill="auto"/>
            <w:vAlign w:val="center"/>
          </w:tcPr>
          <w:p>
            <w:pPr>
              <w:pStyle w:val="105"/>
            </w:pPr>
            <w:r>
              <w:rPr>
                <w:rFonts w:eastAsia="Times New Roman" w:cs="Times New Roman"/>
                <w:spacing w:val="-1"/>
                <w:sz w:val="18"/>
                <w:szCs w:val="22"/>
              </w:rPr>
              <w:t>K0+620</w:t>
            </w:r>
            <w:r>
              <w:rPr>
                <w:rFonts w:hint="eastAsia"/>
                <w:spacing w:val="-1"/>
                <w:sz w:val="18"/>
                <w:szCs w:val="22"/>
              </w:rPr>
              <w:t>~</w:t>
            </w:r>
            <w:r>
              <w:rPr>
                <w:rFonts w:eastAsia="Times New Roman" w:cs="Times New Roman"/>
                <w:spacing w:val="-1"/>
                <w:sz w:val="18"/>
                <w:szCs w:val="22"/>
              </w:rPr>
              <w:t xml:space="preserve"> K0+780</w:t>
            </w:r>
            <w:r>
              <w:rPr>
                <w:rFonts w:hint="eastAsia"/>
                <w:spacing w:val="-1"/>
                <w:sz w:val="18"/>
                <w:szCs w:val="22"/>
              </w:rPr>
              <w:t>路基红线</w:t>
            </w:r>
          </w:p>
        </w:tc>
        <w:tc>
          <w:tcPr>
            <w:tcW w:w="1276" w:type="dxa"/>
            <w:shd w:val="clear" w:color="auto" w:fill="auto"/>
            <w:vAlign w:val="center"/>
          </w:tcPr>
          <w:p>
            <w:pPr>
              <w:pStyle w:val="105"/>
            </w:pPr>
            <w:r>
              <w:rPr>
                <w:rFonts w:hint="eastAsia"/>
              </w:rPr>
              <w:t>上张村林泉</w:t>
            </w:r>
          </w:p>
        </w:tc>
        <w:tc>
          <w:tcPr>
            <w:tcW w:w="1275" w:type="dxa"/>
            <w:shd w:val="clear" w:color="auto" w:fill="auto"/>
            <w:vAlign w:val="center"/>
          </w:tcPr>
          <w:p>
            <w:pPr>
              <w:pStyle w:val="105"/>
              <w:rPr>
                <w:rFonts w:cs="Times New Roman"/>
              </w:rPr>
            </w:pPr>
            <w:r>
              <w:rPr>
                <w:rFonts w:cs="Times New Roman"/>
              </w:rPr>
              <w:t xml:space="preserve">119°17′27.52402″ </w:t>
            </w:r>
          </w:p>
        </w:tc>
        <w:tc>
          <w:tcPr>
            <w:tcW w:w="993" w:type="dxa"/>
            <w:shd w:val="clear" w:color="auto" w:fill="auto"/>
            <w:vAlign w:val="center"/>
          </w:tcPr>
          <w:p>
            <w:pPr>
              <w:pStyle w:val="105"/>
              <w:rPr>
                <w:rFonts w:cs="Times New Roman"/>
              </w:rPr>
            </w:pPr>
            <w:r>
              <w:rPr>
                <w:rFonts w:cs="Times New Roman"/>
              </w:rPr>
              <w:t>25°37′31.62648″</w:t>
            </w:r>
          </w:p>
        </w:tc>
        <w:tc>
          <w:tcPr>
            <w:tcW w:w="850" w:type="dxa"/>
            <w:shd w:val="clear" w:color="auto" w:fill="auto"/>
            <w:vAlign w:val="center"/>
          </w:tcPr>
          <w:p>
            <w:pPr>
              <w:pStyle w:val="105"/>
            </w:pPr>
            <w:r>
              <w:t xml:space="preserve"> 村庄</w:t>
            </w:r>
          </w:p>
        </w:tc>
        <w:tc>
          <w:tcPr>
            <w:tcW w:w="851" w:type="dxa"/>
            <w:shd w:val="clear" w:color="auto" w:fill="auto"/>
            <w:vAlign w:val="center"/>
          </w:tcPr>
          <w:p>
            <w:pPr>
              <w:pStyle w:val="105"/>
            </w:pPr>
            <w:r>
              <w:rPr>
                <w:rFonts w:hint="eastAsia"/>
              </w:rPr>
              <w:t>1</w:t>
            </w:r>
            <w:r>
              <w:t>2户</w:t>
            </w:r>
          </w:p>
        </w:tc>
        <w:tc>
          <w:tcPr>
            <w:tcW w:w="567" w:type="dxa"/>
            <w:shd w:val="clear" w:color="auto" w:fill="auto"/>
            <w:vAlign w:val="center"/>
          </w:tcPr>
          <w:p>
            <w:pPr>
              <w:pStyle w:val="105"/>
            </w:pPr>
            <w:r>
              <w:rPr>
                <w:rFonts w:hint="eastAsia"/>
              </w:rPr>
              <w:t>S</w:t>
            </w:r>
          </w:p>
        </w:tc>
        <w:tc>
          <w:tcPr>
            <w:tcW w:w="706" w:type="dxa"/>
            <w:shd w:val="clear" w:color="auto" w:fill="auto"/>
            <w:vAlign w:val="center"/>
          </w:tcPr>
          <w:p>
            <w:pPr>
              <w:pStyle w:val="105"/>
            </w:pPr>
            <w: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shd w:val="clear" w:color="auto" w:fill="auto"/>
            <w:vAlign w:val="center"/>
          </w:tcPr>
          <w:p>
            <w:pPr>
              <w:pStyle w:val="105"/>
            </w:pPr>
          </w:p>
        </w:tc>
        <w:tc>
          <w:tcPr>
            <w:tcW w:w="851" w:type="dxa"/>
            <w:vMerge w:val="continue"/>
            <w:shd w:val="clear" w:color="auto" w:fill="auto"/>
            <w:vAlign w:val="center"/>
          </w:tcPr>
          <w:p>
            <w:pPr>
              <w:pStyle w:val="105"/>
            </w:pPr>
          </w:p>
        </w:tc>
        <w:tc>
          <w:tcPr>
            <w:tcW w:w="1134" w:type="dxa"/>
            <w:vMerge w:val="continue"/>
            <w:shd w:val="clear" w:color="auto" w:fill="auto"/>
            <w:vAlign w:val="center"/>
          </w:tcPr>
          <w:p>
            <w:pPr>
              <w:pStyle w:val="105"/>
            </w:pPr>
          </w:p>
        </w:tc>
        <w:tc>
          <w:tcPr>
            <w:tcW w:w="1276" w:type="dxa"/>
            <w:shd w:val="clear" w:color="auto" w:fill="auto"/>
            <w:vAlign w:val="center"/>
          </w:tcPr>
          <w:p>
            <w:pPr>
              <w:pStyle w:val="105"/>
            </w:pPr>
            <w:r>
              <w:rPr>
                <w:rFonts w:hint="eastAsia"/>
              </w:rPr>
              <w:t>鳗鱼养殖</w:t>
            </w:r>
          </w:p>
        </w:tc>
        <w:tc>
          <w:tcPr>
            <w:tcW w:w="1275" w:type="dxa"/>
            <w:shd w:val="clear" w:color="auto" w:fill="auto"/>
            <w:vAlign w:val="center"/>
          </w:tcPr>
          <w:p>
            <w:pPr>
              <w:pStyle w:val="105"/>
              <w:rPr>
                <w:rFonts w:cs="Times New Roman"/>
              </w:rPr>
            </w:pPr>
            <w:r>
              <w:rPr>
                <w:rFonts w:cs="Times New Roman"/>
              </w:rPr>
              <w:t xml:space="preserve">119°17′21.19937″ </w:t>
            </w:r>
          </w:p>
        </w:tc>
        <w:tc>
          <w:tcPr>
            <w:tcW w:w="993" w:type="dxa"/>
            <w:shd w:val="clear" w:color="auto" w:fill="auto"/>
            <w:vAlign w:val="center"/>
          </w:tcPr>
          <w:p>
            <w:pPr>
              <w:pStyle w:val="105"/>
              <w:rPr>
                <w:rFonts w:cs="Times New Roman"/>
              </w:rPr>
            </w:pPr>
            <w:r>
              <w:rPr>
                <w:rFonts w:cs="Times New Roman"/>
              </w:rPr>
              <w:t>25°37′35.87510″</w:t>
            </w:r>
          </w:p>
        </w:tc>
        <w:tc>
          <w:tcPr>
            <w:tcW w:w="850" w:type="dxa"/>
            <w:shd w:val="clear" w:color="auto" w:fill="auto"/>
            <w:vAlign w:val="center"/>
          </w:tcPr>
          <w:p>
            <w:pPr>
              <w:pStyle w:val="105"/>
            </w:pPr>
            <w:r>
              <w:rPr>
                <w:rFonts w:hint="eastAsia"/>
              </w:rPr>
              <w:t>养殖场</w:t>
            </w:r>
          </w:p>
        </w:tc>
        <w:tc>
          <w:tcPr>
            <w:tcW w:w="851" w:type="dxa"/>
            <w:shd w:val="clear" w:color="auto" w:fill="auto"/>
            <w:vAlign w:val="center"/>
          </w:tcPr>
          <w:p>
            <w:pPr>
              <w:pStyle w:val="105"/>
            </w:pPr>
            <w:r>
              <w:rPr>
                <w:rFonts w:hint="eastAsia"/>
              </w:rPr>
              <w:t>1</w:t>
            </w:r>
            <w:r>
              <w:t>户</w:t>
            </w:r>
          </w:p>
        </w:tc>
        <w:tc>
          <w:tcPr>
            <w:tcW w:w="567" w:type="dxa"/>
            <w:shd w:val="clear" w:color="auto" w:fill="auto"/>
            <w:vAlign w:val="center"/>
          </w:tcPr>
          <w:p>
            <w:pPr>
              <w:pStyle w:val="105"/>
            </w:pPr>
            <w:r>
              <w:t>N</w:t>
            </w:r>
          </w:p>
        </w:tc>
        <w:tc>
          <w:tcPr>
            <w:tcW w:w="706" w:type="dxa"/>
            <w:shd w:val="clear" w:color="auto" w:fill="auto"/>
            <w:vAlign w:val="center"/>
          </w:tcPr>
          <w:p>
            <w:pPr>
              <w:pStyle w:val="105"/>
            </w:pPr>
            <w: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shd w:val="clear" w:color="auto" w:fill="auto"/>
            <w:vAlign w:val="center"/>
          </w:tcPr>
          <w:p>
            <w:pPr>
              <w:pStyle w:val="105"/>
            </w:pPr>
            <w:r>
              <w:t>3</w:t>
            </w:r>
          </w:p>
        </w:tc>
        <w:tc>
          <w:tcPr>
            <w:tcW w:w="851" w:type="dxa"/>
            <w:vMerge w:val="restart"/>
            <w:shd w:val="clear" w:color="auto" w:fill="auto"/>
            <w:vAlign w:val="center"/>
          </w:tcPr>
          <w:p>
            <w:pPr>
              <w:pStyle w:val="105"/>
            </w:pPr>
            <w:r>
              <w:t>2#</w:t>
            </w:r>
            <w:r>
              <w:rPr>
                <w:rFonts w:hint="eastAsia"/>
              </w:rPr>
              <w:t>表土堆场</w:t>
            </w:r>
          </w:p>
        </w:tc>
        <w:tc>
          <w:tcPr>
            <w:tcW w:w="1134" w:type="dxa"/>
            <w:vMerge w:val="restart"/>
            <w:shd w:val="clear" w:color="auto" w:fill="auto"/>
            <w:vAlign w:val="center"/>
          </w:tcPr>
          <w:p>
            <w:pPr>
              <w:pStyle w:val="105"/>
            </w:pPr>
            <w:r>
              <w:rPr>
                <w:rFonts w:eastAsia="Times New Roman" w:cs="Times New Roman"/>
                <w:sz w:val="18"/>
                <w:szCs w:val="22"/>
              </w:rPr>
              <w:t xml:space="preserve">K3+510~620 </w:t>
            </w:r>
            <w:r>
              <w:rPr>
                <w:rFonts w:hint="eastAsia" w:ascii="宋体" w:hAnsi="宋体"/>
                <w:sz w:val="18"/>
                <w:szCs w:val="22"/>
              </w:rPr>
              <w:t>左侧</w:t>
            </w:r>
            <w:r>
              <w:rPr>
                <w:rFonts w:hint="eastAsia"/>
                <w:spacing w:val="-1"/>
                <w:sz w:val="18"/>
                <w:szCs w:val="22"/>
              </w:rPr>
              <w:t>路基</w:t>
            </w:r>
          </w:p>
        </w:tc>
        <w:tc>
          <w:tcPr>
            <w:tcW w:w="1276" w:type="dxa"/>
            <w:shd w:val="clear" w:color="auto" w:fill="auto"/>
            <w:vAlign w:val="center"/>
          </w:tcPr>
          <w:p>
            <w:pPr>
              <w:pStyle w:val="105"/>
            </w:pPr>
            <w:r>
              <w:t>联华村西山</w:t>
            </w:r>
          </w:p>
        </w:tc>
        <w:tc>
          <w:tcPr>
            <w:tcW w:w="1275" w:type="dxa"/>
            <w:shd w:val="clear" w:color="auto" w:fill="auto"/>
            <w:vAlign w:val="center"/>
          </w:tcPr>
          <w:p>
            <w:pPr>
              <w:pStyle w:val="105"/>
              <w:rPr>
                <w:rFonts w:cs="Times New Roman"/>
              </w:rPr>
            </w:pPr>
            <w:r>
              <w:rPr>
                <w:rFonts w:cs="Times New Roman"/>
              </w:rPr>
              <w:t xml:space="preserve">119°15′56.99946″ </w:t>
            </w:r>
          </w:p>
        </w:tc>
        <w:tc>
          <w:tcPr>
            <w:tcW w:w="993" w:type="dxa"/>
            <w:shd w:val="clear" w:color="auto" w:fill="auto"/>
            <w:vAlign w:val="center"/>
          </w:tcPr>
          <w:p>
            <w:pPr>
              <w:pStyle w:val="105"/>
              <w:rPr>
                <w:rFonts w:cs="Times New Roman"/>
              </w:rPr>
            </w:pPr>
            <w:r>
              <w:rPr>
                <w:rFonts w:cs="Times New Roman"/>
              </w:rPr>
              <w:t>25°37′45.69520″</w:t>
            </w:r>
          </w:p>
        </w:tc>
        <w:tc>
          <w:tcPr>
            <w:tcW w:w="850" w:type="dxa"/>
            <w:shd w:val="clear" w:color="auto" w:fill="auto"/>
          </w:tcPr>
          <w:p>
            <w:pPr>
              <w:pStyle w:val="105"/>
            </w:pPr>
            <w:r>
              <w:t>村庄</w:t>
            </w:r>
          </w:p>
        </w:tc>
        <w:tc>
          <w:tcPr>
            <w:tcW w:w="851" w:type="dxa"/>
            <w:shd w:val="clear" w:color="auto" w:fill="auto"/>
            <w:vAlign w:val="center"/>
          </w:tcPr>
          <w:p>
            <w:pPr>
              <w:pStyle w:val="105"/>
            </w:pPr>
            <w:r>
              <w:rPr>
                <w:rFonts w:hint="eastAsia"/>
              </w:rPr>
              <w:t>4</w:t>
            </w:r>
            <w:r>
              <w:t>9</w:t>
            </w:r>
            <w:r>
              <w:rPr>
                <w:rFonts w:hint="eastAsia"/>
              </w:rPr>
              <w:t>户</w:t>
            </w:r>
          </w:p>
        </w:tc>
        <w:tc>
          <w:tcPr>
            <w:tcW w:w="567" w:type="dxa"/>
            <w:shd w:val="clear" w:color="auto" w:fill="auto"/>
            <w:vAlign w:val="center"/>
          </w:tcPr>
          <w:p>
            <w:pPr>
              <w:pStyle w:val="105"/>
            </w:pPr>
            <w:r>
              <w:t>S</w:t>
            </w:r>
            <w:r>
              <w:rPr>
                <w:rFonts w:hint="eastAsia"/>
              </w:rPr>
              <w:t>E</w:t>
            </w:r>
          </w:p>
        </w:tc>
        <w:tc>
          <w:tcPr>
            <w:tcW w:w="706" w:type="dxa"/>
            <w:shd w:val="clear" w:color="auto" w:fill="auto"/>
            <w:vAlign w:val="center"/>
          </w:tcPr>
          <w:p>
            <w:pPr>
              <w:pStyle w:val="105"/>
            </w:pPr>
            <w:r>
              <w:t>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shd w:val="clear" w:color="auto" w:fill="auto"/>
            <w:vAlign w:val="center"/>
          </w:tcPr>
          <w:p>
            <w:pPr>
              <w:pStyle w:val="105"/>
            </w:pPr>
          </w:p>
        </w:tc>
        <w:tc>
          <w:tcPr>
            <w:tcW w:w="851" w:type="dxa"/>
            <w:vMerge w:val="continue"/>
            <w:shd w:val="clear" w:color="auto" w:fill="auto"/>
            <w:vAlign w:val="center"/>
          </w:tcPr>
          <w:p>
            <w:pPr>
              <w:pStyle w:val="105"/>
            </w:pPr>
          </w:p>
        </w:tc>
        <w:tc>
          <w:tcPr>
            <w:tcW w:w="1134" w:type="dxa"/>
            <w:vMerge w:val="continue"/>
            <w:shd w:val="clear" w:color="auto" w:fill="auto"/>
            <w:vAlign w:val="center"/>
          </w:tcPr>
          <w:p>
            <w:pPr>
              <w:pStyle w:val="105"/>
            </w:pPr>
          </w:p>
        </w:tc>
        <w:tc>
          <w:tcPr>
            <w:tcW w:w="1276" w:type="dxa"/>
            <w:shd w:val="clear" w:color="auto" w:fill="auto"/>
            <w:vAlign w:val="center"/>
          </w:tcPr>
          <w:p>
            <w:pPr>
              <w:pStyle w:val="105"/>
            </w:pPr>
            <w:r>
              <w:t>联华村</w:t>
            </w:r>
            <w:r>
              <w:rPr>
                <w:rFonts w:hint="eastAsia"/>
              </w:rPr>
              <w:t>木厝洋</w:t>
            </w:r>
          </w:p>
        </w:tc>
        <w:tc>
          <w:tcPr>
            <w:tcW w:w="1275" w:type="dxa"/>
            <w:shd w:val="clear" w:color="auto" w:fill="auto"/>
            <w:vAlign w:val="center"/>
          </w:tcPr>
          <w:p>
            <w:pPr>
              <w:pStyle w:val="105"/>
              <w:rPr>
                <w:rFonts w:cs="Times New Roman"/>
              </w:rPr>
            </w:pPr>
            <w:r>
              <w:rPr>
                <w:rFonts w:cs="Times New Roman"/>
              </w:rPr>
              <w:t xml:space="preserve">119°15′50.48169″ </w:t>
            </w:r>
          </w:p>
        </w:tc>
        <w:tc>
          <w:tcPr>
            <w:tcW w:w="993" w:type="dxa"/>
            <w:shd w:val="clear" w:color="auto" w:fill="auto"/>
            <w:vAlign w:val="center"/>
          </w:tcPr>
          <w:p>
            <w:pPr>
              <w:pStyle w:val="105"/>
              <w:rPr>
                <w:rFonts w:cs="Times New Roman"/>
              </w:rPr>
            </w:pPr>
            <w:r>
              <w:rPr>
                <w:rFonts w:cs="Times New Roman"/>
              </w:rPr>
              <w:t>25°37′47.33672″</w:t>
            </w:r>
          </w:p>
        </w:tc>
        <w:tc>
          <w:tcPr>
            <w:tcW w:w="850" w:type="dxa"/>
            <w:shd w:val="clear" w:color="auto" w:fill="auto"/>
          </w:tcPr>
          <w:p>
            <w:pPr>
              <w:pStyle w:val="105"/>
            </w:pPr>
            <w:r>
              <w:t>村庄</w:t>
            </w:r>
          </w:p>
        </w:tc>
        <w:tc>
          <w:tcPr>
            <w:tcW w:w="851" w:type="dxa"/>
            <w:shd w:val="clear" w:color="auto" w:fill="auto"/>
            <w:vAlign w:val="center"/>
          </w:tcPr>
          <w:p>
            <w:pPr>
              <w:pStyle w:val="105"/>
            </w:pPr>
            <w:r>
              <w:t>38户190人</w:t>
            </w:r>
          </w:p>
        </w:tc>
        <w:tc>
          <w:tcPr>
            <w:tcW w:w="567" w:type="dxa"/>
            <w:shd w:val="clear" w:color="auto" w:fill="auto"/>
            <w:vAlign w:val="center"/>
          </w:tcPr>
          <w:p>
            <w:pPr>
              <w:pStyle w:val="105"/>
            </w:pPr>
            <w:r>
              <w:t>N</w:t>
            </w:r>
          </w:p>
        </w:tc>
        <w:tc>
          <w:tcPr>
            <w:tcW w:w="706" w:type="dxa"/>
            <w:shd w:val="clear" w:color="auto" w:fill="auto"/>
            <w:vAlign w:val="center"/>
          </w:tcPr>
          <w:p>
            <w:pPr>
              <w:pStyle w:val="105"/>
            </w:pPr>
            <w: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shd w:val="clear" w:color="auto" w:fill="auto"/>
            <w:vAlign w:val="center"/>
          </w:tcPr>
          <w:p>
            <w:pPr>
              <w:pStyle w:val="105"/>
            </w:pPr>
            <w:r>
              <w:t>4</w:t>
            </w:r>
          </w:p>
        </w:tc>
        <w:tc>
          <w:tcPr>
            <w:tcW w:w="851" w:type="dxa"/>
            <w:shd w:val="clear" w:color="auto" w:fill="auto"/>
            <w:vAlign w:val="center"/>
          </w:tcPr>
          <w:p>
            <w:pPr>
              <w:pStyle w:val="105"/>
            </w:pPr>
            <w:r>
              <w:rPr>
                <w:rFonts w:hint="eastAsia"/>
              </w:rPr>
              <w:t>3</w:t>
            </w:r>
            <w:r>
              <w:t>#</w:t>
            </w:r>
            <w:r>
              <w:rPr>
                <w:rFonts w:hint="eastAsia"/>
              </w:rPr>
              <w:t>表土堆场</w:t>
            </w:r>
          </w:p>
        </w:tc>
        <w:tc>
          <w:tcPr>
            <w:tcW w:w="1134" w:type="dxa"/>
            <w:shd w:val="clear" w:color="auto" w:fill="auto"/>
            <w:vAlign w:val="center"/>
          </w:tcPr>
          <w:p>
            <w:pPr>
              <w:pStyle w:val="105"/>
            </w:pPr>
            <w:r>
              <w:rPr>
                <w:rFonts w:eastAsia="Times New Roman" w:cs="Times New Roman"/>
                <w:spacing w:val="-1"/>
                <w:sz w:val="18"/>
                <w:szCs w:val="22"/>
              </w:rPr>
              <w:t>K4+300~ K4+420</w:t>
            </w:r>
            <w:r>
              <w:rPr>
                <w:rFonts w:hint="eastAsia" w:ascii="宋体" w:hAnsi="宋体"/>
                <w:spacing w:val="-1"/>
                <w:sz w:val="18"/>
                <w:szCs w:val="22"/>
              </w:rPr>
              <w:t>右侧</w:t>
            </w:r>
            <w:r>
              <w:rPr>
                <w:rFonts w:hint="eastAsia"/>
                <w:spacing w:val="-1"/>
                <w:sz w:val="18"/>
                <w:szCs w:val="22"/>
              </w:rPr>
              <w:t>路基</w:t>
            </w:r>
          </w:p>
        </w:tc>
        <w:tc>
          <w:tcPr>
            <w:tcW w:w="6518" w:type="dxa"/>
            <w:gridSpan w:val="7"/>
            <w:shd w:val="clear" w:color="auto" w:fill="auto"/>
            <w:vAlign w:val="center"/>
          </w:tcPr>
          <w:p>
            <w:pPr>
              <w:pStyle w:val="105"/>
            </w:pPr>
            <w:r>
              <w:rPr>
                <w:rFonts w:hint="eastAsia"/>
              </w:rPr>
              <w:t>2</w:t>
            </w:r>
            <w:r>
              <w:t>00m范围无居民居住点，</w:t>
            </w:r>
            <w:r>
              <w:rPr>
                <w:rFonts w:hint="eastAsia"/>
              </w:rPr>
              <w:t>西</w:t>
            </w:r>
            <w:r>
              <w:t>南侧</w:t>
            </w:r>
            <w:r>
              <w:rPr>
                <w:rFonts w:hint="eastAsia"/>
              </w:rPr>
              <w:t>5</w:t>
            </w:r>
            <w:r>
              <w:t>0m为玉山文创农业公司（</w:t>
            </w:r>
            <w:r>
              <w:rPr>
                <w:rFonts w:hint="eastAsia"/>
              </w:rPr>
              <w:t>景观园艺种植加工</w:t>
            </w:r>
            <w:r>
              <w:t>）</w:t>
            </w:r>
            <w:r>
              <w:rPr>
                <w:rFonts w:hint="eastAsia"/>
              </w:rPr>
              <w:t>，</w:t>
            </w:r>
            <w:r>
              <w:t>南侧85m为</w:t>
            </w:r>
            <w:r>
              <w:rPr>
                <w:rFonts w:hint="eastAsia"/>
              </w:rPr>
              <w:t>骨灰堂。</w:t>
            </w:r>
          </w:p>
        </w:tc>
      </w:tr>
    </w:tbl>
    <w:p>
      <w:pPr>
        <w:pStyle w:val="105"/>
        <w:ind w:left="480" w:firstLine="480"/>
      </w:pPr>
    </w:p>
    <w:tbl>
      <w:tblPr>
        <w:tblStyle w:val="39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4438"/>
        <w:gridCol w:w="222"/>
        <w:gridCol w:w="44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27" w:hRule="atLeast"/>
        </w:trPr>
        <w:tc>
          <w:tcPr>
            <w:tcW w:w="4438" w:type="dxa"/>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spacing w:before="0" w:after="0"/>
              <w:ind w:left="-120" w:leftChars="-50" w:right="-120" w:rightChars="-50"/>
              <w:jc w:val="center"/>
              <w:rPr>
                <w:rFonts w:eastAsia="New York"/>
              </w:rPr>
            </w:pPr>
          </w:p>
        </w:tc>
        <w:tc>
          <w:tcPr>
            <w:tcW w:w="222" w:type="dxa"/>
            <w:tcBorders>
              <w:top w:val="single" w:color="auto" w:sz="12" w:space="0"/>
              <w:bottom w:val="nil"/>
              <w:right w:val="single" w:color="auto" w:sz="6" w:space="0"/>
              <w:insideH w:val="nil"/>
              <w:insideV w:val="single" w:sz="6" w:space="0"/>
              <w:tl2br w:val="nil"/>
              <w:tr2bl w:val="nil"/>
            </w:tcBorders>
            <w:vAlign w:val="center"/>
          </w:tcPr>
          <w:p>
            <w:pPr>
              <w:pStyle w:val="105"/>
              <w:widowControl w:val="0"/>
              <w:spacing w:before="0" w:after="0"/>
              <w:jc w:val="center"/>
              <w:rPr>
                <w:rFonts w:eastAsia="New York"/>
              </w:rPr>
            </w:pPr>
          </w:p>
        </w:tc>
        <w:tc>
          <w:tcPr>
            <w:tcW w:w="4410" w:type="dxa"/>
            <w:tcBorders>
              <w:top w:val="single" w:color="auto" w:sz="12" w:space="0"/>
              <w:bottom w:val="nil"/>
              <w:right w:val="nil"/>
              <w:insideH w:val="nil"/>
              <w:insideV w:val="single" w:sz="6" w:space="0"/>
              <w:tl2br w:val="nil"/>
              <w:tr2bl w:val="nil"/>
            </w:tcBorders>
            <w:vAlign w:val="center"/>
          </w:tcPr>
          <w:p>
            <w:pPr>
              <w:pStyle w:val="105"/>
              <w:widowControl w:val="0"/>
              <w:spacing w:before="0" w:after="0"/>
              <w:ind w:left="-120" w:leftChars="-50" w:right="-120" w:rightChars="-50"/>
              <w:jc w:val="center"/>
              <w:rPr>
                <w:rFonts w:eastAsia="New York"/>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27" w:hRule="atLeast"/>
        </w:trPr>
        <w:tc>
          <w:tcPr>
            <w:tcW w:w="4438" w:type="dxa"/>
            <w:vAlign w:val="center"/>
          </w:tcPr>
          <w:p>
            <w:pPr>
              <w:pStyle w:val="105"/>
              <w:widowControl w:val="0"/>
              <w:spacing w:before="0" w:after="0"/>
              <w:jc w:val="center"/>
            </w:pPr>
            <w:r>
              <w:t>1#</w:t>
            </w:r>
            <w:r>
              <w:rPr>
                <w:rFonts w:hint="eastAsia"/>
              </w:rPr>
              <w:t>表土堆场</w:t>
            </w:r>
          </w:p>
        </w:tc>
        <w:tc>
          <w:tcPr>
            <w:tcW w:w="222" w:type="dxa"/>
            <w:vAlign w:val="center"/>
          </w:tcPr>
          <w:p>
            <w:pPr>
              <w:pStyle w:val="105"/>
              <w:widowControl w:val="0"/>
              <w:spacing w:before="0" w:after="0"/>
              <w:jc w:val="center"/>
            </w:pPr>
          </w:p>
        </w:tc>
        <w:tc>
          <w:tcPr>
            <w:tcW w:w="4410" w:type="dxa"/>
            <w:vAlign w:val="center"/>
          </w:tcPr>
          <w:p>
            <w:pPr>
              <w:pStyle w:val="105"/>
              <w:widowControl w:val="0"/>
              <w:spacing w:before="0" w:after="0"/>
              <w:jc w:val="center"/>
            </w:pPr>
            <w:r>
              <w:t>2#</w:t>
            </w:r>
            <w:r>
              <w:rPr>
                <w:rFonts w:hint="eastAsia"/>
              </w:rPr>
              <w:t>表土堆场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27" w:hRule="atLeast"/>
        </w:trPr>
        <w:tc>
          <w:tcPr>
            <w:tcW w:w="4438" w:type="dxa"/>
            <w:vAlign w:val="center"/>
          </w:tcPr>
          <w:p>
            <w:pPr>
              <w:pStyle w:val="105"/>
              <w:widowControl w:val="0"/>
              <w:spacing w:before="0" w:after="0"/>
              <w:ind w:left="-120" w:leftChars="-50" w:right="-120" w:rightChars="-50"/>
              <w:jc w:val="center"/>
            </w:pPr>
          </w:p>
        </w:tc>
        <w:tc>
          <w:tcPr>
            <w:tcW w:w="222" w:type="dxa"/>
            <w:vAlign w:val="center"/>
          </w:tcPr>
          <w:p>
            <w:pPr>
              <w:pStyle w:val="105"/>
              <w:widowControl w:val="0"/>
              <w:spacing w:before="0" w:after="0"/>
              <w:jc w:val="center"/>
            </w:pPr>
          </w:p>
        </w:tc>
        <w:tc>
          <w:tcPr>
            <w:tcW w:w="4410" w:type="dxa"/>
            <w:vAlign w:val="center"/>
          </w:tcPr>
          <w:p>
            <w:pPr>
              <w:pStyle w:val="105"/>
              <w:widowControl w:val="0"/>
              <w:spacing w:before="0" w:after="0"/>
              <w:ind w:left="-120" w:leftChars="-50" w:right="-120" w:rightChars="-5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27" w:hRule="atLeast"/>
        </w:trPr>
        <w:tc>
          <w:tcPr>
            <w:tcW w:w="4438" w:type="dxa"/>
            <w:vAlign w:val="center"/>
          </w:tcPr>
          <w:p>
            <w:pPr>
              <w:pStyle w:val="105"/>
              <w:widowControl w:val="0"/>
              <w:spacing w:before="0" w:after="0"/>
              <w:jc w:val="center"/>
            </w:pPr>
            <w:r>
              <w:t>3#</w:t>
            </w:r>
            <w:r>
              <w:rPr>
                <w:rFonts w:hint="eastAsia"/>
              </w:rPr>
              <w:t>表土堆场</w:t>
            </w:r>
          </w:p>
        </w:tc>
        <w:tc>
          <w:tcPr>
            <w:tcW w:w="222" w:type="dxa"/>
            <w:vAlign w:val="center"/>
          </w:tcPr>
          <w:p>
            <w:pPr>
              <w:pStyle w:val="105"/>
              <w:widowControl w:val="0"/>
              <w:spacing w:before="0" w:after="0"/>
              <w:jc w:val="center"/>
            </w:pPr>
          </w:p>
        </w:tc>
        <w:tc>
          <w:tcPr>
            <w:tcW w:w="4410" w:type="dxa"/>
            <w:vAlign w:val="center"/>
          </w:tcPr>
          <w:p>
            <w:pPr>
              <w:pStyle w:val="105"/>
              <w:widowControl w:val="0"/>
              <w:spacing w:before="0" w:after="0"/>
              <w:jc w:val="center"/>
            </w:pPr>
            <w:r>
              <w:rPr>
                <w:rFonts w:hint="eastAsia"/>
              </w:rPr>
              <w:t>1</w:t>
            </w:r>
            <w:r>
              <w:t>#</w:t>
            </w:r>
            <w:r>
              <w:rPr>
                <w:rFonts w:hint="eastAsia"/>
              </w:rPr>
              <w:t>施工场地</w:t>
            </w:r>
          </w:p>
        </w:tc>
      </w:tr>
      <w:bookmarkEnd w:id="176"/>
    </w:tbl>
    <w:p>
      <w:pPr>
        <w:pStyle w:val="122"/>
      </w:pPr>
      <w:r>
        <w:rPr>
          <w:rFonts w:hint="eastAsia"/>
        </w:rPr>
        <w:t>临时场地分布图</w:t>
      </w:r>
    </w:p>
    <w:p>
      <w:pPr>
        <w:pStyle w:val="120"/>
        <w:rPr>
          <w:color w:val="auto"/>
        </w:rPr>
      </w:pPr>
      <w:r>
        <w:rPr>
          <w:color w:val="auto"/>
        </w:rPr>
        <w:tab/>
      </w:r>
      <w:bookmarkStart w:id="177" w:name="_Hlk195520498"/>
      <w:bookmarkStart w:id="178" w:name="_Hlk144829511"/>
      <w:r>
        <w:rPr>
          <w:rFonts w:hint="eastAsia"/>
          <w:color w:val="auto"/>
        </w:rPr>
        <w:t>地表水</w:t>
      </w:r>
      <w:bookmarkStart w:id="179" w:name="_Hlk89350261"/>
      <w:r>
        <w:rPr>
          <w:rFonts w:hint="eastAsia"/>
          <w:color w:val="auto"/>
        </w:rPr>
        <w:t>环境敏感目标</w:t>
      </w:r>
      <w:bookmarkEnd w:id="179"/>
    </w:p>
    <w:p>
      <w:pPr>
        <w:ind w:firstLine="480"/>
        <w:rPr>
          <w:szCs w:val="24"/>
        </w:rPr>
      </w:pPr>
      <w:r>
        <w:rPr>
          <w:rFonts w:hint="eastAsia"/>
        </w:rPr>
        <w:t>本项目周边水环境保护目标为迳江，</w:t>
      </w:r>
      <w:bookmarkEnd w:id="177"/>
      <w:r>
        <w:rPr>
          <w:rFonts w:hint="eastAsia"/>
        </w:rPr>
        <w:t>对照《福 建 省 水（ 环 境 ）功 能区划》，迳江和福渠水质执行《地表水环境质量标准》（GB3838-2002）Ⅲ类标准。</w:t>
      </w:r>
      <w:bookmarkStart w:id="180" w:name="_Hlk89350274"/>
      <w:r>
        <w:rPr>
          <w:rFonts w:hint="eastAsia"/>
          <w:szCs w:val="24"/>
        </w:rPr>
        <w:t>项目沿线地表水体</w:t>
      </w:r>
      <w:bookmarkEnd w:id="180"/>
      <w:r>
        <w:rPr>
          <w:rFonts w:hint="eastAsia"/>
          <w:szCs w:val="24"/>
        </w:rPr>
        <w:t>详见</w:t>
      </w:r>
      <w:r>
        <w:rPr>
          <w:szCs w:val="24"/>
        </w:rPr>
        <w:fldChar w:fldCharType="begin"/>
      </w:r>
      <w:r>
        <w:rPr>
          <w:szCs w:val="24"/>
        </w:rPr>
        <w:instrText xml:space="preserve"> </w:instrText>
      </w:r>
      <w:r>
        <w:rPr>
          <w:rFonts w:hint="eastAsia"/>
          <w:szCs w:val="24"/>
        </w:rPr>
        <w:instrText xml:space="preserve">REF _Ref177714250 \r \h</w:instrText>
      </w:r>
      <w:r>
        <w:rPr>
          <w:szCs w:val="24"/>
        </w:rPr>
        <w:instrText xml:space="preserve">  \* MERGEFORMAT </w:instrText>
      </w:r>
      <w:r>
        <w:rPr>
          <w:szCs w:val="24"/>
        </w:rPr>
        <w:fldChar w:fldCharType="separate"/>
      </w:r>
      <w:r>
        <w:rPr>
          <w:rFonts w:hint="eastAsia"/>
          <w:szCs w:val="24"/>
        </w:rPr>
        <w:t>表2.7-3</w:t>
      </w:r>
      <w:r>
        <w:rPr>
          <w:szCs w:val="24"/>
        </w:rPr>
        <w:fldChar w:fldCharType="end"/>
      </w:r>
      <w:r>
        <w:rPr>
          <w:rFonts w:hint="eastAsia"/>
          <w:szCs w:val="24"/>
        </w:rPr>
        <w:t>。</w:t>
      </w:r>
    </w:p>
    <w:p>
      <w:pPr>
        <w:pStyle w:val="87"/>
        <w:spacing w:before="120"/>
        <w:rPr>
          <w:lang w:bidi="he-IL"/>
        </w:rPr>
      </w:pPr>
      <w:bookmarkStart w:id="181" w:name="_Ref177714250"/>
      <w:r>
        <w:rPr>
          <w:lang w:bidi="he-IL"/>
        </w:rPr>
        <w:t>水环境保护目标</w:t>
      </w:r>
      <w:bookmarkEnd w:id="181"/>
    </w:p>
    <w:tbl>
      <w:tblPr>
        <w:tblStyle w:val="53"/>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93"/>
        <w:gridCol w:w="2267"/>
        <w:gridCol w:w="2977"/>
        <w:gridCol w:w="282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548" w:type="pct"/>
            <w:tcBorders>
              <w:left w:val="nil"/>
              <w:bottom w:val="single" w:color="000000" w:sz="4" w:space="0"/>
              <w:right w:val="single" w:color="000000" w:sz="4" w:space="0"/>
            </w:tcBorders>
            <w:vAlign w:val="center"/>
          </w:tcPr>
          <w:p>
            <w:pPr>
              <w:pStyle w:val="105"/>
              <w:jc w:val="center"/>
            </w:pPr>
            <w:r>
              <w:t>保护目标</w:t>
            </w:r>
          </w:p>
        </w:tc>
        <w:tc>
          <w:tcPr>
            <w:tcW w:w="1250" w:type="pct"/>
            <w:tcBorders>
              <w:left w:val="single" w:color="000000" w:sz="4" w:space="0"/>
              <w:bottom w:val="single" w:color="000000" w:sz="4" w:space="0"/>
              <w:right w:val="single" w:color="000000" w:sz="4" w:space="0"/>
            </w:tcBorders>
            <w:vAlign w:val="center"/>
          </w:tcPr>
          <w:p>
            <w:pPr>
              <w:pStyle w:val="105"/>
              <w:jc w:val="center"/>
            </w:pPr>
            <w:r>
              <w:rPr>
                <w:spacing w:val="-8"/>
              </w:rPr>
              <w:t>位置</w:t>
            </w:r>
          </w:p>
        </w:tc>
        <w:tc>
          <w:tcPr>
            <w:tcW w:w="1642" w:type="pct"/>
            <w:tcBorders>
              <w:left w:val="single" w:color="000000" w:sz="4" w:space="0"/>
              <w:bottom w:val="single" w:color="000000" w:sz="4" w:space="0"/>
              <w:right w:val="single" w:color="000000" w:sz="4" w:space="0"/>
            </w:tcBorders>
            <w:vAlign w:val="center"/>
          </w:tcPr>
          <w:p>
            <w:pPr>
              <w:pStyle w:val="105"/>
              <w:jc w:val="center"/>
            </w:pPr>
            <w:r>
              <w:t>环境特征</w:t>
            </w:r>
          </w:p>
        </w:tc>
        <w:tc>
          <w:tcPr>
            <w:tcW w:w="1560" w:type="pct"/>
            <w:tcBorders>
              <w:left w:val="single" w:color="000000" w:sz="4" w:space="0"/>
              <w:bottom w:val="single" w:color="000000" w:sz="4" w:space="0"/>
              <w:right w:val="nil"/>
            </w:tcBorders>
            <w:vAlign w:val="center"/>
          </w:tcPr>
          <w:p>
            <w:pPr>
              <w:pStyle w:val="105"/>
              <w:jc w:val="center"/>
            </w:pPr>
            <w:r>
              <w:t>影响因素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 w:hRule="atLeast"/>
        </w:trPr>
        <w:tc>
          <w:tcPr>
            <w:tcW w:w="548" w:type="pct"/>
            <w:tcBorders>
              <w:top w:val="single" w:color="000000" w:sz="4" w:space="0"/>
              <w:left w:val="nil"/>
              <w:bottom w:val="single" w:color="000000" w:sz="4" w:space="0"/>
              <w:right w:val="single" w:color="000000" w:sz="4" w:space="0"/>
            </w:tcBorders>
            <w:vAlign w:val="center"/>
          </w:tcPr>
          <w:p>
            <w:pPr>
              <w:pStyle w:val="105"/>
              <w:jc w:val="center"/>
            </w:pPr>
            <w:r>
              <w:rPr>
                <w:rFonts w:hint="eastAsia"/>
              </w:rPr>
              <w:t>迳江</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105"/>
              <w:jc w:val="center"/>
            </w:pPr>
            <w:bookmarkStart w:id="182" w:name="_Hlk195520509"/>
            <w:r>
              <w:rPr>
                <w:rFonts w:hint="eastAsia"/>
                <w:spacing w:val="8"/>
              </w:rPr>
              <w:t>工程共有涉河段7 处，其中终点枝钟中桥、大埔大桥等跨越</w:t>
            </w:r>
            <w:r>
              <w:t>。</w:t>
            </w:r>
            <w:bookmarkEnd w:id="182"/>
          </w:p>
        </w:tc>
        <w:tc>
          <w:tcPr>
            <w:tcW w:w="1642" w:type="pct"/>
            <w:tcBorders>
              <w:top w:val="single" w:color="000000" w:sz="4" w:space="0"/>
              <w:left w:val="single" w:color="000000" w:sz="4" w:space="0"/>
              <w:bottom w:val="single" w:color="000000" w:sz="4" w:space="0"/>
              <w:right w:val="single" w:color="000000" w:sz="4" w:space="0"/>
            </w:tcBorders>
            <w:vAlign w:val="center"/>
          </w:tcPr>
          <w:p>
            <w:pPr>
              <w:pStyle w:val="105"/>
              <w:jc w:val="center"/>
            </w:pPr>
            <w:r>
              <w:rPr>
                <w:spacing w:val="-6"/>
              </w:rPr>
              <w:t>项目沿线主要水体，其水体</w:t>
            </w:r>
            <w:r>
              <w:t>主导功能为农业</w:t>
            </w:r>
            <w:r>
              <w:rPr>
                <w:spacing w:val="-5"/>
              </w:rPr>
              <w:t>用水。</w:t>
            </w:r>
          </w:p>
        </w:tc>
        <w:tc>
          <w:tcPr>
            <w:tcW w:w="1560" w:type="pct"/>
            <w:tcBorders>
              <w:top w:val="single" w:color="000000" w:sz="4" w:space="0"/>
              <w:left w:val="single" w:color="000000" w:sz="4" w:space="0"/>
              <w:bottom w:val="single" w:color="000000" w:sz="4" w:space="0"/>
              <w:right w:val="nil"/>
            </w:tcBorders>
            <w:vAlign w:val="center"/>
          </w:tcPr>
          <w:p>
            <w:pPr>
              <w:pStyle w:val="105"/>
              <w:jc w:val="center"/>
            </w:pPr>
            <w:r>
              <w:rPr>
                <w:spacing w:val="-2"/>
              </w:rPr>
              <w:t>公路施工导致水质污染、</w:t>
            </w:r>
            <w:r>
              <w:rPr>
                <w:spacing w:val="-11"/>
              </w:rPr>
              <w:t>水土流失，运营期危险化</w:t>
            </w:r>
            <w:r>
              <w:rPr>
                <w:spacing w:val="-3"/>
              </w:rPr>
              <w:t>学品运输带来潜在风险。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1" w:hRule="atLeast"/>
        </w:trPr>
        <w:tc>
          <w:tcPr>
            <w:tcW w:w="548" w:type="pct"/>
            <w:tcBorders>
              <w:top w:val="single" w:color="000000" w:sz="4" w:space="0"/>
              <w:left w:val="nil"/>
              <w:right w:val="single" w:color="000000" w:sz="4" w:space="0"/>
            </w:tcBorders>
            <w:vAlign w:val="center"/>
          </w:tcPr>
          <w:p>
            <w:pPr>
              <w:pStyle w:val="105"/>
              <w:jc w:val="center"/>
            </w:pPr>
            <w:r>
              <w:rPr>
                <w:rFonts w:hint="eastAsia"/>
              </w:rPr>
              <w:t>福渠</w:t>
            </w:r>
          </w:p>
        </w:tc>
        <w:tc>
          <w:tcPr>
            <w:tcW w:w="1250" w:type="pct"/>
            <w:tcBorders>
              <w:top w:val="single" w:color="000000" w:sz="4" w:space="0"/>
              <w:left w:val="single" w:color="000000" w:sz="4" w:space="0"/>
              <w:right w:val="single" w:color="000000" w:sz="4" w:space="0"/>
            </w:tcBorders>
            <w:vAlign w:val="center"/>
          </w:tcPr>
          <w:p>
            <w:pPr>
              <w:pStyle w:val="105"/>
              <w:jc w:val="center"/>
              <w:rPr>
                <w:spacing w:val="8"/>
              </w:rPr>
            </w:pPr>
            <w:r>
              <w:rPr>
                <w:rFonts w:hint="eastAsia"/>
                <w:spacing w:val="8"/>
              </w:rPr>
              <w:t>K</w:t>
            </w:r>
            <w:r>
              <w:rPr>
                <w:spacing w:val="8"/>
              </w:rPr>
              <w:t>0+400~</w:t>
            </w:r>
            <w:r>
              <w:rPr>
                <w:rFonts w:hint="eastAsia"/>
                <w:spacing w:val="8"/>
              </w:rPr>
              <w:t>K</w:t>
            </w:r>
            <w:r>
              <w:rPr>
                <w:spacing w:val="8"/>
              </w:rPr>
              <w:t>0+600</w:t>
            </w:r>
            <w:r>
              <w:rPr>
                <w:rFonts w:hint="eastAsia"/>
                <w:spacing w:val="8"/>
              </w:rPr>
              <w:t>路右</w:t>
            </w:r>
          </w:p>
        </w:tc>
        <w:tc>
          <w:tcPr>
            <w:tcW w:w="1642" w:type="pct"/>
            <w:tcBorders>
              <w:top w:val="single" w:color="000000" w:sz="4" w:space="0"/>
              <w:left w:val="single" w:color="000000" w:sz="4" w:space="0"/>
              <w:right w:val="single" w:color="000000" w:sz="4" w:space="0"/>
            </w:tcBorders>
            <w:vAlign w:val="center"/>
          </w:tcPr>
          <w:p>
            <w:pPr>
              <w:pStyle w:val="105"/>
              <w:jc w:val="center"/>
              <w:rPr>
                <w:spacing w:val="-6"/>
              </w:rPr>
            </w:pPr>
            <w:r>
              <w:rPr>
                <w:rFonts w:cs="Times New Roman"/>
                <w:kern w:val="0"/>
                <w:szCs w:val="24"/>
                <w:lang w:val="zh-CN"/>
              </w:rPr>
              <w:t>福渠原名高干渠</w:t>
            </w:r>
            <w:r>
              <w:rPr>
                <w:rFonts w:hint="eastAsia" w:cs="Times New Roman"/>
                <w:kern w:val="0"/>
                <w:szCs w:val="24"/>
                <w:lang w:val="zh-CN"/>
              </w:rPr>
              <w:t>，渠道灌区依托东张水库，为灌溉渠道</w:t>
            </w:r>
          </w:p>
        </w:tc>
        <w:tc>
          <w:tcPr>
            <w:tcW w:w="1560" w:type="pct"/>
            <w:tcBorders>
              <w:top w:val="single" w:color="000000" w:sz="4" w:space="0"/>
              <w:left w:val="single" w:color="000000" w:sz="4" w:space="0"/>
              <w:right w:val="nil"/>
            </w:tcBorders>
            <w:vAlign w:val="center"/>
          </w:tcPr>
          <w:p>
            <w:pPr>
              <w:pStyle w:val="105"/>
              <w:jc w:val="center"/>
              <w:rPr>
                <w:spacing w:val="-2"/>
              </w:rPr>
            </w:pPr>
            <w:r>
              <w:rPr>
                <w:spacing w:val="-2"/>
              </w:rPr>
              <w:t>公路</w:t>
            </w:r>
            <w:r>
              <w:rPr>
                <w:rFonts w:hint="eastAsia"/>
                <w:spacing w:val="-2"/>
              </w:rPr>
              <w:t>建设导致福渠改线约2</w:t>
            </w:r>
            <w:r>
              <w:rPr>
                <w:spacing w:val="-2"/>
              </w:rPr>
              <w:t>47</w:t>
            </w:r>
            <w:r>
              <w:rPr>
                <w:rFonts w:hint="eastAsia"/>
                <w:spacing w:val="-2"/>
              </w:rPr>
              <w:t>m，福渠改线</w:t>
            </w:r>
            <w:r>
              <w:rPr>
                <w:spacing w:val="-2"/>
              </w:rPr>
              <w:t>施工导致水质污染、</w:t>
            </w:r>
            <w:r>
              <w:rPr>
                <w:spacing w:val="-11"/>
              </w:rPr>
              <w:t>水土流失</w:t>
            </w:r>
            <w:r>
              <w:rPr>
                <w:rFonts w:hint="eastAsia"/>
                <w:spacing w:val="-11"/>
              </w:rPr>
              <w:t>等。</w:t>
            </w:r>
          </w:p>
        </w:tc>
      </w:tr>
    </w:tbl>
    <w:p>
      <w:pPr>
        <w:pStyle w:val="120"/>
        <w:rPr>
          <w:color w:val="auto"/>
        </w:rPr>
      </w:pPr>
      <w:bookmarkStart w:id="183" w:name="_Hlk89351532"/>
      <w:r>
        <w:rPr>
          <w:rFonts w:hint="eastAsia"/>
          <w:color w:val="auto"/>
        </w:rPr>
        <w:t>地下水环境保护目标</w:t>
      </w:r>
    </w:p>
    <w:p>
      <w:pPr>
        <w:ind w:firstLine="480"/>
      </w:pPr>
      <w:bookmarkStart w:id="184" w:name="_Hlk84625927"/>
      <w:r>
        <w:rPr>
          <w:rFonts w:hint="eastAsia"/>
        </w:rPr>
        <w:t>根据收集资料，线路两侧</w:t>
      </w:r>
      <w:r>
        <w:t>1</w:t>
      </w:r>
      <w:r>
        <w:rPr>
          <w:rFonts w:hint="eastAsia"/>
        </w:rPr>
        <w:t>km区域内无地下水水源保护区分布，无集中式饮用水源分布；线路沿线附近部分村庄分布有水井，主要用于生活洗涤。</w:t>
      </w:r>
      <w:bookmarkEnd w:id="184"/>
    </w:p>
    <w:bookmarkEnd w:id="183"/>
    <w:p>
      <w:pPr>
        <w:pStyle w:val="120"/>
        <w:rPr>
          <w:color w:val="auto"/>
        </w:rPr>
      </w:pPr>
      <w:bookmarkStart w:id="185" w:name="_Hlk89350316"/>
      <w:bookmarkStart w:id="186" w:name="_Hlk195520548"/>
      <w:r>
        <w:rPr>
          <w:rFonts w:hint="eastAsia"/>
          <w:color w:val="auto"/>
        </w:rPr>
        <w:t>生态敏感目标</w:t>
      </w:r>
      <w:bookmarkEnd w:id="185"/>
    </w:p>
    <w:bookmarkEnd w:id="186"/>
    <w:p>
      <w:pPr>
        <w:pStyle w:val="130"/>
        <w:rPr>
          <w:color w:val="auto"/>
          <w:lang w:val="zh-CN"/>
        </w:rPr>
      </w:pPr>
      <w:r>
        <w:rPr>
          <w:color w:val="auto"/>
          <w:lang w:val="zh-CN"/>
        </w:rPr>
        <w:t>根据</w:t>
      </w:r>
      <w:r>
        <w:rPr>
          <w:rFonts w:hint="eastAsia"/>
          <w:color w:val="auto"/>
          <w:lang w:val="zh-CN"/>
        </w:rPr>
        <w:t>现场</w:t>
      </w:r>
      <w:r>
        <w:rPr>
          <w:color w:val="auto"/>
          <w:lang w:val="zh-CN"/>
        </w:rPr>
        <w:t>勘查，</w:t>
      </w:r>
      <w:bookmarkStart w:id="187" w:name="_Hlk89350474"/>
      <w:r>
        <w:rPr>
          <w:color w:val="auto"/>
          <w:lang w:val="zh-CN"/>
        </w:rPr>
        <w:t>本项目不涉及自然保护区、风景名胜区、世界文化和自然遗产地；项目不涉及基本草原、</w:t>
      </w:r>
      <w:bookmarkStart w:id="188" w:name="_Hlk89374532"/>
      <w:r>
        <w:rPr>
          <w:rFonts w:hint="eastAsia"/>
          <w:color w:val="auto"/>
        </w:rPr>
        <w:t>基本农田</w:t>
      </w:r>
      <w:bookmarkEnd w:id="188"/>
      <w:r>
        <w:rPr>
          <w:rFonts w:hint="eastAsia"/>
          <w:color w:val="auto"/>
        </w:rPr>
        <w:t>、</w:t>
      </w:r>
      <w:r>
        <w:rPr>
          <w:color w:val="auto"/>
          <w:lang w:val="zh-CN"/>
        </w:rPr>
        <w:t>地质公园、重要湿地、天然林、野生动物重要栖息地、重点保护野生植物生长繁殖地、重要水生生物的自然产卵场、索饵场、越冬场和洄游通道、天然渔场、水土流失重点防治区、沙化土地封禁保护区、封闭及半封闭海域</w:t>
      </w:r>
      <w:r>
        <w:rPr>
          <w:rFonts w:hint="eastAsia"/>
          <w:color w:val="auto"/>
          <w:lang w:val="zh-CN"/>
        </w:rPr>
        <w:t>。</w:t>
      </w:r>
    </w:p>
    <w:p>
      <w:pPr>
        <w:pStyle w:val="130"/>
        <w:rPr>
          <w:color w:val="auto"/>
        </w:rPr>
      </w:pPr>
      <w:bookmarkStart w:id="189" w:name="_Hlk195520561"/>
      <w:r>
        <w:rPr>
          <w:color w:val="auto"/>
          <w:lang w:val="zh-CN"/>
        </w:rPr>
        <w:t>项目不涉及</w:t>
      </w:r>
      <w:r>
        <w:rPr>
          <w:rFonts w:hint="eastAsia"/>
          <w:color w:val="auto"/>
          <w:lang w:val="zh-CN"/>
        </w:rPr>
        <w:t>生态保护红线和基本农田，</w:t>
      </w:r>
      <w:bookmarkStart w:id="190" w:name="_Hlk84627350"/>
      <w:r>
        <w:rPr>
          <w:rFonts w:hint="eastAsia"/>
          <w:color w:val="auto"/>
          <w:lang w:val="zh-CN"/>
        </w:rPr>
        <w:t>用地红线</w:t>
      </w:r>
      <w:r>
        <w:rPr>
          <w:rFonts w:hint="eastAsia"/>
          <w:color w:val="auto"/>
        </w:rPr>
        <w:t>涉及占用生态公益林</w:t>
      </w:r>
      <w:bookmarkEnd w:id="190"/>
      <w:r>
        <w:rPr>
          <w:color w:val="auto"/>
        </w:rPr>
        <w:t>0.5538</w:t>
      </w:r>
      <w:r>
        <w:rPr>
          <w:rFonts w:hint="eastAsia"/>
          <w:color w:val="auto"/>
        </w:rPr>
        <w:t>hm</w:t>
      </w:r>
      <w:r>
        <w:rPr>
          <w:color w:val="auto"/>
          <w:vertAlign w:val="superscript"/>
        </w:rPr>
        <w:t>2</w:t>
      </w:r>
      <w:r>
        <w:rPr>
          <w:rFonts w:hint="eastAsia"/>
          <w:color w:val="auto"/>
        </w:rPr>
        <w:t>（均为二级），评价范围内生态公益林</w:t>
      </w:r>
      <w:r>
        <w:rPr>
          <w:color w:val="auto"/>
        </w:rPr>
        <w:t>7.6294</w:t>
      </w:r>
      <w:r>
        <w:rPr>
          <w:rFonts w:hint="eastAsia"/>
          <w:color w:val="auto"/>
        </w:rPr>
        <w:t>hm</w:t>
      </w:r>
      <w:r>
        <w:rPr>
          <w:color w:val="auto"/>
          <w:vertAlign w:val="superscript"/>
        </w:rPr>
        <w:t>2</w:t>
      </w:r>
      <w:r>
        <w:rPr>
          <w:rFonts w:hint="eastAsia"/>
          <w:color w:val="auto"/>
        </w:rPr>
        <w:t>（均为二级）；公路不涉及占用重要湿地，公路用地红线占用一般湿地0</w:t>
      </w:r>
      <w:r>
        <w:rPr>
          <w:color w:val="auto"/>
        </w:rPr>
        <w:t>.9060</w:t>
      </w:r>
      <w:r>
        <w:rPr>
          <w:rFonts w:hint="eastAsia"/>
          <w:color w:val="auto"/>
        </w:rPr>
        <w:t xml:space="preserve"> hm</w:t>
      </w:r>
      <w:r>
        <w:rPr>
          <w:color w:val="auto"/>
          <w:vertAlign w:val="superscript"/>
        </w:rPr>
        <w:t>2</w:t>
      </w:r>
      <w:r>
        <w:rPr>
          <w:color w:val="auto"/>
        </w:rPr>
        <w:t>（</w:t>
      </w:r>
      <w:r>
        <w:rPr>
          <w:rFonts w:hint="eastAsia"/>
          <w:color w:val="auto"/>
        </w:rPr>
        <w:t>占用湿地类型为沟渠、河流水面、坑塘水面和内陆滩涂</w:t>
      </w:r>
      <w:r>
        <w:rPr>
          <w:color w:val="auto"/>
        </w:rPr>
        <w:t>）</w:t>
      </w:r>
      <w:r>
        <w:rPr>
          <w:rFonts w:hint="eastAsia"/>
          <w:color w:val="auto"/>
        </w:rPr>
        <w:t>；项目占地红线内没有挂牌的名木古树和野生珍贵树木，也无其他国家和省级重点保护的野生植物，亦无明显的重点保护野生动物栖息地，但评价范围3</w:t>
      </w:r>
      <w:r>
        <w:rPr>
          <w:color w:val="auto"/>
        </w:rPr>
        <w:t>00</w:t>
      </w:r>
      <w:r>
        <w:rPr>
          <w:rFonts w:hint="eastAsia"/>
          <w:color w:val="auto"/>
        </w:rPr>
        <w:t>m内有</w:t>
      </w:r>
      <w:r>
        <w:rPr>
          <w:color w:val="auto"/>
        </w:rPr>
        <w:t>8</w:t>
      </w:r>
      <w:r>
        <w:rPr>
          <w:rFonts w:hint="eastAsia"/>
          <w:color w:val="auto"/>
        </w:rPr>
        <w:t>株古树</w:t>
      </w:r>
      <w:bookmarkEnd w:id="189"/>
      <w:r>
        <w:rPr>
          <w:rFonts w:hint="eastAsia"/>
          <w:color w:val="auto"/>
        </w:rPr>
        <w:t>，详见</w:t>
      </w:r>
      <w:r>
        <w:rPr>
          <w:color w:val="auto"/>
        </w:rPr>
        <w:fldChar w:fldCharType="begin"/>
      </w:r>
      <w:r>
        <w:rPr>
          <w:color w:val="auto"/>
        </w:rPr>
        <w:instrText xml:space="preserve"> </w:instrText>
      </w:r>
      <w:r>
        <w:rPr>
          <w:rFonts w:hint="eastAsia"/>
          <w:color w:val="auto"/>
        </w:rPr>
        <w:instrText xml:space="preserve">REF _Ref192540333 \r \h</w:instrText>
      </w:r>
      <w:r>
        <w:rPr>
          <w:color w:val="auto"/>
        </w:rPr>
        <w:instrText xml:space="preserve"> </w:instrText>
      </w:r>
      <w:r>
        <w:rPr>
          <w:color w:val="auto"/>
        </w:rPr>
        <w:fldChar w:fldCharType="separate"/>
      </w:r>
      <w:r>
        <w:rPr>
          <w:rFonts w:hint="eastAsia"/>
          <w:color w:val="auto"/>
        </w:rPr>
        <w:t>表2.7-6</w:t>
      </w:r>
      <w:r>
        <w:rPr>
          <w:color w:val="auto"/>
        </w:rPr>
        <w:fldChar w:fldCharType="end"/>
      </w:r>
      <w:r>
        <w:rPr>
          <w:color w:val="auto"/>
        </w:rPr>
        <w:t>、</w:t>
      </w:r>
      <w:r>
        <w:rPr>
          <w:color w:val="auto"/>
        </w:rPr>
        <w:fldChar w:fldCharType="begin"/>
      </w:r>
      <w:r>
        <w:rPr>
          <w:color w:val="auto"/>
        </w:rPr>
        <w:instrText xml:space="preserve"> REF _Ref192757826 \r \h </w:instrText>
      </w:r>
      <w:r>
        <w:rPr>
          <w:color w:val="auto"/>
        </w:rPr>
        <w:fldChar w:fldCharType="separate"/>
      </w:r>
      <w:r>
        <w:rPr>
          <w:rFonts w:hint="eastAsia"/>
          <w:color w:val="auto"/>
        </w:rPr>
        <w:t>图2.7-8</w:t>
      </w:r>
      <w:r>
        <w:rPr>
          <w:color w:val="auto"/>
        </w:rPr>
        <w:fldChar w:fldCharType="end"/>
      </w:r>
      <w:r>
        <w:rPr>
          <w:rFonts w:hint="eastAsia"/>
          <w:color w:val="auto"/>
        </w:rPr>
        <w:t>。</w:t>
      </w:r>
    </w:p>
    <w:p>
      <w:pPr>
        <w:ind w:firstLine="480"/>
      </w:pPr>
      <w:r>
        <w:rPr>
          <w:rFonts w:hint="eastAsia" w:ascii="仿宋_GB2312" w:eastAsia="仿宋_GB2312"/>
        </w:rPr>
        <w:t>注：</w:t>
      </w:r>
      <w:bookmarkStart w:id="191" w:name="_Hlk197442148"/>
      <w:r>
        <w:rPr>
          <w:rFonts w:hint="eastAsia" w:ascii="仿宋_GB2312" w:eastAsia="仿宋_GB2312"/>
        </w:rPr>
        <w:t>本项目于2023年前已纳入规划，在基本划定和调整过程中，已经预留本项目通道，结合项目用地红线与基本农田叠图分析，本项目不涉及占用基本农田，但部分路段红线紧邻基本农田。</w:t>
      </w:r>
      <w:bookmarkEnd w:id="191"/>
    </w:p>
    <w:p>
      <w:pPr>
        <w:ind w:firstLine="480"/>
      </w:pPr>
      <w:r>
        <w:rPr>
          <w:rFonts w:hint="eastAsia"/>
        </w:rPr>
        <w:t>线路沿线敏感目标见</w:t>
      </w:r>
      <w:r>
        <w:t>~</w:t>
      </w:r>
      <w:r>
        <w:fldChar w:fldCharType="begin"/>
      </w:r>
      <w:r>
        <w:instrText xml:space="preserve"> REF _Ref192540333 \r \h </w:instrText>
      </w:r>
      <w:r>
        <w:fldChar w:fldCharType="separate"/>
      </w:r>
      <w:r>
        <w:rPr>
          <w:rFonts w:hint="eastAsia"/>
        </w:rPr>
        <w:t>表2.7-6</w:t>
      </w:r>
      <w:r>
        <w:fldChar w:fldCharType="end"/>
      </w:r>
      <w:r>
        <w:rPr>
          <w:rFonts w:hint="eastAsia"/>
        </w:rPr>
        <w:t>、</w:t>
      </w:r>
      <w:r>
        <w:t>~</w:t>
      </w:r>
      <w:r>
        <w:fldChar w:fldCharType="begin"/>
      </w:r>
      <w:r>
        <w:instrText xml:space="preserve"> REF _Ref192757826 \r \h  \* MERGEFORMAT </w:instrText>
      </w:r>
      <w:r>
        <w:fldChar w:fldCharType="separate"/>
      </w:r>
      <w:r>
        <w:rPr>
          <w:rFonts w:hint="eastAsia"/>
        </w:rPr>
        <w:t>图2.7-8</w:t>
      </w:r>
      <w:r>
        <w:fldChar w:fldCharType="end"/>
      </w:r>
      <w:bookmarkEnd w:id="187"/>
      <w:r>
        <w:rPr>
          <w:rFonts w:hint="eastAsia"/>
        </w:rPr>
        <w:t>。</w:t>
      </w:r>
    </w:p>
    <w:p>
      <w:pPr>
        <w:pStyle w:val="87"/>
        <w:spacing w:before="120"/>
        <w:ind w:left="480" w:firstLine="480"/>
      </w:pPr>
      <w:r>
        <w:rPr>
          <w:rFonts w:hint="eastAsia"/>
        </w:rPr>
        <w:t xml:space="preserve">  </w:t>
      </w:r>
      <w:bookmarkStart w:id="192" w:name="_Ref149548003"/>
      <w:r>
        <w:rPr>
          <w:rFonts w:hint="eastAsia"/>
        </w:rPr>
        <w:t>本项目主要生态环境保护目标</w:t>
      </w:r>
      <w:bookmarkEnd w:id="192"/>
    </w:p>
    <w:tbl>
      <w:tblPr>
        <w:tblStyle w:val="5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34"/>
        <w:gridCol w:w="851"/>
        <w:gridCol w:w="1984"/>
        <w:gridCol w:w="1134"/>
        <w:gridCol w:w="1276"/>
        <w:gridCol w:w="1712"/>
        <w:gridCol w:w="9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34" w:type="dxa"/>
            <w:shd w:val="clear" w:color="auto" w:fill="auto"/>
            <w:tcMar>
              <w:left w:w="57" w:type="dxa"/>
              <w:right w:w="57" w:type="dxa"/>
            </w:tcMar>
            <w:vAlign w:val="center"/>
          </w:tcPr>
          <w:p>
            <w:pPr>
              <w:pStyle w:val="105"/>
              <w:jc w:val="center"/>
            </w:pPr>
            <w:r>
              <w:rPr>
                <w:rFonts w:hint="eastAsia"/>
              </w:rPr>
              <w:t>敏感目标</w:t>
            </w:r>
          </w:p>
        </w:tc>
        <w:tc>
          <w:tcPr>
            <w:tcW w:w="851" w:type="dxa"/>
            <w:shd w:val="clear" w:color="auto" w:fill="auto"/>
            <w:tcMar>
              <w:left w:w="57" w:type="dxa"/>
              <w:right w:w="57" w:type="dxa"/>
            </w:tcMar>
            <w:vAlign w:val="center"/>
          </w:tcPr>
          <w:p>
            <w:pPr>
              <w:pStyle w:val="105"/>
              <w:jc w:val="center"/>
            </w:pPr>
            <w:r>
              <w:rPr>
                <w:rFonts w:hint="eastAsia"/>
              </w:rPr>
              <w:t>保护目标</w:t>
            </w:r>
          </w:p>
        </w:tc>
        <w:tc>
          <w:tcPr>
            <w:tcW w:w="1984" w:type="dxa"/>
            <w:shd w:val="clear" w:color="auto" w:fill="auto"/>
            <w:tcMar>
              <w:left w:w="57" w:type="dxa"/>
              <w:right w:w="57" w:type="dxa"/>
            </w:tcMar>
            <w:vAlign w:val="center"/>
          </w:tcPr>
          <w:p>
            <w:pPr>
              <w:pStyle w:val="105"/>
              <w:jc w:val="center"/>
            </w:pPr>
            <w:r>
              <w:rPr>
                <w:rFonts w:hint="eastAsia"/>
              </w:rPr>
              <w:t>敏感目标特征</w:t>
            </w:r>
          </w:p>
        </w:tc>
        <w:tc>
          <w:tcPr>
            <w:tcW w:w="1134" w:type="dxa"/>
            <w:shd w:val="clear" w:color="auto" w:fill="auto"/>
            <w:tcMar>
              <w:left w:w="57" w:type="dxa"/>
              <w:right w:w="57" w:type="dxa"/>
            </w:tcMar>
            <w:vAlign w:val="center"/>
          </w:tcPr>
          <w:p>
            <w:pPr>
              <w:pStyle w:val="105"/>
              <w:jc w:val="center"/>
            </w:pPr>
            <w:r>
              <w:rPr>
                <w:rFonts w:hint="eastAsia"/>
              </w:rPr>
              <w:t>位置关系</w:t>
            </w:r>
          </w:p>
        </w:tc>
        <w:tc>
          <w:tcPr>
            <w:tcW w:w="1276" w:type="dxa"/>
            <w:shd w:val="clear" w:color="auto" w:fill="auto"/>
            <w:tcMar>
              <w:left w:w="57" w:type="dxa"/>
              <w:right w:w="57" w:type="dxa"/>
            </w:tcMar>
            <w:vAlign w:val="center"/>
          </w:tcPr>
          <w:p>
            <w:pPr>
              <w:pStyle w:val="105"/>
              <w:jc w:val="center"/>
            </w:pPr>
            <w:r>
              <w:rPr>
                <w:rFonts w:hint="eastAsia"/>
              </w:rPr>
              <w:t>避让方式/减缓方式</w:t>
            </w:r>
          </w:p>
        </w:tc>
        <w:tc>
          <w:tcPr>
            <w:tcW w:w="1712" w:type="dxa"/>
            <w:shd w:val="clear" w:color="auto" w:fill="auto"/>
            <w:tcMar>
              <w:left w:w="57" w:type="dxa"/>
              <w:right w:w="57" w:type="dxa"/>
            </w:tcMar>
            <w:vAlign w:val="center"/>
          </w:tcPr>
          <w:p>
            <w:pPr>
              <w:pStyle w:val="105"/>
              <w:jc w:val="center"/>
            </w:pPr>
            <w:r>
              <w:rPr>
                <w:rFonts w:hint="eastAsia"/>
              </w:rPr>
              <w:t>线路桩号</w:t>
            </w:r>
          </w:p>
        </w:tc>
        <w:tc>
          <w:tcPr>
            <w:tcW w:w="979" w:type="dxa"/>
            <w:shd w:val="clear" w:color="auto" w:fill="auto"/>
            <w:tcMar>
              <w:left w:w="57" w:type="dxa"/>
              <w:right w:w="57" w:type="dxa"/>
            </w:tcMar>
            <w:vAlign w:val="center"/>
          </w:tcPr>
          <w:p>
            <w:pPr>
              <w:pStyle w:val="105"/>
              <w:jc w:val="center"/>
            </w:pPr>
            <w:r>
              <w:rPr>
                <w:rFonts w:hint="eastAsia"/>
              </w:rPr>
              <w:t>涉及线路长度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34" w:type="dxa"/>
            <w:shd w:val="clear" w:color="auto" w:fill="auto"/>
            <w:tcMar>
              <w:left w:w="57" w:type="dxa"/>
              <w:right w:w="57" w:type="dxa"/>
            </w:tcMar>
            <w:vAlign w:val="center"/>
          </w:tcPr>
          <w:p>
            <w:pPr>
              <w:pStyle w:val="105"/>
              <w:jc w:val="center"/>
            </w:pPr>
            <w:r>
              <w:rPr>
                <w:rFonts w:hint="eastAsia"/>
              </w:rPr>
              <w:t>生态敏感区</w:t>
            </w:r>
          </w:p>
        </w:tc>
        <w:tc>
          <w:tcPr>
            <w:tcW w:w="7936" w:type="dxa"/>
            <w:gridSpan w:val="6"/>
            <w:shd w:val="clear" w:color="auto" w:fill="auto"/>
            <w:tcMar>
              <w:left w:w="57" w:type="dxa"/>
              <w:right w:w="57" w:type="dxa"/>
            </w:tcMar>
            <w:vAlign w:val="center"/>
          </w:tcPr>
          <w:p>
            <w:pPr>
              <w:pStyle w:val="105"/>
              <w:jc w:val="center"/>
            </w:pPr>
            <w:r>
              <w:rPr>
                <w:rFonts w:hint="eastAsia"/>
              </w:rPr>
              <w:t>项目3</w:t>
            </w:r>
            <w:r>
              <w:t>00</w:t>
            </w:r>
            <w:r>
              <w:rPr>
                <w:rFonts w:hint="eastAsia"/>
              </w:rPr>
              <w:t>m评价范围内不涉及生态保护红线，不涉及各类自然保护地。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34" w:type="dxa"/>
            <w:shd w:val="clear" w:color="auto" w:fill="auto"/>
            <w:tcMar>
              <w:left w:w="57" w:type="dxa"/>
              <w:right w:w="57" w:type="dxa"/>
            </w:tcMar>
            <w:vAlign w:val="center"/>
          </w:tcPr>
          <w:p>
            <w:pPr>
              <w:pStyle w:val="105"/>
              <w:jc w:val="center"/>
            </w:pPr>
            <w:r>
              <w:rPr>
                <w:rFonts w:hint="eastAsia"/>
              </w:rPr>
              <w:t>生态公益林</w:t>
            </w:r>
          </w:p>
        </w:tc>
        <w:tc>
          <w:tcPr>
            <w:tcW w:w="851" w:type="dxa"/>
            <w:shd w:val="clear" w:color="auto" w:fill="auto"/>
            <w:tcMar>
              <w:left w:w="57" w:type="dxa"/>
              <w:right w:w="57" w:type="dxa"/>
            </w:tcMar>
            <w:vAlign w:val="center"/>
          </w:tcPr>
          <w:p>
            <w:pPr>
              <w:pStyle w:val="105"/>
              <w:jc w:val="center"/>
              <w:rPr>
                <w:rFonts w:hint="eastAsia" w:eastAsia="宋体"/>
                <w:lang w:eastAsia="zh-CN"/>
              </w:rPr>
            </w:pPr>
            <w:r>
              <w:rPr>
                <w:rFonts w:hint="eastAsia"/>
                <w:lang w:eastAsia="zh-CN"/>
              </w:rPr>
              <w:t>二级</w:t>
            </w:r>
          </w:p>
        </w:tc>
        <w:tc>
          <w:tcPr>
            <w:tcW w:w="1984" w:type="dxa"/>
            <w:shd w:val="clear" w:color="auto" w:fill="auto"/>
            <w:tcMar>
              <w:left w:w="57" w:type="dxa"/>
              <w:right w:w="57" w:type="dxa"/>
            </w:tcMar>
            <w:vAlign w:val="center"/>
          </w:tcPr>
          <w:p>
            <w:pPr>
              <w:pStyle w:val="105"/>
              <w:jc w:val="center"/>
            </w:pPr>
            <w:r>
              <w:rPr>
                <w:rFonts w:hint="eastAsia"/>
              </w:rPr>
              <w:t>占用国家生态公益林面积</w:t>
            </w:r>
            <w:r>
              <w:t>0.5538</w:t>
            </w:r>
            <w:r>
              <w:rPr>
                <w:rFonts w:hint="eastAsia"/>
              </w:rPr>
              <w:t>hm</w:t>
            </w:r>
            <w:r>
              <w:rPr>
                <w:vertAlign w:val="superscript"/>
              </w:rPr>
              <w:t>2</w:t>
            </w:r>
            <w:r>
              <w:rPr>
                <w:rFonts w:hint="eastAsia"/>
              </w:rPr>
              <w:t>，3</w:t>
            </w:r>
            <w:r>
              <w:t>00</w:t>
            </w:r>
            <w:r>
              <w:rPr>
                <w:rFonts w:hint="eastAsia"/>
              </w:rPr>
              <w:t>m评价范围内</w:t>
            </w:r>
            <w:r>
              <w:t xml:space="preserve"> 7.63</w:t>
            </w:r>
            <w:r>
              <w:rPr>
                <w:rFonts w:hint="eastAsia"/>
              </w:rPr>
              <w:t xml:space="preserve"> hm</w:t>
            </w:r>
            <w:r>
              <w:rPr>
                <w:vertAlign w:val="superscript"/>
              </w:rPr>
              <w:t>2</w:t>
            </w:r>
          </w:p>
        </w:tc>
        <w:tc>
          <w:tcPr>
            <w:tcW w:w="1134" w:type="dxa"/>
            <w:shd w:val="clear" w:color="auto" w:fill="auto"/>
            <w:tcMar>
              <w:left w:w="57" w:type="dxa"/>
              <w:right w:w="57" w:type="dxa"/>
            </w:tcMar>
            <w:vAlign w:val="center"/>
          </w:tcPr>
          <w:p>
            <w:pPr>
              <w:pStyle w:val="105"/>
              <w:jc w:val="center"/>
            </w:pPr>
            <w:r>
              <w:rPr>
                <w:rFonts w:hint="eastAsia"/>
              </w:rPr>
              <w:t>线路占用及两侧</w:t>
            </w:r>
          </w:p>
        </w:tc>
        <w:tc>
          <w:tcPr>
            <w:tcW w:w="1276" w:type="dxa"/>
            <w:shd w:val="clear" w:color="auto" w:fill="auto"/>
            <w:tcMar>
              <w:left w:w="57" w:type="dxa"/>
              <w:right w:w="57" w:type="dxa"/>
            </w:tcMar>
            <w:vAlign w:val="center"/>
          </w:tcPr>
          <w:p>
            <w:pPr>
              <w:pStyle w:val="105"/>
              <w:jc w:val="center"/>
            </w:pPr>
            <w:r>
              <w:rPr>
                <w:rFonts w:hint="eastAsia"/>
              </w:rPr>
              <w:t>占补平衡</w:t>
            </w:r>
          </w:p>
        </w:tc>
        <w:tc>
          <w:tcPr>
            <w:tcW w:w="1712" w:type="dxa"/>
            <w:shd w:val="clear" w:color="auto" w:fill="auto"/>
            <w:tcMar>
              <w:left w:w="57" w:type="dxa"/>
              <w:right w:w="57" w:type="dxa"/>
            </w:tcMar>
            <w:vAlign w:val="center"/>
          </w:tcPr>
          <w:p>
            <w:pPr>
              <w:pStyle w:val="105"/>
              <w:jc w:val="center"/>
            </w:pPr>
            <w:r>
              <w:t>K0+263~K0+340</w:t>
            </w:r>
          </w:p>
          <w:p>
            <w:pPr>
              <w:pStyle w:val="105"/>
              <w:jc w:val="center"/>
            </w:pPr>
            <w:r>
              <w:rPr>
                <w:rFonts w:hint="eastAsia"/>
              </w:rPr>
              <w:t>终点N</w:t>
            </w:r>
            <w:r>
              <w:t>W</w:t>
            </w:r>
            <w:r>
              <w:rPr>
                <w:rFonts w:hint="eastAsia"/>
              </w:rPr>
              <w:t>侧</w:t>
            </w:r>
          </w:p>
        </w:tc>
        <w:tc>
          <w:tcPr>
            <w:tcW w:w="979" w:type="dxa"/>
            <w:shd w:val="clear" w:color="auto" w:fill="auto"/>
            <w:tcMar>
              <w:left w:w="57" w:type="dxa"/>
              <w:right w:w="57" w:type="dxa"/>
            </w:tcMar>
            <w:vAlign w:val="center"/>
          </w:tcPr>
          <w:p>
            <w:pPr>
              <w:pStyle w:val="105"/>
              <w:jc w:val="center"/>
            </w:pPr>
            <w:r>
              <w:rPr>
                <w:rFonts w:hint="eastAsia"/>
              </w:rPr>
              <w:t>占用7</w:t>
            </w:r>
            <w:r>
              <w:t>7</w:t>
            </w:r>
            <w:r>
              <w:rPr>
                <w:rFonts w:hint="eastAsia"/>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 w:hRule="atLeast"/>
        </w:trPr>
        <w:tc>
          <w:tcPr>
            <w:tcW w:w="1134" w:type="dxa"/>
            <w:shd w:val="clear" w:color="auto" w:fill="auto"/>
            <w:tcMar>
              <w:left w:w="57" w:type="dxa"/>
              <w:right w:w="57" w:type="dxa"/>
            </w:tcMar>
            <w:vAlign w:val="center"/>
          </w:tcPr>
          <w:p>
            <w:pPr>
              <w:pStyle w:val="105"/>
              <w:jc w:val="center"/>
            </w:pPr>
            <w:r>
              <w:rPr>
                <w:rFonts w:hint="eastAsia"/>
              </w:rPr>
              <w:t>古树名木</w:t>
            </w:r>
          </w:p>
        </w:tc>
        <w:tc>
          <w:tcPr>
            <w:tcW w:w="851" w:type="dxa"/>
            <w:shd w:val="clear" w:color="auto" w:fill="auto"/>
            <w:tcMar>
              <w:left w:w="57" w:type="dxa"/>
              <w:right w:w="57" w:type="dxa"/>
            </w:tcMar>
            <w:vAlign w:val="center"/>
          </w:tcPr>
          <w:p>
            <w:pPr>
              <w:pStyle w:val="105"/>
              <w:jc w:val="center"/>
            </w:pPr>
            <w:r>
              <w:rPr>
                <w:rFonts w:hint="eastAsia"/>
              </w:rPr>
              <w:t>古树</w:t>
            </w:r>
          </w:p>
        </w:tc>
        <w:tc>
          <w:tcPr>
            <w:tcW w:w="7085" w:type="dxa"/>
            <w:gridSpan w:val="5"/>
            <w:shd w:val="clear" w:color="auto" w:fill="auto"/>
            <w:tcMar>
              <w:left w:w="57" w:type="dxa"/>
              <w:right w:w="57" w:type="dxa"/>
            </w:tcMar>
            <w:vAlign w:val="center"/>
          </w:tcPr>
          <w:p>
            <w:pPr>
              <w:pStyle w:val="105"/>
              <w:jc w:val="center"/>
            </w:pPr>
            <w:r>
              <w:rPr>
                <w:rFonts w:hint="eastAsia"/>
              </w:rPr>
              <w:t>3</w:t>
            </w:r>
            <w:r>
              <w:t>00</w:t>
            </w:r>
            <w:r>
              <w:rPr>
                <w:rFonts w:hint="eastAsia"/>
              </w:rPr>
              <w:t>m评价范围内</w:t>
            </w:r>
            <w:r>
              <w:t>8</w:t>
            </w:r>
            <w:r>
              <w:rPr>
                <w:rFonts w:hint="eastAsia"/>
              </w:rPr>
              <w:t>株古树，用地红线范围不涉及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34" w:type="dxa"/>
            <w:vMerge w:val="restart"/>
            <w:shd w:val="clear" w:color="auto" w:fill="auto"/>
            <w:tcMar>
              <w:left w:w="57" w:type="dxa"/>
              <w:right w:w="57" w:type="dxa"/>
            </w:tcMar>
            <w:vAlign w:val="center"/>
          </w:tcPr>
          <w:p>
            <w:pPr>
              <w:pStyle w:val="105"/>
              <w:jc w:val="center"/>
            </w:pPr>
            <w:r>
              <w:rPr>
                <w:rFonts w:hint="eastAsia"/>
              </w:rPr>
              <w:t>湿地</w:t>
            </w:r>
          </w:p>
        </w:tc>
        <w:tc>
          <w:tcPr>
            <w:tcW w:w="851" w:type="dxa"/>
            <w:shd w:val="clear" w:color="auto" w:fill="auto"/>
            <w:tcMar>
              <w:left w:w="57" w:type="dxa"/>
              <w:right w:w="57" w:type="dxa"/>
            </w:tcMar>
            <w:vAlign w:val="center"/>
          </w:tcPr>
          <w:p>
            <w:pPr>
              <w:pStyle w:val="105"/>
              <w:jc w:val="center"/>
            </w:pPr>
            <w:r>
              <w:rPr>
                <w:rFonts w:hint="eastAsia"/>
              </w:rPr>
              <w:t>重要湿地</w:t>
            </w:r>
          </w:p>
        </w:tc>
        <w:tc>
          <w:tcPr>
            <w:tcW w:w="7085" w:type="dxa"/>
            <w:gridSpan w:val="5"/>
            <w:shd w:val="clear" w:color="auto" w:fill="auto"/>
            <w:tcMar>
              <w:left w:w="57" w:type="dxa"/>
              <w:right w:w="57" w:type="dxa"/>
            </w:tcMar>
            <w:vAlign w:val="center"/>
          </w:tcPr>
          <w:p>
            <w:pPr>
              <w:pStyle w:val="105"/>
              <w:jc w:val="center"/>
            </w:pPr>
            <w:r>
              <w:rPr>
                <w:rFonts w:hint="eastAsia"/>
              </w:rPr>
              <w:t>不涉及重要湿地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34" w:type="dxa"/>
            <w:vMerge w:val="continue"/>
            <w:shd w:val="clear" w:color="auto" w:fill="auto"/>
            <w:tcMar>
              <w:left w:w="57" w:type="dxa"/>
              <w:right w:w="57" w:type="dxa"/>
            </w:tcMar>
            <w:vAlign w:val="center"/>
          </w:tcPr>
          <w:p>
            <w:pPr>
              <w:pStyle w:val="105"/>
              <w:jc w:val="center"/>
            </w:pPr>
          </w:p>
        </w:tc>
        <w:tc>
          <w:tcPr>
            <w:tcW w:w="851" w:type="dxa"/>
            <w:shd w:val="clear" w:color="auto" w:fill="auto"/>
            <w:tcMar>
              <w:left w:w="57" w:type="dxa"/>
              <w:right w:w="57" w:type="dxa"/>
            </w:tcMar>
            <w:vAlign w:val="center"/>
          </w:tcPr>
          <w:p>
            <w:pPr>
              <w:pStyle w:val="105"/>
              <w:jc w:val="center"/>
            </w:pPr>
            <w:r>
              <w:rPr>
                <w:rFonts w:hint="eastAsia"/>
              </w:rPr>
              <w:t>一般湿地</w:t>
            </w:r>
          </w:p>
        </w:tc>
        <w:tc>
          <w:tcPr>
            <w:tcW w:w="1984" w:type="dxa"/>
            <w:shd w:val="clear" w:color="auto" w:fill="auto"/>
            <w:tcMar>
              <w:left w:w="57" w:type="dxa"/>
              <w:right w:w="57" w:type="dxa"/>
            </w:tcMar>
            <w:vAlign w:val="center"/>
          </w:tcPr>
          <w:p>
            <w:pPr>
              <w:pStyle w:val="105"/>
              <w:jc w:val="center"/>
            </w:pPr>
            <w:r>
              <w:rPr>
                <w:rFonts w:cs="Times New Roman"/>
                <w:kern w:val="0"/>
                <w:szCs w:val="24"/>
                <w:lang w:val="zh-CN"/>
              </w:rPr>
              <w:t>占用一般湿地面积9060</w:t>
            </w:r>
            <w:r>
              <w:rPr>
                <w:rFonts w:hint="eastAsia" w:cs="Times New Roman"/>
                <w:kern w:val="0"/>
                <w:szCs w:val="24"/>
                <w:lang w:val="zh-CN"/>
              </w:rPr>
              <w:t>m</w:t>
            </w:r>
            <w:r>
              <w:rPr>
                <w:rFonts w:cs="Times New Roman"/>
                <w:kern w:val="0"/>
                <w:szCs w:val="24"/>
                <w:vertAlign w:val="superscript"/>
                <w:lang w:val="zh-CN"/>
              </w:rPr>
              <w:t>2</w:t>
            </w:r>
            <w:r>
              <w:rPr>
                <w:rFonts w:cs="Times New Roman"/>
                <w:kern w:val="0"/>
                <w:szCs w:val="24"/>
                <w:lang w:val="zh-CN"/>
              </w:rPr>
              <w:t>（其中：一般湿地名录面积697</w:t>
            </w:r>
            <w:r>
              <w:rPr>
                <w:rFonts w:hint="eastAsia" w:cs="Times New Roman"/>
                <w:kern w:val="0"/>
                <w:szCs w:val="24"/>
                <w:lang w:val="zh-CN"/>
              </w:rPr>
              <w:t xml:space="preserve"> m</w:t>
            </w:r>
            <w:r>
              <w:rPr>
                <w:rFonts w:cs="Times New Roman"/>
                <w:kern w:val="0"/>
                <w:szCs w:val="24"/>
                <w:vertAlign w:val="superscript"/>
                <w:lang w:val="zh-CN"/>
              </w:rPr>
              <w:t>2</w:t>
            </w:r>
            <w:r>
              <w:rPr>
                <w:rFonts w:cs="Times New Roman"/>
                <w:kern w:val="0"/>
                <w:szCs w:val="24"/>
                <w:lang w:val="zh-CN"/>
              </w:rPr>
              <w:t>）</w:t>
            </w:r>
          </w:p>
        </w:tc>
        <w:tc>
          <w:tcPr>
            <w:tcW w:w="1134" w:type="dxa"/>
            <w:shd w:val="clear" w:color="auto" w:fill="auto"/>
            <w:tcMar>
              <w:left w:w="57" w:type="dxa"/>
              <w:right w:w="57" w:type="dxa"/>
            </w:tcMar>
            <w:vAlign w:val="center"/>
          </w:tcPr>
          <w:p>
            <w:pPr>
              <w:pStyle w:val="105"/>
              <w:jc w:val="center"/>
            </w:pPr>
            <w:r>
              <w:rPr>
                <w:rFonts w:hint="eastAsia"/>
              </w:rPr>
              <w:t>详见</w:t>
            </w:r>
            <w:r>
              <w:fldChar w:fldCharType="begin"/>
            </w:r>
            <w:r>
              <w:instrText xml:space="preserve"> </w:instrText>
            </w:r>
            <w:r>
              <w:rPr>
                <w:rFonts w:hint="eastAsia"/>
              </w:rPr>
              <w:instrText xml:space="preserve">REF _Ref192516652 \r \h</w:instrText>
            </w:r>
            <w:r>
              <w:instrText xml:space="preserve"> </w:instrText>
            </w:r>
            <w:r>
              <w:fldChar w:fldCharType="separate"/>
            </w:r>
            <w:r>
              <w:rPr>
                <w:rFonts w:hint="eastAsia"/>
              </w:rPr>
              <w:t>表2.7-5</w:t>
            </w:r>
            <w:r>
              <w:fldChar w:fldCharType="end"/>
            </w:r>
          </w:p>
        </w:tc>
        <w:tc>
          <w:tcPr>
            <w:tcW w:w="1276" w:type="dxa"/>
            <w:shd w:val="clear" w:color="auto" w:fill="auto"/>
            <w:tcMar>
              <w:left w:w="57" w:type="dxa"/>
              <w:right w:w="57" w:type="dxa"/>
            </w:tcMar>
            <w:vAlign w:val="center"/>
          </w:tcPr>
          <w:p>
            <w:pPr>
              <w:pStyle w:val="105"/>
              <w:jc w:val="center"/>
            </w:pPr>
            <w:r>
              <w:rPr>
                <w:rFonts w:hint="eastAsia"/>
              </w:rPr>
              <w:t>采取改河、涵洞、桥梁等形式跨越河道，保持河道连通</w:t>
            </w:r>
          </w:p>
        </w:tc>
        <w:tc>
          <w:tcPr>
            <w:tcW w:w="1712" w:type="dxa"/>
            <w:shd w:val="clear" w:color="auto" w:fill="auto"/>
            <w:tcMar>
              <w:left w:w="57" w:type="dxa"/>
              <w:right w:w="57" w:type="dxa"/>
            </w:tcMar>
            <w:vAlign w:val="center"/>
          </w:tcPr>
          <w:p>
            <w:pPr>
              <w:pStyle w:val="105"/>
              <w:jc w:val="center"/>
            </w:pPr>
            <w:r>
              <w:rPr>
                <w:rFonts w:hint="eastAsia"/>
              </w:rPr>
              <w:t>详见</w:t>
            </w:r>
            <w:r>
              <w:fldChar w:fldCharType="begin"/>
            </w:r>
            <w:r>
              <w:instrText xml:space="preserve"> </w:instrText>
            </w:r>
            <w:r>
              <w:rPr>
                <w:rFonts w:hint="eastAsia"/>
              </w:rPr>
              <w:instrText xml:space="preserve">REF _Ref192516652 \r \h</w:instrText>
            </w:r>
            <w:r>
              <w:instrText xml:space="preserve"> </w:instrText>
            </w:r>
            <w:r>
              <w:fldChar w:fldCharType="separate"/>
            </w:r>
            <w:r>
              <w:rPr>
                <w:rFonts w:hint="eastAsia"/>
              </w:rPr>
              <w:t>表2.7-5</w:t>
            </w:r>
            <w:r>
              <w:fldChar w:fldCharType="end"/>
            </w:r>
          </w:p>
        </w:tc>
        <w:tc>
          <w:tcPr>
            <w:tcW w:w="979" w:type="dxa"/>
            <w:shd w:val="clear" w:color="auto" w:fill="auto"/>
            <w:tcMar>
              <w:left w:w="57" w:type="dxa"/>
              <w:right w:w="57" w:type="dxa"/>
            </w:tcMar>
            <w:vAlign w:val="center"/>
          </w:tcPr>
          <w:p>
            <w:pPr>
              <w:pStyle w:val="105"/>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34" w:type="dxa"/>
            <w:shd w:val="clear" w:color="auto" w:fill="auto"/>
            <w:tcMar>
              <w:left w:w="57" w:type="dxa"/>
              <w:right w:w="57" w:type="dxa"/>
            </w:tcMar>
            <w:vAlign w:val="center"/>
          </w:tcPr>
          <w:p>
            <w:pPr>
              <w:pStyle w:val="105"/>
              <w:jc w:val="center"/>
            </w:pPr>
            <w:r>
              <w:rPr>
                <w:rFonts w:hint="eastAsia"/>
              </w:rPr>
              <w:t>自然植被</w:t>
            </w:r>
          </w:p>
        </w:tc>
        <w:tc>
          <w:tcPr>
            <w:tcW w:w="7936" w:type="dxa"/>
            <w:gridSpan w:val="6"/>
            <w:shd w:val="clear" w:color="auto" w:fill="auto"/>
            <w:tcMar>
              <w:left w:w="57" w:type="dxa"/>
              <w:right w:w="57" w:type="dxa"/>
            </w:tcMar>
            <w:vAlign w:val="center"/>
          </w:tcPr>
          <w:p>
            <w:pPr>
              <w:pStyle w:val="105"/>
            </w:pPr>
            <w:r>
              <w:rPr>
                <w:rFonts w:hint="eastAsia"/>
              </w:rPr>
              <w:t>公路沿线均有分布，</w:t>
            </w:r>
            <w:r>
              <w:rPr>
                <w:rFonts w:cs="Times New Roman"/>
                <w:spacing w:val="-7"/>
              </w:rPr>
              <w:t>沿线以</w:t>
            </w:r>
            <w:r>
              <w:rPr>
                <w:rFonts w:hint="eastAsia" w:cs="Times New Roman"/>
                <w:spacing w:val="-7"/>
              </w:rPr>
              <w:t>耕地</w:t>
            </w:r>
            <w:r>
              <w:rPr>
                <w:rFonts w:cs="Times New Roman"/>
                <w:spacing w:val="-7"/>
              </w:rPr>
              <w:t>为主，部分为园地、</w:t>
            </w:r>
            <w:r>
              <w:rPr>
                <w:rFonts w:hint="eastAsia" w:cs="Times New Roman"/>
                <w:spacing w:val="-7"/>
              </w:rPr>
              <w:t>林地、</w:t>
            </w:r>
            <w:r>
              <w:rPr>
                <w:rFonts w:cs="Times New Roman"/>
                <w:spacing w:val="-7"/>
              </w:rPr>
              <w:t>荒地，主要涉及植被为</w:t>
            </w:r>
            <w:r>
              <w:rPr>
                <w:rFonts w:hint="eastAsia" w:cs="Times New Roman"/>
                <w:spacing w:val="-7"/>
              </w:rPr>
              <w:t>桉树、马尾松、龙眼林</w:t>
            </w:r>
            <w:r>
              <w:rPr>
                <w:rFonts w:cs="Times New Roman"/>
                <w:spacing w:val="-7"/>
              </w:rPr>
              <w:t>，其次为</w:t>
            </w:r>
            <w:r>
              <w:rPr>
                <w:rFonts w:hint="eastAsia" w:cs="Times New Roman"/>
                <w:spacing w:val="-7"/>
              </w:rPr>
              <w:t>菜园（萝卜）</w:t>
            </w:r>
            <w:r>
              <w:rPr>
                <w:rFonts w:cs="Times New Roman"/>
                <w:spacing w:val="-7"/>
              </w:rPr>
              <w:t>、</w:t>
            </w:r>
            <w:r>
              <w:rPr>
                <w:rFonts w:hint="eastAsia" w:cs="Times New Roman"/>
                <w:spacing w:val="-7"/>
              </w:rPr>
              <w:t>蔬菜。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34" w:type="dxa"/>
            <w:shd w:val="clear" w:color="auto" w:fill="auto"/>
            <w:tcMar>
              <w:left w:w="57" w:type="dxa"/>
              <w:right w:w="57" w:type="dxa"/>
            </w:tcMar>
            <w:vAlign w:val="center"/>
          </w:tcPr>
          <w:p>
            <w:pPr>
              <w:pStyle w:val="105"/>
              <w:jc w:val="center"/>
            </w:pPr>
            <w:r>
              <w:rPr>
                <w:rFonts w:hint="eastAsia"/>
              </w:rPr>
              <w:t>耕地</w:t>
            </w:r>
          </w:p>
        </w:tc>
        <w:tc>
          <w:tcPr>
            <w:tcW w:w="7936" w:type="dxa"/>
            <w:gridSpan w:val="6"/>
            <w:shd w:val="clear" w:color="auto" w:fill="auto"/>
            <w:tcMar>
              <w:left w:w="57" w:type="dxa"/>
              <w:right w:w="57" w:type="dxa"/>
            </w:tcMar>
            <w:vAlign w:val="center"/>
          </w:tcPr>
          <w:p>
            <w:pPr>
              <w:pStyle w:val="105"/>
            </w:pPr>
            <w:r>
              <w:rPr>
                <w:rFonts w:hint="eastAsia"/>
              </w:rPr>
              <w:t>3</w:t>
            </w:r>
            <w:r>
              <w:t>00</w:t>
            </w:r>
            <w:r>
              <w:rPr>
                <w:rFonts w:hint="eastAsia"/>
              </w:rPr>
              <w:t>m评价范围沿线均有分布，但项目不涉及占用基本农田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34" w:type="dxa"/>
            <w:shd w:val="clear" w:color="auto" w:fill="auto"/>
            <w:tcMar>
              <w:left w:w="57" w:type="dxa"/>
              <w:right w:w="57" w:type="dxa"/>
            </w:tcMar>
            <w:vAlign w:val="center"/>
          </w:tcPr>
          <w:p>
            <w:pPr>
              <w:pStyle w:val="105"/>
              <w:jc w:val="center"/>
            </w:pPr>
            <w:r>
              <w:rPr>
                <w:rFonts w:hint="eastAsia"/>
              </w:rPr>
              <w:t>野生动物</w:t>
            </w:r>
          </w:p>
        </w:tc>
        <w:tc>
          <w:tcPr>
            <w:tcW w:w="7936" w:type="dxa"/>
            <w:gridSpan w:val="6"/>
            <w:shd w:val="clear" w:color="auto" w:fill="auto"/>
            <w:tcMar>
              <w:left w:w="57" w:type="dxa"/>
              <w:right w:w="57" w:type="dxa"/>
            </w:tcMar>
            <w:vAlign w:val="center"/>
          </w:tcPr>
          <w:p>
            <w:pPr>
              <w:pStyle w:val="105"/>
            </w:pPr>
            <w:r>
              <w:rPr>
                <w:rFonts w:hint="eastAsia"/>
              </w:rPr>
              <w:t>公路沿线均有分布，无明显的重点保护野生动物栖息地。</w:t>
            </w:r>
          </w:p>
        </w:tc>
      </w:tr>
      <w:bookmarkEnd w:id="178"/>
    </w:tbl>
    <w:p>
      <w:pPr>
        <w:pStyle w:val="105"/>
      </w:pPr>
      <w:bookmarkStart w:id="193" w:name="_Hlk192060282"/>
      <w:bookmarkStart w:id="194" w:name="_Ref192060509"/>
    </w:p>
    <w:p>
      <w:pPr>
        <w:ind w:firstLine="480"/>
        <w:sectPr>
          <w:pgSz w:w="11906" w:h="16838"/>
          <w:pgMar w:top="1418" w:right="1418" w:bottom="1418" w:left="1418" w:header="851" w:footer="851" w:gutter="0"/>
          <w:cols w:space="425" w:num="1"/>
          <w:docGrid w:linePitch="326" w:charSpace="0"/>
        </w:sectPr>
      </w:pPr>
    </w:p>
    <w:p>
      <w:pPr>
        <w:pStyle w:val="87"/>
        <w:spacing w:before="120"/>
        <w:ind w:firstLine="480"/>
      </w:pPr>
      <w:bookmarkStart w:id="195" w:name="_Ref192516652"/>
      <w:r>
        <w:rPr>
          <w:rFonts w:hint="eastAsia"/>
        </w:rPr>
        <w:t>项目与一般湿地位置关系</w:t>
      </w:r>
      <w:bookmarkEnd w:id="193"/>
      <w:r>
        <w:rPr>
          <w:rFonts w:hint="eastAsia"/>
        </w:rPr>
        <w:t>表</w:t>
      </w:r>
      <w:bookmarkEnd w:id="194"/>
      <w:bookmarkEnd w:id="195"/>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03"/>
        <w:gridCol w:w="1351"/>
        <w:gridCol w:w="2402"/>
        <w:gridCol w:w="1504"/>
        <w:gridCol w:w="1712"/>
        <w:gridCol w:w="11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98" w:type="pct"/>
            <w:vAlign w:val="center"/>
          </w:tcPr>
          <w:p>
            <w:pPr>
              <w:pStyle w:val="105"/>
              <w:jc w:val="center"/>
            </w:pPr>
            <w:r>
              <w:rPr>
                <w:rFonts w:hint="eastAsia"/>
              </w:rPr>
              <w:t>序号</w:t>
            </w:r>
          </w:p>
        </w:tc>
        <w:tc>
          <w:tcPr>
            <w:tcW w:w="745" w:type="pct"/>
            <w:vAlign w:val="center"/>
          </w:tcPr>
          <w:p>
            <w:pPr>
              <w:pStyle w:val="105"/>
              <w:jc w:val="center"/>
            </w:pPr>
            <w:r>
              <w:rPr>
                <w:rFonts w:hint="eastAsia"/>
              </w:rPr>
              <w:t>路段</w:t>
            </w:r>
          </w:p>
        </w:tc>
        <w:tc>
          <w:tcPr>
            <w:tcW w:w="1324" w:type="pct"/>
            <w:vAlign w:val="center"/>
          </w:tcPr>
          <w:p>
            <w:pPr>
              <w:pStyle w:val="105"/>
              <w:jc w:val="center"/>
            </w:pPr>
            <w:r>
              <w:rPr>
                <w:rFonts w:hint="eastAsia"/>
              </w:rPr>
              <w:t>与一般湿地位置关系</w:t>
            </w:r>
          </w:p>
        </w:tc>
        <w:tc>
          <w:tcPr>
            <w:tcW w:w="829" w:type="pct"/>
            <w:vAlign w:val="center"/>
          </w:tcPr>
          <w:p>
            <w:pPr>
              <w:pStyle w:val="105"/>
              <w:jc w:val="center"/>
            </w:pPr>
            <w:r>
              <w:rPr>
                <w:rFonts w:hint="eastAsia"/>
              </w:rPr>
              <w:t>占用面积（m</w:t>
            </w:r>
            <w:r>
              <w:t>2</w:t>
            </w:r>
            <w:r>
              <w:rPr>
                <w:rFonts w:hint="eastAsia"/>
              </w:rPr>
              <w:t>）</w:t>
            </w:r>
          </w:p>
        </w:tc>
        <w:tc>
          <w:tcPr>
            <w:tcW w:w="944" w:type="pct"/>
            <w:vAlign w:val="center"/>
          </w:tcPr>
          <w:p>
            <w:pPr>
              <w:pStyle w:val="105"/>
              <w:jc w:val="center"/>
            </w:pPr>
            <w:r>
              <w:rPr>
                <w:rFonts w:hint="eastAsia"/>
              </w:rPr>
              <w:t>湿地名称</w:t>
            </w:r>
          </w:p>
        </w:tc>
        <w:tc>
          <w:tcPr>
            <w:tcW w:w="660" w:type="pct"/>
            <w:vAlign w:val="center"/>
          </w:tcPr>
          <w:p>
            <w:pPr>
              <w:pStyle w:val="105"/>
              <w:jc w:val="center"/>
            </w:pPr>
            <w:r>
              <w:rPr>
                <w:rFonts w:hint="eastAsia"/>
              </w:rPr>
              <w:t>湿地类型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98" w:type="pct"/>
            <w:vAlign w:val="center"/>
          </w:tcPr>
          <w:p>
            <w:pPr>
              <w:pStyle w:val="105"/>
              <w:jc w:val="center"/>
            </w:pPr>
            <w:r>
              <w:rPr>
                <w:rFonts w:hint="eastAsia"/>
              </w:rPr>
              <w:t>1</w:t>
            </w:r>
          </w:p>
        </w:tc>
        <w:tc>
          <w:tcPr>
            <w:tcW w:w="745" w:type="pct"/>
            <w:vAlign w:val="center"/>
          </w:tcPr>
          <w:p>
            <w:pPr>
              <w:pStyle w:val="105"/>
              <w:jc w:val="center"/>
            </w:pPr>
            <w:r>
              <w:t>K0+863</w:t>
            </w:r>
          </w:p>
          <w:p>
            <w:pPr>
              <w:pStyle w:val="105"/>
              <w:jc w:val="center"/>
            </w:pPr>
            <w:r>
              <w:rPr>
                <w:rFonts w:hint="eastAsia"/>
              </w:rPr>
              <w:t>K</w:t>
            </w:r>
            <w:r>
              <w:t>0+950</w:t>
            </w:r>
          </w:p>
          <w:p>
            <w:pPr>
              <w:pStyle w:val="105"/>
              <w:jc w:val="center"/>
            </w:pPr>
            <w:r>
              <w:t>K</w:t>
            </w:r>
            <w:r>
              <w:rPr>
                <w:rFonts w:hint="eastAsia"/>
              </w:rPr>
              <w:t>1+025</w:t>
            </w:r>
          </w:p>
        </w:tc>
        <w:tc>
          <w:tcPr>
            <w:tcW w:w="1324" w:type="pct"/>
            <w:vAlign w:val="center"/>
          </w:tcPr>
          <w:p>
            <w:pPr>
              <w:pStyle w:val="105"/>
              <w:jc w:val="center"/>
            </w:pPr>
            <w:r>
              <w:t>涉及占用，</w:t>
            </w:r>
            <w:r>
              <w:rPr>
                <w:rFonts w:hint="eastAsia"/>
              </w:rPr>
              <w:t>涵洞穿越</w:t>
            </w:r>
          </w:p>
        </w:tc>
        <w:tc>
          <w:tcPr>
            <w:tcW w:w="829" w:type="pct"/>
            <w:vAlign w:val="center"/>
          </w:tcPr>
          <w:p>
            <w:pPr>
              <w:pStyle w:val="105"/>
              <w:jc w:val="center"/>
            </w:pPr>
            <w:r>
              <w:rPr>
                <w:rFonts w:hint="eastAsia"/>
              </w:rPr>
              <w:t>2</w:t>
            </w:r>
            <w:r>
              <w:t>43.9</w:t>
            </w:r>
          </w:p>
        </w:tc>
        <w:tc>
          <w:tcPr>
            <w:tcW w:w="944" w:type="pct"/>
            <w:vAlign w:val="center"/>
          </w:tcPr>
          <w:p>
            <w:pPr>
              <w:pStyle w:val="105"/>
              <w:jc w:val="center"/>
            </w:pPr>
            <w:r>
              <w:t>国土三调湿地</w:t>
            </w:r>
          </w:p>
        </w:tc>
        <w:tc>
          <w:tcPr>
            <w:tcW w:w="660" w:type="pct"/>
            <w:vAlign w:val="center"/>
          </w:tcPr>
          <w:p>
            <w:pPr>
              <w:pStyle w:val="105"/>
              <w:jc w:val="center"/>
            </w:pPr>
            <w:r>
              <w:rPr>
                <w:rFonts w:hint="eastAsia"/>
              </w:rPr>
              <w:t>迳江小支流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98" w:type="pct"/>
            <w:vAlign w:val="center"/>
          </w:tcPr>
          <w:p>
            <w:pPr>
              <w:pStyle w:val="105"/>
              <w:jc w:val="center"/>
            </w:pPr>
            <w:r>
              <w:rPr>
                <w:rFonts w:hint="eastAsia"/>
              </w:rPr>
              <w:t>2</w:t>
            </w:r>
          </w:p>
        </w:tc>
        <w:tc>
          <w:tcPr>
            <w:tcW w:w="745" w:type="pct"/>
            <w:vAlign w:val="center"/>
          </w:tcPr>
          <w:p>
            <w:pPr>
              <w:pStyle w:val="105"/>
              <w:jc w:val="center"/>
            </w:pPr>
            <w:r>
              <w:rPr>
                <w:rFonts w:hint="eastAsia"/>
              </w:rPr>
              <w:t>K</w:t>
            </w:r>
            <w:r>
              <w:t>1+316</w:t>
            </w:r>
          </w:p>
          <w:p>
            <w:pPr>
              <w:pStyle w:val="105"/>
              <w:jc w:val="center"/>
            </w:pPr>
            <w:r>
              <w:rPr>
                <w:rFonts w:hint="eastAsia"/>
              </w:rPr>
              <w:t>K</w:t>
            </w:r>
            <w:r>
              <w:t>1+390</w:t>
            </w:r>
          </w:p>
        </w:tc>
        <w:tc>
          <w:tcPr>
            <w:tcW w:w="1324" w:type="pct"/>
            <w:vAlign w:val="center"/>
          </w:tcPr>
          <w:p>
            <w:pPr>
              <w:pStyle w:val="105"/>
              <w:jc w:val="center"/>
            </w:pPr>
            <w:r>
              <w:rPr>
                <w:rFonts w:hint="eastAsia"/>
              </w:rPr>
              <w:t>占用</w:t>
            </w:r>
          </w:p>
        </w:tc>
        <w:tc>
          <w:tcPr>
            <w:tcW w:w="829" w:type="pct"/>
            <w:vAlign w:val="center"/>
          </w:tcPr>
          <w:p>
            <w:pPr>
              <w:pStyle w:val="105"/>
              <w:jc w:val="center"/>
            </w:pPr>
            <w:r>
              <w:rPr>
                <w:rFonts w:hint="eastAsia"/>
              </w:rPr>
              <w:t>1</w:t>
            </w:r>
            <w:r>
              <w:t>16.6</w:t>
            </w:r>
          </w:p>
        </w:tc>
        <w:tc>
          <w:tcPr>
            <w:tcW w:w="944" w:type="pct"/>
            <w:vAlign w:val="center"/>
          </w:tcPr>
          <w:p>
            <w:pPr>
              <w:pStyle w:val="105"/>
              <w:jc w:val="center"/>
            </w:pPr>
            <w:r>
              <w:t>国土三调湿地</w:t>
            </w:r>
          </w:p>
        </w:tc>
        <w:tc>
          <w:tcPr>
            <w:tcW w:w="660" w:type="pct"/>
            <w:vAlign w:val="center"/>
          </w:tcPr>
          <w:p>
            <w:pPr>
              <w:pStyle w:val="105"/>
              <w:jc w:val="center"/>
            </w:pPr>
            <w:r>
              <w:rPr>
                <w:rFonts w:hint="eastAsia"/>
              </w:rPr>
              <w:t>迳江小支流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498" w:type="pct"/>
            <w:vAlign w:val="center"/>
          </w:tcPr>
          <w:p>
            <w:pPr>
              <w:pStyle w:val="105"/>
              <w:jc w:val="center"/>
            </w:pPr>
            <w:r>
              <w:t>3</w:t>
            </w:r>
          </w:p>
        </w:tc>
        <w:tc>
          <w:tcPr>
            <w:tcW w:w="745" w:type="pct"/>
            <w:vAlign w:val="center"/>
          </w:tcPr>
          <w:p>
            <w:pPr>
              <w:pStyle w:val="105"/>
              <w:jc w:val="center"/>
            </w:pPr>
            <w:r>
              <w:rPr>
                <w:rFonts w:hint="eastAsia"/>
              </w:rPr>
              <w:t>K</w:t>
            </w:r>
            <w:r>
              <w:t>1+450~</w:t>
            </w:r>
          </w:p>
          <w:p>
            <w:pPr>
              <w:pStyle w:val="105"/>
              <w:jc w:val="center"/>
            </w:pPr>
            <w:r>
              <w:rPr>
                <w:rFonts w:hint="eastAsia"/>
              </w:rPr>
              <w:t>K</w:t>
            </w:r>
            <w:r>
              <w:t>1+880</w:t>
            </w:r>
          </w:p>
        </w:tc>
        <w:tc>
          <w:tcPr>
            <w:tcW w:w="1324" w:type="pct"/>
            <w:vAlign w:val="center"/>
          </w:tcPr>
          <w:p>
            <w:pPr>
              <w:pStyle w:val="105"/>
              <w:jc w:val="center"/>
            </w:pPr>
            <w:r>
              <w:t>涉及占用，改河</w:t>
            </w:r>
            <w:r>
              <w:rPr>
                <w:rFonts w:hint="eastAsia"/>
              </w:rPr>
              <w:t>1</w:t>
            </w:r>
            <w:r>
              <w:t>、改河</w:t>
            </w:r>
            <w:r>
              <w:rPr>
                <w:rFonts w:hint="eastAsia"/>
              </w:rPr>
              <w:t>2</w:t>
            </w:r>
            <w:r>
              <w:t>，涵洞</w:t>
            </w:r>
            <w:r>
              <w:rPr>
                <w:rFonts w:hint="eastAsia"/>
              </w:rPr>
              <w:t>穿越</w:t>
            </w:r>
          </w:p>
        </w:tc>
        <w:tc>
          <w:tcPr>
            <w:tcW w:w="829" w:type="pct"/>
            <w:vAlign w:val="center"/>
          </w:tcPr>
          <w:p>
            <w:pPr>
              <w:pStyle w:val="105"/>
              <w:jc w:val="center"/>
            </w:pPr>
            <w:r>
              <w:rPr>
                <w:rFonts w:hint="eastAsia"/>
              </w:rPr>
              <w:t>6</w:t>
            </w:r>
            <w:r>
              <w:t>877.7</w:t>
            </w:r>
          </w:p>
        </w:tc>
        <w:tc>
          <w:tcPr>
            <w:tcW w:w="944" w:type="pct"/>
            <w:vAlign w:val="center"/>
          </w:tcPr>
          <w:p>
            <w:pPr>
              <w:pStyle w:val="105"/>
              <w:jc w:val="center"/>
            </w:pPr>
            <w:r>
              <w:t>国土三调湿地</w:t>
            </w:r>
          </w:p>
        </w:tc>
        <w:tc>
          <w:tcPr>
            <w:tcW w:w="660" w:type="pct"/>
            <w:vAlign w:val="center"/>
          </w:tcPr>
          <w:p>
            <w:pPr>
              <w:pStyle w:val="105"/>
              <w:jc w:val="center"/>
            </w:pPr>
            <w:r>
              <w:rPr>
                <w:rFonts w:hint="eastAsia"/>
              </w:rPr>
              <w:t>迳江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98" w:type="pct"/>
            <w:vAlign w:val="center"/>
          </w:tcPr>
          <w:p>
            <w:pPr>
              <w:pStyle w:val="105"/>
              <w:jc w:val="center"/>
            </w:pPr>
            <w:r>
              <w:t>4</w:t>
            </w:r>
          </w:p>
        </w:tc>
        <w:tc>
          <w:tcPr>
            <w:tcW w:w="745" w:type="pct"/>
            <w:vAlign w:val="center"/>
          </w:tcPr>
          <w:p>
            <w:pPr>
              <w:pStyle w:val="105"/>
              <w:jc w:val="center"/>
            </w:pPr>
            <w:r>
              <w:rPr>
                <w:rFonts w:hint="eastAsia"/>
              </w:rPr>
              <w:t>K</w:t>
            </w:r>
            <w:r>
              <w:t>2+342~</w:t>
            </w:r>
            <w:r>
              <w:rPr>
                <w:rFonts w:hint="eastAsia"/>
              </w:rPr>
              <w:t xml:space="preserve"> K</w:t>
            </w:r>
            <w:r>
              <w:t>2+470</w:t>
            </w:r>
          </w:p>
        </w:tc>
        <w:tc>
          <w:tcPr>
            <w:tcW w:w="1324" w:type="pct"/>
            <w:vAlign w:val="center"/>
          </w:tcPr>
          <w:p>
            <w:pPr>
              <w:pStyle w:val="105"/>
              <w:jc w:val="center"/>
            </w:pPr>
            <w:r>
              <w:t>涉及占用</w:t>
            </w:r>
            <w:r>
              <w:rPr>
                <w:rFonts w:hint="eastAsia"/>
              </w:rPr>
              <w:t>/</w:t>
            </w:r>
            <w:r>
              <w:t>改河3</w:t>
            </w:r>
            <w:r>
              <w:rPr>
                <w:rFonts w:hint="eastAsia"/>
              </w:rPr>
              <w:t>，大埔大桥跨越</w:t>
            </w:r>
          </w:p>
        </w:tc>
        <w:tc>
          <w:tcPr>
            <w:tcW w:w="829" w:type="pct"/>
            <w:vAlign w:val="center"/>
          </w:tcPr>
          <w:p>
            <w:pPr>
              <w:pStyle w:val="105"/>
              <w:jc w:val="center"/>
            </w:pPr>
            <w:r>
              <w:rPr>
                <w:rFonts w:hint="eastAsia"/>
              </w:rPr>
              <w:t>8</w:t>
            </w:r>
            <w:r>
              <w:t>41.3</w:t>
            </w:r>
          </w:p>
        </w:tc>
        <w:tc>
          <w:tcPr>
            <w:tcW w:w="944" w:type="pct"/>
            <w:vAlign w:val="center"/>
          </w:tcPr>
          <w:p>
            <w:pPr>
              <w:pStyle w:val="105"/>
              <w:jc w:val="center"/>
            </w:pPr>
            <w:r>
              <w:t>国土三调湿地</w:t>
            </w:r>
            <w:r>
              <w:rPr>
                <w:rFonts w:hint="eastAsia"/>
              </w:rPr>
              <w:t>+</w:t>
            </w:r>
            <w:r>
              <w:t>一般湿地名录</w:t>
            </w:r>
          </w:p>
        </w:tc>
        <w:tc>
          <w:tcPr>
            <w:tcW w:w="660" w:type="pct"/>
            <w:vAlign w:val="center"/>
          </w:tcPr>
          <w:p>
            <w:pPr>
              <w:pStyle w:val="105"/>
              <w:jc w:val="center"/>
            </w:pPr>
            <w:r>
              <w:rPr>
                <w:rFonts w:hint="eastAsia"/>
              </w:rPr>
              <w:t>迳江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98" w:type="pct"/>
            <w:vAlign w:val="center"/>
          </w:tcPr>
          <w:p>
            <w:pPr>
              <w:pStyle w:val="105"/>
              <w:jc w:val="center"/>
            </w:pPr>
            <w:r>
              <w:t>5</w:t>
            </w:r>
          </w:p>
        </w:tc>
        <w:tc>
          <w:tcPr>
            <w:tcW w:w="745" w:type="pct"/>
            <w:vAlign w:val="center"/>
          </w:tcPr>
          <w:p>
            <w:pPr>
              <w:pStyle w:val="105"/>
              <w:jc w:val="center"/>
            </w:pPr>
            <w:r>
              <w:rPr>
                <w:rFonts w:hint="eastAsia"/>
              </w:rPr>
              <w:t>K</w:t>
            </w:r>
            <w:r>
              <w:t>3+436</w:t>
            </w:r>
          </w:p>
          <w:p>
            <w:pPr>
              <w:pStyle w:val="105"/>
              <w:jc w:val="center"/>
            </w:pPr>
            <w:r>
              <w:rPr>
                <w:rFonts w:hint="eastAsia"/>
              </w:rPr>
              <w:t>K</w:t>
            </w:r>
            <w:r>
              <w:t>3+499</w:t>
            </w:r>
          </w:p>
        </w:tc>
        <w:tc>
          <w:tcPr>
            <w:tcW w:w="1324" w:type="pct"/>
            <w:vAlign w:val="center"/>
          </w:tcPr>
          <w:p>
            <w:pPr>
              <w:pStyle w:val="105"/>
              <w:jc w:val="center"/>
            </w:pPr>
            <w:r>
              <w:t>涉及占用，</w:t>
            </w:r>
            <w:r>
              <w:rPr>
                <w:rFonts w:hint="eastAsia"/>
              </w:rPr>
              <w:t>涵洞穿越</w:t>
            </w:r>
          </w:p>
        </w:tc>
        <w:tc>
          <w:tcPr>
            <w:tcW w:w="829" w:type="pct"/>
            <w:vAlign w:val="center"/>
          </w:tcPr>
          <w:p>
            <w:pPr>
              <w:pStyle w:val="105"/>
              <w:jc w:val="center"/>
            </w:pPr>
            <w:r>
              <w:rPr>
                <w:rFonts w:hint="eastAsia"/>
              </w:rPr>
              <w:t>3</w:t>
            </w:r>
            <w:r>
              <w:t>25.7</w:t>
            </w:r>
          </w:p>
        </w:tc>
        <w:tc>
          <w:tcPr>
            <w:tcW w:w="944" w:type="pct"/>
            <w:vAlign w:val="center"/>
          </w:tcPr>
          <w:p>
            <w:pPr>
              <w:pStyle w:val="105"/>
              <w:jc w:val="center"/>
            </w:pPr>
            <w:r>
              <w:t>国土三调湿地</w:t>
            </w:r>
          </w:p>
        </w:tc>
        <w:tc>
          <w:tcPr>
            <w:tcW w:w="660" w:type="pct"/>
            <w:vAlign w:val="center"/>
          </w:tcPr>
          <w:p>
            <w:pPr>
              <w:pStyle w:val="105"/>
              <w:jc w:val="center"/>
            </w:pPr>
            <w:r>
              <w:rPr>
                <w:rFonts w:hint="eastAsia"/>
              </w:rPr>
              <w:t>迳江小支流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98" w:type="pct"/>
            <w:vAlign w:val="center"/>
          </w:tcPr>
          <w:p>
            <w:pPr>
              <w:pStyle w:val="105"/>
              <w:jc w:val="center"/>
            </w:pPr>
            <w:r>
              <w:t>6</w:t>
            </w:r>
          </w:p>
        </w:tc>
        <w:tc>
          <w:tcPr>
            <w:tcW w:w="745" w:type="pct"/>
            <w:vAlign w:val="center"/>
          </w:tcPr>
          <w:p>
            <w:pPr>
              <w:pStyle w:val="105"/>
              <w:jc w:val="center"/>
            </w:pPr>
            <w:r>
              <w:t>K</w:t>
            </w:r>
            <w:r>
              <w:rPr>
                <w:rFonts w:hint="eastAsia"/>
              </w:rPr>
              <w:t>3+6</w:t>
            </w:r>
            <w:r>
              <w:t>2</w:t>
            </w:r>
            <w:r>
              <w:rPr>
                <w:rFonts w:hint="eastAsia"/>
              </w:rPr>
              <w:t>0</w:t>
            </w:r>
            <w:r>
              <w:t>~</w:t>
            </w:r>
          </w:p>
          <w:p>
            <w:pPr>
              <w:pStyle w:val="105"/>
              <w:jc w:val="center"/>
            </w:pPr>
            <w:r>
              <w:t>K3+720</w:t>
            </w:r>
          </w:p>
        </w:tc>
        <w:tc>
          <w:tcPr>
            <w:tcW w:w="1324" w:type="pct"/>
            <w:vAlign w:val="center"/>
          </w:tcPr>
          <w:p>
            <w:pPr>
              <w:pStyle w:val="105"/>
              <w:jc w:val="center"/>
            </w:pPr>
            <w:r>
              <w:t>涉及占用</w:t>
            </w:r>
            <w:r>
              <w:rPr>
                <w:rFonts w:hint="eastAsia"/>
              </w:rPr>
              <w:t>/</w:t>
            </w:r>
            <w:r>
              <w:t>改河4</w:t>
            </w:r>
            <w:r>
              <w:rPr>
                <w:rFonts w:hint="eastAsia"/>
              </w:rPr>
              <w:t>，涵洞穿越</w:t>
            </w:r>
          </w:p>
        </w:tc>
        <w:tc>
          <w:tcPr>
            <w:tcW w:w="829" w:type="pct"/>
            <w:vAlign w:val="center"/>
          </w:tcPr>
          <w:p>
            <w:pPr>
              <w:pStyle w:val="105"/>
              <w:jc w:val="center"/>
            </w:pPr>
            <w:r>
              <w:rPr>
                <w:rFonts w:hint="eastAsia"/>
              </w:rPr>
              <w:t>4</w:t>
            </w:r>
            <w:r>
              <w:t>97.4</w:t>
            </w:r>
          </w:p>
        </w:tc>
        <w:tc>
          <w:tcPr>
            <w:tcW w:w="944" w:type="pct"/>
            <w:vAlign w:val="center"/>
          </w:tcPr>
          <w:p>
            <w:pPr>
              <w:pStyle w:val="105"/>
              <w:jc w:val="center"/>
            </w:pPr>
            <w:r>
              <w:t>国土三调湿地</w:t>
            </w:r>
          </w:p>
        </w:tc>
        <w:tc>
          <w:tcPr>
            <w:tcW w:w="660" w:type="pct"/>
            <w:vAlign w:val="center"/>
          </w:tcPr>
          <w:p>
            <w:pPr>
              <w:pStyle w:val="105"/>
              <w:jc w:val="center"/>
            </w:pPr>
            <w:r>
              <w:rPr>
                <w:rFonts w:hint="eastAsia"/>
              </w:rPr>
              <w:t>迳江小支流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498" w:type="pct"/>
            <w:vAlign w:val="center"/>
          </w:tcPr>
          <w:p>
            <w:pPr>
              <w:pStyle w:val="105"/>
              <w:jc w:val="center"/>
            </w:pPr>
            <w:r>
              <w:t>7</w:t>
            </w:r>
          </w:p>
        </w:tc>
        <w:tc>
          <w:tcPr>
            <w:tcW w:w="745" w:type="pct"/>
            <w:vAlign w:val="center"/>
          </w:tcPr>
          <w:p>
            <w:pPr>
              <w:pStyle w:val="105"/>
              <w:jc w:val="center"/>
            </w:pPr>
            <w:r>
              <w:rPr>
                <w:rFonts w:hint="eastAsia"/>
              </w:rPr>
              <w:t>L</w:t>
            </w:r>
            <w:r>
              <w:t>K0+045~</w:t>
            </w:r>
            <w:r>
              <w:rPr>
                <w:rFonts w:hint="eastAsia"/>
              </w:rPr>
              <w:t xml:space="preserve"> L</w:t>
            </w:r>
            <w:r>
              <w:t>K0+060</w:t>
            </w:r>
          </w:p>
        </w:tc>
        <w:tc>
          <w:tcPr>
            <w:tcW w:w="1324" w:type="pct"/>
            <w:vAlign w:val="center"/>
          </w:tcPr>
          <w:p>
            <w:pPr>
              <w:pStyle w:val="105"/>
              <w:jc w:val="center"/>
            </w:pPr>
            <w:r>
              <w:t>涉及占用</w:t>
            </w:r>
            <w:r>
              <w:rPr>
                <w:rFonts w:hint="eastAsia"/>
              </w:rPr>
              <w:t>/枝钟中桥跨越，桥墩涉及占用</w:t>
            </w:r>
          </w:p>
        </w:tc>
        <w:tc>
          <w:tcPr>
            <w:tcW w:w="829" w:type="pct"/>
            <w:vAlign w:val="center"/>
          </w:tcPr>
          <w:p>
            <w:pPr>
              <w:pStyle w:val="105"/>
              <w:jc w:val="center"/>
            </w:pPr>
            <w:r>
              <w:rPr>
                <w:rFonts w:hint="eastAsia"/>
              </w:rPr>
              <w:t>1</w:t>
            </w:r>
            <w:r>
              <w:t>57.7</w:t>
            </w:r>
          </w:p>
        </w:tc>
        <w:tc>
          <w:tcPr>
            <w:tcW w:w="944" w:type="pct"/>
            <w:vAlign w:val="center"/>
          </w:tcPr>
          <w:p>
            <w:pPr>
              <w:pStyle w:val="105"/>
              <w:jc w:val="center"/>
            </w:pPr>
            <w:r>
              <w:t>国土三调湿地</w:t>
            </w:r>
          </w:p>
        </w:tc>
        <w:tc>
          <w:tcPr>
            <w:tcW w:w="660" w:type="pct"/>
            <w:vAlign w:val="center"/>
          </w:tcPr>
          <w:p>
            <w:pPr>
              <w:pStyle w:val="105"/>
              <w:jc w:val="center"/>
            </w:pPr>
            <w:r>
              <w:rPr>
                <w:rFonts w:hint="eastAsia"/>
              </w:rPr>
              <w:t>迳江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2567" w:type="pct"/>
            <w:gridSpan w:val="3"/>
            <w:vAlign w:val="center"/>
          </w:tcPr>
          <w:p>
            <w:pPr>
              <w:pStyle w:val="105"/>
              <w:jc w:val="center"/>
            </w:pPr>
            <w:r>
              <w:t>合计</w:t>
            </w:r>
          </w:p>
        </w:tc>
        <w:tc>
          <w:tcPr>
            <w:tcW w:w="829" w:type="pct"/>
            <w:vAlign w:val="center"/>
          </w:tcPr>
          <w:p>
            <w:pPr>
              <w:pStyle w:val="105"/>
              <w:jc w:val="center"/>
            </w:pPr>
            <w:r>
              <w:t>9060.3</w:t>
            </w:r>
          </w:p>
        </w:tc>
        <w:tc>
          <w:tcPr>
            <w:tcW w:w="944" w:type="pct"/>
            <w:vAlign w:val="center"/>
          </w:tcPr>
          <w:p>
            <w:pPr>
              <w:pStyle w:val="105"/>
              <w:jc w:val="center"/>
            </w:pPr>
          </w:p>
        </w:tc>
        <w:tc>
          <w:tcPr>
            <w:tcW w:w="660" w:type="pct"/>
            <w:vAlign w:val="center"/>
          </w:tcPr>
          <w:p>
            <w:pPr>
              <w:pStyle w:val="105"/>
              <w:jc w:val="center"/>
            </w:pPr>
          </w:p>
        </w:tc>
      </w:tr>
    </w:tbl>
    <w:p>
      <w:pPr>
        <w:pStyle w:val="87"/>
        <w:spacing w:before="120"/>
        <w:ind w:firstLine="480"/>
      </w:pPr>
      <w:bookmarkStart w:id="196" w:name="_Ref192540333"/>
      <w:r>
        <w:rPr>
          <w:rFonts w:hint="eastAsia"/>
        </w:rPr>
        <w:t>项目与名木古树位置关系表</w:t>
      </w:r>
      <w:bookmarkEnd w:id="196"/>
    </w:p>
    <w:tbl>
      <w:tblPr>
        <w:tblStyle w:val="152"/>
        <w:tblW w:w="492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30"/>
        <w:gridCol w:w="989"/>
        <w:gridCol w:w="1270"/>
        <w:gridCol w:w="1422"/>
        <w:gridCol w:w="714"/>
        <w:gridCol w:w="1782"/>
        <w:gridCol w:w="1047"/>
        <w:gridCol w:w="12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41" w:type="pct"/>
            <w:vAlign w:val="center"/>
          </w:tcPr>
          <w:p>
            <w:pPr>
              <w:pStyle w:val="105"/>
              <w:jc w:val="center"/>
            </w:pPr>
            <w:r>
              <w:rPr>
                <w:rFonts w:hint="eastAsia"/>
              </w:rPr>
              <w:t>序号</w:t>
            </w:r>
          </w:p>
        </w:tc>
        <w:tc>
          <w:tcPr>
            <w:tcW w:w="554" w:type="pct"/>
            <w:vAlign w:val="center"/>
          </w:tcPr>
          <w:p>
            <w:pPr>
              <w:pStyle w:val="105"/>
              <w:jc w:val="center"/>
            </w:pPr>
            <w:r>
              <w:rPr>
                <w:rFonts w:hint="eastAsia"/>
              </w:rPr>
              <w:t>路段</w:t>
            </w:r>
          </w:p>
        </w:tc>
        <w:tc>
          <w:tcPr>
            <w:tcW w:w="711" w:type="pct"/>
            <w:vAlign w:val="center"/>
          </w:tcPr>
          <w:p>
            <w:pPr>
              <w:pStyle w:val="105"/>
              <w:jc w:val="center"/>
            </w:pPr>
            <w:r>
              <w:rPr>
                <w:rFonts w:hint="eastAsia"/>
              </w:rPr>
              <w:t>名木/古树</w:t>
            </w:r>
          </w:p>
        </w:tc>
        <w:tc>
          <w:tcPr>
            <w:tcW w:w="796" w:type="pct"/>
            <w:vAlign w:val="center"/>
          </w:tcPr>
          <w:p>
            <w:pPr>
              <w:pStyle w:val="105"/>
              <w:jc w:val="center"/>
            </w:pPr>
            <w:r>
              <w:rPr>
                <w:rFonts w:hint="eastAsia"/>
              </w:rPr>
              <w:t>村庄</w:t>
            </w:r>
          </w:p>
        </w:tc>
        <w:tc>
          <w:tcPr>
            <w:tcW w:w="400" w:type="pct"/>
            <w:vAlign w:val="center"/>
          </w:tcPr>
          <w:p>
            <w:pPr>
              <w:pStyle w:val="105"/>
              <w:jc w:val="center"/>
            </w:pPr>
            <w:r>
              <w:rPr>
                <w:rFonts w:hint="eastAsia"/>
              </w:rPr>
              <w:t>树龄</w:t>
            </w:r>
          </w:p>
        </w:tc>
        <w:tc>
          <w:tcPr>
            <w:tcW w:w="998" w:type="pct"/>
            <w:vAlign w:val="center"/>
          </w:tcPr>
          <w:p>
            <w:pPr>
              <w:pStyle w:val="105"/>
              <w:jc w:val="center"/>
            </w:pPr>
            <w:r>
              <w:rPr>
                <w:rFonts w:hint="eastAsia"/>
              </w:rPr>
              <w:t>经纬度</w:t>
            </w:r>
          </w:p>
        </w:tc>
        <w:tc>
          <w:tcPr>
            <w:tcW w:w="586" w:type="pct"/>
            <w:vAlign w:val="center"/>
          </w:tcPr>
          <w:p>
            <w:pPr>
              <w:pStyle w:val="105"/>
              <w:jc w:val="center"/>
            </w:pPr>
            <w:r>
              <w:rPr>
                <w:rFonts w:hint="eastAsia"/>
              </w:rPr>
              <w:t>位置关系</w:t>
            </w:r>
          </w:p>
        </w:tc>
        <w:tc>
          <w:tcPr>
            <w:tcW w:w="714" w:type="pct"/>
            <w:vAlign w:val="center"/>
          </w:tcPr>
          <w:p>
            <w:pPr>
              <w:pStyle w:val="105"/>
              <w:jc w:val="center"/>
            </w:pPr>
            <w:r>
              <w:rPr>
                <w:rFonts w:hint="eastAsia"/>
              </w:rPr>
              <w:t>现状生长情况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41" w:type="pct"/>
            <w:vMerge w:val="restart"/>
            <w:vAlign w:val="center"/>
          </w:tcPr>
          <w:p>
            <w:pPr>
              <w:pStyle w:val="105"/>
              <w:jc w:val="center"/>
            </w:pPr>
            <w:r>
              <w:rPr>
                <w:rFonts w:hint="eastAsia"/>
              </w:rPr>
              <w:t>1</w:t>
            </w:r>
          </w:p>
        </w:tc>
        <w:tc>
          <w:tcPr>
            <w:tcW w:w="554" w:type="pct"/>
            <w:vMerge w:val="restart"/>
            <w:vAlign w:val="center"/>
          </w:tcPr>
          <w:p>
            <w:pPr>
              <w:pStyle w:val="105"/>
              <w:jc w:val="center"/>
            </w:pPr>
            <w:r>
              <w:t>K2+260~</w:t>
            </w:r>
          </w:p>
          <w:p>
            <w:pPr>
              <w:pStyle w:val="105"/>
              <w:jc w:val="center"/>
            </w:pPr>
            <w:r>
              <w:t>K2+300</w:t>
            </w:r>
            <w:r>
              <w:rPr>
                <w:rFonts w:hint="eastAsia"/>
              </w:rPr>
              <w:t>路左</w:t>
            </w:r>
          </w:p>
        </w:tc>
        <w:tc>
          <w:tcPr>
            <w:tcW w:w="711" w:type="pct"/>
            <w:vAlign w:val="center"/>
          </w:tcPr>
          <w:p>
            <w:pPr>
              <w:pStyle w:val="105"/>
              <w:jc w:val="center"/>
            </w:pPr>
            <w:r>
              <w:rPr>
                <w:rFonts w:hint="eastAsia"/>
              </w:rPr>
              <w:t>龙眼（桂圆）</w:t>
            </w:r>
          </w:p>
        </w:tc>
        <w:tc>
          <w:tcPr>
            <w:tcW w:w="796" w:type="pct"/>
            <w:vAlign w:val="center"/>
          </w:tcPr>
          <w:p>
            <w:pPr>
              <w:pStyle w:val="105"/>
              <w:jc w:val="center"/>
            </w:pPr>
            <w:r>
              <w:rPr>
                <w:rFonts w:hint="eastAsia"/>
              </w:rPr>
              <w:tab/>
            </w:r>
            <w:r>
              <w:rPr>
                <w:rFonts w:hint="eastAsia"/>
              </w:rPr>
              <w:t>联华村火烧埔</w:t>
            </w:r>
          </w:p>
        </w:tc>
        <w:tc>
          <w:tcPr>
            <w:tcW w:w="400" w:type="pct"/>
            <w:vAlign w:val="center"/>
          </w:tcPr>
          <w:p>
            <w:pPr>
              <w:pStyle w:val="105"/>
              <w:jc w:val="center"/>
            </w:pPr>
            <w:r>
              <w:rPr>
                <w:rFonts w:hint="eastAsia"/>
              </w:rPr>
              <w:t>1</w:t>
            </w:r>
            <w:r>
              <w:t>00</w:t>
            </w:r>
            <w:r>
              <w:rPr>
                <w:rFonts w:hint="eastAsia"/>
              </w:rPr>
              <w:t>年</w:t>
            </w:r>
          </w:p>
        </w:tc>
        <w:tc>
          <w:tcPr>
            <w:tcW w:w="998" w:type="pct"/>
            <w:vAlign w:val="center"/>
          </w:tcPr>
          <w:p>
            <w:pPr>
              <w:pStyle w:val="105"/>
              <w:jc w:val="center"/>
            </w:pPr>
            <w:r>
              <w:t>E:</w:t>
            </w:r>
            <w:r>
              <w:rPr>
                <w:rFonts w:hint="eastAsia"/>
              </w:rPr>
              <w:t>119°16′28″</w:t>
            </w:r>
          </w:p>
          <w:p>
            <w:pPr>
              <w:pStyle w:val="105"/>
              <w:jc w:val="center"/>
            </w:pPr>
            <w:r>
              <w:t>N:</w:t>
            </w:r>
            <w:r>
              <w:rPr>
                <w:rFonts w:hint="eastAsia"/>
              </w:rPr>
              <w:t>25°37′29″</w:t>
            </w:r>
          </w:p>
        </w:tc>
        <w:tc>
          <w:tcPr>
            <w:tcW w:w="586" w:type="pct"/>
            <w:vAlign w:val="center"/>
          </w:tcPr>
          <w:p>
            <w:pPr>
              <w:pStyle w:val="105"/>
              <w:jc w:val="center"/>
            </w:pPr>
            <w:r>
              <w:rPr>
                <w:rFonts w:hint="eastAsia"/>
              </w:rPr>
              <w:t>S</w:t>
            </w:r>
            <w:r>
              <w:t>222</w:t>
            </w:r>
            <w:r>
              <w:rPr>
                <w:rFonts w:hint="eastAsia"/>
              </w:rPr>
              <w:t>m</w:t>
            </w:r>
          </w:p>
        </w:tc>
        <w:tc>
          <w:tcPr>
            <w:tcW w:w="714" w:type="pct"/>
            <w:vAlign w:val="center"/>
          </w:tcPr>
          <w:p>
            <w:pPr>
              <w:pStyle w:val="105"/>
              <w:jc w:val="center"/>
            </w:pPr>
            <w:r>
              <w:rPr>
                <w:rFonts w:hint="eastAsia"/>
              </w:rPr>
              <w:t>枯死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41" w:type="pct"/>
            <w:vMerge w:val="continue"/>
            <w:vAlign w:val="center"/>
          </w:tcPr>
          <w:p>
            <w:pPr>
              <w:pStyle w:val="105"/>
              <w:jc w:val="center"/>
            </w:pPr>
          </w:p>
        </w:tc>
        <w:tc>
          <w:tcPr>
            <w:tcW w:w="554" w:type="pct"/>
            <w:vMerge w:val="continue"/>
            <w:vAlign w:val="center"/>
          </w:tcPr>
          <w:p>
            <w:pPr>
              <w:pStyle w:val="105"/>
              <w:jc w:val="center"/>
            </w:pPr>
          </w:p>
        </w:tc>
        <w:tc>
          <w:tcPr>
            <w:tcW w:w="711" w:type="pct"/>
            <w:vAlign w:val="center"/>
          </w:tcPr>
          <w:p>
            <w:pPr>
              <w:pStyle w:val="105"/>
              <w:jc w:val="center"/>
            </w:pPr>
            <w:r>
              <w:rPr>
                <w:rFonts w:hint="eastAsia"/>
              </w:rPr>
              <w:t>龙眼（桂圆）</w:t>
            </w:r>
          </w:p>
        </w:tc>
        <w:tc>
          <w:tcPr>
            <w:tcW w:w="796" w:type="pct"/>
            <w:vAlign w:val="center"/>
          </w:tcPr>
          <w:p>
            <w:pPr>
              <w:pStyle w:val="105"/>
              <w:jc w:val="center"/>
            </w:pPr>
            <w:r>
              <w:rPr>
                <w:rFonts w:hint="eastAsia"/>
              </w:rPr>
              <w:tab/>
            </w:r>
            <w:r>
              <w:rPr>
                <w:rFonts w:hint="eastAsia"/>
              </w:rPr>
              <w:t>联华村火烧埔</w:t>
            </w:r>
          </w:p>
        </w:tc>
        <w:tc>
          <w:tcPr>
            <w:tcW w:w="400" w:type="pct"/>
            <w:vAlign w:val="center"/>
          </w:tcPr>
          <w:p>
            <w:pPr>
              <w:pStyle w:val="105"/>
              <w:jc w:val="center"/>
            </w:pPr>
            <w:r>
              <w:rPr>
                <w:rFonts w:hint="eastAsia"/>
              </w:rPr>
              <w:t>1</w:t>
            </w:r>
            <w:r>
              <w:t>50</w:t>
            </w:r>
            <w:r>
              <w:rPr>
                <w:rFonts w:hint="eastAsia"/>
              </w:rPr>
              <w:t>年</w:t>
            </w:r>
          </w:p>
        </w:tc>
        <w:tc>
          <w:tcPr>
            <w:tcW w:w="998" w:type="pct"/>
            <w:vAlign w:val="center"/>
          </w:tcPr>
          <w:p>
            <w:pPr>
              <w:pStyle w:val="105"/>
              <w:jc w:val="center"/>
            </w:pPr>
            <w:r>
              <w:t>E:</w:t>
            </w:r>
            <w:r>
              <w:rPr>
                <w:rFonts w:hint="eastAsia"/>
              </w:rPr>
              <w:t>119°16′26″</w:t>
            </w:r>
          </w:p>
          <w:p>
            <w:pPr>
              <w:pStyle w:val="105"/>
              <w:jc w:val="center"/>
            </w:pPr>
            <w:r>
              <w:t>N:</w:t>
            </w:r>
            <w:r>
              <w:rPr>
                <w:rFonts w:hint="eastAsia"/>
              </w:rPr>
              <w:t>25°37′29″</w:t>
            </w:r>
          </w:p>
        </w:tc>
        <w:tc>
          <w:tcPr>
            <w:tcW w:w="586" w:type="pct"/>
            <w:vAlign w:val="center"/>
          </w:tcPr>
          <w:p>
            <w:pPr>
              <w:pStyle w:val="105"/>
              <w:jc w:val="center"/>
            </w:pPr>
            <w:r>
              <w:rPr>
                <w:rFonts w:hint="eastAsia"/>
              </w:rPr>
              <w:t>S</w:t>
            </w:r>
            <w:r>
              <w:t>222</w:t>
            </w:r>
            <w:r>
              <w:rPr>
                <w:rFonts w:hint="eastAsia"/>
              </w:rPr>
              <w:t>m</w:t>
            </w:r>
          </w:p>
        </w:tc>
        <w:tc>
          <w:tcPr>
            <w:tcW w:w="714" w:type="pct"/>
            <w:vAlign w:val="center"/>
          </w:tcPr>
          <w:p>
            <w:pPr>
              <w:pStyle w:val="105"/>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41" w:type="pct"/>
            <w:vMerge w:val="continue"/>
            <w:vAlign w:val="center"/>
          </w:tcPr>
          <w:p>
            <w:pPr>
              <w:pStyle w:val="105"/>
              <w:jc w:val="center"/>
            </w:pPr>
          </w:p>
        </w:tc>
        <w:tc>
          <w:tcPr>
            <w:tcW w:w="554" w:type="pct"/>
            <w:vMerge w:val="continue"/>
            <w:vAlign w:val="center"/>
          </w:tcPr>
          <w:p>
            <w:pPr>
              <w:pStyle w:val="105"/>
              <w:jc w:val="center"/>
            </w:pPr>
          </w:p>
        </w:tc>
        <w:tc>
          <w:tcPr>
            <w:tcW w:w="711" w:type="pct"/>
            <w:vAlign w:val="center"/>
          </w:tcPr>
          <w:p>
            <w:pPr>
              <w:pStyle w:val="105"/>
              <w:jc w:val="center"/>
            </w:pPr>
            <w:r>
              <w:rPr>
                <w:rFonts w:hint="eastAsia"/>
              </w:rPr>
              <w:t>榕树（榕）</w:t>
            </w:r>
          </w:p>
        </w:tc>
        <w:tc>
          <w:tcPr>
            <w:tcW w:w="796" w:type="pct"/>
            <w:vAlign w:val="center"/>
          </w:tcPr>
          <w:p>
            <w:pPr>
              <w:pStyle w:val="105"/>
              <w:jc w:val="center"/>
            </w:pPr>
            <w:r>
              <w:rPr>
                <w:rFonts w:hint="eastAsia"/>
              </w:rPr>
              <w:tab/>
            </w:r>
            <w:r>
              <w:rPr>
                <w:rFonts w:hint="eastAsia"/>
              </w:rPr>
              <w:t>联华村火烧埔</w:t>
            </w:r>
          </w:p>
        </w:tc>
        <w:tc>
          <w:tcPr>
            <w:tcW w:w="400" w:type="pct"/>
            <w:vAlign w:val="center"/>
          </w:tcPr>
          <w:p>
            <w:pPr>
              <w:pStyle w:val="105"/>
              <w:jc w:val="center"/>
            </w:pPr>
            <w:r>
              <w:rPr>
                <w:rFonts w:hint="eastAsia"/>
              </w:rPr>
              <w:t>1</w:t>
            </w:r>
            <w:r>
              <w:t>00</w:t>
            </w:r>
            <w:r>
              <w:rPr>
                <w:rFonts w:hint="eastAsia"/>
              </w:rPr>
              <w:t>年</w:t>
            </w:r>
          </w:p>
        </w:tc>
        <w:tc>
          <w:tcPr>
            <w:tcW w:w="998" w:type="pct"/>
            <w:vAlign w:val="center"/>
          </w:tcPr>
          <w:p>
            <w:pPr>
              <w:pStyle w:val="105"/>
              <w:jc w:val="center"/>
            </w:pPr>
            <w:r>
              <w:t>E:</w:t>
            </w:r>
            <w:r>
              <w:rPr>
                <w:rFonts w:hint="eastAsia"/>
              </w:rPr>
              <w:t>119°16′28″</w:t>
            </w:r>
          </w:p>
          <w:p>
            <w:pPr>
              <w:pStyle w:val="105"/>
              <w:jc w:val="center"/>
            </w:pPr>
            <w:r>
              <w:t>N:</w:t>
            </w:r>
            <w:r>
              <w:rPr>
                <w:rFonts w:hint="eastAsia"/>
              </w:rPr>
              <w:t>25°37′28″</w:t>
            </w:r>
          </w:p>
        </w:tc>
        <w:tc>
          <w:tcPr>
            <w:tcW w:w="586" w:type="pct"/>
            <w:vAlign w:val="center"/>
          </w:tcPr>
          <w:p>
            <w:pPr>
              <w:pStyle w:val="105"/>
              <w:jc w:val="center"/>
            </w:pPr>
            <w:r>
              <w:rPr>
                <w:rFonts w:hint="eastAsia"/>
              </w:rPr>
              <w:t>S</w:t>
            </w:r>
            <w:r>
              <w:t>252</w:t>
            </w:r>
            <w:r>
              <w:rPr>
                <w:rFonts w:hint="eastAsia"/>
              </w:rPr>
              <w:t>m</w:t>
            </w:r>
          </w:p>
        </w:tc>
        <w:tc>
          <w:tcPr>
            <w:tcW w:w="714" w:type="pct"/>
            <w:vAlign w:val="center"/>
          </w:tcPr>
          <w:p>
            <w:pPr>
              <w:pStyle w:val="105"/>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41" w:type="pct"/>
            <w:vAlign w:val="center"/>
          </w:tcPr>
          <w:p>
            <w:pPr>
              <w:pStyle w:val="105"/>
              <w:jc w:val="center"/>
            </w:pPr>
            <w:r>
              <w:rPr>
                <w:rFonts w:hint="eastAsia"/>
              </w:rPr>
              <w:t>2</w:t>
            </w:r>
          </w:p>
        </w:tc>
        <w:tc>
          <w:tcPr>
            <w:tcW w:w="554" w:type="pct"/>
            <w:vAlign w:val="center"/>
          </w:tcPr>
          <w:p>
            <w:pPr>
              <w:pStyle w:val="105"/>
              <w:jc w:val="center"/>
            </w:pPr>
            <w:r>
              <w:t>K3+480</w:t>
            </w:r>
            <w:r>
              <w:rPr>
                <w:rFonts w:hint="eastAsia"/>
              </w:rPr>
              <w:t>路左</w:t>
            </w:r>
          </w:p>
        </w:tc>
        <w:tc>
          <w:tcPr>
            <w:tcW w:w="711" w:type="pct"/>
            <w:vAlign w:val="center"/>
          </w:tcPr>
          <w:p>
            <w:pPr>
              <w:pStyle w:val="105"/>
              <w:jc w:val="center"/>
            </w:pPr>
            <w:r>
              <w:rPr>
                <w:rFonts w:hint="eastAsia"/>
              </w:rPr>
              <w:t>秋枫（茄冬）</w:t>
            </w:r>
          </w:p>
        </w:tc>
        <w:tc>
          <w:tcPr>
            <w:tcW w:w="796" w:type="pct"/>
            <w:vAlign w:val="center"/>
          </w:tcPr>
          <w:p>
            <w:pPr>
              <w:pStyle w:val="105"/>
              <w:jc w:val="center"/>
            </w:pPr>
            <w:r>
              <w:rPr>
                <w:rFonts w:hint="eastAsia"/>
              </w:rPr>
              <w:t>联华村名</w:t>
            </w:r>
            <w:r>
              <w:rPr>
                <w:rFonts w:hint="eastAsia"/>
              </w:rPr>
              <w:tab/>
            </w:r>
            <w:r>
              <w:rPr>
                <w:rFonts w:hint="eastAsia"/>
              </w:rPr>
              <w:t>西山</w:t>
            </w:r>
          </w:p>
        </w:tc>
        <w:tc>
          <w:tcPr>
            <w:tcW w:w="400" w:type="pct"/>
            <w:vAlign w:val="center"/>
          </w:tcPr>
          <w:p>
            <w:pPr>
              <w:pStyle w:val="105"/>
              <w:jc w:val="center"/>
            </w:pPr>
            <w:r>
              <w:rPr>
                <w:rFonts w:hint="eastAsia"/>
              </w:rPr>
              <w:t>1</w:t>
            </w:r>
            <w:r>
              <w:t>00</w:t>
            </w:r>
            <w:r>
              <w:rPr>
                <w:rFonts w:hint="eastAsia"/>
              </w:rPr>
              <w:t>年</w:t>
            </w:r>
          </w:p>
        </w:tc>
        <w:tc>
          <w:tcPr>
            <w:tcW w:w="998" w:type="pct"/>
            <w:vAlign w:val="center"/>
          </w:tcPr>
          <w:p>
            <w:pPr>
              <w:pStyle w:val="105"/>
              <w:jc w:val="center"/>
            </w:pPr>
            <w:r>
              <w:t>E:</w:t>
            </w:r>
            <w:r>
              <w:rPr>
                <w:rFonts w:hint="eastAsia"/>
              </w:rPr>
              <w:t>119°15′52″</w:t>
            </w:r>
          </w:p>
          <w:p>
            <w:pPr>
              <w:pStyle w:val="105"/>
              <w:jc w:val="center"/>
            </w:pPr>
            <w:r>
              <w:t>N:</w:t>
            </w:r>
            <w:r>
              <w:rPr>
                <w:rFonts w:hint="eastAsia"/>
              </w:rPr>
              <w:t>25°37′40″</w:t>
            </w:r>
          </w:p>
        </w:tc>
        <w:tc>
          <w:tcPr>
            <w:tcW w:w="586" w:type="pct"/>
            <w:vAlign w:val="center"/>
          </w:tcPr>
          <w:p>
            <w:pPr>
              <w:pStyle w:val="105"/>
              <w:jc w:val="center"/>
            </w:pPr>
            <w:r>
              <w:rPr>
                <w:rFonts w:hint="eastAsia"/>
              </w:rPr>
              <w:t>S</w:t>
            </w:r>
            <w:r>
              <w:t>151</w:t>
            </w:r>
            <w:r>
              <w:rPr>
                <w:rFonts w:hint="eastAsia"/>
              </w:rPr>
              <w:t>m</w:t>
            </w:r>
          </w:p>
        </w:tc>
        <w:tc>
          <w:tcPr>
            <w:tcW w:w="714" w:type="pct"/>
            <w:vAlign w:val="center"/>
          </w:tcPr>
          <w:p>
            <w:pPr>
              <w:pStyle w:val="105"/>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41" w:type="pct"/>
            <w:vAlign w:val="center"/>
          </w:tcPr>
          <w:p>
            <w:pPr>
              <w:pStyle w:val="105"/>
              <w:jc w:val="center"/>
            </w:pPr>
            <w:r>
              <w:rPr>
                <w:rFonts w:hint="eastAsia"/>
              </w:rPr>
              <w:t>3</w:t>
            </w:r>
          </w:p>
        </w:tc>
        <w:tc>
          <w:tcPr>
            <w:tcW w:w="554" w:type="pct"/>
            <w:vAlign w:val="center"/>
          </w:tcPr>
          <w:p>
            <w:pPr>
              <w:pStyle w:val="105"/>
              <w:jc w:val="center"/>
            </w:pPr>
            <w:r>
              <w:t>K3+960</w:t>
            </w:r>
            <w:r>
              <w:rPr>
                <w:rFonts w:hint="eastAsia"/>
              </w:rPr>
              <w:t>路右</w:t>
            </w:r>
          </w:p>
        </w:tc>
        <w:tc>
          <w:tcPr>
            <w:tcW w:w="711" w:type="pct"/>
            <w:vAlign w:val="center"/>
          </w:tcPr>
          <w:p>
            <w:pPr>
              <w:pStyle w:val="105"/>
              <w:jc w:val="center"/>
            </w:pPr>
            <w:r>
              <w:rPr>
                <w:rFonts w:hint="eastAsia"/>
              </w:rPr>
              <w:t>榕树（榕）</w:t>
            </w:r>
          </w:p>
        </w:tc>
        <w:tc>
          <w:tcPr>
            <w:tcW w:w="796" w:type="pct"/>
            <w:vAlign w:val="center"/>
          </w:tcPr>
          <w:p>
            <w:pPr>
              <w:pStyle w:val="105"/>
              <w:jc w:val="center"/>
            </w:pPr>
            <w:r>
              <w:rPr>
                <w:rFonts w:hint="eastAsia"/>
              </w:rPr>
              <w:t>联华村木厝洋</w:t>
            </w:r>
          </w:p>
        </w:tc>
        <w:tc>
          <w:tcPr>
            <w:tcW w:w="400" w:type="pct"/>
            <w:vAlign w:val="center"/>
          </w:tcPr>
          <w:p>
            <w:pPr>
              <w:pStyle w:val="105"/>
              <w:jc w:val="center"/>
            </w:pPr>
            <w:r>
              <w:rPr>
                <w:rFonts w:hint="eastAsia"/>
              </w:rPr>
              <w:t>2</w:t>
            </w:r>
            <w:r>
              <w:t>63</w:t>
            </w:r>
            <w:r>
              <w:rPr>
                <w:rFonts w:hint="eastAsia"/>
              </w:rPr>
              <w:t>年</w:t>
            </w:r>
          </w:p>
        </w:tc>
        <w:tc>
          <w:tcPr>
            <w:tcW w:w="998" w:type="pct"/>
            <w:vAlign w:val="center"/>
          </w:tcPr>
          <w:p>
            <w:pPr>
              <w:pStyle w:val="105"/>
              <w:jc w:val="center"/>
            </w:pPr>
            <w:r>
              <w:t>E:</w:t>
            </w:r>
            <w:r>
              <w:rPr>
                <w:rFonts w:hint="eastAsia"/>
              </w:rPr>
              <w:t>119°15′40″</w:t>
            </w:r>
          </w:p>
          <w:p>
            <w:pPr>
              <w:pStyle w:val="105"/>
              <w:jc w:val="center"/>
            </w:pPr>
            <w:r>
              <w:t>N:</w:t>
            </w:r>
            <w:r>
              <w:rPr>
                <w:rFonts w:hint="eastAsia"/>
              </w:rPr>
              <w:t>25°37′54″</w:t>
            </w:r>
          </w:p>
        </w:tc>
        <w:tc>
          <w:tcPr>
            <w:tcW w:w="586" w:type="pct"/>
            <w:vAlign w:val="center"/>
          </w:tcPr>
          <w:p>
            <w:pPr>
              <w:pStyle w:val="105"/>
              <w:jc w:val="center"/>
            </w:pPr>
            <w:r>
              <w:rPr>
                <w:rFonts w:hint="eastAsia"/>
              </w:rPr>
              <w:t>N</w:t>
            </w:r>
            <w:r>
              <w:t>E 255</w:t>
            </w:r>
            <w:r>
              <w:rPr>
                <w:rFonts w:hint="eastAsia"/>
              </w:rPr>
              <w:t>m</w:t>
            </w:r>
          </w:p>
        </w:tc>
        <w:tc>
          <w:tcPr>
            <w:tcW w:w="714" w:type="pct"/>
            <w:vAlign w:val="center"/>
          </w:tcPr>
          <w:p>
            <w:pPr>
              <w:pStyle w:val="105"/>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41" w:type="pct"/>
            <w:vAlign w:val="center"/>
          </w:tcPr>
          <w:p>
            <w:pPr>
              <w:pStyle w:val="105"/>
              <w:jc w:val="center"/>
            </w:pPr>
            <w:r>
              <w:rPr>
                <w:rFonts w:hint="eastAsia"/>
              </w:rPr>
              <w:t>4</w:t>
            </w:r>
          </w:p>
        </w:tc>
        <w:tc>
          <w:tcPr>
            <w:tcW w:w="554" w:type="pct"/>
            <w:vAlign w:val="center"/>
          </w:tcPr>
          <w:p>
            <w:pPr>
              <w:pStyle w:val="105"/>
              <w:jc w:val="center"/>
            </w:pPr>
            <w:r>
              <w:t>K5+000</w:t>
            </w:r>
            <w:r>
              <w:rPr>
                <w:rFonts w:hint="eastAsia"/>
              </w:rPr>
              <w:t>路右</w:t>
            </w:r>
          </w:p>
        </w:tc>
        <w:tc>
          <w:tcPr>
            <w:tcW w:w="711" w:type="pct"/>
            <w:vAlign w:val="center"/>
          </w:tcPr>
          <w:p>
            <w:pPr>
              <w:pStyle w:val="105"/>
              <w:jc w:val="center"/>
            </w:pPr>
            <w:r>
              <w:rPr>
                <w:rFonts w:hint="eastAsia"/>
              </w:rPr>
              <w:t>秋枫（茄冬）</w:t>
            </w:r>
          </w:p>
        </w:tc>
        <w:tc>
          <w:tcPr>
            <w:tcW w:w="796" w:type="pct"/>
            <w:vAlign w:val="center"/>
          </w:tcPr>
          <w:p>
            <w:pPr>
              <w:pStyle w:val="105"/>
              <w:jc w:val="center"/>
            </w:pPr>
            <w:r>
              <w:rPr>
                <w:rFonts w:hint="eastAsia"/>
              </w:rPr>
              <w:t>联华村三落厝溪边</w:t>
            </w:r>
          </w:p>
        </w:tc>
        <w:tc>
          <w:tcPr>
            <w:tcW w:w="400" w:type="pct"/>
            <w:vAlign w:val="center"/>
          </w:tcPr>
          <w:p>
            <w:pPr>
              <w:pStyle w:val="105"/>
              <w:jc w:val="center"/>
            </w:pPr>
            <w:r>
              <w:t>193</w:t>
            </w:r>
            <w:r>
              <w:rPr>
                <w:rFonts w:hint="eastAsia"/>
              </w:rPr>
              <w:t>年</w:t>
            </w:r>
          </w:p>
        </w:tc>
        <w:tc>
          <w:tcPr>
            <w:tcW w:w="998" w:type="pct"/>
            <w:vAlign w:val="center"/>
          </w:tcPr>
          <w:p>
            <w:pPr>
              <w:pStyle w:val="105"/>
              <w:jc w:val="center"/>
            </w:pPr>
            <w:r>
              <w:t>E:</w:t>
            </w:r>
            <w:r>
              <w:rPr>
                <w:rFonts w:hint="eastAsia"/>
              </w:rPr>
              <w:t>119°15′24″</w:t>
            </w:r>
          </w:p>
          <w:p>
            <w:pPr>
              <w:pStyle w:val="105"/>
              <w:jc w:val="center"/>
            </w:pPr>
            <w:r>
              <w:t>N:</w:t>
            </w:r>
            <w:r>
              <w:rPr>
                <w:rFonts w:hint="eastAsia"/>
              </w:rPr>
              <w:t>25°38′21″</w:t>
            </w:r>
          </w:p>
        </w:tc>
        <w:tc>
          <w:tcPr>
            <w:tcW w:w="586" w:type="pct"/>
            <w:vAlign w:val="center"/>
          </w:tcPr>
          <w:p>
            <w:pPr>
              <w:pStyle w:val="105"/>
              <w:jc w:val="center"/>
            </w:pPr>
            <w:r>
              <w:rPr>
                <w:rFonts w:hint="eastAsia"/>
              </w:rPr>
              <w:t>N</w:t>
            </w:r>
            <w:r>
              <w:t>E90</w:t>
            </w:r>
            <w:r>
              <w:rPr>
                <w:rFonts w:hint="eastAsia"/>
              </w:rPr>
              <w:t>m</w:t>
            </w:r>
          </w:p>
        </w:tc>
        <w:tc>
          <w:tcPr>
            <w:tcW w:w="714" w:type="pct"/>
            <w:vAlign w:val="center"/>
          </w:tcPr>
          <w:p>
            <w:pPr>
              <w:pStyle w:val="105"/>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41" w:type="pct"/>
            <w:vAlign w:val="center"/>
          </w:tcPr>
          <w:p>
            <w:pPr>
              <w:pStyle w:val="105"/>
              <w:jc w:val="center"/>
            </w:pPr>
            <w:r>
              <w:rPr>
                <w:rFonts w:hint="eastAsia"/>
              </w:rPr>
              <w:t>5</w:t>
            </w:r>
          </w:p>
        </w:tc>
        <w:tc>
          <w:tcPr>
            <w:tcW w:w="554" w:type="pct"/>
            <w:vAlign w:val="center"/>
          </w:tcPr>
          <w:p>
            <w:pPr>
              <w:pStyle w:val="105"/>
              <w:jc w:val="center"/>
            </w:pPr>
            <w:r>
              <w:rPr>
                <w:rFonts w:hint="eastAsia"/>
              </w:rPr>
              <w:t>终点北侧</w:t>
            </w:r>
          </w:p>
        </w:tc>
        <w:tc>
          <w:tcPr>
            <w:tcW w:w="711" w:type="pct"/>
            <w:vAlign w:val="center"/>
          </w:tcPr>
          <w:p>
            <w:pPr>
              <w:pStyle w:val="105"/>
              <w:jc w:val="center"/>
            </w:pPr>
            <w:r>
              <w:rPr>
                <w:rFonts w:hint="eastAsia"/>
              </w:rPr>
              <w:t>荔枝</w:t>
            </w:r>
          </w:p>
        </w:tc>
        <w:tc>
          <w:tcPr>
            <w:tcW w:w="796" w:type="pct"/>
            <w:vAlign w:val="center"/>
          </w:tcPr>
          <w:p>
            <w:pPr>
              <w:pStyle w:val="105"/>
              <w:jc w:val="center"/>
            </w:pPr>
            <w:r>
              <w:rPr>
                <w:rFonts w:hint="eastAsia"/>
              </w:rPr>
              <w:tab/>
            </w:r>
            <w:r>
              <w:rPr>
                <w:rFonts w:hint="eastAsia"/>
              </w:rPr>
              <w:t>黄檗寺路旁</w:t>
            </w:r>
          </w:p>
        </w:tc>
        <w:tc>
          <w:tcPr>
            <w:tcW w:w="400" w:type="pct"/>
            <w:vAlign w:val="center"/>
          </w:tcPr>
          <w:p>
            <w:pPr>
              <w:pStyle w:val="105"/>
              <w:jc w:val="center"/>
            </w:pPr>
            <w:r>
              <w:rPr>
                <w:rFonts w:hint="eastAsia"/>
              </w:rPr>
              <w:tab/>
            </w:r>
            <w:r>
              <w:rPr>
                <w:rFonts w:hint="eastAsia"/>
              </w:rPr>
              <w:t>123年</w:t>
            </w:r>
          </w:p>
        </w:tc>
        <w:tc>
          <w:tcPr>
            <w:tcW w:w="998" w:type="pct"/>
            <w:vAlign w:val="center"/>
          </w:tcPr>
          <w:p>
            <w:pPr>
              <w:pStyle w:val="105"/>
              <w:jc w:val="center"/>
            </w:pPr>
            <w:r>
              <w:t>E:</w:t>
            </w:r>
            <w:r>
              <w:rPr>
                <w:rFonts w:hint="eastAsia"/>
              </w:rPr>
              <w:t>119°15′23″</w:t>
            </w:r>
          </w:p>
          <w:p>
            <w:pPr>
              <w:pStyle w:val="105"/>
              <w:jc w:val="center"/>
            </w:pPr>
            <w:r>
              <w:t>N:</w:t>
            </w:r>
            <w:r>
              <w:rPr>
                <w:rFonts w:hint="eastAsia"/>
              </w:rPr>
              <w:t>25°38′30″</w:t>
            </w:r>
          </w:p>
        </w:tc>
        <w:tc>
          <w:tcPr>
            <w:tcW w:w="586" w:type="pct"/>
            <w:vAlign w:val="center"/>
          </w:tcPr>
          <w:p>
            <w:pPr>
              <w:pStyle w:val="105"/>
              <w:jc w:val="center"/>
            </w:pPr>
            <w:r>
              <w:rPr>
                <w:rFonts w:hint="eastAsia"/>
              </w:rPr>
              <w:t>N</w:t>
            </w:r>
            <w:r>
              <w:t>217</w:t>
            </w:r>
            <w:r>
              <w:rPr>
                <w:rFonts w:hint="eastAsia"/>
              </w:rPr>
              <w:t>m</w:t>
            </w:r>
          </w:p>
        </w:tc>
        <w:tc>
          <w:tcPr>
            <w:tcW w:w="714" w:type="pct"/>
            <w:vAlign w:val="center"/>
          </w:tcPr>
          <w:p>
            <w:pPr>
              <w:pStyle w:val="105"/>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41" w:type="pct"/>
            <w:vAlign w:val="center"/>
          </w:tcPr>
          <w:p>
            <w:pPr>
              <w:pStyle w:val="105"/>
              <w:jc w:val="center"/>
            </w:pPr>
            <w:r>
              <w:rPr>
                <w:rFonts w:hint="eastAsia"/>
              </w:rPr>
              <w:t>6</w:t>
            </w:r>
          </w:p>
        </w:tc>
        <w:tc>
          <w:tcPr>
            <w:tcW w:w="554" w:type="pct"/>
            <w:vAlign w:val="center"/>
          </w:tcPr>
          <w:p>
            <w:pPr>
              <w:pStyle w:val="105"/>
              <w:jc w:val="center"/>
            </w:pPr>
            <w:r>
              <w:rPr>
                <w:rFonts w:hint="eastAsia"/>
              </w:rPr>
              <w:t>终点西侧</w:t>
            </w:r>
          </w:p>
        </w:tc>
        <w:tc>
          <w:tcPr>
            <w:tcW w:w="711" w:type="pct"/>
            <w:vAlign w:val="center"/>
          </w:tcPr>
          <w:p>
            <w:pPr>
              <w:pStyle w:val="105"/>
              <w:jc w:val="center"/>
            </w:pPr>
            <w:r>
              <w:rPr>
                <w:rFonts w:hint="eastAsia"/>
              </w:rPr>
              <w:tab/>
            </w:r>
            <w:r>
              <w:rPr>
                <w:rFonts w:hint="eastAsia"/>
              </w:rPr>
              <w:t>秋枫（茄冬）</w:t>
            </w:r>
          </w:p>
        </w:tc>
        <w:tc>
          <w:tcPr>
            <w:tcW w:w="796" w:type="pct"/>
            <w:vAlign w:val="center"/>
          </w:tcPr>
          <w:p>
            <w:pPr>
              <w:pStyle w:val="105"/>
              <w:jc w:val="center"/>
            </w:pPr>
            <w:r>
              <w:rPr>
                <w:rFonts w:hint="eastAsia"/>
              </w:rPr>
              <w:t>黄檗寺路旁</w:t>
            </w:r>
          </w:p>
        </w:tc>
        <w:tc>
          <w:tcPr>
            <w:tcW w:w="400" w:type="pct"/>
            <w:vAlign w:val="center"/>
          </w:tcPr>
          <w:p>
            <w:pPr>
              <w:pStyle w:val="105"/>
              <w:jc w:val="center"/>
            </w:pPr>
            <w:r>
              <w:rPr>
                <w:rFonts w:hint="eastAsia"/>
              </w:rPr>
              <w:t>213年</w:t>
            </w:r>
          </w:p>
        </w:tc>
        <w:tc>
          <w:tcPr>
            <w:tcW w:w="998" w:type="pct"/>
            <w:vAlign w:val="center"/>
          </w:tcPr>
          <w:p>
            <w:pPr>
              <w:pStyle w:val="105"/>
              <w:jc w:val="center"/>
            </w:pPr>
            <w:r>
              <w:t>E:</w:t>
            </w:r>
            <w:r>
              <w:rPr>
                <w:rFonts w:hint="eastAsia"/>
              </w:rPr>
              <w:tab/>
            </w:r>
            <w:r>
              <w:rPr>
                <w:rFonts w:hint="eastAsia"/>
              </w:rPr>
              <w:t>119°15′14″</w:t>
            </w:r>
          </w:p>
          <w:p>
            <w:pPr>
              <w:pStyle w:val="105"/>
              <w:jc w:val="center"/>
            </w:pPr>
            <w:r>
              <w:t>N:</w:t>
            </w:r>
            <w:r>
              <w:rPr>
                <w:rFonts w:hint="eastAsia"/>
              </w:rPr>
              <w:t>225°38′32″</w:t>
            </w:r>
          </w:p>
        </w:tc>
        <w:tc>
          <w:tcPr>
            <w:tcW w:w="586" w:type="pct"/>
            <w:vAlign w:val="center"/>
          </w:tcPr>
          <w:p>
            <w:pPr>
              <w:pStyle w:val="105"/>
              <w:jc w:val="center"/>
            </w:pPr>
            <w:r>
              <w:rPr>
                <w:rFonts w:hint="eastAsia"/>
              </w:rPr>
              <w:t>N</w:t>
            </w:r>
            <w:r>
              <w:t>W293</w:t>
            </w:r>
            <w:r>
              <w:rPr>
                <w:rFonts w:hint="eastAsia"/>
              </w:rPr>
              <w:t>m</w:t>
            </w:r>
          </w:p>
        </w:tc>
        <w:tc>
          <w:tcPr>
            <w:tcW w:w="714" w:type="pct"/>
            <w:vAlign w:val="center"/>
          </w:tcPr>
          <w:p>
            <w:pPr>
              <w:pStyle w:val="105"/>
              <w:jc w:val="center"/>
            </w:pPr>
            <w:r>
              <w:rPr>
                <w:rFonts w:hint="eastAsia"/>
              </w:rPr>
              <w:t>正常</w:t>
            </w:r>
          </w:p>
        </w:tc>
      </w:tr>
    </w:tbl>
    <w:p>
      <w:pPr>
        <w:ind w:firstLine="480"/>
        <w:sectPr>
          <w:pgSz w:w="11906" w:h="16838"/>
          <w:pgMar w:top="1418" w:right="1418" w:bottom="1418" w:left="1418" w:header="851" w:footer="851" w:gutter="0"/>
          <w:cols w:space="425" w:num="1"/>
          <w:docGrid w:linePitch="326" w:charSpace="0"/>
        </w:sectPr>
      </w:pPr>
    </w:p>
    <w:p>
      <w:pPr>
        <w:pStyle w:val="105"/>
        <w:spacing w:before="0" w:after="0"/>
        <w:jc w:val="center"/>
      </w:pPr>
      <w:bookmarkStart w:id="197" w:name="_Ref192757850"/>
    </w:p>
    <w:p>
      <w:pPr>
        <w:pStyle w:val="122"/>
        <w:sectPr>
          <w:pgSz w:w="23811" w:h="16838" w:orient="landscape"/>
          <w:pgMar w:top="1134" w:right="1418" w:bottom="1134" w:left="1418" w:header="567" w:footer="567" w:gutter="0"/>
          <w:cols w:space="425" w:num="1"/>
          <w:docGrid w:linePitch="326" w:charSpace="0"/>
        </w:sectPr>
      </w:pPr>
      <w:bookmarkStart w:id="198" w:name="_Ref193835577"/>
      <w:r>
        <w:rPr>
          <w:rFonts w:hint="eastAsia"/>
        </w:rPr>
        <w:t>评价范围生态敏感目标汇总图</w:t>
      </w:r>
      <w:bookmarkEnd w:id="197"/>
      <w:bookmarkEnd w:id="198"/>
    </w:p>
    <w:p>
      <w:pPr>
        <w:pStyle w:val="105"/>
        <w:spacing w:before="0" w:after="0"/>
      </w:pPr>
    </w:p>
    <w:p>
      <w:pPr>
        <w:pStyle w:val="122"/>
        <w:spacing w:before="0" w:after="0"/>
      </w:pPr>
      <w:bookmarkStart w:id="199" w:name="_Ref193786708"/>
      <w:r>
        <w:rPr>
          <w:rFonts w:hint="eastAsia"/>
        </w:rPr>
        <w:t>评价范围生态保护红线分布图</w:t>
      </w:r>
      <w:bookmarkEnd w:id="199"/>
    </w:p>
    <w:p>
      <w:pPr>
        <w:pStyle w:val="105"/>
        <w:spacing w:before="0" w:after="0"/>
        <w:jc w:val="center"/>
      </w:pPr>
    </w:p>
    <w:p>
      <w:pPr>
        <w:pStyle w:val="122"/>
        <w:spacing w:before="0" w:after="0"/>
      </w:pPr>
      <w:bookmarkStart w:id="200" w:name="_Ref192757837"/>
      <w:r>
        <w:rPr>
          <w:rFonts w:hint="eastAsia"/>
        </w:rPr>
        <w:t>评价范围生态公益林分布图</w:t>
      </w:r>
      <w:bookmarkEnd w:id="200"/>
    </w:p>
    <w:p>
      <w:pPr>
        <w:pStyle w:val="105"/>
        <w:spacing w:before="0" w:after="0"/>
        <w:jc w:val="center"/>
      </w:pPr>
    </w:p>
    <w:p>
      <w:pPr>
        <w:pStyle w:val="122"/>
        <w:spacing w:before="0" w:after="0"/>
      </w:pPr>
      <w:bookmarkStart w:id="201" w:name="_Hlk197442163"/>
      <w:r>
        <w:rPr>
          <w:rFonts w:hint="eastAsia"/>
        </w:rPr>
        <w:t>评价范围基本农田分布图</w:t>
      </w:r>
    </w:p>
    <w:bookmarkEnd w:id="201"/>
    <w:p>
      <w:pPr>
        <w:pStyle w:val="105"/>
        <w:spacing w:before="0" w:after="0"/>
        <w:jc w:val="center"/>
      </w:pPr>
    </w:p>
    <w:p>
      <w:pPr>
        <w:pStyle w:val="122"/>
      </w:pPr>
      <w:bookmarkStart w:id="202" w:name="_Ref192540565"/>
      <w:r>
        <w:rPr>
          <w:rFonts w:hint="eastAsia"/>
        </w:rPr>
        <w:t>线路与一般湿地（水系）位置关系图</w:t>
      </w:r>
      <w:bookmarkEnd w:id="202"/>
    </w:p>
    <w:p>
      <w:pPr>
        <w:spacing w:line="240" w:lineRule="auto"/>
        <w:ind w:firstLine="480"/>
      </w:pPr>
    </w:p>
    <w:p>
      <w:pPr>
        <w:pStyle w:val="122"/>
      </w:pPr>
      <w:bookmarkStart w:id="203" w:name="_Ref192757826"/>
      <w:r>
        <w:rPr>
          <w:rFonts w:hint="eastAsia"/>
        </w:rPr>
        <w:t>线路沿线名木古树分布图</w:t>
      </w:r>
      <w:bookmarkEnd w:id="203"/>
    </w:p>
    <w:p>
      <w:pPr>
        <w:ind w:firstLine="480"/>
        <w:sectPr>
          <w:pgSz w:w="16838" w:h="11906" w:orient="landscape"/>
          <w:pgMar w:top="992" w:right="1418" w:bottom="992" w:left="1418" w:header="567" w:footer="567" w:gutter="0"/>
          <w:cols w:space="425" w:num="1"/>
          <w:docGrid w:linePitch="326" w:charSpace="0"/>
        </w:sectPr>
      </w:pPr>
    </w:p>
    <w:p>
      <w:pPr>
        <w:pStyle w:val="114"/>
      </w:pPr>
      <w:bookmarkStart w:id="204" w:name="1.4评价范围及环境保护目标"/>
      <w:bookmarkEnd w:id="204"/>
      <w:bookmarkStart w:id="205" w:name="1.5相关规划及环境功能区划"/>
      <w:bookmarkEnd w:id="205"/>
      <w:bookmarkStart w:id="206" w:name="2建设项目工程分析"/>
      <w:bookmarkEnd w:id="206"/>
      <w:bookmarkStart w:id="207" w:name="1.3评价工作等级和评价重点"/>
      <w:bookmarkEnd w:id="207"/>
      <w:bookmarkStart w:id="208" w:name="_Toc31925"/>
      <w:bookmarkStart w:id="209" w:name="_Toc204676230"/>
      <w:bookmarkStart w:id="210" w:name="_Toc159405458"/>
      <w:r>
        <w:t>建设项目工程分析</w:t>
      </w:r>
      <w:bookmarkEnd w:id="208"/>
      <w:bookmarkEnd w:id="209"/>
      <w:bookmarkEnd w:id="210"/>
    </w:p>
    <w:p>
      <w:pPr>
        <w:pStyle w:val="116"/>
      </w:pPr>
      <w:bookmarkStart w:id="211" w:name="_Toc159405459"/>
      <w:bookmarkStart w:id="212" w:name="_Toc154668025"/>
      <w:bookmarkStart w:id="213" w:name="_Toc204676231"/>
      <w:r>
        <w:rPr>
          <w:rFonts w:hint="eastAsia"/>
        </w:rPr>
        <w:t>路线方案</w:t>
      </w:r>
      <w:bookmarkEnd w:id="211"/>
      <w:bookmarkEnd w:id="212"/>
      <w:r>
        <w:rPr>
          <w:rFonts w:hint="eastAsia"/>
        </w:rPr>
        <w:t>环境比选</w:t>
      </w:r>
      <w:bookmarkEnd w:id="213"/>
    </w:p>
    <w:p>
      <w:pPr>
        <w:ind w:firstLine="480"/>
      </w:pPr>
      <w:r>
        <w:rPr>
          <w:rFonts w:hint="eastAsia"/>
        </w:rPr>
        <w:t>根据路线所经区域的总体规划，综合考虑路线的主要控制因素，结合沿线地形、地貌、水文、地质等因素。设计阶段提出</w:t>
      </w:r>
      <w:r>
        <w:t>2</w:t>
      </w:r>
      <w:r>
        <w:rPr>
          <w:rFonts w:hint="eastAsia"/>
        </w:rPr>
        <w:t>段比选方案，比选方案一览表详见</w:t>
      </w:r>
      <w:r>
        <w:fldChar w:fldCharType="begin"/>
      </w:r>
      <w:r>
        <w:instrText xml:space="preserve"> </w:instrText>
      </w:r>
      <w:r>
        <w:rPr>
          <w:rFonts w:hint="eastAsia"/>
        </w:rPr>
        <w:instrText xml:space="preserve">REF _Ref150155536 \r \h</w:instrText>
      </w:r>
      <w:r>
        <w:instrText xml:space="preserve">  \* MERGEFORMAT </w:instrText>
      </w:r>
      <w:r>
        <w:fldChar w:fldCharType="separate"/>
      </w:r>
      <w:r>
        <w:rPr>
          <w:rFonts w:hint="eastAsia"/>
        </w:rPr>
        <w:t>表3.1-1</w:t>
      </w:r>
      <w:r>
        <w:fldChar w:fldCharType="end"/>
      </w:r>
      <w:r>
        <w:rPr>
          <w:rFonts w:hint="eastAsia"/>
        </w:rPr>
        <w:t>。</w:t>
      </w:r>
    </w:p>
    <w:p>
      <w:pPr>
        <w:pStyle w:val="87"/>
        <w:spacing w:before="120"/>
      </w:pPr>
      <w:bookmarkStart w:id="214" w:name="_Ref150155536"/>
      <w:r>
        <w:rPr>
          <w:rFonts w:hint="eastAsia"/>
        </w:rPr>
        <w:t>比选方案一览表</w:t>
      </w:r>
      <w:bookmarkEnd w:id="214"/>
      <w:r>
        <w:rPr>
          <w:rFonts w:hint="eastAsia"/>
        </w:rPr>
        <w:t xml:space="preserve">  </w:t>
      </w:r>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161"/>
        <w:gridCol w:w="3050"/>
        <w:gridCol w:w="1162"/>
        <w:gridCol w:w="1108"/>
        <w:gridCol w:w="12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Align w:val="center"/>
          </w:tcPr>
          <w:p>
            <w:pPr>
              <w:pStyle w:val="105"/>
              <w:jc w:val="center"/>
              <w:rPr>
                <w:snapToGrid w:val="0"/>
              </w:rPr>
            </w:pPr>
            <w:r>
              <w:rPr>
                <w:rFonts w:hint="eastAsia"/>
                <w:snapToGrid w:val="0"/>
              </w:rPr>
              <w:t>比选路段</w:t>
            </w:r>
          </w:p>
        </w:tc>
        <w:tc>
          <w:tcPr>
            <w:tcW w:w="625" w:type="pct"/>
            <w:vAlign w:val="center"/>
          </w:tcPr>
          <w:p>
            <w:pPr>
              <w:pStyle w:val="105"/>
              <w:jc w:val="center"/>
              <w:rPr>
                <w:snapToGrid w:val="0"/>
              </w:rPr>
            </w:pPr>
            <w:r>
              <w:rPr>
                <w:rFonts w:hint="eastAsia"/>
                <w:snapToGrid w:val="0"/>
              </w:rPr>
              <w:t>方案</w:t>
            </w:r>
          </w:p>
        </w:tc>
        <w:tc>
          <w:tcPr>
            <w:tcW w:w="1641" w:type="pct"/>
            <w:vAlign w:val="center"/>
          </w:tcPr>
          <w:p>
            <w:pPr>
              <w:pStyle w:val="105"/>
              <w:jc w:val="center"/>
              <w:rPr>
                <w:snapToGrid w:val="0"/>
              </w:rPr>
            </w:pPr>
            <w:r>
              <w:rPr>
                <w:rFonts w:hint="eastAsia"/>
                <w:snapToGrid w:val="0"/>
              </w:rPr>
              <w:t>比较路段起讫桩号</w:t>
            </w:r>
          </w:p>
        </w:tc>
        <w:tc>
          <w:tcPr>
            <w:tcW w:w="625" w:type="pct"/>
            <w:vAlign w:val="center"/>
          </w:tcPr>
          <w:p>
            <w:pPr>
              <w:pStyle w:val="105"/>
              <w:jc w:val="center"/>
              <w:rPr>
                <w:snapToGrid w:val="0"/>
              </w:rPr>
            </w:pPr>
            <w:r>
              <w:rPr>
                <w:rFonts w:hint="eastAsia"/>
                <w:snapToGrid w:val="0"/>
              </w:rPr>
              <w:t>线路全长（m）</w:t>
            </w:r>
          </w:p>
        </w:tc>
        <w:tc>
          <w:tcPr>
            <w:tcW w:w="596" w:type="pct"/>
            <w:vAlign w:val="center"/>
          </w:tcPr>
          <w:p>
            <w:pPr>
              <w:pStyle w:val="105"/>
              <w:jc w:val="center"/>
              <w:rPr>
                <w:snapToGrid w:val="0"/>
              </w:rPr>
            </w:pPr>
            <w:r>
              <w:rPr>
                <w:rFonts w:hint="eastAsia"/>
                <w:snapToGrid w:val="0"/>
              </w:rPr>
              <w:t>隧道（m/座）</w:t>
            </w:r>
          </w:p>
        </w:tc>
        <w:tc>
          <w:tcPr>
            <w:tcW w:w="653" w:type="pct"/>
            <w:vAlign w:val="center"/>
          </w:tcPr>
          <w:p>
            <w:pPr>
              <w:pStyle w:val="105"/>
              <w:jc w:val="center"/>
              <w:rPr>
                <w:snapToGrid w:val="0"/>
              </w:rPr>
            </w:pPr>
            <w:r>
              <w:rPr>
                <w:rFonts w:hint="eastAsia"/>
                <w:snapToGrid w:val="0"/>
              </w:rPr>
              <w:t>桥梁（m/座）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vAlign w:val="center"/>
          </w:tcPr>
          <w:p>
            <w:pPr>
              <w:pStyle w:val="105"/>
              <w:jc w:val="center"/>
              <w:rPr>
                <w:snapToGrid w:val="0"/>
              </w:rPr>
            </w:pPr>
            <w:r>
              <w:rPr>
                <w:rFonts w:hint="eastAsia"/>
                <w:snapToGrid w:val="0"/>
              </w:rPr>
              <w:t>起点至林泉段方案比选</w:t>
            </w:r>
          </w:p>
        </w:tc>
        <w:tc>
          <w:tcPr>
            <w:tcW w:w="625" w:type="pct"/>
            <w:vAlign w:val="center"/>
          </w:tcPr>
          <w:p>
            <w:pPr>
              <w:pStyle w:val="105"/>
              <w:jc w:val="center"/>
              <w:rPr>
                <w:snapToGrid w:val="0"/>
              </w:rPr>
            </w:pPr>
            <w:r>
              <w:rPr>
                <w:rFonts w:hint="eastAsia"/>
                <w:snapToGrid w:val="0"/>
              </w:rPr>
              <w:t>K 线方案</w:t>
            </w:r>
          </w:p>
        </w:tc>
        <w:tc>
          <w:tcPr>
            <w:tcW w:w="1641" w:type="pct"/>
            <w:vAlign w:val="center"/>
          </w:tcPr>
          <w:p>
            <w:pPr>
              <w:pStyle w:val="105"/>
              <w:jc w:val="center"/>
              <w:rPr>
                <w:snapToGrid w:val="0"/>
              </w:rPr>
            </w:pPr>
            <w:r>
              <w:rPr>
                <w:rFonts w:hint="eastAsia"/>
                <w:snapToGrid w:val="0"/>
              </w:rPr>
              <w:t>起点K0+000</w:t>
            </w:r>
            <w:r>
              <w:rPr>
                <w:snapToGrid w:val="0"/>
              </w:rPr>
              <w:t>~ K0+619.766</w:t>
            </w:r>
          </w:p>
        </w:tc>
        <w:tc>
          <w:tcPr>
            <w:tcW w:w="625" w:type="pct"/>
            <w:vAlign w:val="center"/>
          </w:tcPr>
          <w:p>
            <w:pPr>
              <w:pStyle w:val="105"/>
              <w:jc w:val="center"/>
              <w:rPr>
                <w:snapToGrid w:val="0"/>
              </w:rPr>
            </w:pPr>
            <w:r>
              <w:rPr>
                <w:snapToGrid w:val="0"/>
              </w:rPr>
              <w:t>619.766</w:t>
            </w:r>
          </w:p>
        </w:tc>
        <w:tc>
          <w:tcPr>
            <w:tcW w:w="596" w:type="pct"/>
            <w:vAlign w:val="center"/>
          </w:tcPr>
          <w:p>
            <w:pPr>
              <w:pStyle w:val="105"/>
              <w:jc w:val="center"/>
              <w:rPr>
                <w:snapToGrid w:val="0"/>
              </w:rPr>
            </w:pPr>
            <w:r>
              <w:rPr>
                <w:rFonts w:hint="eastAsia"/>
                <w:snapToGrid w:val="0"/>
              </w:rPr>
              <w:t>——</w:t>
            </w:r>
          </w:p>
        </w:tc>
        <w:tc>
          <w:tcPr>
            <w:tcW w:w="653" w:type="pct"/>
            <w:vAlign w:val="center"/>
          </w:tcPr>
          <w:p>
            <w:pPr>
              <w:pStyle w:val="105"/>
              <w:jc w:val="center"/>
              <w:rPr>
                <w:snapToGrid w:val="0"/>
              </w:rPr>
            </w:pPr>
            <w:r>
              <w:rPr>
                <w:rFonts w:hint="eastAsia"/>
                <w:snapToGrid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continue"/>
            <w:vAlign w:val="center"/>
          </w:tcPr>
          <w:p>
            <w:pPr>
              <w:pStyle w:val="105"/>
              <w:jc w:val="center"/>
              <w:rPr>
                <w:snapToGrid w:val="0"/>
              </w:rPr>
            </w:pPr>
          </w:p>
        </w:tc>
        <w:tc>
          <w:tcPr>
            <w:tcW w:w="625" w:type="pct"/>
            <w:vAlign w:val="center"/>
          </w:tcPr>
          <w:p>
            <w:pPr>
              <w:pStyle w:val="105"/>
              <w:jc w:val="center"/>
              <w:rPr>
                <w:snapToGrid w:val="0"/>
              </w:rPr>
            </w:pPr>
            <w:r>
              <w:rPr>
                <w:rFonts w:hint="eastAsia"/>
                <w:snapToGrid w:val="0"/>
              </w:rPr>
              <w:t>A 线方案</w:t>
            </w:r>
          </w:p>
        </w:tc>
        <w:tc>
          <w:tcPr>
            <w:tcW w:w="1641" w:type="pct"/>
            <w:vAlign w:val="center"/>
          </w:tcPr>
          <w:p>
            <w:pPr>
              <w:pStyle w:val="105"/>
              <w:jc w:val="center"/>
              <w:rPr>
                <w:snapToGrid w:val="0"/>
              </w:rPr>
            </w:pPr>
            <w:r>
              <w:rPr>
                <w:rFonts w:hint="eastAsia"/>
                <w:snapToGrid w:val="0"/>
              </w:rPr>
              <w:t>起点</w:t>
            </w:r>
            <w:r>
              <w:rPr>
                <w:snapToGrid w:val="0"/>
              </w:rPr>
              <w:t>AK0+000~ K0+569.633</w:t>
            </w:r>
          </w:p>
        </w:tc>
        <w:tc>
          <w:tcPr>
            <w:tcW w:w="625" w:type="pct"/>
            <w:vAlign w:val="center"/>
          </w:tcPr>
          <w:p>
            <w:pPr>
              <w:pStyle w:val="105"/>
              <w:jc w:val="center"/>
              <w:rPr>
                <w:snapToGrid w:val="0"/>
              </w:rPr>
            </w:pPr>
            <w:r>
              <w:rPr>
                <w:snapToGrid w:val="0"/>
              </w:rPr>
              <w:t>569.633</w:t>
            </w:r>
          </w:p>
        </w:tc>
        <w:tc>
          <w:tcPr>
            <w:tcW w:w="596" w:type="pct"/>
            <w:vAlign w:val="center"/>
          </w:tcPr>
          <w:p>
            <w:pPr>
              <w:pStyle w:val="105"/>
              <w:jc w:val="center"/>
              <w:rPr>
                <w:snapToGrid w:val="0"/>
              </w:rPr>
            </w:pPr>
            <w:r>
              <w:rPr>
                <w:rFonts w:hint="eastAsia"/>
                <w:snapToGrid w:val="0"/>
              </w:rPr>
              <w:t>——</w:t>
            </w:r>
          </w:p>
        </w:tc>
        <w:tc>
          <w:tcPr>
            <w:tcW w:w="653" w:type="pct"/>
            <w:vAlign w:val="center"/>
          </w:tcPr>
          <w:p>
            <w:pPr>
              <w:pStyle w:val="105"/>
              <w:jc w:val="center"/>
              <w:rPr>
                <w:snapToGrid w:val="0"/>
              </w:rPr>
            </w:pPr>
            <w:r>
              <w:rPr>
                <w:snapToGrid w:val="0"/>
              </w:rPr>
              <w:t>50/1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vAlign w:val="center"/>
          </w:tcPr>
          <w:p>
            <w:pPr>
              <w:pStyle w:val="105"/>
              <w:jc w:val="center"/>
              <w:rPr>
                <w:snapToGrid w:val="0"/>
              </w:rPr>
            </w:pPr>
            <w:r>
              <w:rPr>
                <w:rFonts w:hint="eastAsia"/>
                <w:snapToGrid w:val="0"/>
              </w:rPr>
              <w:t>木厝洋至终点段方案比选</w:t>
            </w:r>
          </w:p>
        </w:tc>
        <w:tc>
          <w:tcPr>
            <w:tcW w:w="625" w:type="pct"/>
            <w:vAlign w:val="center"/>
          </w:tcPr>
          <w:p>
            <w:pPr>
              <w:pStyle w:val="105"/>
              <w:jc w:val="center"/>
              <w:rPr>
                <w:snapToGrid w:val="0"/>
              </w:rPr>
            </w:pPr>
            <w:r>
              <w:rPr>
                <w:rFonts w:hint="eastAsia"/>
                <w:snapToGrid w:val="0"/>
              </w:rPr>
              <w:t>K 线方案</w:t>
            </w:r>
          </w:p>
        </w:tc>
        <w:tc>
          <w:tcPr>
            <w:tcW w:w="1641" w:type="pct"/>
            <w:vAlign w:val="center"/>
          </w:tcPr>
          <w:p>
            <w:pPr>
              <w:pStyle w:val="105"/>
              <w:jc w:val="center"/>
              <w:rPr>
                <w:snapToGrid w:val="0"/>
              </w:rPr>
            </w:pPr>
            <w:r>
              <w:rPr>
                <w:snapToGrid w:val="0"/>
              </w:rPr>
              <w:t>K3+100~K5+110</w:t>
            </w:r>
            <w:r>
              <w:rPr>
                <w:rFonts w:hint="eastAsia"/>
                <w:snapToGrid w:val="0"/>
              </w:rPr>
              <w:t>终点</w:t>
            </w:r>
          </w:p>
        </w:tc>
        <w:tc>
          <w:tcPr>
            <w:tcW w:w="625" w:type="pct"/>
            <w:vAlign w:val="center"/>
          </w:tcPr>
          <w:p>
            <w:pPr>
              <w:pStyle w:val="105"/>
              <w:jc w:val="center"/>
              <w:rPr>
                <w:snapToGrid w:val="0"/>
              </w:rPr>
            </w:pPr>
            <w:r>
              <w:rPr>
                <w:snapToGrid w:val="0"/>
              </w:rPr>
              <w:t>2010</w:t>
            </w:r>
          </w:p>
        </w:tc>
        <w:tc>
          <w:tcPr>
            <w:tcW w:w="596" w:type="pct"/>
            <w:vAlign w:val="center"/>
          </w:tcPr>
          <w:p>
            <w:pPr>
              <w:pStyle w:val="105"/>
              <w:jc w:val="center"/>
              <w:rPr>
                <w:snapToGrid w:val="0"/>
              </w:rPr>
            </w:pPr>
            <w:r>
              <w:rPr>
                <w:rFonts w:hint="eastAsia"/>
                <w:snapToGrid w:val="0"/>
              </w:rPr>
              <w:t>——</w:t>
            </w:r>
          </w:p>
        </w:tc>
        <w:tc>
          <w:tcPr>
            <w:tcW w:w="653" w:type="pct"/>
            <w:vAlign w:val="center"/>
          </w:tcPr>
          <w:p>
            <w:pPr>
              <w:pStyle w:val="105"/>
              <w:jc w:val="center"/>
              <w:rPr>
                <w:snapToGrid w:val="0"/>
              </w:rPr>
            </w:pPr>
            <w:r>
              <w:rPr>
                <w:rFonts w:hint="eastAsia"/>
                <w:snapToGrid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continue"/>
            <w:vAlign w:val="center"/>
          </w:tcPr>
          <w:p>
            <w:pPr>
              <w:pStyle w:val="105"/>
              <w:jc w:val="center"/>
              <w:rPr>
                <w:snapToGrid w:val="0"/>
              </w:rPr>
            </w:pPr>
          </w:p>
        </w:tc>
        <w:tc>
          <w:tcPr>
            <w:tcW w:w="625" w:type="pct"/>
            <w:vAlign w:val="center"/>
          </w:tcPr>
          <w:p>
            <w:pPr>
              <w:pStyle w:val="105"/>
              <w:jc w:val="center"/>
              <w:rPr>
                <w:snapToGrid w:val="0"/>
              </w:rPr>
            </w:pPr>
            <w:r>
              <w:rPr>
                <w:rFonts w:hint="eastAsia"/>
                <w:snapToGrid w:val="0"/>
              </w:rPr>
              <w:t>A 线方案</w:t>
            </w:r>
          </w:p>
        </w:tc>
        <w:tc>
          <w:tcPr>
            <w:tcW w:w="1641" w:type="pct"/>
            <w:vAlign w:val="center"/>
          </w:tcPr>
          <w:p>
            <w:pPr>
              <w:pStyle w:val="105"/>
              <w:jc w:val="center"/>
              <w:rPr>
                <w:snapToGrid w:val="0"/>
              </w:rPr>
            </w:pPr>
            <w:r>
              <w:rPr>
                <w:snapToGrid w:val="0"/>
              </w:rPr>
              <w:t>BK3+100~BK5+220</w:t>
            </w:r>
          </w:p>
        </w:tc>
        <w:tc>
          <w:tcPr>
            <w:tcW w:w="625" w:type="pct"/>
            <w:vAlign w:val="center"/>
          </w:tcPr>
          <w:p>
            <w:pPr>
              <w:pStyle w:val="105"/>
              <w:jc w:val="center"/>
              <w:rPr>
                <w:snapToGrid w:val="0"/>
              </w:rPr>
            </w:pPr>
            <w:r>
              <w:rPr>
                <w:snapToGrid w:val="0"/>
              </w:rPr>
              <w:t>2120</w:t>
            </w:r>
          </w:p>
        </w:tc>
        <w:tc>
          <w:tcPr>
            <w:tcW w:w="596" w:type="pct"/>
            <w:vAlign w:val="center"/>
          </w:tcPr>
          <w:p>
            <w:pPr>
              <w:pStyle w:val="105"/>
              <w:jc w:val="center"/>
              <w:rPr>
                <w:snapToGrid w:val="0"/>
              </w:rPr>
            </w:pPr>
            <w:r>
              <w:rPr>
                <w:rFonts w:hint="eastAsia"/>
                <w:snapToGrid w:val="0"/>
              </w:rPr>
              <w:t>——</w:t>
            </w:r>
          </w:p>
        </w:tc>
        <w:tc>
          <w:tcPr>
            <w:tcW w:w="653" w:type="pct"/>
            <w:vAlign w:val="center"/>
          </w:tcPr>
          <w:p>
            <w:pPr>
              <w:pStyle w:val="105"/>
              <w:jc w:val="center"/>
              <w:rPr>
                <w:snapToGrid w:val="0"/>
              </w:rPr>
            </w:pPr>
            <w:r>
              <w:rPr>
                <w:rFonts w:hint="eastAsia"/>
                <w:snapToGrid w:val="0"/>
              </w:rPr>
              <w:t>——</w:t>
            </w:r>
          </w:p>
        </w:tc>
      </w:tr>
    </w:tbl>
    <w:p>
      <w:pPr>
        <w:pStyle w:val="120"/>
        <w:numPr>
          <w:ilvl w:val="2"/>
          <w:numId w:val="17"/>
        </w:numPr>
        <w:spacing w:before="240"/>
        <w:rPr>
          <w:color w:val="auto"/>
        </w:rPr>
      </w:pPr>
      <w:r>
        <w:rPr>
          <w:rFonts w:hint="eastAsia"/>
          <w:color w:val="auto"/>
        </w:rPr>
        <w:t>起点至林泉段方案比选</w:t>
      </w:r>
    </w:p>
    <w:p>
      <w:pPr>
        <w:ind w:firstLine="480"/>
      </w:pPr>
      <w:r>
        <w:rPr>
          <w:rFonts w:hint="eastAsia"/>
        </w:rPr>
        <w:t>①</w:t>
      </w:r>
      <w:r>
        <w:rPr>
          <w:rFonts w:hint="eastAsia"/>
        </w:rPr>
        <w:tab/>
      </w:r>
      <w:r>
        <w:rPr>
          <w:rFonts w:hint="eastAsia"/>
        </w:rPr>
        <w:t>K线：K线路线起于上迳镇牌边村（村落中部），起点（K0+000）与G324平交，自东向西以路堑穿越山体，终点（K0+619.766）至林泉，路线里程约0.620km，建安费约3773万元。</w:t>
      </w:r>
    </w:p>
    <w:p>
      <w:pPr>
        <w:ind w:firstLine="480"/>
      </w:pPr>
      <w:r>
        <w:rPr>
          <w:rFonts w:hint="eastAsia"/>
        </w:rPr>
        <w:t>②</w:t>
      </w:r>
      <w:r>
        <w:rPr>
          <w:rFonts w:hint="eastAsia"/>
        </w:rPr>
        <w:tab/>
      </w:r>
      <w:r>
        <w:rPr>
          <w:rFonts w:hint="eastAsia"/>
        </w:rPr>
        <w:t>A线：A线路线起于上迳镇牌边村（村落南部现状中桥附近），起点（AK0+000）与G324平交，自东向西沿山展线，终点（K0+569.633）至林泉，路线里程约0.570km，建安费约2955万元。A线方案需拼宽G324现状桥梁，G324交通量大，施工期间交通组织困难，实施难度较大。</w:t>
      </w:r>
    </w:p>
    <w:p>
      <w:pPr>
        <w:pStyle w:val="118"/>
      </w:pPr>
      <w:r>
        <w:rPr>
          <w:rFonts w:hint="eastAsia"/>
        </w:rPr>
        <w:t>工程方案比选</w:t>
      </w:r>
    </w:p>
    <w:p>
      <w:pPr>
        <w:ind w:firstLine="480"/>
      </w:pPr>
      <w:r>
        <w:rPr>
          <w:rFonts w:hint="eastAsia"/>
        </w:rPr>
        <w:t>主要工程数量比较见</w:t>
      </w:r>
      <w:r>
        <w:fldChar w:fldCharType="begin"/>
      </w:r>
      <w:r>
        <w:instrText xml:space="preserve"> </w:instrText>
      </w:r>
      <w:r>
        <w:rPr>
          <w:rFonts w:hint="eastAsia"/>
        </w:rPr>
        <w:instrText xml:space="preserve">REF _Ref152838207 \r \h</w:instrText>
      </w:r>
      <w:r>
        <w:instrText xml:space="preserve"> </w:instrText>
      </w:r>
      <w:r>
        <w:fldChar w:fldCharType="separate"/>
      </w:r>
      <w:r>
        <w:rPr>
          <w:rFonts w:hint="eastAsia"/>
        </w:rPr>
        <w:t>表3.1-2</w:t>
      </w:r>
      <w:r>
        <w:fldChar w:fldCharType="end"/>
      </w:r>
      <w:r>
        <w:rPr>
          <w:rFonts w:hint="eastAsia"/>
        </w:rPr>
        <w:t>，方案比选见</w:t>
      </w:r>
      <w:r>
        <w:fldChar w:fldCharType="begin"/>
      </w:r>
      <w:r>
        <w:instrText xml:space="preserve"> </w:instrText>
      </w:r>
      <w:r>
        <w:rPr>
          <w:rFonts w:hint="eastAsia"/>
        </w:rPr>
        <w:instrText xml:space="preserve">REF _Ref177714367 \r \h</w:instrText>
      </w:r>
      <w:r>
        <w:instrText xml:space="preserve"> </w:instrText>
      </w:r>
      <w:r>
        <w:fldChar w:fldCharType="separate"/>
      </w:r>
      <w:r>
        <w:rPr>
          <w:rFonts w:hint="eastAsia"/>
        </w:rPr>
        <w:t>表3.1-3</w:t>
      </w:r>
      <w:r>
        <w:fldChar w:fldCharType="end"/>
      </w:r>
      <w:r>
        <w:rPr>
          <w:rFonts w:hint="eastAsia"/>
        </w:rPr>
        <w:t>，方案比选线路图详见</w:t>
      </w:r>
      <w:r>
        <w:fldChar w:fldCharType="begin"/>
      </w:r>
      <w:r>
        <w:instrText xml:space="preserve"> </w:instrText>
      </w:r>
      <w:r>
        <w:rPr>
          <w:rFonts w:hint="eastAsia"/>
        </w:rPr>
        <w:instrText xml:space="preserve">REF _Ref193467784 \r \h</w:instrText>
      </w:r>
      <w:r>
        <w:instrText xml:space="preserve"> </w:instrText>
      </w:r>
      <w:r>
        <w:fldChar w:fldCharType="separate"/>
      </w:r>
      <w:r>
        <w:rPr>
          <w:rFonts w:hint="eastAsia"/>
        </w:rPr>
        <w:t>图3.1-1</w:t>
      </w:r>
      <w:r>
        <w:fldChar w:fldCharType="end"/>
      </w:r>
      <w:r>
        <w:rPr>
          <w:rFonts w:hint="eastAsia"/>
        </w:rPr>
        <w:t>。</w:t>
      </w:r>
    </w:p>
    <w:p>
      <w:pPr>
        <w:pStyle w:val="87"/>
        <w:spacing w:before="120"/>
        <w:ind w:left="480" w:firstLine="480"/>
      </w:pPr>
      <w:bookmarkStart w:id="215" w:name="_Ref152838207"/>
      <w:r>
        <w:rPr>
          <w:rFonts w:hint="eastAsia"/>
        </w:rPr>
        <w:t>比选方案主要工程数量及指标比较表</w:t>
      </w:r>
      <w:bookmarkEnd w:id="215"/>
    </w:p>
    <w:tbl>
      <w:tblPr>
        <w:tblStyle w:val="39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780"/>
        <w:gridCol w:w="2249"/>
        <w:gridCol w:w="1097"/>
        <w:gridCol w:w="1740"/>
        <w:gridCol w:w="1740"/>
        <w:gridCol w:w="16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blHeader/>
        </w:trPr>
        <w:tc>
          <w:tcPr>
            <w:tcW w:w="420" w:type="pct"/>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序号</w:t>
            </w:r>
          </w:p>
        </w:tc>
        <w:tc>
          <w:tcPr>
            <w:tcW w:w="1210"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spacing w:val="6"/>
              </w:rPr>
              <w:t>工程项目</w:t>
            </w:r>
          </w:p>
        </w:tc>
        <w:tc>
          <w:tcPr>
            <w:tcW w:w="590"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spacing w:val="3"/>
              </w:rPr>
              <w:t>单位</w:t>
            </w:r>
          </w:p>
        </w:tc>
        <w:tc>
          <w:tcPr>
            <w:tcW w:w="936"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eastAsia="New York"/>
                <w:spacing w:val="4"/>
              </w:rPr>
              <w:t>K</w:t>
            </w:r>
            <w:r>
              <w:rPr>
                <w:rFonts w:hint="eastAsia" w:ascii="宋体" w:hAnsi="宋体" w:eastAsia="宋体"/>
                <w:spacing w:val="4"/>
              </w:rPr>
              <w:t>线方案</w:t>
            </w:r>
          </w:p>
        </w:tc>
        <w:tc>
          <w:tcPr>
            <w:tcW w:w="936"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eastAsia="New York"/>
              </w:rPr>
              <w:t>A</w:t>
            </w:r>
            <w:r>
              <w:rPr>
                <w:rFonts w:hint="eastAsia" w:ascii="宋体" w:hAnsi="宋体" w:eastAsia="宋体"/>
              </w:rPr>
              <w:t>线方案</w:t>
            </w:r>
          </w:p>
        </w:tc>
        <w:tc>
          <w:tcPr>
            <w:tcW w:w="906" w:type="pct"/>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rPr>
            </w:pPr>
            <w:r>
              <w:rPr>
                <w:rFonts w:eastAsia="New York"/>
              </w:rPr>
              <w:t>A-K</w:t>
            </w:r>
            <w:r>
              <w:rPr>
                <w:rFonts w:hint="eastAsia" w:ascii="宋体" w:hAnsi="宋体" w:eastAsia="宋体"/>
              </w:rPr>
              <w:t>线方案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t>1</w:t>
            </w:r>
          </w:p>
        </w:tc>
        <w:tc>
          <w:tcPr>
            <w:tcW w:w="1210" w:type="pct"/>
            <w:vAlign w:val="center"/>
          </w:tcPr>
          <w:p>
            <w:pPr>
              <w:pStyle w:val="105"/>
              <w:widowControl w:val="0"/>
              <w:jc w:val="center"/>
            </w:pPr>
            <w:r>
              <w:rPr>
                <w:spacing w:val="6"/>
              </w:rPr>
              <w:t>路线长度</w:t>
            </w:r>
          </w:p>
        </w:tc>
        <w:tc>
          <w:tcPr>
            <w:tcW w:w="590" w:type="pct"/>
            <w:vAlign w:val="center"/>
          </w:tcPr>
          <w:p>
            <w:pPr>
              <w:pStyle w:val="105"/>
              <w:widowControl w:val="0"/>
              <w:jc w:val="center"/>
            </w:pPr>
            <w:r>
              <w:rPr>
                <w:spacing w:val="1"/>
              </w:rPr>
              <w:t>公里</w:t>
            </w:r>
          </w:p>
        </w:tc>
        <w:tc>
          <w:tcPr>
            <w:tcW w:w="936" w:type="pct"/>
            <w:vAlign w:val="center"/>
          </w:tcPr>
          <w:p>
            <w:pPr>
              <w:pStyle w:val="105"/>
              <w:widowControl w:val="0"/>
              <w:jc w:val="center"/>
            </w:pPr>
            <w:r>
              <w:rPr>
                <w:spacing w:val="2"/>
              </w:rPr>
              <w:t>0.620</w:t>
            </w:r>
          </w:p>
        </w:tc>
        <w:tc>
          <w:tcPr>
            <w:tcW w:w="936" w:type="pct"/>
            <w:vAlign w:val="center"/>
          </w:tcPr>
          <w:p>
            <w:pPr>
              <w:pStyle w:val="105"/>
              <w:widowControl w:val="0"/>
              <w:jc w:val="center"/>
            </w:pPr>
            <w:r>
              <w:rPr>
                <w:spacing w:val="2"/>
              </w:rPr>
              <w:t>0.570</w:t>
            </w:r>
          </w:p>
        </w:tc>
        <w:tc>
          <w:tcPr>
            <w:tcW w:w="906" w:type="pct"/>
            <w:vAlign w:val="center"/>
          </w:tcPr>
          <w:p>
            <w:pPr>
              <w:pStyle w:val="105"/>
              <w:widowControl w:val="0"/>
              <w:jc w:val="center"/>
            </w:pPr>
            <w:r>
              <w:rPr>
                <w:spacing w:val="3"/>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t>2</w:t>
            </w:r>
          </w:p>
        </w:tc>
        <w:tc>
          <w:tcPr>
            <w:tcW w:w="1210" w:type="pct"/>
            <w:vAlign w:val="center"/>
          </w:tcPr>
          <w:p>
            <w:pPr>
              <w:pStyle w:val="105"/>
              <w:widowControl w:val="0"/>
              <w:jc w:val="center"/>
            </w:pPr>
            <w:r>
              <w:rPr>
                <w:spacing w:val="7"/>
              </w:rPr>
              <w:t>路基土石方</w:t>
            </w:r>
          </w:p>
        </w:tc>
        <w:tc>
          <w:tcPr>
            <w:tcW w:w="590" w:type="pct"/>
            <w:vAlign w:val="center"/>
          </w:tcPr>
          <w:p>
            <w:pPr>
              <w:pStyle w:val="105"/>
              <w:widowControl w:val="0"/>
              <w:jc w:val="center"/>
              <w:rPr>
                <w:sz w:val="10"/>
                <w:szCs w:val="10"/>
              </w:rPr>
            </w:pPr>
            <w:r>
              <w:t>1000m</w:t>
            </w:r>
            <w:r>
              <w:rPr>
                <w:position w:val="10"/>
                <w:sz w:val="10"/>
                <w:szCs w:val="10"/>
              </w:rPr>
              <w:t>3</w:t>
            </w:r>
          </w:p>
        </w:tc>
        <w:tc>
          <w:tcPr>
            <w:tcW w:w="936" w:type="pct"/>
            <w:vAlign w:val="center"/>
          </w:tcPr>
          <w:p>
            <w:pPr>
              <w:pStyle w:val="105"/>
              <w:widowControl w:val="0"/>
              <w:jc w:val="center"/>
            </w:pPr>
            <w:r>
              <w:rPr>
                <w:spacing w:val="1"/>
              </w:rPr>
              <w:t>359</w:t>
            </w:r>
          </w:p>
        </w:tc>
        <w:tc>
          <w:tcPr>
            <w:tcW w:w="936" w:type="pct"/>
            <w:vAlign w:val="center"/>
          </w:tcPr>
          <w:p>
            <w:pPr>
              <w:pStyle w:val="105"/>
              <w:widowControl w:val="0"/>
              <w:jc w:val="center"/>
            </w:pPr>
            <w:r>
              <w:rPr>
                <w:spacing w:val="1"/>
              </w:rPr>
              <w:t>113.058</w:t>
            </w:r>
          </w:p>
        </w:tc>
        <w:tc>
          <w:tcPr>
            <w:tcW w:w="906" w:type="pct"/>
            <w:vAlign w:val="center"/>
          </w:tcPr>
          <w:p>
            <w:pPr>
              <w:pStyle w:val="105"/>
              <w:widowControl w:val="0"/>
              <w:jc w:val="center"/>
            </w:pPr>
            <w:r>
              <w:rPr>
                <w:spacing w:val="4"/>
              </w:rPr>
              <w:t>-245.942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t>3</w:t>
            </w:r>
          </w:p>
        </w:tc>
        <w:tc>
          <w:tcPr>
            <w:tcW w:w="1210" w:type="pct"/>
            <w:vAlign w:val="center"/>
          </w:tcPr>
          <w:p>
            <w:pPr>
              <w:pStyle w:val="105"/>
              <w:widowControl w:val="0"/>
              <w:jc w:val="center"/>
            </w:pPr>
            <w:r>
              <w:rPr>
                <w:spacing w:val="4"/>
              </w:rPr>
              <w:t>土方</w:t>
            </w:r>
          </w:p>
        </w:tc>
        <w:tc>
          <w:tcPr>
            <w:tcW w:w="590" w:type="pct"/>
            <w:vAlign w:val="center"/>
          </w:tcPr>
          <w:p>
            <w:pPr>
              <w:pStyle w:val="105"/>
              <w:widowControl w:val="0"/>
              <w:jc w:val="center"/>
              <w:rPr>
                <w:sz w:val="10"/>
                <w:szCs w:val="10"/>
              </w:rPr>
            </w:pPr>
            <w:r>
              <w:t>1000m</w:t>
            </w:r>
            <w:r>
              <w:rPr>
                <w:position w:val="10"/>
                <w:sz w:val="10"/>
                <w:szCs w:val="10"/>
              </w:rPr>
              <w:t>3</w:t>
            </w:r>
          </w:p>
        </w:tc>
        <w:tc>
          <w:tcPr>
            <w:tcW w:w="936" w:type="pct"/>
            <w:vAlign w:val="center"/>
          </w:tcPr>
          <w:p>
            <w:pPr>
              <w:pStyle w:val="105"/>
              <w:widowControl w:val="0"/>
              <w:jc w:val="center"/>
            </w:pPr>
            <w:r>
              <w:rPr>
                <w:spacing w:val="1"/>
              </w:rPr>
              <w:t>251</w:t>
            </w:r>
          </w:p>
        </w:tc>
        <w:tc>
          <w:tcPr>
            <w:tcW w:w="936" w:type="pct"/>
            <w:vAlign w:val="center"/>
          </w:tcPr>
          <w:p>
            <w:pPr>
              <w:pStyle w:val="105"/>
              <w:widowControl w:val="0"/>
              <w:jc w:val="center"/>
            </w:pPr>
            <w:r>
              <w:rPr>
                <w:spacing w:val="2"/>
              </w:rPr>
              <w:t>79.141</w:t>
            </w:r>
          </w:p>
        </w:tc>
        <w:tc>
          <w:tcPr>
            <w:tcW w:w="906" w:type="pct"/>
            <w:vAlign w:val="center"/>
          </w:tcPr>
          <w:p>
            <w:pPr>
              <w:pStyle w:val="105"/>
              <w:widowControl w:val="0"/>
              <w:jc w:val="center"/>
            </w:pPr>
            <w:r>
              <w:rPr>
                <w:spacing w:val="4"/>
              </w:rPr>
              <w:t>-171.859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t>4</w:t>
            </w:r>
          </w:p>
        </w:tc>
        <w:tc>
          <w:tcPr>
            <w:tcW w:w="1210" w:type="pct"/>
            <w:vAlign w:val="center"/>
          </w:tcPr>
          <w:p>
            <w:pPr>
              <w:pStyle w:val="105"/>
              <w:widowControl w:val="0"/>
              <w:jc w:val="center"/>
            </w:pPr>
            <w:r>
              <w:rPr>
                <w:spacing w:val="4"/>
              </w:rPr>
              <w:t>石方</w:t>
            </w:r>
          </w:p>
        </w:tc>
        <w:tc>
          <w:tcPr>
            <w:tcW w:w="590" w:type="pct"/>
            <w:vAlign w:val="center"/>
          </w:tcPr>
          <w:p>
            <w:pPr>
              <w:pStyle w:val="105"/>
              <w:widowControl w:val="0"/>
              <w:jc w:val="center"/>
              <w:rPr>
                <w:sz w:val="10"/>
                <w:szCs w:val="10"/>
              </w:rPr>
            </w:pPr>
            <w:r>
              <w:t>1000m</w:t>
            </w:r>
            <w:r>
              <w:rPr>
                <w:position w:val="9"/>
                <w:sz w:val="10"/>
                <w:szCs w:val="10"/>
              </w:rPr>
              <w:t>3</w:t>
            </w:r>
          </w:p>
        </w:tc>
        <w:tc>
          <w:tcPr>
            <w:tcW w:w="936" w:type="pct"/>
            <w:vAlign w:val="center"/>
          </w:tcPr>
          <w:p>
            <w:pPr>
              <w:pStyle w:val="105"/>
              <w:widowControl w:val="0"/>
              <w:jc w:val="center"/>
            </w:pPr>
            <w:r>
              <w:rPr>
                <w:spacing w:val="-3"/>
              </w:rPr>
              <w:t>108</w:t>
            </w:r>
          </w:p>
        </w:tc>
        <w:tc>
          <w:tcPr>
            <w:tcW w:w="936" w:type="pct"/>
            <w:vAlign w:val="center"/>
          </w:tcPr>
          <w:p>
            <w:pPr>
              <w:pStyle w:val="105"/>
              <w:widowControl w:val="0"/>
              <w:jc w:val="center"/>
            </w:pPr>
            <w:r>
              <w:rPr>
                <w:spacing w:val="2"/>
              </w:rPr>
              <w:t>33.917</w:t>
            </w:r>
          </w:p>
        </w:tc>
        <w:tc>
          <w:tcPr>
            <w:tcW w:w="906" w:type="pct"/>
            <w:vAlign w:val="center"/>
          </w:tcPr>
          <w:p>
            <w:pPr>
              <w:pStyle w:val="105"/>
              <w:widowControl w:val="0"/>
              <w:jc w:val="center"/>
            </w:pPr>
            <w:r>
              <w:rPr>
                <w:spacing w:val="4"/>
              </w:rPr>
              <w:t>-74.083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t>5</w:t>
            </w:r>
          </w:p>
        </w:tc>
        <w:tc>
          <w:tcPr>
            <w:tcW w:w="1210" w:type="pct"/>
            <w:vAlign w:val="center"/>
          </w:tcPr>
          <w:p>
            <w:pPr>
              <w:pStyle w:val="105"/>
              <w:widowControl w:val="0"/>
              <w:jc w:val="center"/>
            </w:pPr>
            <w:r>
              <w:rPr>
                <w:spacing w:val="8"/>
              </w:rPr>
              <w:t>排水与防护</w:t>
            </w:r>
          </w:p>
        </w:tc>
        <w:tc>
          <w:tcPr>
            <w:tcW w:w="590" w:type="pct"/>
            <w:vAlign w:val="center"/>
          </w:tcPr>
          <w:p>
            <w:pPr>
              <w:pStyle w:val="105"/>
              <w:widowControl w:val="0"/>
              <w:jc w:val="center"/>
              <w:rPr>
                <w:sz w:val="10"/>
                <w:szCs w:val="10"/>
              </w:rPr>
            </w:pPr>
            <w:r>
              <w:t>1000m</w:t>
            </w:r>
            <w:r>
              <w:rPr>
                <w:position w:val="9"/>
                <w:sz w:val="10"/>
                <w:szCs w:val="10"/>
              </w:rPr>
              <w:t>3</w:t>
            </w:r>
          </w:p>
        </w:tc>
        <w:tc>
          <w:tcPr>
            <w:tcW w:w="936" w:type="pct"/>
            <w:vAlign w:val="center"/>
          </w:tcPr>
          <w:p>
            <w:pPr>
              <w:pStyle w:val="105"/>
              <w:widowControl w:val="0"/>
              <w:jc w:val="center"/>
            </w:pPr>
            <w:r>
              <w:rPr>
                <w:spacing w:val="1"/>
              </w:rPr>
              <w:t>5.2</w:t>
            </w:r>
          </w:p>
        </w:tc>
        <w:tc>
          <w:tcPr>
            <w:tcW w:w="936" w:type="pct"/>
            <w:vAlign w:val="center"/>
          </w:tcPr>
          <w:p>
            <w:pPr>
              <w:pStyle w:val="105"/>
              <w:widowControl w:val="0"/>
              <w:jc w:val="center"/>
            </w:pPr>
            <w:r>
              <w:rPr>
                <w:spacing w:val="2"/>
              </w:rPr>
              <w:t>4.9</w:t>
            </w:r>
          </w:p>
        </w:tc>
        <w:tc>
          <w:tcPr>
            <w:tcW w:w="906" w:type="pct"/>
            <w:vAlign w:val="center"/>
          </w:tcPr>
          <w:p>
            <w:pPr>
              <w:pStyle w:val="105"/>
              <w:widowControl w:val="0"/>
              <w:jc w:val="center"/>
            </w:pPr>
            <w:r>
              <w:rPr>
                <w:spacing w:val="3"/>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t>6</w:t>
            </w:r>
          </w:p>
        </w:tc>
        <w:tc>
          <w:tcPr>
            <w:tcW w:w="1210" w:type="pct"/>
            <w:vAlign w:val="center"/>
          </w:tcPr>
          <w:p>
            <w:pPr>
              <w:pStyle w:val="105"/>
              <w:widowControl w:val="0"/>
              <w:jc w:val="center"/>
            </w:pPr>
            <w:r>
              <w:rPr>
                <w:spacing w:val="8"/>
              </w:rPr>
              <w:t>沥青砼路面</w:t>
            </w:r>
          </w:p>
        </w:tc>
        <w:tc>
          <w:tcPr>
            <w:tcW w:w="590" w:type="pct"/>
            <w:vAlign w:val="center"/>
          </w:tcPr>
          <w:p>
            <w:pPr>
              <w:pStyle w:val="105"/>
              <w:widowControl w:val="0"/>
              <w:jc w:val="center"/>
              <w:rPr>
                <w:sz w:val="10"/>
                <w:szCs w:val="10"/>
              </w:rPr>
            </w:pPr>
            <w:r>
              <w:t>1000m</w:t>
            </w:r>
            <w:r>
              <w:rPr>
                <w:position w:val="10"/>
                <w:sz w:val="10"/>
                <w:szCs w:val="10"/>
              </w:rPr>
              <w:t>2</w:t>
            </w:r>
          </w:p>
        </w:tc>
        <w:tc>
          <w:tcPr>
            <w:tcW w:w="936" w:type="pct"/>
            <w:vAlign w:val="center"/>
          </w:tcPr>
          <w:p>
            <w:pPr>
              <w:pStyle w:val="105"/>
              <w:widowControl w:val="0"/>
              <w:jc w:val="center"/>
            </w:pPr>
            <w:r>
              <w:rPr>
                <w:spacing w:val="2"/>
              </w:rPr>
              <w:t>8.6</w:t>
            </w:r>
          </w:p>
        </w:tc>
        <w:tc>
          <w:tcPr>
            <w:tcW w:w="936" w:type="pct"/>
            <w:vAlign w:val="center"/>
          </w:tcPr>
          <w:p>
            <w:pPr>
              <w:pStyle w:val="105"/>
              <w:widowControl w:val="0"/>
              <w:jc w:val="center"/>
            </w:pPr>
            <w:r>
              <w:t>7.9</w:t>
            </w:r>
          </w:p>
        </w:tc>
        <w:tc>
          <w:tcPr>
            <w:tcW w:w="906" w:type="pct"/>
            <w:vAlign w:val="center"/>
          </w:tcPr>
          <w:p>
            <w:pPr>
              <w:pStyle w:val="105"/>
              <w:widowControl w:val="0"/>
              <w:jc w:val="center"/>
            </w:pPr>
            <w:r>
              <w:rPr>
                <w:spacing w:val="3"/>
              </w:rPr>
              <w:t>-0.7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t>7</w:t>
            </w:r>
          </w:p>
        </w:tc>
        <w:tc>
          <w:tcPr>
            <w:tcW w:w="1210" w:type="pct"/>
            <w:vAlign w:val="center"/>
          </w:tcPr>
          <w:p>
            <w:pPr>
              <w:pStyle w:val="105"/>
              <w:widowControl w:val="0"/>
              <w:jc w:val="center"/>
            </w:pPr>
            <w:r>
              <w:rPr>
                <w:spacing w:val="4"/>
              </w:rPr>
              <w:t>桥梁</w:t>
            </w:r>
          </w:p>
        </w:tc>
        <w:tc>
          <w:tcPr>
            <w:tcW w:w="590" w:type="pct"/>
            <w:vAlign w:val="center"/>
          </w:tcPr>
          <w:p>
            <w:pPr>
              <w:pStyle w:val="105"/>
              <w:widowControl w:val="0"/>
              <w:jc w:val="center"/>
            </w:pPr>
            <w:r>
              <w:t>m/座</w:t>
            </w:r>
          </w:p>
        </w:tc>
        <w:tc>
          <w:tcPr>
            <w:tcW w:w="936" w:type="pct"/>
            <w:vAlign w:val="center"/>
          </w:tcPr>
          <w:p>
            <w:pPr>
              <w:pStyle w:val="105"/>
              <w:widowControl w:val="0"/>
              <w:jc w:val="center"/>
            </w:pPr>
            <w:r>
              <w:t>0</w:t>
            </w:r>
          </w:p>
        </w:tc>
        <w:tc>
          <w:tcPr>
            <w:tcW w:w="936" w:type="pct"/>
            <w:vAlign w:val="center"/>
          </w:tcPr>
          <w:p>
            <w:pPr>
              <w:pStyle w:val="105"/>
              <w:widowControl w:val="0"/>
              <w:jc w:val="center"/>
            </w:pPr>
            <w:r>
              <w:rPr>
                <w:spacing w:val="2"/>
              </w:rPr>
              <w:t>50/1</w:t>
            </w:r>
          </w:p>
        </w:tc>
        <w:tc>
          <w:tcPr>
            <w:tcW w:w="906" w:type="pct"/>
            <w:vAlign w:val="center"/>
          </w:tcPr>
          <w:p>
            <w:pPr>
              <w:pStyle w:val="105"/>
              <w:widowControl w:val="0"/>
              <w:jc w:val="center"/>
            </w:pPr>
            <w:r>
              <w:rPr>
                <w:spacing w:val="-2"/>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t>8</w:t>
            </w:r>
          </w:p>
        </w:tc>
        <w:tc>
          <w:tcPr>
            <w:tcW w:w="1210" w:type="pct"/>
            <w:vAlign w:val="center"/>
          </w:tcPr>
          <w:p>
            <w:pPr>
              <w:pStyle w:val="105"/>
              <w:widowControl w:val="0"/>
              <w:jc w:val="center"/>
            </w:pPr>
            <w:r>
              <w:rPr>
                <w:spacing w:val="4"/>
              </w:rPr>
              <w:t>涵洞</w:t>
            </w:r>
          </w:p>
        </w:tc>
        <w:tc>
          <w:tcPr>
            <w:tcW w:w="590" w:type="pct"/>
            <w:vAlign w:val="center"/>
          </w:tcPr>
          <w:p>
            <w:pPr>
              <w:pStyle w:val="105"/>
              <w:widowControl w:val="0"/>
              <w:jc w:val="center"/>
            </w:pPr>
            <w:r>
              <w:t>m/道</w:t>
            </w:r>
          </w:p>
        </w:tc>
        <w:tc>
          <w:tcPr>
            <w:tcW w:w="936" w:type="pct"/>
            <w:vAlign w:val="center"/>
          </w:tcPr>
          <w:p>
            <w:pPr>
              <w:pStyle w:val="105"/>
              <w:widowControl w:val="0"/>
              <w:jc w:val="center"/>
            </w:pPr>
            <w:r>
              <w:rPr>
                <w:spacing w:val="-1"/>
              </w:rPr>
              <w:t>17/1</w:t>
            </w:r>
          </w:p>
        </w:tc>
        <w:tc>
          <w:tcPr>
            <w:tcW w:w="936" w:type="pct"/>
            <w:vAlign w:val="center"/>
          </w:tcPr>
          <w:p>
            <w:pPr>
              <w:pStyle w:val="105"/>
              <w:widowControl w:val="0"/>
              <w:jc w:val="center"/>
            </w:pPr>
            <w:r>
              <w:rPr>
                <w:spacing w:val="-1"/>
              </w:rPr>
              <w:t>17/1</w:t>
            </w:r>
          </w:p>
        </w:tc>
        <w:tc>
          <w:tcPr>
            <w:tcW w:w="906" w:type="pct"/>
            <w:vAlign w:val="center"/>
          </w:tcPr>
          <w:p>
            <w:pPr>
              <w:pStyle w:val="105"/>
              <w:widowControl w:val="0"/>
              <w:jc w:val="center"/>
            </w:pPr>
            <w: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t>9</w:t>
            </w:r>
          </w:p>
        </w:tc>
        <w:tc>
          <w:tcPr>
            <w:tcW w:w="1210" w:type="pct"/>
            <w:vAlign w:val="center"/>
          </w:tcPr>
          <w:p>
            <w:pPr>
              <w:pStyle w:val="105"/>
              <w:widowControl w:val="0"/>
              <w:jc w:val="center"/>
            </w:pPr>
            <w:r>
              <w:rPr>
                <w:spacing w:val="4"/>
              </w:rPr>
              <w:t>渡槽</w:t>
            </w:r>
          </w:p>
        </w:tc>
        <w:tc>
          <w:tcPr>
            <w:tcW w:w="590" w:type="pct"/>
            <w:vAlign w:val="center"/>
          </w:tcPr>
          <w:p>
            <w:pPr>
              <w:pStyle w:val="105"/>
              <w:widowControl w:val="0"/>
              <w:jc w:val="center"/>
            </w:pPr>
            <w:r>
              <w:t>m/道</w:t>
            </w:r>
          </w:p>
        </w:tc>
        <w:tc>
          <w:tcPr>
            <w:tcW w:w="936" w:type="pct"/>
            <w:vAlign w:val="center"/>
          </w:tcPr>
          <w:p>
            <w:pPr>
              <w:pStyle w:val="105"/>
              <w:widowControl w:val="0"/>
              <w:jc w:val="center"/>
            </w:pPr>
            <w:r>
              <w:rPr>
                <w:spacing w:val="3"/>
              </w:rPr>
              <w:t>40/1</w:t>
            </w:r>
          </w:p>
        </w:tc>
        <w:tc>
          <w:tcPr>
            <w:tcW w:w="936" w:type="pct"/>
            <w:vAlign w:val="center"/>
          </w:tcPr>
          <w:p>
            <w:pPr>
              <w:pStyle w:val="105"/>
              <w:widowControl w:val="0"/>
              <w:jc w:val="center"/>
            </w:pPr>
            <w:r>
              <w:rPr>
                <w:spacing w:val="3"/>
              </w:rPr>
              <w:t>40/1</w:t>
            </w:r>
          </w:p>
        </w:tc>
        <w:tc>
          <w:tcPr>
            <w:tcW w:w="906" w:type="pct"/>
            <w:vAlign w:val="center"/>
          </w:tcPr>
          <w:p>
            <w:pPr>
              <w:pStyle w:val="105"/>
              <w:widowControl w:val="0"/>
              <w:jc w:val="center"/>
            </w:pPr>
            <w: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rPr>
                <w:spacing w:val="-7"/>
              </w:rPr>
              <w:t>10</w:t>
            </w:r>
          </w:p>
        </w:tc>
        <w:tc>
          <w:tcPr>
            <w:tcW w:w="1210" w:type="pct"/>
            <w:vAlign w:val="center"/>
          </w:tcPr>
          <w:p>
            <w:pPr>
              <w:pStyle w:val="105"/>
              <w:widowControl w:val="0"/>
              <w:jc w:val="center"/>
            </w:pPr>
            <w:r>
              <w:rPr>
                <w:spacing w:val="1"/>
              </w:rPr>
              <w:t>改路</w:t>
            </w:r>
          </w:p>
        </w:tc>
        <w:tc>
          <w:tcPr>
            <w:tcW w:w="590" w:type="pct"/>
            <w:vAlign w:val="center"/>
          </w:tcPr>
          <w:p>
            <w:pPr>
              <w:pStyle w:val="105"/>
              <w:widowControl w:val="0"/>
              <w:jc w:val="center"/>
            </w:pPr>
            <w:r>
              <w:t>米</w:t>
            </w:r>
          </w:p>
        </w:tc>
        <w:tc>
          <w:tcPr>
            <w:tcW w:w="936" w:type="pct"/>
            <w:vAlign w:val="center"/>
          </w:tcPr>
          <w:p>
            <w:pPr>
              <w:pStyle w:val="105"/>
              <w:widowControl w:val="0"/>
              <w:jc w:val="center"/>
            </w:pPr>
            <w:r>
              <w:rPr>
                <w:spacing w:val="1"/>
              </w:rPr>
              <w:t>247</w:t>
            </w:r>
          </w:p>
        </w:tc>
        <w:tc>
          <w:tcPr>
            <w:tcW w:w="936" w:type="pct"/>
            <w:vAlign w:val="center"/>
          </w:tcPr>
          <w:p>
            <w:pPr>
              <w:pStyle w:val="105"/>
              <w:widowControl w:val="0"/>
              <w:jc w:val="center"/>
            </w:pPr>
            <w:r>
              <w:rPr>
                <w:spacing w:val="1"/>
              </w:rPr>
              <w:t>223</w:t>
            </w:r>
          </w:p>
        </w:tc>
        <w:tc>
          <w:tcPr>
            <w:tcW w:w="906" w:type="pct"/>
            <w:vAlign w:val="center"/>
          </w:tcPr>
          <w:p>
            <w:pPr>
              <w:pStyle w:val="105"/>
              <w:widowControl w:val="0"/>
              <w:jc w:val="center"/>
            </w:pPr>
            <w:r>
              <w:rPr>
                <w:spacing w:val="3"/>
              </w:rPr>
              <w:t>-24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rPr>
                <w:spacing w:val="-7"/>
              </w:rPr>
              <w:t>11</w:t>
            </w:r>
          </w:p>
        </w:tc>
        <w:tc>
          <w:tcPr>
            <w:tcW w:w="1210" w:type="pct"/>
            <w:vAlign w:val="center"/>
          </w:tcPr>
          <w:p>
            <w:pPr>
              <w:pStyle w:val="105"/>
              <w:widowControl w:val="0"/>
              <w:jc w:val="center"/>
            </w:pPr>
            <w:r>
              <w:t>改河、渠</w:t>
            </w:r>
          </w:p>
        </w:tc>
        <w:tc>
          <w:tcPr>
            <w:tcW w:w="590" w:type="pct"/>
            <w:vAlign w:val="center"/>
          </w:tcPr>
          <w:p>
            <w:pPr>
              <w:pStyle w:val="105"/>
              <w:widowControl w:val="0"/>
              <w:jc w:val="center"/>
            </w:pPr>
            <w:r>
              <w:t>米</w:t>
            </w:r>
          </w:p>
        </w:tc>
        <w:tc>
          <w:tcPr>
            <w:tcW w:w="936" w:type="pct"/>
            <w:vAlign w:val="center"/>
          </w:tcPr>
          <w:p>
            <w:pPr>
              <w:pStyle w:val="105"/>
              <w:widowControl w:val="0"/>
              <w:jc w:val="center"/>
            </w:pPr>
            <w:r>
              <w:rPr>
                <w:spacing w:val="1"/>
              </w:rPr>
              <w:t>260</w:t>
            </w:r>
          </w:p>
        </w:tc>
        <w:tc>
          <w:tcPr>
            <w:tcW w:w="936" w:type="pct"/>
            <w:vAlign w:val="center"/>
          </w:tcPr>
          <w:p>
            <w:pPr>
              <w:pStyle w:val="105"/>
              <w:widowControl w:val="0"/>
              <w:jc w:val="center"/>
            </w:pPr>
            <w:r>
              <w:rPr>
                <w:spacing w:val="1"/>
              </w:rPr>
              <w:t>534</w:t>
            </w:r>
          </w:p>
        </w:tc>
        <w:tc>
          <w:tcPr>
            <w:tcW w:w="906" w:type="pct"/>
            <w:vAlign w:val="center"/>
          </w:tcPr>
          <w:p>
            <w:pPr>
              <w:pStyle w:val="105"/>
              <w:widowControl w:val="0"/>
              <w:jc w:val="center"/>
            </w:pPr>
            <w:r>
              <w:rPr>
                <w:spacing w:val="1"/>
              </w:rPr>
              <w:t>274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rPr>
                <w:spacing w:val="-7"/>
              </w:rPr>
              <w:t>12</w:t>
            </w:r>
          </w:p>
        </w:tc>
        <w:tc>
          <w:tcPr>
            <w:tcW w:w="1210" w:type="pct"/>
            <w:vAlign w:val="center"/>
          </w:tcPr>
          <w:p>
            <w:pPr>
              <w:pStyle w:val="105"/>
              <w:widowControl w:val="0"/>
              <w:jc w:val="center"/>
            </w:pPr>
            <w:r>
              <w:rPr>
                <w:spacing w:val="7"/>
              </w:rPr>
              <w:t>拆迁房屋</w:t>
            </w:r>
          </w:p>
        </w:tc>
        <w:tc>
          <w:tcPr>
            <w:tcW w:w="590" w:type="pct"/>
            <w:vAlign w:val="center"/>
          </w:tcPr>
          <w:p>
            <w:pPr>
              <w:pStyle w:val="105"/>
              <w:widowControl w:val="0"/>
              <w:jc w:val="center"/>
              <w:rPr>
                <w:sz w:val="10"/>
                <w:szCs w:val="10"/>
              </w:rPr>
            </w:pPr>
            <w:r>
              <w:rPr>
                <w:spacing w:val="1"/>
                <w:position w:val="-1"/>
              </w:rPr>
              <w:t>m</w:t>
            </w:r>
            <w:r>
              <w:rPr>
                <w:spacing w:val="1"/>
                <w:position w:val="9"/>
                <w:sz w:val="10"/>
                <w:szCs w:val="10"/>
              </w:rPr>
              <w:t>2</w:t>
            </w:r>
          </w:p>
        </w:tc>
        <w:tc>
          <w:tcPr>
            <w:tcW w:w="936" w:type="pct"/>
            <w:vAlign w:val="center"/>
          </w:tcPr>
          <w:p>
            <w:pPr>
              <w:pStyle w:val="105"/>
              <w:widowControl w:val="0"/>
              <w:jc w:val="center"/>
            </w:pPr>
            <w:r>
              <w:rPr>
                <w:spacing w:val="1"/>
              </w:rPr>
              <w:t>1162/2栋</w:t>
            </w:r>
          </w:p>
        </w:tc>
        <w:tc>
          <w:tcPr>
            <w:tcW w:w="936" w:type="pct"/>
            <w:vAlign w:val="center"/>
          </w:tcPr>
          <w:p>
            <w:pPr>
              <w:pStyle w:val="105"/>
              <w:widowControl w:val="0"/>
              <w:jc w:val="center"/>
            </w:pPr>
            <w:r>
              <w:rPr>
                <w:spacing w:val="2"/>
              </w:rPr>
              <w:t>755/2栋</w:t>
            </w:r>
          </w:p>
        </w:tc>
        <w:tc>
          <w:tcPr>
            <w:tcW w:w="906" w:type="pct"/>
            <w:vAlign w:val="center"/>
          </w:tcPr>
          <w:p>
            <w:pPr>
              <w:pStyle w:val="105"/>
              <w:widowControl w:val="0"/>
              <w:jc w:val="center"/>
            </w:pPr>
            <w:r>
              <w:rPr>
                <w:spacing w:val="3"/>
              </w:rPr>
              <w:t>-407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rPr>
                <w:spacing w:val="-7"/>
              </w:rPr>
              <w:t>13</w:t>
            </w:r>
          </w:p>
        </w:tc>
        <w:tc>
          <w:tcPr>
            <w:tcW w:w="1210" w:type="pct"/>
            <w:vAlign w:val="center"/>
          </w:tcPr>
          <w:p>
            <w:pPr>
              <w:pStyle w:val="105"/>
              <w:widowControl w:val="0"/>
              <w:jc w:val="center"/>
            </w:pPr>
            <w:r>
              <w:rPr>
                <w:spacing w:val="7"/>
              </w:rPr>
              <w:t>拆迁电杆</w:t>
            </w:r>
          </w:p>
        </w:tc>
        <w:tc>
          <w:tcPr>
            <w:tcW w:w="590" w:type="pct"/>
            <w:vAlign w:val="center"/>
          </w:tcPr>
          <w:p>
            <w:pPr>
              <w:pStyle w:val="105"/>
              <w:widowControl w:val="0"/>
              <w:jc w:val="center"/>
            </w:pPr>
            <w:r>
              <w:rPr>
                <w:spacing w:val="1"/>
              </w:rPr>
              <w:t>公里</w:t>
            </w:r>
          </w:p>
        </w:tc>
        <w:tc>
          <w:tcPr>
            <w:tcW w:w="936" w:type="pct"/>
            <w:vAlign w:val="center"/>
          </w:tcPr>
          <w:p>
            <w:pPr>
              <w:pStyle w:val="105"/>
              <w:widowControl w:val="0"/>
              <w:jc w:val="center"/>
            </w:pPr>
            <w:r>
              <w:rPr>
                <w:spacing w:val="1"/>
              </w:rPr>
              <w:t>0.6</w:t>
            </w:r>
          </w:p>
        </w:tc>
        <w:tc>
          <w:tcPr>
            <w:tcW w:w="936" w:type="pct"/>
            <w:vAlign w:val="center"/>
          </w:tcPr>
          <w:p>
            <w:pPr>
              <w:pStyle w:val="105"/>
              <w:widowControl w:val="0"/>
              <w:jc w:val="center"/>
            </w:pPr>
            <w:r>
              <w:rPr>
                <w:spacing w:val="1"/>
              </w:rPr>
              <w:t>0.6</w:t>
            </w:r>
          </w:p>
        </w:tc>
        <w:tc>
          <w:tcPr>
            <w:tcW w:w="906" w:type="pct"/>
            <w:vAlign w:val="center"/>
          </w:tcPr>
          <w:p>
            <w:pPr>
              <w:pStyle w:val="105"/>
              <w:widowControl w:val="0"/>
              <w:jc w:val="center"/>
            </w:pPr>
            <w: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rPr>
                <w:spacing w:val="-7"/>
              </w:rPr>
              <w:t>14</w:t>
            </w:r>
          </w:p>
        </w:tc>
        <w:tc>
          <w:tcPr>
            <w:tcW w:w="1210" w:type="pct"/>
            <w:vAlign w:val="center"/>
          </w:tcPr>
          <w:p>
            <w:pPr>
              <w:pStyle w:val="105"/>
              <w:widowControl w:val="0"/>
              <w:jc w:val="center"/>
            </w:pPr>
            <w:r>
              <w:rPr>
                <w:spacing w:val="3"/>
              </w:rPr>
              <w:t>征地</w:t>
            </w:r>
          </w:p>
        </w:tc>
        <w:tc>
          <w:tcPr>
            <w:tcW w:w="590" w:type="pct"/>
            <w:vAlign w:val="center"/>
          </w:tcPr>
          <w:p>
            <w:pPr>
              <w:pStyle w:val="105"/>
              <w:widowControl w:val="0"/>
              <w:jc w:val="center"/>
            </w:pPr>
            <w:r>
              <w:rPr>
                <w:rFonts w:hint="eastAsia"/>
                <w:spacing w:val="1"/>
                <w:position w:val="-1"/>
              </w:rPr>
              <w:t>h</w:t>
            </w:r>
            <w:r>
              <w:rPr>
                <w:spacing w:val="1"/>
                <w:position w:val="-1"/>
              </w:rPr>
              <w:t>m</w:t>
            </w:r>
            <w:r>
              <w:rPr>
                <w:spacing w:val="1"/>
                <w:position w:val="9"/>
                <w:sz w:val="10"/>
                <w:szCs w:val="10"/>
              </w:rPr>
              <w:t>2</w:t>
            </w:r>
          </w:p>
        </w:tc>
        <w:tc>
          <w:tcPr>
            <w:tcW w:w="936" w:type="pct"/>
            <w:vAlign w:val="center"/>
          </w:tcPr>
          <w:p>
            <w:pPr>
              <w:pStyle w:val="105"/>
              <w:widowControl w:val="0"/>
              <w:jc w:val="center"/>
            </w:pPr>
            <w:r>
              <w:rPr>
                <w:spacing w:val="1"/>
              </w:rPr>
              <w:t>2.31</w:t>
            </w:r>
          </w:p>
        </w:tc>
        <w:tc>
          <w:tcPr>
            <w:tcW w:w="936" w:type="pct"/>
            <w:vAlign w:val="center"/>
          </w:tcPr>
          <w:p>
            <w:pPr>
              <w:pStyle w:val="105"/>
              <w:widowControl w:val="0"/>
              <w:jc w:val="center"/>
            </w:pPr>
            <w:r>
              <w:rPr>
                <w:spacing w:val="1"/>
              </w:rPr>
              <w:t>2.12</w:t>
            </w:r>
          </w:p>
        </w:tc>
        <w:tc>
          <w:tcPr>
            <w:tcW w:w="906" w:type="pct"/>
            <w:vAlign w:val="center"/>
          </w:tcPr>
          <w:p>
            <w:pPr>
              <w:pStyle w:val="105"/>
              <w:widowControl w:val="0"/>
              <w:jc w:val="center"/>
            </w:pPr>
            <w:r>
              <w:rPr>
                <w:spacing w:val="3"/>
              </w:rPr>
              <w:t>-0.19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rPr>
                <w:spacing w:val="-7"/>
              </w:rPr>
              <w:t>15</w:t>
            </w:r>
          </w:p>
        </w:tc>
        <w:tc>
          <w:tcPr>
            <w:tcW w:w="1210" w:type="pct"/>
            <w:vAlign w:val="center"/>
          </w:tcPr>
          <w:p>
            <w:pPr>
              <w:pStyle w:val="105"/>
              <w:widowControl w:val="0"/>
              <w:jc w:val="center"/>
            </w:pPr>
            <w:r>
              <w:rPr>
                <w:spacing w:val="6"/>
              </w:rPr>
              <w:t>建安费</w:t>
            </w:r>
          </w:p>
        </w:tc>
        <w:tc>
          <w:tcPr>
            <w:tcW w:w="590" w:type="pct"/>
            <w:vAlign w:val="center"/>
          </w:tcPr>
          <w:p>
            <w:pPr>
              <w:pStyle w:val="105"/>
              <w:widowControl w:val="0"/>
              <w:jc w:val="center"/>
            </w:pPr>
            <w:r>
              <w:rPr>
                <w:spacing w:val="2"/>
              </w:rPr>
              <w:t>万元</w:t>
            </w:r>
          </w:p>
        </w:tc>
        <w:tc>
          <w:tcPr>
            <w:tcW w:w="936" w:type="pct"/>
            <w:vAlign w:val="center"/>
          </w:tcPr>
          <w:p>
            <w:pPr>
              <w:pStyle w:val="105"/>
              <w:widowControl w:val="0"/>
              <w:jc w:val="center"/>
            </w:pPr>
            <w:r>
              <w:rPr>
                <w:spacing w:val="3"/>
              </w:rPr>
              <w:t>3773.2575</w:t>
            </w:r>
          </w:p>
        </w:tc>
        <w:tc>
          <w:tcPr>
            <w:tcW w:w="936" w:type="pct"/>
            <w:vAlign w:val="center"/>
          </w:tcPr>
          <w:p>
            <w:pPr>
              <w:pStyle w:val="105"/>
              <w:widowControl w:val="0"/>
              <w:jc w:val="center"/>
            </w:pPr>
            <w:r>
              <w:rPr>
                <w:spacing w:val="3"/>
              </w:rPr>
              <w:t>2954.9017</w:t>
            </w:r>
          </w:p>
        </w:tc>
        <w:tc>
          <w:tcPr>
            <w:tcW w:w="906" w:type="pct"/>
            <w:vAlign w:val="center"/>
          </w:tcPr>
          <w:p>
            <w:pPr>
              <w:pStyle w:val="105"/>
              <w:widowControl w:val="0"/>
              <w:jc w:val="center"/>
            </w:pPr>
            <w:r>
              <w:rPr>
                <w:spacing w:val="4"/>
              </w:rPr>
              <w:t>-818.3558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rPr>
                <w:spacing w:val="-7"/>
              </w:rPr>
              <w:t>16</w:t>
            </w:r>
          </w:p>
        </w:tc>
        <w:tc>
          <w:tcPr>
            <w:tcW w:w="1210" w:type="pct"/>
            <w:vAlign w:val="center"/>
          </w:tcPr>
          <w:p>
            <w:pPr>
              <w:pStyle w:val="105"/>
              <w:widowControl w:val="0"/>
              <w:jc w:val="center"/>
            </w:pPr>
            <w:r>
              <w:rPr>
                <w:spacing w:val="8"/>
              </w:rPr>
              <w:t>平均每公里建安费</w:t>
            </w:r>
          </w:p>
        </w:tc>
        <w:tc>
          <w:tcPr>
            <w:tcW w:w="590" w:type="pct"/>
            <w:vAlign w:val="center"/>
          </w:tcPr>
          <w:p>
            <w:pPr>
              <w:pStyle w:val="105"/>
              <w:widowControl w:val="0"/>
              <w:jc w:val="center"/>
            </w:pPr>
            <w:r>
              <w:rPr>
                <w:spacing w:val="2"/>
              </w:rPr>
              <w:t>万元</w:t>
            </w:r>
          </w:p>
        </w:tc>
        <w:tc>
          <w:tcPr>
            <w:tcW w:w="936" w:type="pct"/>
            <w:vAlign w:val="center"/>
          </w:tcPr>
          <w:p>
            <w:pPr>
              <w:pStyle w:val="105"/>
              <w:widowControl w:val="0"/>
              <w:jc w:val="center"/>
            </w:pPr>
            <w:r>
              <w:rPr>
                <w:spacing w:val="3"/>
              </w:rPr>
              <w:t>6085.8992</w:t>
            </w:r>
          </w:p>
        </w:tc>
        <w:tc>
          <w:tcPr>
            <w:tcW w:w="936" w:type="pct"/>
            <w:vAlign w:val="center"/>
          </w:tcPr>
          <w:p>
            <w:pPr>
              <w:pStyle w:val="105"/>
              <w:widowControl w:val="0"/>
              <w:jc w:val="center"/>
            </w:pPr>
            <w:r>
              <w:rPr>
                <w:spacing w:val="3"/>
              </w:rPr>
              <w:t>5184.0381</w:t>
            </w:r>
          </w:p>
        </w:tc>
        <w:tc>
          <w:tcPr>
            <w:tcW w:w="906" w:type="pct"/>
            <w:vAlign w:val="center"/>
          </w:tcPr>
          <w:p>
            <w:pPr>
              <w:pStyle w:val="105"/>
              <w:widowControl w:val="0"/>
              <w:jc w:val="center"/>
            </w:pPr>
            <w:r>
              <w:rPr>
                <w:spacing w:val="4"/>
              </w:rPr>
              <w:t>-901.8611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rPr>
                <w:spacing w:val="-7"/>
              </w:rPr>
              <w:t>17</w:t>
            </w:r>
          </w:p>
        </w:tc>
        <w:tc>
          <w:tcPr>
            <w:tcW w:w="1210" w:type="pct"/>
            <w:vAlign w:val="center"/>
          </w:tcPr>
          <w:p>
            <w:pPr>
              <w:pStyle w:val="105"/>
              <w:widowControl w:val="0"/>
              <w:jc w:val="center"/>
            </w:pPr>
            <w:r>
              <w:rPr>
                <w:spacing w:val="6"/>
              </w:rPr>
              <w:t>投资估算</w:t>
            </w:r>
          </w:p>
        </w:tc>
        <w:tc>
          <w:tcPr>
            <w:tcW w:w="590" w:type="pct"/>
            <w:vAlign w:val="center"/>
          </w:tcPr>
          <w:p>
            <w:pPr>
              <w:pStyle w:val="105"/>
              <w:widowControl w:val="0"/>
              <w:jc w:val="center"/>
            </w:pPr>
            <w:r>
              <w:rPr>
                <w:spacing w:val="2"/>
              </w:rPr>
              <w:t>万元</w:t>
            </w:r>
          </w:p>
        </w:tc>
        <w:tc>
          <w:tcPr>
            <w:tcW w:w="936" w:type="pct"/>
            <w:vAlign w:val="center"/>
          </w:tcPr>
          <w:p>
            <w:pPr>
              <w:pStyle w:val="105"/>
              <w:widowControl w:val="0"/>
              <w:jc w:val="center"/>
            </w:pPr>
            <w:r>
              <w:rPr>
                <w:spacing w:val="3"/>
              </w:rPr>
              <w:t>6043.0829</w:t>
            </w:r>
          </w:p>
        </w:tc>
        <w:tc>
          <w:tcPr>
            <w:tcW w:w="936" w:type="pct"/>
            <w:vAlign w:val="center"/>
          </w:tcPr>
          <w:p>
            <w:pPr>
              <w:pStyle w:val="105"/>
              <w:widowControl w:val="0"/>
              <w:jc w:val="center"/>
            </w:pPr>
            <w:r>
              <w:rPr>
                <w:spacing w:val="4"/>
              </w:rPr>
              <w:t>4803.1517</w:t>
            </w:r>
          </w:p>
        </w:tc>
        <w:tc>
          <w:tcPr>
            <w:tcW w:w="906" w:type="pct"/>
            <w:vAlign w:val="center"/>
          </w:tcPr>
          <w:p>
            <w:pPr>
              <w:pStyle w:val="105"/>
              <w:widowControl w:val="0"/>
              <w:jc w:val="center"/>
            </w:pPr>
            <w:r>
              <w:rPr>
                <w:spacing w:val="4"/>
              </w:rPr>
              <w:t>-1239.9312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20" w:type="pct"/>
            <w:vAlign w:val="center"/>
          </w:tcPr>
          <w:p>
            <w:pPr>
              <w:pStyle w:val="105"/>
              <w:widowControl w:val="0"/>
              <w:jc w:val="center"/>
            </w:pPr>
            <w:r>
              <w:rPr>
                <w:spacing w:val="-7"/>
              </w:rPr>
              <w:t>18</w:t>
            </w:r>
          </w:p>
        </w:tc>
        <w:tc>
          <w:tcPr>
            <w:tcW w:w="1210" w:type="pct"/>
            <w:vAlign w:val="center"/>
          </w:tcPr>
          <w:p>
            <w:pPr>
              <w:pStyle w:val="105"/>
              <w:widowControl w:val="0"/>
              <w:jc w:val="center"/>
            </w:pPr>
            <w:r>
              <w:rPr>
                <w:spacing w:val="8"/>
              </w:rPr>
              <w:t>平均每公里造价</w:t>
            </w:r>
          </w:p>
        </w:tc>
        <w:tc>
          <w:tcPr>
            <w:tcW w:w="590" w:type="pct"/>
            <w:vAlign w:val="center"/>
          </w:tcPr>
          <w:p>
            <w:pPr>
              <w:pStyle w:val="105"/>
              <w:widowControl w:val="0"/>
              <w:jc w:val="center"/>
            </w:pPr>
            <w:r>
              <w:rPr>
                <w:spacing w:val="2"/>
              </w:rPr>
              <w:t>万元</w:t>
            </w:r>
          </w:p>
        </w:tc>
        <w:tc>
          <w:tcPr>
            <w:tcW w:w="936" w:type="pct"/>
            <w:vAlign w:val="center"/>
          </w:tcPr>
          <w:p>
            <w:pPr>
              <w:pStyle w:val="105"/>
              <w:widowControl w:val="0"/>
              <w:jc w:val="center"/>
            </w:pPr>
            <w:r>
              <w:rPr>
                <w:spacing w:val="3"/>
              </w:rPr>
              <w:t>9746.9080</w:t>
            </w:r>
          </w:p>
        </w:tc>
        <w:tc>
          <w:tcPr>
            <w:tcW w:w="936" w:type="pct"/>
            <w:vAlign w:val="center"/>
          </w:tcPr>
          <w:p>
            <w:pPr>
              <w:pStyle w:val="105"/>
              <w:widowControl w:val="0"/>
              <w:jc w:val="center"/>
            </w:pPr>
            <w:r>
              <w:rPr>
                <w:spacing w:val="3"/>
              </w:rPr>
              <w:t>8426.5819</w:t>
            </w:r>
          </w:p>
        </w:tc>
        <w:tc>
          <w:tcPr>
            <w:tcW w:w="906" w:type="pct"/>
            <w:vAlign w:val="center"/>
          </w:tcPr>
          <w:p>
            <w:pPr>
              <w:pStyle w:val="105"/>
              <w:widowControl w:val="0"/>
              <w:jc w:val="center"/>
            </w:pPr>
            <w:r>
              <w:rPr>
                <w:spacing w:val="4"/>
              </w:rPr>
              <w:t>-1320.3261</w:t>
            </w:r>
          </w:p>
        </w:tc>
      </w:tr>
    </w:tbl>
    <w:p>
      <w:pPr>
        <w:pStyle w:val="87"/>
        <w:spacing w:before="120"/>
        <w:ind w:left="480" w:firstLine="480"/>
      </w:pPr>
      <w:bookmarkStart w:id="216" w:name="_Ref152838211"/>
      <w:bookmarkStart w:id="217" w:name="_Ref177714367"/>
      <w:r>
        <w:rPr>
          <w:rFonts w:hint="eastAsia"/>
        </w:rPr>
        <w:t>方案工程比选一览表</w:t>
      </w:r>
      <w:bookmarkEnd w:id="216"/>
      <w:bookmarkEnd w:id="217"/>
    </w:p>
    <w:tbl>
      <w:tblPr>
        <w:tblStyle w:val="14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51"/>
        <w:gridCol w:w="2835"/>
        <w:gridCol w:w="4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pStyle w:val="105"/>
              <w:jc w:val="center"/>
              <w:rPr>
                <w:snapToGrid w:val="0"/>
                <w:sz w:val="18"/>
                <w:szCs w:val="18"/>
              </w:rPr>
            </w:pPr>
            <w:r>
              <w:rPr>
                <w:rFonts w:hint="eastAsia"/>
                <w:snapToGrid w:val="0"/>
                <w:sz w:val="18"/>
                <w:szCs w:val="18"/>
              </w:rPr>
              <w:t>序号</w:t>
            </w:r>
          </w:p>
        </w:tc>
        <w:tc>
          <w:tcPr>
            <w:tcW w:w="851" w:type="dxa"/>
            <w:vAlign w:val="center"/>
          </w:tcPr>
          <w:p>
            <w:pPr>
              <w:pStyle w:val="105"/>
              <w:jc w:val="center"/>
              <w:rPr>
                <w:snapToGrid w:val="0"/>
                <w:sz w:val="18"/>
                <w:szCs w:val="18"/>
              </w:rPr>
            </w:pPr>
            <w:r>
              <w:rPr>
                <w:rFonts w:hint="eastAsia"/>
                <w:snapToGrid w:val="0"/>
                <w:sz w:val="18"/>
                <w:szCs w:val="18"/>
              </w:rPr>
              <w:t>优缺点</w:t>
            </w:r>
          </w:p>
        </w:tc>
        <w:tc>
          <w:tcPr>
            <w:tcW w:w="2835" w:type="dxa"/>
            <w:vAlign w:val="center"/>
          </w:tcPr>
          <w:p>
            <w:pPr>
              <w:pStyle w:val="105"/>
              <w:jc w:val="center"/>
              <w:rPr>
                <w:snapToGrid w:val="0"/>
                <w:sz w:val="18"/>
                <w:szCs w:val="18"/>
              </w:rPr>
            </w:pPr>
            <w:r>
              <w:rPr>
                <w:rFonts w:hint="eastAsia"/>
                <w:snapToGrid w:val="0"/>
                <w:sz w:val="18"/>
                <w:szCs w:val="18"/>
              </w:rPr>
              <w:t>K线方案</w:t>
            </w:r>
          </w:p>
        </w:tc>
        <w:tc>
          <w:tcPr>
            <w:tcW w:w="4665" w:type="dxa"/>
            <w:vAlign w:val="center"/>
          </w:tcPr>
          <w:p>
            <w:pPr>
              <w:pStyle w:val="105"/>
              <w:jc w:val="center"/>
              <w:rPr>
                <w:snapToGrid w:val="0"/>
                <w:sz w:val="18"/>
                <w:szCs w:val="18"/>
              </w:rPr>
            </w:pPr>
            <w:r>
              <w:rPr>
                <w:rFonts w:hint="eastAsia"/>
                <w:snapToGrid w:val="0"/>
                <w:sz w:val="18"/>
                <w:szCs w:val="18"/>
              </w:rPr>
              <w:t>A线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pStyle w:val="105"/>
              <w:jc w:val="center"/>
              <w:rPr>
                <w:snapToGrid w:val="0"/>
                <w:sz w:val="18"/>
                <w:szCs w:val="18"/>
              </w:rPr>
            </w:pPr>
            <w:r>
              <w:rPr>
                <w:rFonts w:hint="eastAsia"/>
                <w:snapToGrid w:val="0"/>
                <w:sz w:val="18"/>
                <w:szCs w:val="18"/>
              </w:rPr>
              <w:t>1</w:t>
            </w:r>
          </w:p>
        </w:tc>
        <w:tc>
          <w:tcPr>
            <w:tcW w:w="851" w:type="dxa"/>
            <w:vAlign w:val="center"/>
          </w:tcPr>
          <w:p>
            <w:pPr>
              <w:pStyle w:val="105"/>
              <w:jc w:val="left"/>
              <w:rPr>
                <w:snapToGrid w:val="0"/>
                <w:sz w:val="18"/>
                <w:szCs w:val="18"/>
              </w:rPr>
            </w:pPr>
            <w:r>
              <w:rPr>
                <w:rFonts w:hint="eastAsia"/>
                <w:snapToGrid w:val="0"/>
                <w:sz w:val="18"/>
                <w:szCs w:val="18"/>
              </w:rPr>
              <w:t>优点</w:t>
            </w:r>
          </w:p>
        </w:tc>
        <w:tc>
          <w:tcPr>
            <w:tcW w:w="2835" w:type="dxa"/>
            <w:vAlign w:val="center"/>
          </w:tcPr>
          <w:p>
            <w:pPr>
              <w:pStyle w:val="105"/>
              <w:jc w:val="center"/>
              <w:rPr>
                <w:snapToGrid w:val="0"/>
                <w:sz w:val="18"/>
                <w:szCs w:val="18"/>
              </w:rPr>
            </w:pPr>
            <w:r>
              <w:rPr>
                <w:rFonts w:hint="eastAsia"/>
                <w:snapToGrid w:val="0"/>
                <w:sz w:val="18"/>
                <w:szCs w:val="18"/>
              </w:rPr>
              <w:t>①</w:t>
            </w:r>
            <w:r>
              <w:rPr>
                <w:snapToGrid w:val="0"/>
                <w:spacing w:val="-19"/>
                <w:sz w:val="18"/>
                <w:szCs w:val="18"/>
              </w:rPr>
              <w:t xml:space="preserve"> </w:t>
            </w:r>
            <w:r>
              <w:rPr>
                <w:snapToGrid w:val="0"/>
                <w:sz w:val="18"/>
                <w:szCs w:val="18"/>
              </w:rPr>
              <w:t>符合地方主管部门的意见；</w:t>
            </w:r>
          </w:p>
          <w:p>
            <w:pPr>
              <w:pStyle w:val="105"/>
              <w:jc w:val="center"/>
              <w:rPr>
                <w:snapToGrid w:val="0"/>
                <w:sz w:val="18"/>
                <w:szCs w:val="18"/>
              </w:rPr>
            </w:pPr>
            <w:r>
              <w:rPr>
                <w:rFonts w:hint="eastAsia"/>
                <w:snapToGrid w:val="0"/>
                <w:sz w:val="18"/>
                <w:szCs w:val="18"/>
              </w:rPr>
              <w:t>②</w:t>
            </w:r>
            <w:r>
              <w:rPr>
                <w:snapToGrid w:val="0"/>
                <w:sz w:val="18"/>
                <w:szCs w:val="18"/>
              </w:rPr>
              <w:t>路线线形指标较好（R=350</w:t>
            </w:r>
            <w:r>
              <w:rPr>
                <w:snapToGrid w:val="0"/>
                <w:spacing w:val="1"/>
                <w:sz w:val="18"/>
                <w:szCs w:val="18"/>
              </w:rPr>
              <w:t>）；</w:t>
            </w:r>
          </w:p>
          <w:p>
            <w:pPr>
              <w:pStyle w:val="105"/>
              <w:jc w:val="center"/>
              <w:rPr>
                <w:snapToGrid w:val="0"/>
                <w:sz w:val="18"/>
                <w:szCs w:val="18"/>
              </w:rPr>
            </w:pPr>
            <w:r>
              <w:rPr>
                <w:rFonts w:hint="eastAsia"/>
                <w:snapToGrid w:val="0"/>
                <w:sz w:val="18"/>
                <w:szCs w:val="18"/>
              </w:rPr>
              <w:t>③</w:t>
            </w:r>
            <w:r>
              <w:rPr>
                <w:snapToGrid w:val="0"/>
                <w:sz w:val="18"/>
                <w:szCs w:val="18"/>
              </w:rPr>
              <w:t>对现状排洪渠影响较小，仅需新建渡槽跨越本项目；</w:t>
            </w:r>
          </w:p>
        </w:tc>
        <w:tc>
          <w:tcPr>
            <w:tcW w:w="4665" w:type="dxa"/>
            <w:vAlign w:val="center"/>
          </w:tcPr>
          <w:p>
            <w:pPr>
              <w:pStyle w:val="105"/>
              <w:jc w:val="left"/>
              <w:rPr>
                <w:snapToGrid w:val="0"/>
                <w:sz w:val="18"/>
                <w:szCs w:val="18"/>
              </w:rPr>
            </w:pPr>
            <w:r>
              <w:rPr>
                <w:rFonts w:hint="eastAsia"/>
                <w:snapToGrid w:val="0"/>
                <w:sz w:val="18"/>
                <w:szCs w:val="18"/>
              </w:rPr>
              <w:t>①沿山展线，工程规模较小；</w:t>
            </w:r>
          </w:p>
          <w:p>
            <w:pPr>
              <w:pStyle w:val="105"/>
              <w:jc w:val="left"/>
              <w:rPr>
                <w:snapToGrid w:val="0"/>
                <w:sz w:val="18"/>
                <w:szCs w:val="18"/>
              </w:rPr>
            </w:pPr>
            <w:r>
              <w:rPr>
                <w:rFonts w:hint="eastAsia"/>
                <w:snapToGrid w:val="0"/>
                <w:sz w:val="18"/>
                <w:szCs w:val="18"/>
              </w:rPr>
              <w:t>②对东张福渠影响范围较小（约 210m）；</w:t>
            </w:r>
          </w:p>
          <w:p>
            <w:pPr>
              <w:pStyle w:val="105"/>
              <w:jc w:val="left"/>
              <w:rPr>
                <w:snapToGrid w:val="0"/>
                <w:sz w:val="18"/>
                <w:szCs w:val="18"/>
              </w:rPr>
            </w:pPr>
            <w:r>
              <w:rPr>
                <w:rFonts w:hint="eastAsia"/>
                <w:snapToGrid w:val="0"/>
                <w:sz w:val="18"/>
                <w:szCs w:val="18"/>
              </w:rPr>
              <w:t>③造价较低，建安费约 2955 万元</w:t>
            </w:r>
          </w:p>
          <w:p>
            <w:pPr>
              <w:pStyle w:val="105"/>
              <w:jc w:val="left"/>
              <w:rPr>
                <w:snapToGrid w:val="0"/>
                <w:sz w:val="18"/>
                <w:szCs w:val="18"/>
              </w:rPr>
            </w:pPr>
            <w:r>
              <w:rPr>
                <w:rFonts w:hint="eastAsia"/>
                <w:snapToGrid w:val="0"/>
                <w:sz w:val="18"/>
                <w:szCs w:val="18"/>
              </w:rPr>
              <w:t>④ 需对泄洪道进行改线，难度极大。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pStyle w:val="105"/>
              <w:jc w:val="center"/>
              <w:rPr>
                <w:snapToGrid w:val="0"/>
                <w:sz w:val="18"/>
                <w:szCs w:val="18"/>
              </w:rPr>
            </w:pPr>
            <w:r>
              <w:rPr>
                <w:rFonts w:hint="eastAsia"/>
                <w:snapToGrid w:val="0"/>
                <w:sz w:val="18"/>
                <w:szCs w:val="18"/>
              </w:rPr>
              <w:t>2</w:t>
            </w:r>
          </w:p>
        </w:tc>
        <w:tc>
          <w:tcPr>
            <w:tcW w:w="851" w:type="dxa"/>
            <w:vAlign w:val="center"/>
          </w:tcPr>
          <w:p>
            <w:pPr>
              <w:pStyle w:val="105"/>
              <w:jc w:val="left"/>
              <w:rPr>
                <w:snapToGrid w:val="0"/>
                <w:sz w:val="18"/>
                <w:szCs w:val="18"/>
              </w:rPr>
            </w:pPr>
            <w:r>
              <w:rPr>
                <w:rFonts w:hint="eastAsia"/>
                <w:snapToGrid w:val="0"/>
                <w:sz w:val="18"/>
                <w:szCs w:val="18"/>
              </w:rPr>
              <w:t>缺点</w:t>
            </w:r>
          </w:p>
        </w:tc>
        <w:tc>
          <w:tcPr>
            <w:tcW w:w="2835" w:type="dxa"/>
            <w:vAlign w:val="center"/>
          </w:tcPr>
          <w:p>
            <w:pPr>
              <w:pStyle w:val="105"/>
              <w:jc w:val="center"/>
              <w:rPr>
                <w:snapToGrid w:val="0"/>
                <w:sz w:val="18"/>
                <w:szCs w:val="18"/>
              </w:rPr>
            </w:pPr>
            <w:r>
              <w:rPr>
                <w:rFonts w:hint="eastAsia"/>
                <w:snapToGrid w:val="0"/>
                <w:sz w:val="18"/>
                <w:szCs w:val="18"/>
              </w:rPr>
              <w:t>①</w:t>
            </w:r>
            <w:r>
              <w:rPr>
                <w:snapToGrid w:val="0"/>
                <w:sz w:val="18"/>
                <w:szCs w:val="18"/>
              </w:rPr>
              <w:t>工程规模较大，挖方量较大；</w:t>
            </w:r>
          </w:p>
          <w:p>
            <w:pPr>
              <w:pStyle w:val="105"/>
              <w:jc w:val="center"/>
              <w:rPr>
                <w:snapToGrid w:val="0"/>
                <w:sz w:val="18"/>
                <w:szCs w:val="18"/>
              </w:rPr>
            </w:pPr>
            <w:r>
              <w:rPr>
                <w:rFonts w:hint="eastAsia"/>
                <w:snapToGrid w:val="0"/>
                <w:sz w:val="18"/>
                <w:szCs w:val="18"/>
              </w:rPr>
              <w:t>②</w:t>
            </w:r>
            <w:r>
              <w:rPr>
                <w:snapToGrid w:val="0"/>
                <w:spacing w:val="-23"/>
                <w:sz w:val="18"/>
                <w:szCs w:val="18"/>
              </w:rPr>
              <w:t xml:space="preserve"> </w:t>
            </w:r>
            <w:r>
              <w:rPr>
                <w:snapToGrid w:val="0"/>
                <w:sz w:val="18"/>
                <w:szCs w:val="18"/>
              </w:rPr>
              <w:t>对东张福渠影响范围更大（约</w:t>
            </w:r>
            <w:r>
              <w:rPr>
                <w:snapToGrid w:val="0"/>
                <w:spacing w:val="-34"/>
                <w:sz w:val="18"/>
                <w:szCs w:val="18"/>
              </w:rPr>
              <w:t xml:space="preserve"> </w:t>
            </w:r>
            <w:r>
              <w:rPr>
                <w:snapToGrid w:val="0"/>
                <w:sz w:val="18"/>
                <w:szCs w:val="18"/>
              </w:rPr>
              <w:t>228m</w:t>
            </w:r>
            <w:r>
              <w:rPr>
                <w:snapToGrid w:val="0"/>
                <w:spacing w:val="5"/>
                <w:sz w:val="18"/>
                <w:szCs w:val="18"/>
              </w:rPr>
              <w:t>）；</w:t>
            </w:r>
          </w:p>
          <w:p>
            <w:pPr>
              <w:pStyle w:val="105"/>
              <w:jc w:val="center"/>
              <w:rPr>
                <w:snapToGrid w:val="0"/>
                <w:sz w:val="18"/>
                <w:szCs w:val="18"/>
              </w:rPr>
            </w:pPr>
            <w:r>
              <w:rPr>
                <w:rFonts w:hint="eastAsia"/>
                <w:snapToGrid w:val="0"/>
                <w:spacing w:val="4"/>
                <w:sz w:val="18"/>
                <w:szCs w:val="18"/>
              </w:rPr>
              <w:t>③</w:t>
            </w:r>
            <w:r>
              <w:rPr>
                <w:snapToGrid w:val="0"/>
                <w:spacing w:val="4"/>
                <w:sz w:val="18"/>
                <w:szCs w:val="18"/>
              </w:rPr>
              <w:t>造价较高，建安费约</w:t>
            </w:r>
            <w:r>
              <w:rPr>
                <w:snapToGrid w:val="0"/>
                <w:spacing w:val="-33"/>
                <w:sz w:val="18"/>
                <w:szCs w:val="18"/>
              </w:rPr>
              <w:t xml:space="preserve"> </w:t>
            </w:r>
            <w:r>
              <w:rPr>
                <w:snapToGrid w:val="0"/>
                <w:spacing w:val="4"/>
                <w:sz w:val="18"/>
                <w:szCs w:val="18"/>
              </w:rPr>
              <w:t>3773</w:t>
            </w:r>
            <w:r>
              <w:rPr>
                <w:snapToGrid w:val="0"/>
                <w:spacing w:val="-33"/>
                <w:sz w:val="18"/>
                <w:szCs w:val="18"/>
              </w:rPr>
              <w:t xml:space="preserve"> </w:t>
            </w:r>
            <w:r>
              <w:rPr>
                <w:snapToGrid w:val="0"/>
                <w:spacing w:val="4"/>
                <w:sz w:val="18"/>
                <w:szCs w:val="18"/>
              </w:rPr>
              <w:t>万元。</w:t>
            </w:r>
          </w:p>
        </w:tc>
        <w:tc>
          <w:tcPr>
            <w:tcW w:w="4665" w:type="dxa"/>
            <w:vAlign w:val="center"/>
          </w:tcPr>
          <w:p>
            <w:pPr>
              <w:pStyle w:val="105"/>
              <w:jc w:val="left"/>
              <w:rPr>
                <w:snapToGrid w:val="0"/>
                <w:sz w:val="18"/>
                <w:szCs w:val="18"/>
              </w:rPr>
            </w:pPr>
            <w:r>
              <w:rPr>
                <w:rFonts w:hint="eastAsia"/>
                <w:snapToGrid w:val="0"/>
                <w:sz w:val="18"/>
                <w:szCs w:val="18"/>
              </w:rPr>
              <w:t>①路线线形指标较差（R=200）；</w:t>
            </w:r>
          </w:p>
          <w:p>
            <w:pPr>
              <w:pStyle w:val="105"/>
              <w:jc w:val="left"/>
              <w:rPr>
                <w:snapToGrid w:val="0"/>
                <w:sz w:val="18"/>
                <w:szCs w:val="18"/>
              </w:rPr>
            </w:pPr>
            <w:r>
              <w:rPr>
                <w:rFonts w:hint="eastAsia"/>
                <w:snapToGrid w:val="0"/>
                <w:sz w:val="18"/>
                <w:szCs w:val="18"/>
              </w:rPr>
              <w:t>②因交叉口展宽需要，需拼宽现状桥梁；</w:t>
            </w:r>
          </w:p>
          <w:p>
            <w:pPr>
              <w:pStyle w:val="105"/>
              <w:jc w:val="left"/>
              <w:rPr>
                <w:snapToGrid w:val="0"/>
                <w:sz w:val="18"/>
                <w:szCs w:val="18"/>
              </w:rPr>
            </w:pPr>
            <w:r>
              <w:rPr>
                <w:rFonts w:hint="eastAsia"/>
                <w:snapToGrid w:val="0"/>
                <w:sz w:val="18"/>
                <w:szCs w:val="18"/>
              </w:rPr>
              <w:t>③对现状排洪渠影响较大，需改渠处理， 协调难度大；</w:t>
            </w:r>
          </w:p>
          <w:p>
            <w:pPr>
              <w:pStyle w:val="105"/>
              <w:jc w:val="left"/>
              <w:rPr>
                <w:snapToGrid w:val="0"/>
                <w:sz w:val="18"/>
                <w:szCs w:val="18"/>
              </w:rPr>
            </w:pPr>
            <w:r>
              <w:rPr>
                <w:rFonts w:hint="eastAsia"/>
                <w:snapToGrid w:val="0"/>
                <w:sz w:val="18"/>
                <w:szCs w:val="18"/>
              </w:rPr>
              <w:t>④ 距离双莲寺较近，施工时对寺庙产生一 定影响。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4"/>
            <w:vAlign w:val="center"/>
          </w:tcPr>
          <w:p>
            <w:pPr>
              <w:pStyle w:val="105"/>
              <w:jc w:val="left"/>
              <w:rPr>
                <w:snapToGrid w:val="0"/>
                <w:sz w:val="18"/>
                <w:szCs w:val="18"/>
              </w:rPr>
            </w:pPr>
            <w:r>
              <w:rPr>
                <w:rFonts w:hint="eastAsia"/>
                <w:snapToGrid w:val="0"/>
                <w:sz w:val="18"/>
                <w:szCs w:val="18"/>
              </w:rPr>
              <w:t>比选结论：</w:t>
            </w:r>
            <w:r>
              <w:rPr>
                <w:rFonts w:ascii="宋体" w:hAnsi="宋体"/>
                <w:snapToGrid w:val="0"/>
                <w:spacing w:val="-4"/>
                <w:sz w:val="18"/>
                <w:szCs w:val="18"/>
              </w:rPr>
              <w:t>综上，K</w:t>
            </w:r>
            <w:r>
              <w:rPr>
                <w:rFonts w:ascii="宋体" w:hAnsi="宋体"/>
                <w:snapToGrid w:val="0"/>
                <w:spacing w:val="-30"/>
                <w:sz w:val="18"/>
                <w:szCs w:val="18"/>
              </w:rPr>
              <w:t xml:space="preserve"> </w:t>
            </w:r>
            <w:r>
              <w:rPr>
                <w:rFonts w:ascii="宋体" w:hAnsi="宋体"/>
                <w:snapToGrid w:val="0"/>
                <w:spacing w:val="-4"/>
                <w:sz w:val="18"/>
                <w:szCs w:val="18"/>
              </w:rPr>
              <w:t>线方案虽然造价略高于</w:t>
            </w:r>
            <w:r>
              <w:rPr>
                <w:rFonts w:ascii="宋体" w:hAnsi="宋体"/>
                <w:snapToGrid w:val="0"/>
                <w:spacing w:val="-58"/>
                <w:sz w:val="18"/>
                <w:szCs w:val="18"/>
              </w:rPr>
              <w:t xml:space="preserve"> </w:t>
            </w:r>
            <w:r>
              <w:rPr>
                <w:rFonts w:ascii="宋体" w:hAnsi="宋体"/>
                <w:snapToGrid w:val="0"/>
                <w:spacing w:val="-4"/>
                <w:sz w:val="18"/>
                <w:szCs w:val="18"/>
              </w:rPr>
              <w:t>A</w:t>
            </w:r>
            <w:r>
              <w:rPr>
                <w:rFonts w:ascii="宋体" w:hAnsi="宋体"/>
                <w:snapToGrid w:val="0"/>
                <w:spacing w:val="-48"/>
                <w:sz w:val="18"/>
                <w:szCs w:val="18"/>
              </w:rPr>
              <w:t xml:space="preserve"> </w:t>
            </w:r>
            <w:r>
              <w:rPr>
                <w:rFonts w:ascii="宋体" w:hAnsi="宋体"/>
                <w:snapToGrid w:val="0"/>
                <w:spacing w:val="-4"/>
                <w:sz w:val="18"/>
                <w:szCs w:val="18"/>
              </w:rPr>
              <w:t>线方案，但其线形较好，能够完全避开寺庙，对排洪渠</w:t>
            </w:r>
            <w:r>
              <w:rPr>
                <w:rFonts w:ascii="宋体" w:hAnsi="宋体"/>
                <w:snapToGrid w:val="0"/>
                <w:spacing w:val="-3"/>
                <w:sz w:val="18"/>
                <w:szCs w:val="18"/>
              </w:rPr>
              <w:t>影响较小，且交叉口展宽段避开现状桥梁无需拼宽处理，可实施性更强，因此推荐</w:t>
            </w:r>
            <w:r>
              <w:rPr>
                <w:rFonts w:ascii="宋体" w:hAnsi="宋体"/>
                <w:snapToGrid w:val="0"/>
                <w:spacing w:val="-37"/>
                <w:sz w:val="18"/>
                <w:szCs w:val="18"/>
              </w:rPr>
              <w:t xml:space="preserve"> </w:t>
            </w:r>
            <w:r>
              <w:rPr>
                <w:rFonts w:ascii="宋体" w:hAnsi="宋体"/>
                <w:snapToGrid w:val="0"/>
                <w:spacing w:val="-3"/>
                <w:sz w:val="18"/>
                <w:szCs w:val="18"/>
              </w:rPr>
              <w:t>K</w:t>
            </w:r>
            <w:r>
              <w:rPr>
                <w:rFonts w:ascii="宋体" w:hAnsi="宋体"/>
                <w:snapToGrid w:val="0"/>
                <w:spacing w:val="-48"/>
                <w:sz w:val="18"/>
                <w:szCs w:val="18"/>
              </w:rPr>
              <w:t xml:space="preserve"> </w:t>
            </w:r>
            <w:r>
              <w:rPr>
                <w:rFonts w:ascii="宋体" w:hAnsi="宋体"/>
                <w:snapToGrid w:val="0"/>
                <w:spacing w:val="-3"/>
                <w:sz w:val="18"/>
                <w:szCs w:val="18"/>
              </w:rPr>
              <w:t>线方案</w:t>
            </w:r>
            <w:r>
              <w:rPr>
                <w:rFonts w:hint="eastAsia"/>
                <w:snapToGrid w:val="0"/>
                <w:sz w:val="18"/>
                <w:szCs w:val="18"/>
              </w:rPr>
              <w:t>。</w:t>
            </w:r>
          </w:p>
        </w:tc>
      </w:tr>
    </w:tbl>
    <w:p>
      <w:pPr>
        <w:ind w:firstLine="480"/>
      </w:pPr>
      <w:r>
        <w:tab/>
      </w:r>
    </w:p>
    <w:p>
      <w:pPr>
        <w:pStyle w:val="105"/>
      </w:pPr>
    </w:p>
    <w:p>
      <w:pPr>
        <w:pStyle w:val="122"/>
      </w:pPr>
      <w:bookmarkStart w:id="218" w:name="_Ref193467784"/>
      <w:r>
        <w:rPr>
          <w:rFonts w:hint="eastAsia"/>
        </w:rPr>
        <w:t>方案比选线路图（初步设计方案比选图）</w:t>
      </w:r>
      <w:bookmarkEnd w:id="218"/>
    </w:p>
    <w:p>
      <w:pPr>
        <w:pStyle w:val="118"/>
      </w:pPr>
      <w:r>
        <w:rPr>
          <w:rFonts w:hint="eastAsia"/>
        </w:rPr>
        <w:t>环境比选</w:t>
      </w:r>
    </w:p>
    <w:p>
      <w:pPr>
        <w:ind w:firstLine="480"/>
      </w:pPr>
      <w:r>
        <w:rPr>
          <w:rFonts w:hint="eastAsia"/>
        </w:rPr>
        <w:t>推荐线K线和比较线</w:t>
      </w:r>
      <w:r>
        <w:t>A</w:t>
      </w:r>
      <w:r>
        <w:tab/>
      </w:r>
      <w:r>
        <w:rPr>
          <w:rFonts w:hint="eastAsia"/>
        </w:rPr>
        <w:t>线的环境保护比选情况见</w:t>
      </w:r>
      <w:r>
        <w:fldChar w:fldCharType="begin"/>
      </w:r>
      <w:r>
        <w:instrText xml:space="preserve"> </w:instrText>
      </w:r>
      <w:r>
        <w:rPr>
          <w:rFonts w:hint="eastAsia"/>
        </w:rPr>
        <w:instrText xml:space="preserve">REF _Ref150159384 \r \h</w:instrText>
      </w:r>
      <w:r>
        <w:instrText xml:space="preserve">  \* MERGEFORMAT </w:instrText>
      </w:r>
      <w:r>
        <w:fldChar w:fldCharType="separate"/>
      </w:r>
      <w:r>
        <w:rPr>
          <w:rFonts w:hint="eastAsia"/>
        </w:rPr>
        <w:t>表3.1-4</w:t>
      </w:r>
      <w:r>
        <w:fldChar w:fldCharType="end"/>
      </w:r>
      <w:r>
        <w:rPr>
          <w:rFonts w:hint="eastAsia"/>
        </w:rPr>
        <w:t>。</w:t>
      </w:r>
    </w:p>
    <w:p>
      <w:pPr>
        <w:pStyle w:val="87"/>
        <w:spacing w:before="120"/>
        <w:ind w:left="480" w:firstLine="480"/>
      </w:pPr>
      <w:bookmarkStart w:id="219" w:name="_Ref150159384"/>
      <w:r>
        <w:rPr>
          <w:rFonts w:hint="eastAsia"/>
        </w:rPr>
        <w:t>推荐线和比较线环境保护比较表</w:t>
      </w:r>
      <w:bookmarkEnd w:id="219"/>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178"/>
        <w:gridCol w:w="2614"/>
        <w:gridCol w:w="2612"/>
        <w:gridCol w:w="2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38" w:type="pct"/>
            <w:gridSpan w:val="2"/>
            <w:vAlign w:val="center"/>
          </w:tcPr>
          <w:p>
            <w:pPr>
              <w:pStyle w:val="105"/>
              <w:jc w:val="center"/>
              <w:rPr>
                <w:snapToGrid w:val="0"/>
              </w:rPr>
            </w:pPr>
            <w:r>
              <w:rPr>
                <w:rFonts w:hint="eastAsia"/>
                <w:snapToGrid w:val="0"/>
              </w:rPr>
              <w:t>方案\指标</w:t>
            </w:r>
          </w:p>
        </w:tc>
        <w:tc>
          <w:tcPr>
            <w:tcW w:w="1407" w:type="pct"/>
            <w:vAlign w:val="center"/>
          </w:tcPr>
          <w:p>
            <w:pPr>
              <w:pStyle w:val="105"/>
              <w:jc w:val="center"/>
              <w:rPr>
                <w:snapToGrid w:val="0"/>
              </w:rPr>
            </w:pPr>
            <w:r>
              <w:rPr>
                <w:rFonts w:hint="eastAsia"/>
                <w:snapToGrid w:val="0"/>
              </w:rPr>
              <w:t>K线（实际实施线路）</w:t>
            </w:r>
          </w:p>
        </w:tc>
        <w:tc>
          <w:tcPr>
            <w:tcW w:w="1406" w:type="pct"/>
            <w:vAlign w:val="center"/>
          </w:tcPr>
          <w:p>
            <w:pPr>
              <w:pStyle w:val="105"/>
              <w:jc w:val="center"/>
              <w:rPr>
                <w:snapToGrid w:val="0"/>
              </w:rPr>
            </w:pPr>
            <w:r>
              <w:rPr>
                <w:snapToGrid w:val="0"/>
              </w:rPr>
              <w:t>A</w:t>
            </w:r>
            <w:r>
              <w:rPr>
                <w:rFonts w:hint="eastAsia"/>
                <w:snapToGrid w:val="0"/>
              </w:rPr>
              <w:t>线方案</w:t>
            </w:r>
          </w:p>
        </w:tc>
        <w:tc>
          <w:tcPr>
            <w:tcW w:w="1249" w:type="pct"/>
            <w:vAlign w:val="center"/>
          </w:tcPr>
          <w:p>
            <w:pPr>
              <w:pStyle w:val="105"/>
              <w:jc w:val="center"/>
              <w:rPr>
                <w:snapToGrid w:val="0"/>
              </w:rPr>
            </w:pPr>
            <w:r>
              <w:rPr>
                <w:rFonts w:hint="eastAsia"/>
                <w:snapToGrid w:val="0"/>
              </w:rPr>
              <w:t>比选情况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8" w:type="pct"/>
            <w:gridSpan w:val="2"/>
            <w:vAlign w:val="center"/>
          </w:tcPr>
          <w:p>
            <w:pPr>
              <w:pStyle w:val="105"/>
              <w:jc w:val="center"/>
              <w:rPr>
                <w:snapToGrid w:val="0"/>
              </w:rPr>
            </w:pPr>
            <w:r>
              <w:rPr>
                <w:rFonts w:hint="eastAsia"/>
                <w:snapToGrid w:val="0"/>
              </w:rPr>
              <w:t>起终点</w:t>
            </w:r>
          </w:p>
        </w:tc>
        <w:tc>
          <w:tcPr>
            <w:tcW w:w="1407" w:type="pct"/>
            <w:vAlign w:val="center"/>
          </w:tcPr>
          <w:p>
            <w:pPr>
              <w:pStyle w:val="105"/>
              <w:jc w:val="center"/>
              <w:rPr>
                <w:snapToGrid w:val="0"/>
              </w:rPr>
            </w:pPr>
            <w:r>
              <w:rPr>
                <w:rFonts w:hint="eastAsia"/>
                <w:snapToGrid w:val="0"/>
              </w:rPr>
              <w:t>K</w:t>
            </w:r>
            <w:r>
              <w:rPr>
                <w:snapToGrid w:val="0"/>
              </w:rPr>
              <w:t>0</w:t>
            </w:r>
            <w:r>
              <w:rPr>
                <w:rFonts w:hint="eastAsia"/>
                <w:snapToGrid w:val="0"/>
              </w:rPr>
              <w:t>+</w:t>
            </w:r>
            <w:r>
              <w:rPr>
                <w:snapToGrid w:val="0"/>
              </w:rPr>
              <w:t>0</w:t>
            </w:r>
            <w:r>
              <w:rPr>
                <w:rFonts w:hint="eastAsia"/>
                <w:snapToGrid w:val="0"/>
              </w:rPr>
              <w:t>00~K</w:t>
            </w:r>
            <w:r>
              <w:rPr>
                <w:snapToGrid w:val="0"/>
              </w:rPr>
              <w:t>0</w:t>
            </w:r>
            <w:r>
              <w:rPr>
                <w:rFonts w:hint="eastAsia"/>
                <w:snapToGrid w:val="0"/>
              </w:rPr>
              <w:t>+</w:t>
            </w:r>
            <w:r>
              <w:rPr>
                <w:snapToGrid w:val="0"/>
              </w:rPr>
              <w:t>62</w:t>
            </w:r>
            <w:r>
              <w:rPr>
                <w:rFonts w:hint="eastAsia"/>
                <w:snapToGrid w:val="0"/>
              </w:rPr>
              <w:t>0</w:t>
            </w:r>
          </w:p>
        </w:tc>
        <w:tc>
          <w:tcPr>
            <w:tcW w:w="1406" w:type="pct"/>
            <w:vAlign w:val="center"/>
          </w:tcPr>
          <w:p>
            <w:pPr>
              <w:pStyle w:val="105"/>
              <w:jc w:val="center"/>
              <w:rPr>
                <w:snapToGrid w:val="0"/>
              </w:rPr>
            </w:pPr>
            <w:r>
              <w:rPr>
                <w:rFonts w:hint="eastAsia"/>
                <w:snapToGrid w:val="0"/>
              </w:rPr>
              <w:t>AK</w:t>
            </w:r>
            <w:r>
              <w:rPr>
                <w:snapToGrid w:val="0"/>
              </w:rPr>
              <w:t>0</w:t>
            </w:r>
            <w:r>
              <w:rPr>
                <w:rFonts w:hint="eastAsia"/>
                <w:snapToGrid w:val="0"/>
              </w:rPr>
              <w:t>+</w:t>
            </w:r>
            <w:r>
              <w:rPr>
                <w:snapToGrid w:val="0"/>
              </w:rPr>
              <w:t>0</w:t>
            </w:r>
            <w:r>
              <w:rPr>
                <w:rFonts w:hint="eastAsia"/>
                <w:snapToGrid w:val="0"/>
              </w:rPr>
              <w:t>00~AK</w:t>
            </w:r>
            <w:r>
              <w:rPr>
                <w:snapToGrid w:val="0"/>
              </w:rPr>
              <w:t>0</w:t>
            </w:r>
            <w:r>
              <w:rPr>
                <w:rFonts w:hint="eastAsia"/>
                <w:snapToGrid w:val="0"/>
              </w:rPr>
              <w:t>+</w:t>
            </w:r>
            <w:r>
              <w:rPr>
                <w:snapToGrid w:val="0"/>
              </w:rPr>
              <w:t>570</w:t>
            </w:r>
          </w:p>
        </w:tc>
        <w:tc>
          <w:tcPr>
            <w:tcW w:w="1249" w:type="pct"/>
            <w:vAlign w:val="center"/>
          </w:tcPr>
          <w:p>
            <w:pPr>
              <w:pStyle w:val="105"/>
              <w:jc w:val="center"/>
              <w:rPr>
                <w:snapToGrid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8" w:type="pct"/>
            <w:gridSpan w:val="2"/>
            <w:vAlign w:val="center"/>
          </w:tcPr>
          <w:p>
            <w:pPr>
              <w:pStyle w:val="105"/>
              <w:jc w:val="center"/>
              <w:rPr>
                <w:snapToGrid w:val="0"/>
              </w:rPr>
            </w:pPr>
            <w:r>
              <w:rPr>
                <w:rFonts w:hint="eastAsia"/>
                <w:snapToGrid w:val="0"/>
              </w:rPr>
              <w:t>线路长度</w:t>
            </w:r>
          </w:p>
        </w:tc>
        <w:tc>
          <w:tcPr>
            <w:tcW w:w="1407" w:type="pct"/>
            <w:vAlign w:val="center"/>
          </w:tcPr>
          <w:p>
            <w:pPr>
              <w:pStyle w:val="105"/>
              <w:jc w:val="center"/>
              <w:rPr>
                <w:snapToGrid w:val="0"/>
              </w:rPr>
            </w:pPr>
            <w:r>
              <w:rPr>
                <w:snapToGrid w:val="0"/>
                <w:spacing w:val="2"/>
              </w:rPr>
              <w:t>0.620</w:t>
            </w:r>
          </w:p>
        </w:tc>
        <w:tc>
          <w:tcPr>
            <w:tcW w:w="1406" w:type="pct"/>
            <w:vAlign w:val="center"/>
          </w:tcPr>
          <w:p>
            <w:pPr>
              <w:pStyle w:val="105"/>
              <w:jc w:val="center"/>
              <w:rPr>
                <w:snapToGrid w:val="0"/>
              </w:rPr>
            </w:pPr>
            <w:r>
              <w:rPr>
                <w:snapToGrid w:val="0"/>
                <w:spacing w:val="2"/>
              </w:rPr>
              <w:t>0.570</w:t>
            </w:r>
          </w:p>
        </w:tc>
        <w:tc>
          <w:tcPr>
            <w:tcW w:w="1249" w:type="pct"/>
            <w:vAlign w:val="center"/>
          </w:tcPr>
          <w:p>
            <w:pPr>
              <w:pStyle w:val="105"/>
              <w:jc w:val="center"/>
              <w:rPr>
                <w:snapToGrid w:val="0"/>
              </w:rPr>
            </w:pPr>
            <w:r>
              <w:rPr>
                <w:rFonts w:hint="eastAsia"/>
                <w:snapToGrid w:val="0"/>
              </w:rPr>
              <w:t>相当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3" w:hRule="atLeast"/>
          <w:jc w:val="center"/>
        </w:trPr>
        <w:tc>
          <w:tcPr>
            <w:tcW w:w="304" w:type="pct"/>
            <w:vMerge w:val="restart"/>
            <w:vAlign w:val="center"/>
          </w:tcPr>
          <w:p>
            <w:pPr>
              <w:pStyle w:val="105"/>
              <w:jc w:val="center"/>
              <w:rPr>
                <w:snapToGrid w:val="0"/>
              </w:rPr>
            </w:pPr>
            <w:r>
              <w:rPr>
                <w:rFonts w:hint="eastAsia"/>
                <w:snapToGrid w:val="0"/>
              </w:rPr>
              <w:t>生态</w:t>
            </w:r>
          </w:p>
          <w:p>
            <w:pPr>
              <w:pStyle w:val="105"/>
              <w:jc w:val="center"/>
              <w:rPr>
                <w:snapToGrid w:val="0"/>
              </w:rPr>
            </w:pPr>
            <w:r>
              <w:rPr>
                <w:rFonts w:hint="eastAsia"/>
                <w:snapToGrid w:val="0"/>
              </w:rPr>
              <w:t>环境</w:t>
            </w:r>
          </w:p>
        </w:tc>
        <w:tc>
          <w:tcPr>
            <w:tcW w:w="634" w:type="pct"/>
            <w:vAlign w:val="center"/>
          </w:tcPr>
          <w:p>
            <w:pPr>
              <w:pStyle w:val="105"/>
              <w:jc w:val="left"/>
              <w:rPr>
                <w:snapToGrid w:val="0"/>
              </w:rPr>
            </w:pPr>
            <w:r>
              <w:rPr>
                <w:rFonts w:hint="eastAsia"/>
                <w:snapToGrid w:val="0"/>
              </w:rPr>
              <w:t>生态敏感目标</w:t>
            </w:r>
          </w:p>
        </w:tc>
        <w:tc>
          <w:tcPr>
            <w:tcW w:w="1407" w:type="pct"/>
            <w:vAlign w:val="center"/>
          </w:tcPr>
          <w:p>
            <w:pPr>
              <w:pStyle w:val="105"/>
              <w:jc w:val="left"/>
              <w:rPr>
                <w:snapToGrid w:val="0"/>
              </w:rPr>
            </w:pPr>
            <w:r>
              <w:rPr>
                <w:rFonts w:hint="eastAsia"/>
                <w:snapToGrid w:val="0"/>
              </w:rPr>
              <w:t>①线路不涉及占用生态保护红线和基本农田。</w:t>
            </w:r>
          </w:p>
          <w:p>
            <w:pPr>
              <w:pStyle w:val="105"/>
              <w:jc w:val="left"/>
              <w:rPr>
                <w:snapToGrid w:val="0"/>
              </w:rPr>
            </w:pPr>
            <w:r>
              <w:rPr>
                <w:rFonts w:hint="eastAsia"/>
                <w:snapToGrid w:val="0"/>
              </w:rPr>
              <w:t>②线路占用林地约</w:t>
            </w:r>
            <w:r>
              <w:rPr>
                <w:snapToGrid w:val="0"/>
              </w:rPr>
              <w:t>0.98</w:t>
            </w:r>
            <w:r>
              <w:rPr>
                <w:rFonts w:hint="eastAsia"/>
                <w:snapToGrid w:val="0"/>
              </w:rPr>
              <w:t>hm</w:t>
            </w:r>
            <w:r>
              <w:rPr>
                <w:snapToGrid w:val="0"/>
                <w:vertAlign w:val="superscript"/>
              </w:rPr>
              <w:t>2</w:t>
            </w:r>
            <w:r>
              <w:rPr>
                <w:rFonts w:hint="eastAsia"/>
                <w:snapToGrid w:val="0"/>
              </w:rPr>
              <w:t>，其中</w:t>
            </w:r>
            <w:r>
              <w:rPr>
                <w:rFonts w:hint="eastAsia"/>
                <w:snapToGrid w:val="0"/>
                <w:lang w:eastAsia="zh-CN"/>
              </w:rPr>
              <w:t>二级</w:t>
            </w:r>
            <w:r>
              <w:rPr>
                <w:rFonts w:hint="eastAsia"/>
                <w:snapToGrid w:val="0"/>
              </w:rPr>
              <w:t>生态公益林</w:t>
            </w:r>
            <w:r>
              <w:rPr>
                <w:snapToGrid w:val="0"/>
              </w:rPr>
              <w:t>0.5538</w:t>
            </w:r>
            <w:r>
              <w:rPr>
                <w:rFonts w:hint="eastAsia"/>
                <w:snapToGrid w:val="0"/>
              </w:rPr>
              <w:t>hm</w:t>
            </w:r>
            <w:r>
              <w:rPr>
                <w:snapToGrid w:val="0"/>
                <w:vertAlign w:val="superscript"/>
              </w:rPr>
              <w:t>2</w:t>
            </w:r>
            <w:r>
              <w:rPr>
                <w:rFonts w:hint="eastAsia"/>
                <w:snapToGrid w:val="0"/>
              </w:rPr>
              <w:t>。</w:t>
            </w:r>
          </w:p>
          <w:p>
            <w:pPr>
              <w:pStyle w:val="105"/>
              <w:jc w:val="left"/>
              <w:rPr>
                <w:snapToGrid w:val="0"/>
              </w:rPr>
            </w:pPr>
            <w:r>
              <w:rPr>
                <w:rFonts w:hint="eastAsia"/>
                <w:snapToGrid w:val="0"/>
              </w:rPr>
              <w:t>③不涉及占用一般湿地。</w:t>
            </w:r>
          </w:p>
        </w:tc>
        <w:tc>
          <w:tcPr>
            <w:tcW w:w="1406" w:type="pct"/>
            <w:vAlign w:val="center"/>
          </w:tcPr>
          <w:p>
            <w:pPr>
              <w:pStyle w:val="105"/>
              <w:jc w:val="left"/>
              <w:rPr>
                <w:snapToGrid w:val="0"/>
              </w:rPr>
            </w:pPr>
            <w:r>
              <w:rPr>
                <w:rFonts w:hint="eastAsia"/>
                <w:snapToGrid w:val="0"/>
              </w:rPr>
              <w:t>①线路不涉及占用生态保护红线和基本农田。</w:t>
            </w:r>
          </w:p>
          <w:p>
            <w:pPr>
              <w:pStyle w:val="105"/>
              <w:jc w:val="left"/>
              <w:rPr>
                <w:snapToGrid w:val="0"/>
              </w:rPr>
            </w:pPr>
            <w:r>
              <w:rPr>
                <w:rFonts w:hint="eastAsia"/>
                <w:snapToGrid w:val="0"/>
              </w:rPr>
              <w:t>②线路占用林地约1</w:t>
            </w:r>
            <w:r>
              <w:rPr>
                <w:snapToGrid w:val="0"/>
              </w:rPr>
              <w:t>.11</w:t>
            </w:r>
            <w:r>
              <w:rPr>
                <w:rFonts w:hint="eastAsia"/>
                <w:snapToGrid w:val="0"/>
              </w:rPr>
              <w:t>hm</w:t>
            </w:r>
            <w:r>
              <w:rPr>
                <w:snapToGrid w:val="0"/>
                <w:vertAlign w:val="superscript"/>
              </w:rPr>
              <w:t>2</w:t>
            </w:r>
            <w:r>
              <w:rPr>
                <w:rFonts w:hint="eastAsia"/>
                <w:snapToGrid w:val="0"/>
              </w:rPr>
              <w:t>，其中</w:t>
            </w:r>
            <w:r>
              <w:rPr>
                <w:rFonts w:hint="eastAsia"/>
                <w:snapToGrid w:val="0"/>
                <w:lang w:eastAsia="zh-CN"/>
              </w:rPr>
              <w:t>二级</w:t>
            </w:r>
            <w:r>
              <w:rPr>
                <w:rFonts w:hint="eastAsia"/>
                <w:snapToGrid w:val="0"/>
              </w:rPr>
              <w:t>生态公益林</w:t>
            </w:r>
            <w:r>
              <w:rPr>
                <w:snapToGrid w:val="0"/>
              </w:rPr>
              <w:t>0.1338</w:t>
            </w:r>
            <w:r>
              <w:rPr>
                <w:rFonts w:hint="eastAsia"/>
                <w:snapToGrid w:val="0"/>
              </w:rPr>
              <w:t>hm</w:t>
            </w:r>
            <w:r>
              <w:rPr>
                <w:snapToGrid w:val="0"/>
                <w:vertAlign w:val="superscript"/>
              </w:rPr>
              <w:t>2</w:t>
            </w:r>
            <w:r>
              <w:rPr>
                <w:rFonts w:hint="eastAsia"/>
                <w:snapToGrid w:val="0"/>
              </w:rPr>
              <w:t>。</w:t>
            </w:r>
          </w:p>
          <w:p>
            <w:pPr>
              <w:pStyle w:val="105"/>
              <w:jc w:val="left"/>
              <w:rPr>
                <w:snapToGrid w:val="0"/>
              </w:rPr>
            </w:pPr>
            <w:r>
              <w:rPr>
                <w:rFonts w:hint="eastAsia"/>
                <w:snapToGrid w:val="0"/>
              </w:rPr>
              <w:t>③不涉及占用一般湿地。</w:t>
            </w:r>
          </w:p>
        </w:tc>
        <w:tc>
          <w:tcPr>
            <w:tcW w:w="1249" w:type="pct"/>
            <w:vAlign w:val="center"/>
          </w:tcPr>
          <w:p>
            <w:pPr>
              <w:pStyle w:val="105"/>
              <w:jc w:val="left"/>
              <w:rPr>
                <w:snapToGrid w:val="0"/>
              </w:rPr>
            </w:pPr>
            <w:r>
              <w:rPr>
                <w:rFonts w:hint="eastAsia"/>
                <w:snapToGrid w:val="0"/>
              </w:rPr>
              <w:t>相当，K线占用林地面积较少，但涉及生态公益林面积略多，总体相当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4" w:type="pct"/>
            <w:vMerge w:val="continue"/>
            <w:vAlign w:val="center"/>
          </w:tcPr>
          <w:p>
            <w:pPr>
              <w:pStyle w:val="105"/>
              <w:jc w:val="center"/>
              <w:rPr>
                <w:snapToGrid w:val="0"/>
              </w:rPr>
            </w:pPr>
          </w:p>
        </w:tc>
        <w:tc>
          <w:tcPr>
            <w:tcW w:w="634" w:type="pct"/>
            <w:vAlign w:val="center"/>
          </w:tcPr>
          <w:p>
            <w:pPr>
              <w:pStyle w:val="105"/>
              <w:jc w:val="center"/>
              <w:rPr>
                <w:snapToGrid w:val="0"/>
              </w:rPr>
            </w:pPr>
            <w:r>
              <w:rPr>
                <w:rFonts w:hint="eastAsia"/>
                <w:snapToGrid w:val="0"/>
              </w:rPr>
              <w:t>占地情况</w:t>
            </w:r>
          </w:p>
        </w:tc>
        <w:tc>
          <w:tcPr>
            <w:tcW w:w="1407" w:type="pct"/>
            <w:vAlign w:val="center"/>
          </w:tcPr>
          <w:p>
            <w:pPr>
              <w:pStyle w:val="105"/>
              <w:jc w:val="center"/>
              <w:rPr>
                <w:snapToGrid w:val="0"/>
              </w:rPr>
            </w:pPr>
            <w:r>
              <w:rPr>
                <w:snapToGrid w:val="0"/>
                <w:spacing w:val="1"/>
              </w:rPr>
              <w:t>2.31</w:t>
            </w:r>
            <w:r>
              <w:rPr>
                <w:rFonts w:hint="eastAsia"/>
                <w:snapToGrid w:val="0"/>
                <w:spacing w:val="1"/>
              </w:rPr>
              <w:t>hm</w:t>
            </w:r>
            <w:r>
              <w:rPr>
                <w:snapToGrid w:val="0"/>
                <w:spacing w:val="1"/>
                <w:vertAlign w:val="superscript"/>
              </w:rPr>
              <w:t>2</w:t>
            </w:r>
          </w:p>
        </w:tc>
        <w:tc>
          <w:tcPr>
            <w:tcW w:w="1406" w:type="pct"/>
            <w:vAlign w:val="center"/>
          </w:tcPr>
          <w:p>
            <w:pPr>
              <w:pStyle w:val="105"/>
              <w:jc w:val="center"/>
              <w:rPr>
                <w:snapToGrid w:val="0"/>
              </w:rPr>
            </w:pPr>
            <w:r>
              <w:rPr>
                <w:snapToGrid w:val="0"/>
                <w:spacing w:val="1"/>
              </w:rPr>
              <w:t>2.12</w:t>
            </w:r>
            <w:r>
              <w:rPr>
                <w:rFonts w:hint="eastAsia"/>
                <w:snapToGrid w:val="0"/>
                <w:spacing w:val="1"/>
              </w:rPr>
              <w:t xml:space="preserve"> hm</w:t>
            </w:r>
            <w:r>
              <w:rPr>
                <w:snapToGrid w:val="0"/>
                <w:spacing w:val="1"/>
                <w:vertAlign w:val="superscript"/>
              </w:rPr>
              <w:t>2</w:t>
            </w:r>
          </w:p>
        </w:tc>
        <w:tc>
          <w:tcPr>
            <w:tcW w:w="1249" w:type="pct"/>
            <w:vAlign w:val="center"/>
          </w:tcPr>
          <w:p>
            <w:pPr>
              <w:pStyle w:val="105"/>
              <w:jc w:val="center"/>
              <w:rPr>
                <w:snapToGrid w:val="0"/>
              </w:rPr>
            </w:pPr>
            <w:r>
              <w:rPr>
                <w:rFonts w:hint="eastAsia"/>
                <w:snapToGrid w:val="0"/>
              </w:rPr>
              <w:t>相当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4" w:type="pct"/>
            <w:vMerge w:val="continue"/>
            <w:vAlign w:val="center"/>
          </w:tcPr>
          <w:p>
            <w:pPr>
              <w:pStyle w:val="105"/>
              <w:jc w:val="center"/>
              <w:rPr>
                <w:snapToGrid w:val="0"/>
              </w:rPr>
            </w:pPr>
          </w:p>
        </w:tc>
        <w:tc>
          <w:tcPr>
            <w:tcW w:w="634" w:type="pct"/>
            <w:vAlign w:val="center"/>
          </w:tcPr>
          <w:p>
            <w:pPr>
              <w:pStyle w:val="105"/>
              <w:jc w:val="center"/>
              <w:rPr>
                <w:snapToGrid w:val="0"/>
              </w:rPr>
            </w:pPr>
            <w:r>
              <w:rPr>
                <w:rFonts w:hint="eastAsia"/>
                <w:snapToGrid w:val="0"/>
              </w:rPr>
              <w:t>土石方量</w:t>
            </w:r>
          </w:p>
        </w:tc>
        <w:tc>
          <w:tcPr>
            <w:tcW w:w="1407" w:type="pct"/>
            <w:vAlign w:val="center"/>
          </w:tcPr>
          <w:p>
            <w:pPr>
              <w:pStyle w:val="105"/>
              <w:jc w:val="center"/>
              <w:rPr>
                <w:snapToGrid w:val="0"/>
              </w:rPr>
            </w:pPr>
            <w:r>
              <w:rPr>
                <w:snapToGrid w:val="0"/>
              </w:rPr>
              <w:t>359</w:t>
            </w:r>
            <w:r>
              <w:rPr>
                <w:rFonts w:hint="eastAsia"/>
                <w:snapToGrid w:val="0"/>
              </w:rPr>
              <w:t>万m</w:t>
            </w:r>
            <w:r>
              <w:rPr>
                <w:snapToGrid w:val="0"/>
                <w:vertAlign w:val="superscript"/>
              </w:rPr>
              <w:t>3</w:t>
            </w:r>
          </w:p>
        </w:tc>
        <w:tc>
          <w:tcPr>
            <w:tcW w:w="1406" w:type="pct"/>
            <w:vAlign w:val="center"/>
          </w:tcPr>
          <w:p>
            <w:pPr>
              <w:pStyle w:val="105"/>
              <w:jc w:val="center"/>
              <w:rPr>
                <w:snapToGrid w:val="0"/>
              </w:rPr>
            </w:pPr>
            <w:r>
              <w:rPr>
                <w:snapToGrid w:val="0"/>
              </w:rPr>
              <w:t>113.058</w:t>
            </w:r>
            <w:r>
              <w:rPr>
                <w:rFonts w:hint="eastAsia"/>
                <w:snapToGrid w:val="0"/>
              </w:rPr>
              <w:t>万m</w:t>
            </w:r>
            <w:r>
              <w:rPr>
                <w:snapToGrid w:val="0"/>
                <w:vertAlign w:val="superscript"/>
              </w:rPr>
              <w:t>3</w:t>
            </w:r>
          </w:p>
        </w:tc>
        <w:tc>
          <w:tcPr>
            <w:tcW w:w="1249" w:type="pct"/>
            <w:vAlign w:val="center"/>
          </w:tcPr>
          <w:p>
            <w:pPr>
              <w:pStyle w:val="105"/>
              <w:jc w:val="center"/>
              <w:rPr>
                <w:snapToGrid w:val="0"/>
              </w:rPr>
            </w:pPr>
            <w:r>
              <w:rPr>
                <w:snapToGrid w:val="0"/>
              </w:rPr>
              <w:t>A</w:t>
            </w:r>
            <w:r>
              <w:rPr>
                <w:rFonts w:hint="eastAsia"/>
                <w:snapToGrid w:val="0"/>
              </w:rPr>
              <w:t>线略优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4" w:type="pct"/>
            <w:vMerge w:val="continue"/>
            <w:vAlign w:val="center"/>
          </w:tcPr>
          <w:p>
            <w:pPr>
              <w:pStyle w:val="105"/>
              <w:jc w:val="center"/>
              <w:rPr>
                <w:snapToGrid w:val="0"/>
              </w:rPr>
            </w:pPr>
          </w:p>
        </w:tc>
        <w:tc>
          <w:tcPr>
            <w:tcW w:w="634" w:type="pct"/>
            <w:vAlign w:val="center"/>
          </w:tcPr>
          <w:p>
            <w:pPr>
              <w:pStyle w:val="105"/>
              <w:jc w:val="center"/>
              <w:rPr>
                <w:snapToGrid w:val="0"/>
              </w:rPr>
            </w:pPr>
            <w:r>
              <w:rPr>
                <w:rFonts w:hint="eastAsia"/>
                <w:snapToGrid w:val="0"/>
              </w:rPr>
              <w:t>生态环境影响方面</w:t>
            </w:r>
          </w:p>
        </w:tc>
        <w:tc>
          <w:tcPr>
            <w:tcW w:w="4062" w:type="pct"/>
            <w:gridSpan w:val="3"/>
            <w:vAlign w:val="center"/>
          </w:tcPr>
          <w:p>
            <w:pPr>
              <w:pStyle w:val="105"/>
              <w:jc w:val="left"/>
              <w:rPr>
                <w:snapToGrid w:val="0"/>
              </w:rPr>
            </w:pPr>
            <w:r>
              <w:rPr>
                <w:rFonts w:hint="eastAsia"/>
                <w:b/>
                <w:bCs/>
                <w:snapToGrid w:val="0"/>
              </w:rPr>
              <w:t>工程占地：</w:t>
            </w:r>
            <w:r>
              <w:rPr>
                <w:rFonts w:hint="eastAsia"/>
                <w:snapToGrid w:val="0"/>
              </w:rPr>
              <w:t>K线和</w:t>
            </w:r>
            <w:r>
              <w:rPr>
                <w:snapToGrid w:val="0"/>
              </w:rPr>
              <w:t>A</w:t>
            </w:r>
            <w:r>
              <w:rPr>
                <w:rFonts w:hint="eastAsia"/>
                <w:snapToGrid w:val="0"/>
              </w:rPr>
              <w:t>线影响基本相当；</w:t>
            </w:r>
          </w:p>
          <w:p>
            <w:pPr>
              <w:pStyle w:val="105"/>
              <w:jc w:val="left"/>
              <w:rPr>
                <w:snapToGrid w:val="0"/>
              </w:rPr>
            </w:pPr>
            <w:r>
              <w:rPr>
                <w:rFonts w:hint="eastAsia"/>
                <w:b/>
                <w:bCs/>
                <w:snapToGrid w:val="0"/>
              </w:rPr>
              <w:t>生态系统：</w:t>
            </w:r>
            <w:r>
              <w:rPr>
                <w:rFonts w:hint="eastAsia"/>
                <w:snapToGrid w:val="0"/>
              </w:rPr>
              <w:t>K线和</w:t>
            </w:r>
            <w:r>
              <w:rPr>
                <w:snapToGrid w:val="0"/>
              </w:rPr>
              <w:t>A</w:t>
            </w:r>
            <w:r>
              <w:rPr>
                <w:rFonts w:hint="eastAsia"/>
                <w:snapToGrid w:val="0"/>
              </w:rPr>
              <w:t>线线位相近，区域生态系统主要类型为森林生态系统，主要植被类型为桉树和相思树林，K线和A线公路的建设均不会对林地生态系统的稳定性产生影响。</w:t>
            </w:r>
          </w:p>
          <w:p>
            <w:pPr>
              <w:pStyle w:val="105"/>
              <w:jc w:val="left"/>
              <w:rPr>
                <w:snapToGrid w:val="0"/>
              </w:rPr>
            </w:pPr>
            <w:r>
              <w:rPr>
                <w:rFonts w:hint="eastAsia"/>
                <w:b/>
                <w:bCs/>
                <w:snapToGrid w:val="0"/>
              </w:rPr>
              <w:t>植被的影响：</w:t>
            </w:r>
            <w:r>
              <w:rPr>
                <w:rFonts w:hint="eastAsia"/>
                <w:snapToGrid w:val="0"/>
              </w:rPr>
              <w:t>K线和</w:t>
            </w:r>
            <w:r>
              <w:rPr>
                <w:snapToGrid w:val="0"/>
              </w:rPr>
              <w:t>A</w:t>
            </w:r>
            <w:r>
              <w:rPr>
                <w:rFonts w:hint="eastAsia"/>
                <w:snapToGrid w:val="0"/>
              </w:rPr>
              <w:t>线涉及植被主要为针叶林和经济林（桉树和相思树林），主体工程占地导致植物生物量损失量小，对区域总体的植物资源物种多样性和群落多样性影响不大。</w:t>
            </w:r>
          </w:p>
          <w:p>
            <w:pPr>
              <w:pStyle w:val="105"/>
              <w:jc w:val="center"/>
              <w:rPr>
                <w:snapToGrid w:val="0"/>
              </w:rPr>
            </w:pPr>
            <w:r>
              <w:rPr>
                <w:rFonts w:hint="eastAsia"/>
                <w:b/>
                <w:bCs/>
                <w:snapToGrid w:val="0"/>
              </w:rPr>
              <w:t>水土流失：</w:t>
            </w:r>
            <w:r>
              <w:rPr>
                <w:rFonts w:cs="Times New Roman"/>
                <w:snapToGrid w:val="0"/>
                <w:spacing w:val="-4"/>
              </w:rPr>
              <w:t>工程水土流失主要集中在公路工程场地平整、开挖回填和路基处理等</w:t>
            </w:r>
            <w:r>
              <w:rPr>
                <w:rFonts w:hint="eastAsia"/>
                <w:snapToGrid w:val="0"/>
              </w:rPr>
              <w:t xml:space="preserve">， </w:t>
            </w:r>
            <w:r>
              <w:rPr>
                <w:snapToGrid w:val="0"/>
              </w:rPr>
              <w:t>A</w:t>
            </w:r>
            <w:r>
              <w:rPr>
                <w:rFonts w:hint="eastAsia"/>
                <w:snapToGrid w:val="0"/>
              </w:rPr>
              <w:t>线土石方量少，水土流失略小于</w:t>
            </w:r>
            <w:r>
              <w:rPr>
                <w:snapToGrid w:val="0"/>
              </w:rPr>
              <w:t>K</w:t>
            </w:r>
            <w:r>
              <w:rPr>
                <w:rFonts w:hint="eastAsia"/>
                <w:snapToGrid w:val="0"/>
              </w:rPr>
              <w:t>线，</w:t>
            </w:r>
            <w:r>
              <w:rPr>
                <w:snapToGrid w:val="0"/>
              </w:rPr>
              <w:t>A</w:t>
            </w:r>
            <w:r>
              <w:rPr>
                <w:rFonts w:hint="eastAsia"/>
                <w:snapToGrid w:val="0"/>
              </w:rPr>
              <w:t>线略优。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8" w:type="pct"/>
            <w:gridSpan w:val="2"/>
            <w:vAlign w:val="center"/>
          </w:tcPr>
          <w:p>
            <w:pPr>
              <w:pStyle w:val="105"/>
              <w:jc w:val="center"/>
              <w:rPr>
                <w:snapToGrid w:val="0"/>
              </w:rPr>
            </w:pPr>
            <w:r>
              <w:rPr>
                <w:rFonts w:hint="eastAsia"/>
                <w:snapToGrid w:val="0"/>
              </w:rPr>
              <w:t>地表水环境</w:t>
            </w:r>
          </w:p>
        </w:tc>
        <w:tc>
          <w:tcPr>
            <w:tcW w:w="1407" w:type="pct"/>
            <w:vAlign w:val="center"/>
          </w:tcPr>
          <w:p>
            <w:pPr>
              <w:pStyle w:val="105"/>
              <w:jc w:val="center"/>
              <w:rPr>
                <w:snapToGrid w:val="0"/>
              </w:rPr>
            </w:pPr>
            <w:r>
              <w:rPr>
                <w:rFonts w:hint="eastAsia"/>
                <w:snapToGrid w:val="0"/>
              </w:rPr>
              <w:t>涉及福渠改渠，需要改渠</w:t>
            </w:r>
          </w:p>
        </w:tc>
        <w:tc>
          <w:tcPr>
            <w:tcW w:w="1406" w:type="pct"/>
            <w:vAlign w:val="center"/>
          </w:tcPr>
          <w:p>
            <w:pPr>
              <w:pStyle w:val="105"/>
              <w:jc w:val="center"/>
              <w:rPr>
                <w:snapToGrid w:val="0"/>
              </w:rPr>
            </w:pPr>
            <w:r>
              <w:rPr>
                <w:rFonts w:hint="eastAsia"/>
                <w:snapToGrid w:val="0"/>
              </w:rPr>
              <w:t>涉及福渠支渠，影响较大</w:t>
            </w:r>
          </w:p>
        </w:tc>
        <w:tc>
          <w:tcPr>
            <w:tcW w:w="1249" w:type="pct"/>
            <w:vAlign w:val="center"/>
          </w:tcPr>
          <w:p>
            <w:pPr>
              <w:pStyle w:val="105"/>
              <w:jc w:val="center"/>
              <w:rPr>
                <w:snapToGrid w:val="0"/>
              </w:rPr>
            </w:pPr>
            <w:r>
              <w:rPr>
                <w:rFonts w:hint="eastAsia"/>
                <w:snapToGrid w:val="0"/>
              </w:rPr>
              <w:t>方案相当，影响相当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8" w:type="pct"/>
            <w:gridSpan w:val="2"/>
            <w:vAlign w:val="center"/>
          </w:tcPr>
          <w:p>
            <w:pPr>
              <w:pStyle w:val="105"/>
              <w:jc w:val="left"/>
              <w:rPr>
                <w:snapToGrid w:val="0"/>
              </w:rPr>
            </w:pPr>
            <w:r>
              <w:rPr>
                <w:rFonts w:hint="eastAsia"/>
                <w:snapToGrid w:val="0"/>
              </w:rPr>
              <w:t>声环境和环境空气</w:t>
            </w:r>
          </w:p>
        </w:tc>
        <w:tc>
          <w:tcPr>
            <w:tcW w:w="1407" w:type="pct"/>
            <w:vAlign w:val="center"/>
          </w:tcPr>
          <w:p>
            <w:pPr>
              <w:pStyle w:val="105"/>
              <w:jc w:val="left"/>
              <w:rPr>
                <w:snapToGrid w:val="0"/>
              </w:rPr>
            </w:pPr>
            <w:r>
              <w:rPr>
                <w:rFonts w:hint="eastAsia"/>
                <w:snapToGrid w:val="0"/>
              </w:rPr>
              <w:t>K线路段2</w:t>
            </w:r>
            <w:r>
              <w:rPr>
                <w:snapToGrid w:val="0"/>
              </w:rPr>
              <w:t>00</w:t>
            </w:r>
            <w:r>
              <w:rPr>
                <w:rFonts w:hint="eastAsia"/>
                <w:snapToGrid w:val="0"/>
              </w:rPr>
              <w:t>m评价范围敏感目标分别为新桥（两侧</w:t>
            </w:r>
            <w:r>
              <w:rPr>
                <w:snapToGrid w:val="0"/>
              </w:rPr>
              <w:t>13</w:t>
            </w:r>
            <w:r>
              <w:rPr>
                <w:rFonts w:hint="eastAsia"/>
                <w:snapToGrid w:val="0"/>
              </w:rPr>
              <w:t>m）、林泉（路左4</w:t>
            </w:r>
            <w:r>
              <w:rPr>
                <w:snapToGrid w:val="0"/>
              </w:rPr>
              <w:t>0</w:t>
            </w:r>
            <w:r>
              <w:rPr>
                <w:rFonts w:hint="eastAsia"/>
                <w:snapToGrid w:val="0"/>
              </w:rPr>
              <w:t>m）等敏感目标分布。</w:t>
            </w:r>
          </w:p>
        </w:tc>
        <w:tc>
          <w:tcPr>
            <w:tcW w:w="1406" w:type="pct"/>
            <w:vAlign w:val="center"/>
          </w:tcPr>
          <w:p>
            <w:pPr>
              <w:pStyle w:val="105"/>
              <w:jc w:val="left"/>
              <w:rPr>
                <w:snapToGrid w:val="0"/>
              </w:rPr>
            </w:pPr>
            <w:r>
              <w:rPr>
                <w:snapToGrid w:val="0"/>
              </w:rPr>
              <w:t>A</w:t>
            </w:r>
            <w:r>
              <w:rPr>
                <w:rFonts w:hint="eastAsia"/>
                <w:snapToGrid w:val="0"/>
              </w:rPr>
              <w:t>线路段2</w:t>
            </w:r>
            <w:r>
              <w:rPr>
                <w:snapToGrid w:val="0"/>
              </w:rPr>
              <w:t>00</w:t>
            </w:r>
            <w:r>
              <w:rPr>
                <w:rFonts w:hint="eastAsia"/>
                <w:snapToGrid w:val="0"/>
              </w:rPr>
              <w:t>m评价范围敏感目标分别为新桥、林泉（路左</w:t>
            </w:r>
            <w:r>
              <w:rPr>
                <w:snapToGrid w:val="0"/>
              </w:rPr>
              <w:t>26</w:t>
            </w:r>
            <w:r>
              <w:rPr>
                <w:rFonts w:hint="eastAsia"/>
                <w:snapToGrid w:val="0"/>
              </w:rPr>
              <w:t>m）等敏感目标分布。</w:t>
            </w:r>
          </w:p>
        </w:tc>
        <w:tc>
          <w:tcPr>
            <w:tcW w:w="1249" w:type="pct"/>
            <w:vAlign w:val="center"/>
          </w:tcPr>
          <w:p>
            <w:pPr>
              <w:pStyle w:val="105"/>
              <w:jc w:val="left"/>
              <w:rPr>
                <w:snapToGrid w:val="0"/>
              </w:rPr>
            </w:pPr>
            <w:r>
              <w:rPr>
                <w:rFonts w:hint="eastAsia"/>
                <w:snapToGrid w:val="0"/>
              </w:rPr>
              <w:t>影响相当</w:t>
            </w:r>
          </w:p>
        </w:tc>
      </w:tr>
    </w:tbl>
    <w:p>
      <w:pPr>
        <w:pStyle w:val="124"/>
      </w:pPr>
      <w:r>
        <w:rPr>
          <w:rFonts w:hint="eastAsia"/>
        </w:rPr>
        <w:t>从环境比选角度分析：K线和A线均不涉及生态保护红线和基本农田，沿线生态环境相当，项目实施对环境影响在采取相应措施后，对环境影响可控，因此从生态保护角度分析，K线和A线均可行。</w:t>
      </w:r>
    </w:p>
    <w:p>
      <w:pPr>
        <w:ind w:firstLine="480"/>
      </w:pPr>
    </w:p>
    <w:p>
      <w:pPr>
        <w:pStyle w:val="122"/>
      </w:pPr>
      <w:r>
        <w:rPr>
          <w:rFonts w:hint="eastAsia"/>
        </w:rPr>
        <w:t>比选线路与生态公益林位置关系图</w:t>
      </w:r>
    </w:p>
    <w:p>
      <w:pPr>
        <w:pStyle w:val="120"/>
        <w:numPr>
          <w:ilvl w:val="2"/>
          <w:numId w:val="17"/>
        </w:numPr>
        <w:rPr>
          <w:color w:val="auto"/>
        </w:rPr>
      </w:pPr>
      <w:bookmarkStart w:id="220" w:name="_Hlk192519954"/>
      <w:r>
        <w:rPr>
          <w:rFonts w:hint="eastAsia"/>
          <w:color w:val="auto"/>
        </w:rPr>
        <w:t>木厝洋段</w:t>
      </w:r>
      <w:bookmarkEnd w:id="220"/>
      <w:r>
        <w:rPr>
          <w:rFonts w:hint="eastAsia"/>
          <w:color w:val="auto"/>
        </w:rPr>
        <w:t>方案比选</w:t>
      </w:r>
    </w:p>
    <w:p>
      <w:pPr>
        <w:ind w:firstLine="480"/>
      </w:pPr>
      <w:r>
        <w:rPr>
          <w:rFonts w:hint="eastAsia"/>
        </w:rPr>
        <w:t>①</w:t>
      </w:r>
      <w:r>
        <w:rPr>
          <w:rFonts w:hint="eastAsia"/>
        </w:rPr>
        <w:tab/>
      </w:r>
      <w:r>
        <w:rPr>
          <w:rFonts w:hint="eastAsia"/>
        </w:rPr>
        <w:t>K线：K线路线起于木厝洋（K3+100），自东南向西北展线，终点（K5+110）至黄檗山万福寺，路线里程约2.010km，总造价约7558万元。</w:t>
      </w:r>
    </w:p>
    <w:p>
      <w:pPr>
        <w:ind w:firstLine="480"/>
      </w:pPr>
      <w:r>
        <w:rPr>
          <w:rFonts w:hint="eastAsia"/>
        </w:rPr>
        <w:t>②</w:t>
      </w:r>
      <w:r>
        <w:rPr>
          <w:rFonts w:hint="eastAsia"/>
        </w:rPr>
        <w:tab/>
      </w:r>
      <w:r>
        <w:t>B</w:t>
      </w:r>
      <w:r>
        <w:rPr>
          <w:rFonts w:hint="eastAsia"/>
        </w:rPr>
        <w:t>线：B线路线起于木厝洋（BK3+100），自东南向西北展线，终点（BK5+220）至黄檗山万福寺，路线里程约2.120km，总造价约10301万元。</w:t>
      </w:r>
    </w:p>
    <w:p>
      <w:pPr>
        <w:pStyle w:val="118"/>
      </w:pPr>
      <w:r>
        <w:rPr>
          <w:rFonts w:hint="eastAsia"/>
        </w:rPr>
        <w:t>工程方案比选</w:t>
      </w:r>
    </w:p>
    <w:p>
      <w:pPr>
        <w:ind w:firstLine="480"/>
      </w:pPr>
      <w:r>
        <w:rPr>
          <w:rFonts w:hint="eastAsia"/>
        </w:rPr>
        <w:t>主要工程数量比较见</w:t>
      </w:r>
      <w:r>
        <w:fldChar w:fldCharType="begin"/>
      </w:r>
      <w:r>
        <w:instrText xml:space="preserve"> </w:instrText>
      </w:r>
      <w:r>
        <w:rPr>
          <w:rFonts w:hint="eastAsia"/>
        </w:rPr>
        <w:instrText xml:space="preserve">REF _Ref152838207 \r \h</w:instrText>
      </w:r>
      <w:r>
        <w:instrText xml:space="preserve"> </w:instrText>
      </w:r>
      <w:r>
        <w:fldChar w:fldCharType="separate"/>
      </w:r>
      <w:r>
        <w:rPr>
          <w:rFonts w:hint="eastAsia"/>
        </w:rPr>
        <w:t>表3.1-2</w:t>
      </w:r>
      <w:r>
        <w:fldChar w:fldCharType="end"/>
      </w:r>
      <w:r>
        <w:rPr>
          <w:rFonts w:hint="eastAsia"/>
        </w:rPr>
        <w:t>，方案比选见</w:t>
      </w:r>
      <w:r>
        <w:fldChar w:fldCharType="begin"/>
      </w:r>
      <w:r>
        <w:instrText xml:space="preserve"> </w:instrText>
      </w:r>
      <w:r>
        <w:rPr>
          <w:rFonts w:hint="eastAsia"/>
        </w:rPr>
        <w:instrText xml:space="preserve">REF _Ref177714367 \r \h</w:instrText>
      </w:r>
      <w:r>
        <w:instrText xml:space="preserve"> </w:instrText>
      </w:r>
      <w:r>
        <w:fldChar w:fldCharType="separate"/>
      </w:r>
      <w:r>
        <w:rPr>
          <w:rFonts w:hint="eastAsia"/>
        </w:rPr>
        <w:t>表3.1-3</w:t>
      </w:r>
      <w:r>
        <w:fldChar w:fldCharType="end"/>
      </w:r>
      <w:r>
        <w:rPr>
          <w:rFonts w:hint="eastAsia"/>
        </w:rPr>
        <w:t>，方案比选线路图详见</w:t>
      </w:r>
      <w:r>
        <w:fldChar w:fldCharType="begin"/>
      </w:r>
      <w:r>
        <w:instrText xml:space="preserve"> </w:instrText>
      </w:r>
      <w:r>
        <w:rPr>
          <w:rFonts w:hint="eastAsia"/>
        </w:rPr>
        <w:instrText xml:space="preserve">REF _Ref193467812 \r \h</w:instrText>
      </w:r>
      <w:r>
        <w:instrText xml:space="preserve"> </w:instrText>
      </w:r>
      <w:r>
        <w:fldChar w:fldCharType="separate"/>
      </w:r>
      <w:r>
        <w:rPr>
          <w:rFonts w:hint="eastAsia"/>
        </w:rPr>
        <w:t>图3.1-3</w:t>
      </w:r>
      <w:r>
        <w:fldChar w:fldCharType="end"/>
      </w:r>
      <w:r>
        <w:rPr>
          <w:rFonts w:hint="eastAsia"/>
        </w:rPr>
        <w:t>。</w:t>
      </w:r>
    </w:p>
    <w:p>
      <w:pPr>
        <w:pStyle w:val="87"/>
        <w:spacing w:before="120"/>
        <w:ind w:left="480" w:firstLine="480"/>
      </w:pPr>
      <w:r>
        <w:rPr>
          <w:rFonts w:hint="eastAsia"/>
        </w:rPr>
        <w:t>3.1.2  木厝洋段比选方案主要工程数量及指标比较表</w:t>
      </w:r>
    </w:p>
    <w:tbl>
      <w:tblPr>
        <w:tblStyle w:val="399"/>
        <w:tblW w:w="929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108" w:type="dxa"/>
          <w:bottom w:w="28" w:type="dxa"/>
          <w:right w:w="108" w:type="dxa"/>
        </w:tblCellMar>
      </w:tblPr>
      <w:tblGrid>
        <w:gridCol w:w="687"/>
        <w:gridCol w:w="1980"/>
        <w:gridCol w:w="966"/>
        <w:gridCol w:w="1532"/>
        <w:gridCol w:w="1532"/>
        <w:gridCol w:w="1483"/>
        <w:gridCol w:w="11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序号</w:t>
            </w:r>
          </w:p>
        </w:tc>
        <w:tc>
          <w:tcPr>
            <w:tcW w:w="1980" w:type="dxa"/>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spacing w:val="6"/>
              </w:rPr>
              <w:t>工程项目</w:t>
            </w:r>
          </w:p>
        </w:tc>
        <w:tc>
          <w:tcPr>
            <w:tcW w:w="966" w:type="dxa"/>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spacing w:val="3"/>
              </w:rPr>
              <w:t>单位</w:t>
            </w:r>
          </w:p>
        </w:tc>
        <w:tc>
          <w:tcPr>
            <w:tcW w:w="1532" w:type="dxa"/>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eastAsia="New York"/>
                <w:spacing w:val="4"/>
              </w:rPr>
              <w:t>K</w:t>
            </w:r>
            <w:r>
              <w:rPr>
                <w:rFonts w:hint="eastAsia" w:ascii="宋体" w:hAnsi="宋体" w:eastAsia="宋体"/>
                <w:spacing w:val="4"/>
              </w:rPr>
              <w:t>线方案</w:t>
            </w:r>
          </w:p>
        </w:tc>
        <w:tc>
          <w:tcPr>
            <w:tcW w:w="1532" w:type="dxa"/>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eastAsia="New York"/>
                <w:spacing w:val="4"/>
              </w:rPr>
              <w:t>B</w:t>
            </w:r>
            <w:r>
              <w:rPr>
                <w:rFonts w:hint="eastAsia" w:ascii="宋体" w:hAnsi="宋体" w:eastAsia="宋体"/>
                <w:spacing w:val="4"/>
              </w:rPr>
              <w:t>线方案</w:t>
            </w:r>
          </w:p>
        </w:tc>
        <w:tc>
          <w:tcPr>
            <w:tcW w:w="1483" w:type="dxa"/>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eastAsia="New York"/>
              </w:rPr>
              <w:t>B-K</w:t>
            </w:r>
            <w:r>
              <w:rPr>
                <w:rFonts w:hint="eastAsia" w:ascii="宋体" w:hAnsi="宋体" w:eastAsia="宋体"/>
              </w:rPr>
              <w:t>线方案</w:t>
            </w:r>
          </w:p>
        </w:tc>
        <w:tc>
          <w:tcPr>
            <w:tcW w:w="1111" w:type="dxa"/>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spacing w:val="3"/>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t>1</w:t>
            </w:r>
          </w:p>
        </w:tc>
        <w:tc>
          <w:tcPr>
            <w:tcW w:w="1980" w:type="dxa"/>
            <w:vAlign w:val="center"/>
          </w:tcPr>
          <w:p>
            <w:pPr>
              <w:pStyle w:val="105"/>
              <w:widowControl w:val="0"/>
              <w:jc w:val="center"/>
            </w:pPr>
            <w:r>
              <w:rPr>
                <w:spacing w:val="6"/>
              </w:rPr>
              <w:t>路线长度</w:t>
            </w:r>
          </w:p>
        </w:tc>
        <w:tc>
          <w:tcPr>
            <w:tcW w:w="966" w:type="dxa"/>
            <w:vAlign w:val="center"/>
          </w:tcPr>
          <w:p>
            <w:pPr>
              <w:pStyle w:val="105"/>
              <w:widowControl w:val="0"/>
              <w:jc w:val="center"/>
            </w:pPr>
            <w:r>
              <w:rPr>
                <w:spacing w:val="1"/>
              </w:rPr>
              <w:t>公里</w:t>
            </w:r>
          </w:p>
        </w:tc>
        <w:tc>
          <w:tcPr>
            <w:tcW w:w="1532" w:type="dxa"/>
            <w:vAlign w:val="center"/>
          </w:tcPr>
          <w:p>
            <w:pPr>
              <w:pStyle w:val="105"/>
              <w:widowControl w:val="0"/>
              <w:jc w:val="center"/>
            </w:pPr>
            <w:r>
              <w:rPr>
                <w:spacing w:val="2"/>
              </w:rPr>
              <w:t>2.010</w:t>
            </w:r>
          </w:p>
        </w:tc>
        <w:tc>
          <w:tcPr>
            <w:tcW w:w="1532" w:type="dxa"/>
            <w:vAlign w:val="center"/>
          </w:tcPr>
          <w:p>
            <w:pPr>
              <w:pStyle w:val="105"/>
              <w:widowControl w:val="0"/>
              <w:jc w:val="center"/>
            </w:pPr>
            <w:r>
              <w:rPr>
                <w:spacing w:val="2"/>
              </w:rPr>
              <w:t>2.120</w:t>
            </w:r>
          </w:p>
        </w:tc>
        <w:tc>
          <w:tcPr>
            <w:tcW w:w="1483" w:type="dxa"/>
            <w:vAlign w:val="center"/>
          </w:tcPr>
          <w:p>
            <w:pPr>
              <w:pStyle w:val="105"/>
              <w:widowControl w:val="0"/>
              <w:jc w:val="center"/>
            </w:pPr>
            <w:r>
              <w:rPr>
                <w:spacing w:val="2"/>
              </w:rPr>
              <w:t>0.110</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t>2</w:t>
            </w:r>
          </w:p>
        </w:tc>
        <w:tc>
          <w:tcPr>
            <w:tcW w:w="1980" w:type="dxa"/>
            <w:vAlign w:val="center"/>
          </w:tcPr>
          <w:p>
            <w:pPr>
              <w:pStyle w:val="105"/>
              <w:widowControl w:val="0"/>
              <w:jc w:val="center"/>
            </w:pPr>
            <w:r>
              <w:rPr>
                <w:spacing w:val="7"/>
              </w:rPr>
              <w:t>路基土石方</w:t>
            </w:r>
          </w:p>
        </w:tc>
        <w:tc>
          <w:tcPr>
            <w:tcW w:w="966" w:type="dxa"/>
            <w:vAlign w:val="center"/>
          </w:tcPr>
          <w:p>
            <w:pPr>
              <w:pStyle w:val="105"/>
              <w:widowControl w:val="0"/>
              <w:jc w:val="center"/>
              <w:rPr>
                <w:sz w:val="10"/>
                <w:szCs w:val="10"/>
              </w:rPr>
            </w:pPr>
            <w:r>
              <w:t>1000m</w:t>
            </w:r>
            <w:r>
              <w:rPr>
                <w:position w:val="10"/>
                <w:sz w:val="10"/>
                <w:szCs w:val="10"/>
              </w:rPr>
              <w:t>3</w:t>
            </w:r>
          </w:p>
        </w:tc>
        <w:tc>
          <w:tcPr>
            <w:tcW w:w="1532" w:type="dxa"/>
            <w:vAlign w:val="center"/>
          </w:tcPr>
          <w:p>
            <w:pPr>
              <w:pStyle w:val="105"/>
              <w:widowControl w:val="0"/>
              <w:jc w:val="center"/>
            </w:pPr>
            <w:r>
              <w:t>185.3</w:t>
            </w:r>
          </w:p>
        </w:tc>
        <w:tc>
          <w:tcPr>
            <w:tcW w:w="1532" w:type="dxa"/>
            <w:vAlign w:val="center"/>
          </w:tcPr>
          <w:p>
            <w:pPr>
              <w:pStyle w:val="105"/>
              <w:widowControl w:val="0"/>
              <w:jc w:val="center"/>
            </w:pPr>
            <w:r>
              <w:t>136.5</w:t>
            </w:r>
          </w:p>
        </w:tc>
        <w:tc>
          <w:tcPr>
            <w:tcW w:w="1483" w:type="dxa"/>
            <w:vAlign w:val="center"/>
          </w:tcPr>
          <w:p>
            <w:pPr>
              <w:pStyle w:val="105"/>
              <w:widowControl w:val="0"/>
              <w:jc w:val="center"/>
            </w:pPr>
            <w:r>
              <w:rPr>
                <w:spacing w:val="3"/>
              </w:rPr>
              <w:t>-48.8</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t>3</w:t>
            </w:r>
          </w:p>
        </w:tc>
        <w:tc>
          <w:tcPr>
            <w:tcW w:w="1980" w:type="dxa"/>
            <w:vAlign w:val="center"/>
          </w:tcPr>
          <w:p>
            <w:pPr>
              <w:pStyle w:val="105"/>
              <w:widowControl w:val="0"/>
              <w:jc w:val="center"/>
            </w:pPr>
            <w:r>
              <w:rPr>
                <w:spacing w:val="4"/>
              </w:rPr>
              <w:t>土方</w:t>
            </w:r>
          </w:p>
        </w:tc>
        <w:tc>
          <w:tcPr>
            <w:tcW w:w="966" w:type="dxa"/>
            <w:vAlign w:val="center"/>
          </w:tcPr>
          <w:p>
            <w:pPr>
              <w:pStyle w:val="105"/>
              <w:widowControl w:val="0"/>
              <w:jc w:val="center"/>
              <w:rPr>
                <w:sz w:val="10"/>
                <w:szCs w:val="10"/>
              </w:rPr>
            </w:pPr>
            <w:r>
              <w:t>1000m</w:t>
            </w:r>
            <w:r>
              <w:rPr>
                <w:position w:val="10"/>
                <w:sz w:val="10"/>
                <w:szCs w:val="10"/>
              </w:rPr>
              <w:t>3</w:t>
            </w:r>
          </w:p>
        </w:tc>
        <w:tc>
          <w:tcPr>
            <w:tcW w:w="1532" w:type="dxa"/>
            <w:vAlign w:val="center"/>
          </w:tcPr>
          <w:p>
            <w:pPr>
              <w:pStyle w:val="105"/>
              <w:widowControl w:val="0"/>
              <w:jc w:val="center"/>
            </w:pPr>
            <w:r>
              <w:t>129.7</w:t>
            </w:r>
          </w:p>
        </w:tc>
        <w:tc>
          <w:tcPr>
            <w:tcW w:w="1532" w:type="dxa"/>
            <w:vAlign w:val="center"/>
          </w:tcPr>
          <w:p>
            <w:pPr>
              <w:pStyle w:val="105"/>
              <w:widowControl w:val="0"/>
              <w:jc w:val="center"/>
            </w:pPr>
            <w:r>
              <w:rPr>
                <w:spacing w:val="2"/>
              </w:rPr>
              <w:t>78.3</w:t>
            </w:r>
          </w:p>
        </w:tc>
        <w:tc>
          <w:tcPr>
            <w:tcW w:w="1483" w:type="dxa"/>
            <w:vAlign w:val="center"/>
          </w:tcPr>
          <w:p>
            <w:pPr>
              <w:pStyle w:val="105"/>
              <w:widowControl w:val="0"/>
              <w:jc w:val="center"/>
            </w:pPr>
            <w:r>
              <w:rPr>
                <w:spacing w:val="3"/>
              </w:rPr>
              <w:t>-51.4</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t>4</w:t>
            </w:r>
          </w:p>
        </w:tc>
        <w:tc>
          <w:tcPr>
            <w:tcW w:w="1980" w:type="dxa"/>
            <w:vAlign w:val="center"/>
          </w:tcPr>
          <w:p>
            <w:pPr>
              <w:pStyle w:val="105"/>
              <w:widowControl w:val="0"/>
              <w:jc w:val="center"/>
            </w:pPr>
            <w:r>
              <w:rPr>
                <w:spacing w:val="4"/>
              </w:rPr>
              <w:t>石方</w:t>
            </w:r>
          </w:p>
        </w:tc>
        <w:tc>
          <w:tcPr>
            <w:tcW w:w="966" w:type="dxa"/>
            <w:vAlign w:val="center"/>
          </w:tcPr>
          <w:p>
            <w:pPr>
              <w:pStyle w:val="105"/>
              <w:widowControl w:val="0"/>
              <w:jc w:val="center"/>
              <w:rPr>
                <w:sz w:val="10"/>
                <w:szCs w:val="10"/>
              </w:rPr>
            </w:pPr>
            <w:r>
              <w:t>1000m</w:t>
            </w:r>
            <w:r>
              <w:rPr>
                <w:position w:val="9"/>
                <w:sz w:val="10"/>
                <w:szCs w:val="10"/>
              </w:rPr>
              <w:t>3</w:t>
            </w:r>
          </w:p>
        </w:tc>
        <w:tc>
          <w:tcPr>
            <w:tcW w:w="1532" w:type="dxa"/>
            <w:vAlign w:val="center"/>
          </w:tcPr>
          <w:p>
            <w:pPr>
              <w:pStyle w:val="105"/>
              <w:widowControl w:val="0"/>
              <w:jc w:val="center"/>
            </w:pPr>
            <w:r>
              <w:rPr>
                <w:spacing w:val="2"/>
              </w:rPr>
              <w:t>55.6</w:t>
            </w:r>
          </w:p>
        </w:tc>
        <w:tc>
          <w:tcPr>
            <w:tcW w:w="1532" w:type="dxa"/>
            <w:vAlign w:val="center"/>
          </w:tcPr>
          <w:p>
            <w:pPr>
              <w:pStyle w:val="105"/>
              <w:widowControl w:val="0"/>
              <w:jc w:val="center"/>
            </w:pPr>
            <w:r>
              <w:rPr>
                <w:spacing w:val="2"/>
              </w:rPr>
              <w:t>58.2</w:t>
            </w:r>
          </w:p>
        </w:tc>
        <w:tc>
          <w:tcPr>
            <w:tcW w:w="1483" w:type="dxa"/>
            <w:vAlign w:val="center"/>
          </w:tcPr>
          <w:p>
            <w:pPr>
              <w:pStyle w:val="105"/>
              <w:widowControl w:val="0"/>
              <w:jc w:val="center"/>
            </w:pPr>
            <w:r>
              <w:rPr>
                <w:spacing w:val="1"/>
              </w:rPr>
              <w:t>2.6</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t>5</w:t>
            </w:r>
          </w:p>
        </w:tc>
        <w:tc>
          <w:tcPr>
            <w:tcW w:w="1980" w:type="dxa"/>
            <w:vAlign w:val="center"/>
          </w:tcPr>
          <w:p>
            <w:pPr>
              <w:pStyle w:val="105"/>
              <w:widowControl w:val="0"/>
              <w:jc w:val="center"/>
            </w:pPr>
            <w:r>
              <w:rPr>
                <w:spacing w:val="8"/>
              </w:rPr>
              <w:t>排水与防护</w:t>
            </w:r>
          </w:p>
        </w:tc>
        <w:tc>
          <w:tcPr>
            <w:tcW w:w="966" w:type="dxa"/>
            <w:vAlign w:val="center"/>
          </w:tcPr>
          <w:p>
            <w:pPr>
              <w:pStyle w:val="105"/>
              <w:widowControl w:val="0"/>
              <w:jc w:val="center"/>
              <w:rPr>
                <w:sz w:val="10"/>
                <w:szCs w:val="10"/>
              </w:rPr>
            </w:pPr>
            <w:r>
              <w:t>1000m</w:t>
            </w:r>
            <w:r>
              <w:rPr>
                <w:position w:val="10"/>
                <w:sz w:val="10"/>
                <w:szCs w:val="10"/>
              </w:rPr>
              <w:t>3</w:t>
            </w:r>
          </w:p>
        </w:tc>
        <w:tc>
          <w:tcPr>
            <w:tcW w:w="1532" w:type="dxa"/>
            <w:vAlign w:val="center"/>
          </w:tcPr>
          <w:p>
            <w:pPr>
              <w:pStyle w:val="105"/>
              <w:widowControl w:val="0"/>
              <w:jc w:val="center"/>
            </w:pPr>
            <w:r>
              <w:rPr>
                <w:spacing w:val="1"/>
              </w:rPr>
              <w:t>3.1</w:t>
            </w:r>
          </w:p>
        </w:tc>
        <w:tc>
          <w:tcPr>
            <w:tcW w:w="1532" w:type="dxa"/>
            <w:vAlign w:val="center"/>
          </w:tcPr>
          <w:p>
            <w:pPr>
              <w:pStyle w:val="105"/>
              <w:widowControl w:val="0"/>
              <w:jc w:val="center"/>
            </w:pPr>
            <w:r>
              <w:rPr>
                <w:spacing w:val="1"/>
              </w:rPr>
              <w:t>2.9</w:t>
            </w:r>
          </w:p>
        </w:tc>
        <w:tc>
          <w:tcPr>
            <w:tcW w:w="1483" w:type="dxa"/>
            <w:vAlign w:val="center"/>
          </w:tcPr>
          <w:p>
            <w:pPr>
              <w:pStyle w:val="105"/>
              <w:widowControl w:val="0"/>
              <w:jc w:val="center"/>
            </w:pPr>
            <w:r>
              <w:rPr>
                <w:spacing w:val="3"/>
              </w:rPr>
              <w:t>-0.2</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t>6</w:t>
            </w:r>
          </w:p>
        </w:tc>
        <w:tc>
          <w:tcPr>
            <w:tcW w:w="1980" w:type="dxa"/>
            <w:vAlign w:val="center"/>
          </w:tcPr>
          <w:p>
            <w:pPr>
              <w:pStyle w:val="105"/>
              <w:widowControl w:val="0"/>
              <w:jc w:val="center"/>
            </w:pPr>
            <w:r>
              <w:rPr>
                <w:spacing w:val="3"/>
              </w:rPr>
              <w:t>换填</w:t>
            </w:r>
          </w:p>
        </w:tc>
        <w:tc>
          <w:tcPr>
            <w:tcW w:w="966" w:type="dxa"/>
            <w:vAlign w:val="center"/>
          </w:tcPr>
          <w:p>
            <w:pPr>
              <w:pStyle w:val="105"/>
              <w:widowControl w:val="0"/>
              <w:jc w:val="center"/>
              <w:rPr>
                <w:sz w:val="10"/>
                <w:szCs w:val="10"/>
              </w:rPr>
            </w:pPr>
            <w:r>
              <w:t>1000m</w:t>
            </w:r>
            <w:r>
              <w:rPr>
                <w:position w:val="10"/>
                <w:sz w:val="10"/>
                <w:szCs w:val="10"/>
              </w:rPr>
              <w:t>3</w:t>
            </w:r>
          </w:p>
        </w:tc>
        <w:tc>
          <w:tcPr>
            <w:tcW w:w="1532" w:type="dxa"/>
            <w:vAlign w:val="center"/>
          </w:tcPr>
          <w:p>
            <w:pPr>
              <w:pStyle w:val="105"/>
              <w:widowControl w:val="0"/>
              <w:jc w:val="center"/>
            </w:pPr>
            <w:r>
              <w:rPr>
                <w:spacing w:val="-1"/>
              </w:rPr>
              <w:t>1.96</w:t>
            </w:r>
          </w:p>
        </w:tc>
        <w:tc>
          <w:tcPr>
            <w:tcW w:w="1532" w:type="dxa"/>
            <w:vAlign w:val="center"/>
          </w:tcPr>
          <w:p>
            <w:pPr>
              <w:pStyle w:val="105"/>
              <w:widowControl w:val="0"/>
              <w:jc w:val="center"/>
            </w:pPr>
            <w:r>
              <w:rPr>
                <w:spacing w:val="3"/>
              </w:rPr>
              <w:t>4.28</w:t>
            </w:r>
          </w:p>
        </w:tc>
        <w:tc>
          <w:tcPr>
            <w:tcW w:w="1483" w:type="dxa"/>
            <w:vAlign w:val="center"/>
          </w:tcPr>
          <w:p>
            <w:pPr>
              <w:pStyle w:val="105"/>
              <w:widowControl w:val="0"/>
              <w:jc w:val="center"/>
            </w:pPr>
            <w:r>
              <w:rPr>
                <w:spacing w:val="2"/>
              </w:rPr>
              <w:t>2.32</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t>7</w:t>
            </w:r>
          </w:p>
        </w:tc>
        <w:tc>
          <w:tcPr>
            <w:tcW w:w="1980" w:type="dxa"/>
            <w:vAlign w:val="center"/>
          </w:tcPr>
          <w:p>
            <w:pPr>
              <w:pStyle w:val="105"/>
              <w:widowControl w:val="0"/>
              <w:jc w:val="center"/>
            </w:pPr>
            <w:r>
              <w:rPr>
                <w:spacing w:val="7"/>
              </w:rPr>
              <w:t>碎石桩</w:t>
            </w:r>
          </w:p>
        </w:tc>
        <w:tc>
          <w:tcPr>
            <w:tcW w:w="966" w:type="dxa"/>
            <w:vAlign w:val="center"/>
          </w:tcPr>
          <w:p>
            <w:pPr>
              <w:pStyle w:val="105"/>
              <w:widowControl w:val="0"/>
              <w:jc w:val="center"/>
            </w:pPr>
            <w:r>
              <w:rPr>
                <w:spacing w:val="-3"/>
              </w:rPr>
              <w:t>10m</w:t>
            </w:r>
          </w:p>
        </w:tc>
        <w:tc>
          <w:tcPr>
            <w:tcW w:w="1532" w:type="dxa"/>
            <w:vAlign w:val="center"/>
          </w:tcPr>
          <w:p>
            <w:pPr>
              <w:pStyle w:val="105"/>
              <w:widowControl w:val="0"/>
              <w:jc w:val="center"/>
            </w:pPr>
            <w:r>
              <w:rPr>
                <w:spacing w:val="1"/>
              </w:rPr>
              <w:t>246</w:t>
            </w:r>
          </w:p>
        </w:tc>
        <w:tc>
          <w:tcPr>
            <w:tcW w:w="1532" w:type="dxa"/>
            <w:vAlign w:val="center"/>
          </w:tcPr>
          <w:p>
            <w:pPr>
              <w:pStyle w:val="105"/>
              <w:widowControl w:val="0"/>
              <w:jc w:val="center"/>
            </w:pPr>
            <w:r>
              <w:rPr>
                <w:spacing w:val="1"/>
              </w:rPr>
              <w:t>325</w:t>
            </w:r>
          </w:p>
        </w:tc>
        <w:tc>
          <w:tcPr>
            <w:tcW w:w="1483" w:type="dxa"/>
            <w:vAlign w:val="center"/>
          </w:tcPr>
          <w:p>
            <w:pPr>
              <w:pStyle w:val="105"/>
              <w:widowControl w:val="0"/>
              <w:jc w:val="center"/>
            </w:pPr>
            <w:r>
              <w:rPr>
                <w:spacing w:val="-2"/>
              </w:rPr>
              <w:t>79</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t>8</w:t>
            </w:r>
          </w:p>
        </w:tc>
        <w:tc>
          <w:tcPr>
            <w:tcW w:w="1980" w:type="dxa"/>
            <w:vAlign w:val="center"/>
          </w:tcPr>
          <w:p>
            <w:pPr>
              <w:pStyle w:val="105"/>
              <w:widowControl w:val="0"/>
              <w:jc w:val="center"/>
            </w:pPr>
            <w:r>
              <w:rPr>
                <w:spacing w:val="8"/>
              </w:rPr>
              <w:t>沥青砼路面</w:t>
            </w:r>
          </w:p>
        </w:tc>
        <w:tc>
          <w:tcPr>
            <w:tcW w:w="966" w:type="dxa"/>
            <w:vAlign w:val="center"/>
          </w:tcPr>
          <w:p>
            <w:pPr>
              <w:pStyle w:val="105"/>
              <w:widowControl w:val="0"/>
              <w:jc w:val="center"/>
              <w:rPr>
                <w:sz w:val="10"/>
                <w:szCs w:val="10"/>
              </w:rPr>
            </w:pPr>
            <w:r>
              <w:t>1000m</w:t>
            </w:r>
            <w:r>
              <w:rPr>
                <w:position w:val="9"/>
                <w:sz w:val="10"/>
                <w:szCs w:val="10"/>
              </w:rPr>
              <w:t>2</w:t>
            </w:r>
          </w:p>
        </w:tc>
        <w:tc>
          <w:tcPr>
            <w:tcW w:w="1532" w:type="dxa"/>
            <w:vAlign w:val="center"/>
          </w:tcPr>
          <w:p>
            <w:pPr>
              <w:pStyle w:val="105"/>
              <w:widowControl w:val="0"/>
              <w:jc w:val="center"/>
            </w:pPr>
            <w:r>
              <w:rPr>
                <w:spacing w:val="2"/>
              </w:rPr>
              <w:t>32.1</w:t>
            </w:r>
          </w:p>
        </w:tc>
        <w:tc>
          <w:tcPr>
            <w:tcW w:w="1532" w:type="dxa"/>
            <w:vAlign w:val="center"/>
          </w:tcPr>
          <w:p>
            <w:pPr>
              <w:pStyle w:val="105"/>
              <w:widowControl w:val="0"/>
              <w:jc w:val="center"/>
            </w:pPr>
            <w:r>
              <w:rPr>
                <w:spacing w:val="2"/>
              </w:rPr>
              <w:t>30.8</w:t>
            </w:r>
          </w:p>
        </w:tc>
        <w:tc>
          <w:tcPr>
            <w:tcW w:w="1483" w:type="dxa"/>
            <w:vAlign w:val="center"/>
          </w:tcPr>
          <w:p>
            <w:pPr>
              <w:pStyle w:val="105"/>
              <w:widowControl w:val="0"/>
              <w:jc w:val="center"/>
            </w:pPr>
            <w:r>
              <w:rPr>
                <w:spacing w:val="3"/>
              </w:rPr>
              <w:t>-1.3</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t>9</w:t>
            </w:r>
          </w:p>
        </w:tc>
        <w:tc>
          <w:tcPr>
            <w:tcW w:w="1980" w:type="dxa"/>
            <w:vAlign w:val="center"/>
          </w:tcPr>
          <w:p>
            <w:pPr>
              <w:pStyle w:val="105"/>
              <w:widowControl w:val="0"/>
              <w:jc w:val="center"/>
            </w:pPr>
            <w:r>
              <w:rPr>
                <w:spacing w:val="4"/>
              </w:rPr>
              <w:t>桥梁</w:t>
            </w:r>
          </w:p>
        </w:tc>
        <w:tc>
          <w:tcPr>
            <w:tcW w:w="966" w:type="dxa"/>
            <w:vAlign w:val="center"/>
          </w:tcPr>
          <w:p>
            <w:pPr>
              <w:pStyle w:val="105"/>
              <w:widowControl w:val="0"/>
              <w:jc w:val="center"/>
            </w:pPr>
            <w:r>
              <w:t>m/座</w:t>
            </w:r>
          </w:p>
        </w:tc>
        <w:tc>
          <w:tcPr>
            <w:tcW w:w="1532" w:type="dxa"/>
            <w:vAlign w:val="center"/>
          </w:tcPr>
          <w:p>
            <w:pPr>
              <w:pStyle w:val="105"/>
              <w:widowControl w:val="0"/>
              <w:jc w:val="center"/>
            </w:pPr>
            <w:r>
              <w:rPr>
                <w:rFonts w:hint="eastAsia"/>
              </w:rPr>
              <w:t>3</w:t>
            </w:r>
            <w:r>
              <w:t>7m/1座</w:t>
            </w:r>
          </w:p>
        </w:tc>
        <w:tc>
          <w:tcPr>
            <w:tcW w:w="1532" w:type="dxa"/>
            <w:vAlign w:val="center"/>
          </w:tcPr>
          <w:p>
            <w:pPr>
              <w:pStyle w:val="105"/>
              <w:widowControl w:val="0"/>
              <w:jc w:val="center"/>
            </w:pPr>
            <w:r>
              <w:rPr>
                <w:spacing w:val="2"/>
              </w:rPr>
              <w:t>97m/1座</w:t>
            </w:r>
          </w:p>
        </w:tc>
        <w:tc>
          <w:tcPr>
            <w:tcW w:w="1483" w:type="dxa"/>
            <w:vAlign w:val="center"/>
          </w:tcPr>
          <w:p>
            <w:pPr>
              <w:pStyle w:val="105"/>
              <w:widowControl w:val="0"/>
              <w:jc w:val="center"/>
            </w:pPr>
            <w:r>
              <w:rPr>
                <w:spacing w:val="3"/>
              </w:rPr>
              <w:t>-60</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rPr>
                <w:spacing w:val="-7"/>
              </w:rPr>
              <w:t>10</w:t>
            </w:r>
          </w:p>
        </w:tc>
        <w:tc>
          <w:tcPr>
            <w:tcW w:w="1980" w:type="dxa"/>
            <w:vAlign w:val="center"/>
          </w:tcPr>
          <w:p>
            <w:pPr>
              <w:pStyle w:val="105"/>
              <w:widowControl w:val="0"/>
              <w:jc w:val="center"/>
            </w:pPr>
            <w:r>
              <w:rPr>
                <w:spacing w:val="4"/>
              </w:rPr>
              <w:t>涵洞</w:t>
            </w:r>
          </w:p>
        </w:tc>
        <w:tc>
          <w:tcPr>
            <w:tcW w:w="966" w:type="dxa"/>
            <w:vAlign w:val="center"/>
          </w:tcPr>
          <w:p>
            <w:pPr>
              <w:pStyle w:val="105"/>
              <w:widowControl w:val="0"/>
              <w:jc w:val="center"/>
            </w:pPr>
            <w:r>
              <w:t>m/道</w:t>
            </w:r>
          </w:p>
        </w:tc>
        <w:tc>
          <w:tcPr>
            <w:tcW w:w="1532" w:type="dxa"/>
            <w:vAlign w:val="center"/>
          </w:tcPr>
          <w:p>
            <w:pPr>
              <w:pStyle w:val="105"/>
              <w:widowControl w:val="0"/>
              <w:jc w:val="center"/>
            </w:pPr>
            <w:r>
              <w:rPr>
                <w:spacing w:val="3"/>
              </w:rPr>
              <w:t>242m/12道</w:t>
            </w:r>
          </w:p>
        </w:tc>
        <w:tc>
          <w:tcPr>
            <w:tcW w:w="1532" w:type="dxa"/>
            <w:vAlign w:val="center"/>
          </w:tcPr>
          <w:p>
            <w:pPr>
              <w:pStyle w:val="105"/>
              <w:widowControl w:val="0"/>
              <w:jc w:val="center"/>
            </w:pPr>
            <w:r>
              <w:rPr>
                <w:spacing w:val="3"/>
              </w:rPr>
              <w:t>296m/14道</w:t>
            </w:r>
          </w:p>
        </w:tc>
        <w:tc>
          <w:tcPr>
            <w:tcW w:w="1483" w:type="dxa"/>
            <w:vAlign w:val="center"/>
          </w:tcPr>
          <w:p>
            <w:pPr>
              <w:pStyle w:val="105"/>
              <w:widowControl w:val="0"/>
              <w:jc w:val="center"/>
            </w:pPr>
            <w:r>
              <w:rPr>
                <w:spacing w:val="-2"/>
              </w:rPr>
              <w:t>54</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rPr>
                <w:spacing w:val="-7"/>
              </w:rPr>
              <w:t>11</w:t>
            </w:r>
          </w:p>
        </w:tc>
        <w:tc>
          <w:tcPr>
            <w:tcW w:w="1980" w:type="dxa"/>
            <w:vAlign w:val="center"/>
          </w:tcPr>
          <w:p>
            <w:pPr>
              <w:pStyle w:val="105"/>
              <w:widowControl w:val="0"/>
              <w:jc w:val="center"/>
            </w:pPr>
            <w:r>
              <w:rPr>
                <w:spacing w:val="7"/>
              </w:rPr>
              <w:t>拆迁房屋</w:t>
            </w:r>
          </w:p>
        </w:tc>
        <w:tc>
          <w:tcPr>
            <w:tcW w:w="966" w:type="dxa"/>
            <w:vAlign w:val="center"/>
          </w:tcPr>
          <w:p>
            <w:pPr>
              <w:pStyle w:val="105"/>
              <w:widowControl w:val="0"/>
              <w:jc w:val="center"/>
              <w:rPr>
                <w:sz w:val="10"/>
                <w:szCs w:val="10"/>
              </w:rPr>
            </w:pPr>
            <w:r>
              <w:rPr>
                <w:spacing w:val="3"/>
              </w:rPr>
              <w:t>m</w:t>
            </w:r>
            <w:r>
              <w:rPr>
                <w:spacing w:val="3"/>
                <w:position w:val="10"/>
                <w:sz w:val="10"/>
                <w:szCs w:val="10"/>
              </w:rPr>
              <w:t>2</w:t>
            </w:r>
          </w:p>
        </w:tc>
        <w:tc>
          <w:tcPr>
            <w:tcW w:w="1532" w:type="dxa"/>
            <w:vAlign w:val="center"/>
          </w:tcPr>
          <w:p>
            <w:pPr>
              <w:pStyle w:val="105"/>
              <w:widowControl w:val="0"/>
              <w:jc w:val="center"/>
            </w:pPr>
            <w:r>
              <w:rPr>
                <w:spacing w:val="1"/>
              </w:rPr>
              <w:t>1108/2栋</w:t>
            </w:r>
          </w:p>
        </w:tc>
        <w:tc>
          <w:tcPr>
            <w:tcW w:w="1532" w:type="dxa"/>
            <w:vAlign w:val="center"/>
          </w:tcPr>
          <w:p>
            <w:pPr>
              <w:pStyle w:val="105"/>
              <w:widowControl w:val="0"/>
              <w:jc w:val="center"/>
            </w:pPr>
            <w:r>
              <w:rPr>
                <w:spacing w:val="2"/>
              </w:rPr>
              <w:t>2257/4栋</w:t>
            </w:r>
          </w:p>
        </w:tc>
        <w:tc>
          <w:tcPr>
            <w:tcW w:w="1483" w:type="dxa"/>
            <w:vAlign w:val="center"/>
          </w:tcPr>
          <w:p>
            <w:pPr>
              <w:pStyle w:val="105"/>
              <w:widowControl w:val="0"/>
              <w:jc w:val="center"/>
            </w:pPr>
            <w:r>
              <w:rPr>
                <w:spacing w:val="-1"/>
              </w:rPr>
              <w:t>1149</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rPr>
                <w:spacing w:val="-7"/>
              </w:rPr>
              <w:t>12</w:t>
            </w:r>
          </w:p>
        </w:tc>
        <w:tc>
          <w:tcPr>
            <w:tcW w:w="1980" w:type="dxa"/>
            <w:vAlign w:val="center"/>
          </w:tcPr>
          <w:p>
            <w:pPr>
              <w:pStyle w:val="105"/>
              <w:widowControl w:val="0"/>
              <w:jc w:val="center"/>
            </w:pPr>
            <w:r>
              <w:rPr>
                <w:spacing w:val="7"/>
              </w:rPr>
              <w:t>拆迁电杆</w:t>
            </w:r>
          </w:p>
        </w:tc>
        <w:tc>
          <w:tcPr>
            <w:tcW w:w="966" w:type="dxa"/>
            <w:vAlign w:val="center"/>
          </w:tcPr>
          <w:p>
            <w:pPr>
              <w:pStyle w:val="105"/>
              <w:widowControl w:val="0"/>
              <w:jc w:val="center"/>
            </w:pPr>
            <w:r>
              <w:rPr>
                <w:spacing w:val="1"/>
              </w:rPr>
              <w:t>公里</w:t>
            </w:r>
          </w:p>
        </w:tc>
        <w:tc>
          <w:tcPr>
            <w:tcW w:w="1532" w:type="dxa"/>
            <w:vAlign w:val="center"/>
          </w:tcPr>
          <w:p>
            <w:pPr>
              <w:pStyle w:val="105"/>
              <w:widowControl w:val="0"/>
              <w:jc w:val="center"/>
            </w:pPr>
            <w:r>
              <w:rPr>
                <w:spacing w:val="1"/>
              </w:rPr>
              <w:t>2.2</w:t>
            </w:r>
          </w:p>
        </w:tc>
        <w:tc>
          <w:tcPr>
            <w:tcW w:w="1532" w:type="dxa"/>
            <w:vAlign w:val="center"/>
          </w:tcPr>
          <w:p>
            <w:pPr>
              <w:pStyle w:val="105"/>
              <w:widowControl w:val="0"/>
              <w:jc w:val="center"/>
            </w:pPr>
            <w:r>
              <w:rPr>
                <w:spacing w:val="1"/>
              </w:rPr>
              <w:t>2.5</w:t>
            </w:r>
          </w:p>
        </w:tc>
        <w:tc>
          <w:tcPr>
            <w:tcW w:w="1483" w:type="dxa"/>
            <w:vAlign w:val="center"/>
          </w:tcPr>
          <w:p>
            <w:pPr>
              <w:pStyle w:val="105"/>
              <w:widowControl w:val="0"/>
              <w:jc w:val="center"/>
            </w:pPr>
            <w:r>
              <w:rPr>
                <w:spacing w:val="1"/>
              </w:rPr>
              <w:t>0.3</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rPr>
                <w:spacing w:val="-7"/>
              </w:rPr>
              <w:t>13</w:t>
            </w:r>
          </w:p>
        </w:tc>
        <w:tc>
          <w:tcPr>
            <w:tcW w:w="1980" w:type="dxa"/>
            <w:vAlign w:val="center"/>
          </w:tcPr>
          <w:p>
            <w:pPr>
              <w:pStyle w:val="105"/>
              <w:widowControl w:val="0"/>
              <w:jc w:val="center"/>
            </w:pPr>
            <w:r>
              <w:rPr>
                <w:spacing w:val="3"/>
              </w:rPr>
              <w:t>征地</w:t>
            </w:r>
          </w:p>
        </w:tc>
        <w:tc>
          <w:tcPr>
            <w:tcW w:w="966" w:type="dxa"/>
            <w:vAlign w:val="center"/>
          </w:tcPr>
          <w:p>
            <w:pPr>
              <w:pStyle w:val="105"/>
              <w:widowControl w:val="0"/>
              <w:jc w:val="center"/>
            </w:pPr>
            <w:r>
              <w:t>亩</w:t>
            </w:r>
          </w:p>
        </w:tc>
        <w:tc>
          <w:tcPr>
            <w:tcW w:w="1532" w:type="dxa"/>
            <w:vAlign w:val="center"/>
          </w:tcPr>
          <w:p>
            <w:pPr>
              <w:pStyle w:val="105"/>
              <w:widowControl w:val="0"/>
              <w:jc w:val="center"/>
            </w:pPr>
            <w:r>
              <w:rPr>
                <w:spacing w:val="1"/>
              </w:rPr>
              <w:t>85.3</w:t>
            </w:r>
          </w:p>
        </w:tc>
        <w:tc>
          <w:tcPr>
            <w:tcW w:w="1532" w:type="dxa"/>
            <w:vAlign w:val="center"/>
          </w:tcPr>
          <w:p>
            <w:pPr>
              <w:pStyle w:val="105"/>
              <w:widowControl w:val="0"/>
              <w:jc w:val="center"/>
            </w:pPr>
            <w:r>
              <w:rPr>
                <w:spacing w:val="3"/>
              </w:rPr>
              <w:t>85.6</w:t>
            </w:r>
          </w:p>
        </w:tc>
        <w:tc>
          <w:tcPr>
            <w:tcW w:w="1483" w:type="dxa"/>
            <w:vAlign w:val="center"/>
          </w:tcPr>
          <w:p>
            <w:pPr>
              <w:pStyle w:val="105"/>
              <w:widowControl w:val="0"/>
              <w:jc w:val="center"/>
            </w:pPr>
            <w:r>
              <w:rPr>
                <w:spacing w:val="3"/>
              </w:rPr>
              <w:t>0.3</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rPr>
                <w:spacing w:val="-7"/>
              </w:rPr>
              <w:t>14</w:t>
            </w:r>
          </w:p>
        </w:tc>
        <w:tc>
          <w:tcPr>
            <w:tcW w:w="1980" w:type="dxa"/>
            <w:vAlign w:val="center"/>
          </w:tcPr>
          <w:p>
            <w:pPr>
              <w:pStyle w:val="105"/>
              <w:widowControl w:val="0"/>
              <w:jc w:val="center"/>
            </w:pPr>
            <w:r>
              <w:rPr>
                <w:spacing w:val="-2"/>
              </w:rPr>
              <w:t>占用水田</w:t>
            </w:r>
          </w:p>
        </w:tc>
        <w:tc>
          <w:tcPr>
            <w:tcW w:w="966" w:type="dxa"/>
            <w:vAlign w:val="center"/>
          </w:tcPr>
          <w:p>
            <w:pPr>
              <w:pStyle w:val="105"/>
              <w:widowControl w:val="0"/>
              <w:jc w:val="center"/>
            </w:pPr>
            <w:r>
              <w:t>亩</w:t>
            </w:r>
          </w:p>
        </w:tc>
        <w:tc>
          <w:tcPr>
            <w:tcW w:w="1532" w:type="dxa"/>
            <w:vAlign w:val="center"/>
          </w:tcPr>
          <w:p>
            <w:pPr>
              <w:pStyle w:val="105"/>
              <w:widowControl w:val="0"/>
              <w:jc w:val="center"/>
            </w:pPr>
            <w:r>
              <w:rPr>
                <w:spacing w:val="-1"/>
              </w:rPr>
              <w:t>17.66</w:t>
            </w:r>
          </w:p>
        </w:tc>
        <w:tc>
          <w:tcPr>
            <w:tcW w:w="1532" w:type="dxa"/>
            <w:vAlign w:val="center"/>
          </w:tcPr>
          <w:p>
            <w:pPr>
              <w:pStyle w:val="105"/>
              <w:widowControl w:val="0"/>
              <w:jc w:val="center"/>
            </w:pPr>
            <w:r>
              <w:rPr>
                <w:spacing w:val="-1"/>
              </w:rPr>
              <w:t>23.84</w:t>
            </w:r>
          </w:p>
        </w:tc>
        <w:tc>
          <w:tcPr>
            <w:tcW w:w="1483" w:type="dxa"/>
            <w:vAlign w:val="center"/>
          </w:tcPr>
          <w:p>
            <w:pPr>
              <w:pStyle w:val="105"/>
              <w:widowControl w:val="0"/>
              <w:jc w:val="center"/>
            </w:pPr>
            <w:r>
              <w:rPr>
                <w:spacing w:val="3"/>
              </w:rPr>
              <w:t>6.18</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rPr>
                <w:spacing w:val="-7"/>
              </w:rPr>
              <w:t>15</w:t>
            </w:r>
          </w:p>
        </w:tc>
        <w:tc>
          <w:tcPr>
            <w:tcW w:w="1980" w:type="dxa"/>
            <w:vAlign w:val="center"/>
          </w:tcPr>
          <w:p>
            <w:pPr>
              <w:pStyle w:val="105"/>
              <w:widowControl w:val="0"/>
              <w:jc w:val="center"/>
            </w:pPr>
            <w:r>
              <w:rPr>
                <w:spacing w:val="6"/>
              </w:rPr>
              <w:t>建安费</w:t>
            </w:r>
          </w:p>
        </w:tc>
        <w:tc>
          <w:tcPr>
            <w:tcW w:w="966" w:type="dxa"/>
            <w:vAlign w:val="center"/>
          </w:tcPr>
          <w:p>
            <w:pPr>
              <w:pStyle w:val="105"/>
              <w:widowControl w:val="0"/>
              <w:jc w:val="center"/>
            </w:pPr>
            <w:r>
              <w:rPr>
                <w:spacing w:val="2"/>
              </w:rPr>
              <w:t>万元</w:t>
            </w:r>
          </w:p>
        </w:tc>
        <w:tc>
          <w:tcPr>
            <w:tcW w:w="1532" w:type="dxa"/>
            <w:vAlign w:val="center"/>
          </w:tcPr>
          <w:p>
            <w:pPr>
              <w:pStyle w:val="105"/>
              <w:widowControl w:val="0"/>
              <w:jc w:val="center"/>
            </w:pPr>
            <w:r>
              <w:rPr>
                <w:spacing w:val="4"/>
              </w:rPr>
              <w:t>4223.0479</w:t>
            </w:r>
          </w:p>
        </w:tc>
        <w:tc>
          <w:tcPr>
            <w:tcW w:w="1532" w:type="dxa"/>
            <w:vAlign w:val="center"/>
          </w:tcPr>
          <w:p>
            <w:pPr>
              <w:pStyle w:val="105"/>
              <w:widowControl w:val="0"/>
              <w:jc w:val="center"/>
            </w:pPr>
            <w:r>
              <w:rPr>
                <w:spacing w:val="3"/>
              </w:rPr>
              <w:t>6021.0305</w:t>
            </w:r>
          </w:p>
        </w:tc>
        <w:tc>
          <w:tcPr>
            <w:tcW w:w="1483" w:type="dxa"/>
            <w:vAlign w:val="center"/>
          </w:tcPr>
          <w:p>
            <w:pPr>
              <w:pStyle w:val="105"/>
              <w:widowControl w:val="0"/>
              <w:jc w:val="center"/>
            </w:pPr>
            <w:r>
              <w:rPr>
                <w:spacing w:val="2"/>
              </w:rPr>
              <w:t>1797.983</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rPr>
                <w:spacing w:val="-7"/>
              </w:rPr>
              <w:t>16</w:t>
            </w:r>
          </w:p>
        </w:tc>
        <w:tc>
          <w:tcPr>
            <w:tcW w:w="1980" w:type="dxa"/>
            <w:vAlign w:val="center"/>
          </w:tcPr>
          <w:p>
            <w:pPr>
              <w:pStyle w:val="105"/>
              <w:widowControl w:val="0"/>
              <w:jc w:val="center"/>
            </w:pPr>
            <w:r>
              <w:rPr>
                <w:spacing w:val="8"/>
              </w:rPr>
              <w:t>平均每公里建安费</w:t>
            </w:r>
          </w:p>
        </w:tc>
        <w:tc>
          <w:tcPr>
            <w:tcW w:w="966" w:type="dxa"/>
            <w:vAlign w:val="center"/>
          </w:tcPr>
          <w:p>
            <w:pPr>
              <w:pStyle w:val="105"/>
              <w:widowControl w:val="0"/>
              <w:jc w:val="center"/>
            </w:pPr>
            <w:r>
              <w:rPr>
                <w:spacing w:val="2"/>
              </w:rPr>
              <w:t>万元</w:t>
            </w:r>
          </w:p>
        </w:tc>
        <w:tc>
          <w:tcPr>
            <w:tcW w:w="1532" w:type="dxa"/>
            <w:vAlign w:val="center"/>
          </w:tcPr>
          <w:p>
            <w:pPr>
              <w:pStyle w:val="105"/>
              <w:widowControl w:val="0"/>
              <w:jc w:val="center"/>
            </w:pPr>
            <w:r>
              <w:rPr>
                <w:spacing w:val="2"/>
              </w:rPr>
              <w:t>1816.3647</w:t>
            </w:r>
          </w:p>
        </w:tc>
        <w:tc>
          <w:tcPr>
            <w:tcW w:w="1532" w:type="dxa"/>
            <w:vAlign w:val="center"/>
          </w:tcPr>
          <w:p>
            <w:pPr>
              <w:pStyle w:val="105"/>
              <w:widowControl w:val="0"/>
              <w:jc w:val="center"/>
            </w:pPr>
            <w:r>
              <w:rPr>
                <w:spacing w:val="3"/>
              </w:rPr>
              <w:t>2590.8048</w:t>
            </w:r>
          </w:p>
        </w:tc>
        <w:tc>
          <w:tcPr>
            <w:tcW w:w="1483" w:type="dxa"/>
            <w:vAlign w:val="center"/>
          </w:tcPr>
          <w:p>
            <w:pPr>
              <w:pStyle w:val="105"/>
              <w:widowControl w:val="0"/>
              <w:jc w:val="center"/>
            </w:pPr>
            <w:r>
              <w:rPr>
                <w:spacing w:val="3"/>
              </w:rPr>
              <w:t>774.4401</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rPr>
                <w:spacing w:val="-7"/>
              </w:rPr>
              <w:t>17</w:t>
            </w:r>
          </w:p>
        </w:tc>
        <w:tc>
          <w:tcPr>
            <w:tcW w:w="1980" w:type="dxa"/>
            <w:vAlign w:val="center"/>
          </w:tcPr>
          <w:p>
            <w:pPr>
              <w:pStyle w:val="105"/>
              <w:widowControl w:val="0"/>
              <w:jc w:val="center"/>
            </w:pPr>
            <w:r>
              <w:rPr>
                <w:spacing w:val="6"/>
              </w:rPr>
              <w:t>投资估算</w:t>
            </w:r>
          </w:p>
        </w:tc>
        <w:tc>
          <w:tcPr>
            <w:tcW w:w="966" w:type="dxa"/>
            <w:vAlign w:val="center"/>
          </w:tcPr>
          <w:p>
            <w:pPr>
              <w:pStyle w:val="105"/>
              <w:widowControl w:val="0"/>
              <w:jc w:val="center"/>
            </w:pPr>
            <w:r>
              <w:rPr>
                <w:spacing w:val="2"/>
              </w:rPr>
              <w:t>万元</w:t>
            </w:r>
          </w:p>
        </w:tc>
        <w:tc>
          <w:tcPr>
            <w:tcW w:w="1532" w:type="dxa"/>
            <w:vAlign w:val="center"/>
          </w:tcPr>
          <w:p>
            <w:pPr>
              <w:pStyle w:val="105"/>
              <w:widowControl w:val="0"/>
              <w:jc w:val="center"/>
            </w:pPr>
            <w:r>
              <w:rPr>
                <w:spacing w:val="3"/>
              </w:rPr>
              <w:t>7557.7911</w:t>
            </w:r>
          </w:p>
        </w:tc>
        <w:tc>
          <w:tcPr>
            <w:tcW w:w="1532" w:type="dxa"/>
            <w:vAlign w:val="center"/>
          </w:tcPr>
          <w:p>
            <w:pPr>
              <w:pStyle w:val="105"/>
              <w:widowControl w:val="0"/>
              <w:jc w:val="center"/>
            </w:pPr>
            <w:r>
              <w:rPr>
                <w:spacing w:val="2"/>
              </w:rPr>
              <w:t>10301.3806</w:t>
            </w:r>
          </w:p>
        </w:tc>
        <w:tc>
          <w:tcPr>
            <w:tcW w:w="1483" w:type="dxa"/>
            <w:vAlign w:val="center"/>
          </w:tcPr>
          <w:p>
            <w:pPr>
              <w:pStyle w:val="105"/>
              <w:widowControl w:val="0"/>
              <w:jc w:val="center"/>
            </w:pPr>
            <w:r>
              <w:rPr>
                <w:spacing w:val="3"/>
              </w:rPr>
              <w:t>2743.59</w:t>
            </w:r>
          </w:p>
        </w:tc>
        <w:tc>
          <w:tcPr>
            <w:tcW w:w="1111" w:type="dxa"/>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687" w:type="dxa"/>
            <w:vAlign w:val="center"/>
          </w:tcPr>
          <w:p>
            <w:pPr>
              <w:pStyle w:val="105"/>
              <w:widowControl w:val="0"/>
              <w:jc w:val="center"/>
            </w:pPr>
            <w:r>
              <w:rPr>
                <w:spacing w:val="-7"/>
              </w:rPr>
              <w:t>18</w:t>
            </w:r>
          </w:p>
        </w:tc>
        <w:tc>
          <w:tcPr>
            <w:tcW w:w="1980" w:type="dxa"/>
            <w:vAlign w:val="center"/>
          </w:tcPr>
          <w:p>
            <w:pPr>
              <w:pStyle w:val="105"/>
              <w:widowControl w:val="0"/>
              <w:jc w:val="center"/>
            </w:pPr>
            <w:r>
              <w:rPr>
                <w:spacing w:val="8"/>
              </w:rPr>
              <w:t>平均每公里造价</w:t>
            </w:r>
          </w:p>
        </w:tc>
        <w:tc>
          <w:tcPr>
            <w:tcW w:w="966" w:type="dxa"/>
            <w:vAlign w:val="center"/>
          </w:tcPr>
          <w:p>
            <w:pPr>
              <w:pStyle w:val="105"/>
              <w:widowControl w:val="0"/>
              <w:jc w:val="center"/>
            </w:pPr>
            <w:r>
              <w:rPr>
                <w:spacing w:val="2"/>
              </w:rPr>
              <w:t>万元</w:t>
            </w:r>
          </w:p>
        </w:tc>
        <w:tc>
          <w:tcPr>
            <w:tcW w:w="1532" w:type="dxa"/>
            <w:vAlign w:val="center"/>
          </w:tcPr>
          <w:p>
            <w:pPr>
              <w:pStyle w:val="105"/>
              <w:widowControl w:val="0"/>
              <w:jc w:val="center"/>
            </w:pPr>
            <w:r>
              <w:rPr>
                <w:spacing w:val="3"/>
              </w:rPr>
              <w:t>3250.6628</w:t>
            </w:r>
          </w:p>
        </w:tc>
        <w:tc>
          <w:tcPr>
            <w:tcW w:w="1532" w:type="dxa"/>
            <w:vAlign w:val="center"/>
          </w:tcPr>
          <w:p>
            <w:pPr>
              <w:pStyle w:val="105"/>
              <w:widowControl w:val="0"/>
              <w:jc w:val="center"/>
            </w:pPr>
            <w:r>
              <w:rPr>
                <w:spacing w:val="4"/>
              </w:rPr>
              <w:t>4432.6078</w:t>
            </w:r>
          </w:p>
        </w:tc>
        <w:tc>
          <w:tcPr>
            <w:tcW w:w="1483" w:type="dxa"/>
            <w:vAlign w:val="center"/>
          </w:tcPr>
          <w:p>
            <w:pPr>
              <w:pStyle w:val="105"/>
              <w:widowControl w:val="0"/>
              <w:jc w:val="center"/>
            </w:pPr>
            <w:r>
              <w:rPr>
                <w:spacing w:val="2"/>
              </w:rPr>
              <w:t>1181.945</w:t>
            </w:r>
          </w:p>
        </w:tc>
        <w:tc>
          <w:tcPr>
            <w:tcW w:w="1111" w:type="dxa"/>
            <w:vAlign w:val="center"/>
          </w:tcPr>
          <w:p>
            <w:pPr>
              <w:pStyle w:val="105"/>
              <w:widowControl w:val="0"/>
              <w:jc w:val="center"/>
            </w:pPr>
          </w:p>
        </w:tc>
      </w:tr>
    </w:tbl>
    <w:p>
      <w:pPr>
        <w:pStyle w:val="87"/>
        <w:spacing w:before="120"/>
        <w:ind w:left="480" w:firstLine="480"/>
        <w:sectPr>
          <w:headerReference r:id="rId10" w:type="default"/>
          <w:footerReference r:id="rId11" w:type="default"/>
          <w:pgSz w:w="11910" w:h="16840"/>
          <w:pgMar w:top="1418" w:right="1418" w:bottom="1418" w:left="1418" w:header="851" w:footer="851" w:gutter="0"/>
          <w:cols w:space="720" w:num="1"/>
        </w:sectPr>
      </w:pPr>
    </w:p>
    <w:p>
      <w:pPr>
        <w:pStyle w:val="87"/>
        <w:spacing w:before="120"/>
        <w:ind w:left="480" w:firstLine="480"/>
      </w:pPr>
      <w:r>
        <w:rPr>
          <w:rFonts w:hint="eastAsia"/>
        </w:rPr>
        <w:t>木厝洋段方案工程比选一览表</w:t>
      </w:r>
    </w:p>
    <w:tbl>
      <w:tblPr>
        <w:tblStyle w:val="14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51"/>
        <w:gridCol w:w="2976"/>
        <w:gridCol w:w="4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09" w:type="dxa"/>
            <w:vAlign w:val="center"/>
          </w:tcPr>
          <w:p>
            <w:pPr>
              <w:pStyle w:val="105"/>
              <w:jc w:val="center"/>
              <w:rPr>
                <w:snapToGrid w:val="0"/>
              </w:rPr>
            </w:pPr>
            <w:r>
              <w:rPr>
                <w:rFonts w:hint="eastAsia"/>
                <w:snapToGrid w:val="0"/>
              </w:rPr>
              <w:t>序号</w:t>
            </w:r>
          </w:p>
        </w:tc>
        <w:tc>
          <w:tcPr>
            <w:tcW w:w="851" w:type="dxa"/>
            <w:vAlign w:val="center"/>
          </w:tcPr>
          <w:p>
            <w:pPr>
              <w:pStyle w:val="105"/>
              <w:jc w:val="center"/>
              <w:rPr>
                <w:snapToGrid w:val="0"/>
              </w:rPr>
            </w:pPr>
            <w:r>
              <w:rPr>
                <w:rFonts w:hint="eastAsia"/>
                <w:snapToGrid w:val="0"/>
              </w:rPr>
              <w:t>优缺点</w:t>
            </w:r>
          </w:p>
        </w:tc>
        <w:tc>
          <w:tcPr>
            <w:tcW w:w="2976" w:type="dxa"/>
            <w:vAlign w:val="center"/>
          </w:tcPr>
          <w:p>
            <w:pPr>
              <w:pStyle w:val="105"/>
              <w:jc w:val="center"/>
              <w:rPr>
                <w:snapToGrid w:val="0"/>
              </w:rPr>
            </w:pPr>
            <w:r>
              <w:rPr>
                <w:rFonts w:hint="eastAsia"/>
                <w:snapToGrid w:val="0"/>
              </w:rPr>
              <w:t>K线方案</w:t>
            </w:r>
          </w:p>
        </w:tc>
        <w:tc>
          <w:tcPr>
            <w:tcW w:w="4524" w:type="dxa"/>
            <w:vAlign w:val="center"/>
          </w:tcPr>
          <w:p>
            <w:pPr>
              <w:pStyle w:val="105"/>
              <w:jc w:val="center"/>
              <w:rPr>
                <w:snapToGrid w:val="0"/>
              </w:rPr>
            </w:pPr>
            <w:r>
              <w:rPr>
                <w:rFonts w:hint="eastAsia"/>
                <w:snapToGrid w:val="0"/>
              </w:rPr>
              <w:t>B线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709" w:type="dxa"/>
            <w:vAlign w:val="center"/>
          </w:tcPr>
          <w:p>
            <w:pPr>
              <w:pStyle w:val="105"/>
              <w:jc w:val="center"/>
              <w:rPr>
                <w:snapToGrid w:val="0"/>
              </w:rPr>
            </w:pPr>
            <w:r>
              <w:rPr>
                <w:rFonts w:hint="eastAsia"/>
                <w:snapToGrid w:val="0"/>
              </w:rPr>
              <w:t>1</w:t>
            </w:r>
          </w:p>
        </w:tc>
        <w:tc>
          <w:tcPr>
            <w:tcW w:w="851" w:type="dxa"/>
            <w:vAlign w:val="center"/>
          </w:tcPr>
          <w:p>
            <w:pPr>
              <w:pStyle w:val="105"/>
              <w:jc w:val="left"/>
              <w:rPr>
                <w:snapToGrid w:val="0"/>
              </w:rPr>
            </w:pPr>
            <w:r>
              <w:rPr>
                <w:rFonts w:hint="eastAsia"/>
                <w:snapToGrid w:val="0"/>
              </w:rPr>
              <w:t>优点</w:t>
            </w:r>
          </w:p>
        </w:tc>
        <w:tc>
          <w:tcPr>
            <w:tcW w:w="2976" w:type="dxa"/>
            <w:vAlign w:val="center"/>
          </w:tcPr>
          <w:p>
            <w:pPr>
              <w:pStyle w:val="105"/>
              <w:jc w:val="center"/>
              <w:rPr>
                <w:snapToGrid w:val="0"/>
              </w:rPr>
            </w:pPr>
            <w:r>
              <w:rPr>
                <w:rFonts w:hint="eastAsia"/>
                <w:snapToGrid w:val="0"/>
              </w:rPr>
              <w:t>①符合地方主管部门的意见；</w:t>
            </w:r>
          </w:p>
          <w:p>
            <w:pPr>
              <w:pStyle w:val="105"/>
              <w:jc w:val="center"/>
              <w:rPr>
                <w:snapToGrid w:val="0"/>
              </w:rPr>
            </w:pPr>
            <w:r>
              <w:rPr>
                <w:rFonts w:hint="eastAsia"/>
                <w:snapToGrid w:val="0"/>
              </w:rPr>
              <w:t>②路线长度较短，造价较低，约4223万元；</w:t>
            </w:r>
          </w:p>
          <w:p>
            <w:pPr>
              <w:pStyle w:val="105"/>
              <w:jc w:val="center"/>
              <w:rPr>
                <w:snapToGrid w:val="0"/>
              </w:rPr>
            </w:pPr>
            <w:r>
              <w:rPr>
                <w:rFonts w:hint="eastAsia"/>
                <w:snapToGrid w:val="0"/>
              </w:rPr>
              <w:t>③避开古民宅，实施难度较小；</w:t>
            </w:r>
          </w:p>
          <w:p>
            <w:pPr>
              <w:pStyle w:val="105"/>
              <w:jc w:val="center"/>
              <w:rPr>
                <w:snapToGrid w:val="0"/>
              </w:rPr>
            </w:pPr>
            <w:r>
              <w:rPr>
                <w:rFonts w:hint="eastAsia"/>
                <w:snapToGrid w:val="0"/>
              </w:rPr>
              <w:t>④沿山展线，避开地块。</w:t>
            </w:r>
          </w:p>
        </w:tc>
        <w:tc>
          <w:tcPr>
            <w:tcW w:w="4524" w:type="dxa"/>
            <w:vAlign w:val="center"/>
          </w:tcPr>
          <w:p>
            <w:pPr>
              <w:pStyle w:val="105"/>
              <w:jc w:val="center"/>
              <w:rPr>
                <w:snapToGrid w:val="0"/>
              </w:rPr>
            </w:pPr>
            <w:r>
              <w:rPr>
                <w:rFonts w:hint="eastAsia"/>
                <w:snapToGrid w:val="0"/>
              </w:rPr>
              <w:t>土石方数量较少。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Align w:val="center"/>
          </w:tcPr>
          <w:p>
            <w:pPr>
              <w:pStyle w:val="105"/>
              <w:jc w:val="center"/>
              <w:rPr>
                <w:snapToGrid w:val="0"/>
              </w:rPr>
            </w:pPr>
            <w:r>
              <w:rPr>
                <w:rFonts w:hint="eastAsia"/>
                <w:snapToGrid w:val="0"/>
              </w:rPr>
              <w:t>2</w:t>
            </w:r>
          </w:p>
        </w:tc>
        <w:tc>
          <w:tcPr>
            <w:tcW w:w="851" w:type="dxa"/>
            <w:vAlign w:val="center"/>
          </w:tcPr>
          <w:p>
            <w:pPr>
              <w:pStyle w:val="105"/>
              <w:jc w:val="left"/>
              <w:rPr>
                <w:snapToGrid w:val="0"/>
              </w:rPr>
            </w:pPr>
            <w:r>
              <w:rPr>
                <w:rFonts w:hint="eastAsia"/>
                <w:snapToGrid w:val="0"/>
              </w:rPr>
              <w:t>缺点</w:t>
            </w:r>
          </w:p>
        </w:tc>
        <w:tc>
          <w:tcPr>
            <w:tcW w:w="2976" w:type="dxa"/>
            <w:vAlign w:val="center"/>
          </w:tcPr>
          <w:p>
            <w:pPr>
              <w:pStyle w:val="105"/>
              <w:jc w:val="center"/>
              <w:rPr>
                <w:snapToGrid w:val="0"/>
              </w:rPr>
            </w:pPr>
            <w:r>
              <w:rPr>
                <w:rFonts w:hint="eastAsia"/>
                <w:snapToGrid w:val="0"/>
              </w:rPr>
              <w:t>挖方数量较大。</w:t>
            </w:r>
          </w:p>
        </w:tc>
        <w:tc>
          <w:tcPr>
            <w:tcW w:w="4524" w:type="dxa"/>
            <w:vAlign w:val="center"/>
          </w:tcPr>
          <w:p>
            <w:pPr>
              <w:pStyle w:val="105"/>
              <w:jc w:val="left"/>
              <w:rPr>
                <w:snapToGrid w:val="0"/>
              </w:rPr>
            </w:pPr>
            <w:r>
              <w:rPr>
                <w:rFonts w:hint="eastAsia"/>
                <w:snapToGrid w:val="0"/>
              </w:rPr>
              <w:t>①需征迁古民宅，实施难度较大；</w:t>
            </w:r>
          </w:p>
          <w:p>
            <w:pPr>
              <w:pStyle w:val="105"/>
              <w:jc w:val="left"/>
              <w:rPr>
                <w:snapToGrid w:val="0"/>
              </w:rPr>
            </w:pPr>
            <w:r>
              <w:rPr>
                <w:rFonts w:hint="eastAsia"/>
                <w:snapToGrid w:val="0"/>
              </w:rPr>
              <w:t>②占用大坝下游地块，对地块产生一定影响；</w:t>
            </w:r>
          </w:p>
          <w:p>
            <w:pPr>
              <w:pStyle w:val="105"/>
              <w:jc w:val="left"/>
              <w:rPr>
                <w:snapToGrid w:val="0"/>
              </w:rPr>
            </w:pPr>
            <w:r>
              <w:rPr>
                <w:rFonts w:hint="eastAsia"/>
                <w:snapToGrid w:val="0"/>
              </w:rPr>
              <w:t>③路线长度较长，造价较高，约6021万元。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60" w:type="dxa"/>
            <w:gridSpan w:val="4"/>
            <w:vAlign w:val="center"/>
          </w:tcPr>
          <w:p>
            <w:pPr>
              <w:pStyle w:val="105"/>
              <w:jc w:val="left"/>
              <w:rPr>
                <w:snapToGrid w:val="0"/>
              </w:rPr>
            </w:pPr>
            <w:r>
              <w:rPr>
                <w:rFonts w:hint="eastAsia"/>
                <w:snapToGrid w:val="0"/>
              </w:rPr>
              <w:t>比选结论：</w:t>
            </w:r>
            <w:r>
              <w:rPr>
                <w:snapToGrid w:val="0"/>
              </w:rPr>
              <w:t>综上，</w:t>
            </w:r>
            <w:r>
              <w:rPr>
                <w:rFonts w:hint="eastAsia"/>
                <w:snapToGrid w:val="0"/>
              </w:rPr>
              <w:t>综上，K线里程较短，造价低，路线避开古民宅实施难度较小，对地块影响较小，推荐K线方案。</w:t>
            </w:r>
          </w:p>
        </w:tc>
      </w:tr>
    </w:tbl>
    <w:p>
      <w:pPr>
        <w:pStyle w:val="105"/>
        <w:spacing w:before="0"/>
      </w:pPr>
      <w:r>
        <w:tab/>
      </w:r>
    </w:p>
    <w:p>
      <w:pPr>
        <w:pStyle w:val="122"/>
      </w:pPr>
      <w:bookmarkStart w:id="221" w:name="_Ref193467812"/>
      <w:r>
        <w:rPr>
          <w:rFonts w:hint="eastAsia"/>
        </w:rPr>
        <w:t>方案比选线路图（初步设计方案比选图）</w:t>
      </w:r>
      <w:bookmarkEnd w:id="221"/>
    </w:p>
    <w:p>
      <w:pPr>
        <w:pStyle w:val="118"/>
      </w:pPr>
      <w:r>
        <w:rPr>
          <w:rFonts w:hint="eastAsia"/>
        </w:rPr>
        <w:t>环境比选</w:t>
      </w:r>
    </w:p>
    <w:p>
      <w:pPr>
        <w:ind w:firstLine="480"/>
      </w:pPr>
      <w:r>
        <w:rPr>
          <w:rFonts w:hint="eastAsia"/>
        </w:rPr>
        <w:t>推荐线K线和比较线B</w:t>
      </w:r>
      <w:r>
        <w:tab/>
      </w:r>
      <w:r>
        <w:rPr>
          <w:rFonts w:hint="eastAsia"/>
        </w:rPr>
        <w:t>线的环境保护比选情况见</w:t>
      </w:r>
      <w:r>
        <w:fldChar w:fldCharType="begin"/>
      </w:r>
      <w:r>
        <w:instrText xml:space="preserve"> </w:instrText>
      </w:r>
      <w:r>
        <w:rPr>
          <w:rFonts w:hint="eastAsia"/>
        </w:rPr>
        <w:instrText xml:space="preserve">REF _Ref192519929 \r \h</w:instrText>
      </w:r>
      <w:r>
        <w:instrText xml:space="preserve"> </w:instrText>
      </w:r>
      <w:r>
        <w:fldChar w:fldCharType="separate"/>
      </w:r>
      <w:r>
        <w:rPr>
          <w:rFonts w:hint="eastAsia"/>
        </w:rPr>
        <w:t>表3.1-7</w:t>
      </w:r>
      <w:r>
        <w:fldChar w:fldCharType="end"/>
      </w:r>
      <w:r>
        <w:rPr>
          <w:rFonts w:hint="eastAsia"/>
        </w:rPr>
        <w:t>。</w:t>
      </w:r>
    </w:p>
    <w:p>
      <w:pPr>
        <w:pStyle w:val="87"/>
        <w:spacing w:before="120"/>
        <w:ind w:left="480" w:firstLine="480"/>
      </w:pPr>
      <w:bookmarkStart w:id="222" w:name="_Ref192519929"/>
      <w:r>
        <w:rPr>
          <w:rFonts w:hint="eastAsia"/>
        </w:rPr>
        <w:t>推荐线和B</w:t>
      </w:r>
      <w:r>
        <w:tab/>
      </w:r>
      <w:r>
        <w:rPr>
          <w:rFonts w:hint="eastAsia"/>
        </w:rPr>
        <w:t>线环境保护比较表</w:t>
      </w:r>
      <w:bookmarkEnd w:id="222"/>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033"/>
        <w:gridCol w:w="2759"/>
        <w:gridCol w:w="2904"/>
        <w:gridCol w:w="2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Align w:val="center"/>
          </w:tcPr>
          <w:p>
            <w:pPr>
              <w:pStyle w:val="105"/>
              <w:jc w:val="center"/>
              <w:rPr>
                <w:snapToGrid w:val="0"/>
              </w:rPr>
            </w:pPr>
            <w:r>
              <w:rPr>
                <w:rFonts w:hint="eastAsia"/>
                <w:snapToGrid w:val="0"/>
              </w:rPr>
              <w:t>方案\指标</w:t>
            </w:r>
          </w:p>
        </w:tc>
        <w:tc>
          <w:tcPr>
            <w:tcW w:w="1485" w:type="pct"/>
            <w:vAlign w:val="center"/>
          </w:tcPr>
          <w:p>
            <w:pPr>
              <w:pStyle w:val="105"/>
              <w:jc w:val="center"/>
              <w:rPr>
                <w:snapToGrid w:val="0"/>
              </w:rPr>
            </w:pPr>
            <w:r>
              <w:rPr>
                <w:rFonts w:hint="eastAsia"/>
                <w:snapToGrid w:val="0"/>
              </w:rPr>
              <w:t>K线</w:t>
            </w:r>
          </w:p>
        </w:tc>
        <w:tc>
          <w:tcPr>
            <w:tcW w:w="1563" w:type="pct"/>
            <w:vAlign w:val="center"/>
          </w:tcPr>
          <w:p>
            <w:pPr>
              <w:pStyle w:val="105"/>
              <w:jc w:val="center"/>
              <w:rPr>
                <w:snapToGrid w:val="0"/>
              </w:rPr>
            </w:pPr>
            <w:r>
              <w:rPr>
                <w:snapToGrid w:val="0"/>
              </w:rPr>
              <w:t>B</w:t>
            </w:r>
            <w:r>
              <w:rPr>
                <w:rFonts w:hint="eastAsia"/>
                <w:snapToGrid w:val="0"/>
              </w:rPr>
              <w:t>线方案</w:t>
            </w:r>
          </w:p>
        </w:tc>
        <w:tc>
          <w:tcPr>
            <w:tcW w:w="1092" w:type="pct"/>
            <w:vAlign w:val="center"/>
          </w:tcPr>
          <w:p>
            <w:pPr>
              <w:pStyle w:val="105"/>
              <w:jc w:val="center"/>
              <w:rPr>
                <w:snapToGrid w:val="0"/>
              </w:rPr>
            </w:pPr>
            <w:r>
              <w:rPr>
                <w:rFonts w:hint="eastAsia"/>
                <w:snapToGrid w:val="0"/>
              </w:rPr>
              <w:t>比选情况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Align w:val="center"/>
          </w:tcPr>
          <w:p>
            <w:pPr>
              <w:pStyle w:val="105"/>
              <w:jc w:val="center"/>
              <w:rPr>
                <w:snapToGrid w:val="0"/>
              </w:rPr>
            </w:pPr>
            <w:r>
              <w:rPr>
                <w:rFonts w:hint="eastAsia"/>
                <w:snapToGrid w:val="0"/>
              </w:rPr>
              <w:t>起终点</w:t>
            </w:r>
          </w:p>
        </w:tc>
        <w:tc>
          <w:tcPr>
            <w:tcW w:w="1485" w:type="pct"/>
            <w:vAlign w:val="center"/>
          </w:tcPr>
          <w:p>
            <w:pPr>
              <w:pStyle w:val="105"/>
              <w:jc w:val="center"/>
              <w:rPr>
                <w:snapToGrid w:val="0"/>
              </w:rPr>
            </w:pPr>
            <w:r>
              <w:rPr>
                <w:snapToGrid w:val="0"/>
              </w:rPr>
              <w:t>K3+100</w:t>
            </w:r>
            <w:r>
              <w:rPr>
                <w:rFonts w:hint="eastAsia"/>
                <w:snapToGrid w:val="0"/>
              </w:rPr>
              <w:t>~</w:t>
            </w:r>
            <w:r>
              <w:rPr>
                <w:snapToGrid w:val="0"/>
              </w:rPr>
              <w:t>K5+110</w:t>
            </w:r>
          </w:p>
        </w:tc>
        <w:tc>
          <w:tcPr>
            <w:tcW w:w="1563" w:type="pct"/>
            <w:vAlign w:val="center"/>
          </w:tcPr>
          <w:p>
            <w:pPr>
              <w:pStyle w:val="105"/>
              <w:jc w:val="center"/>
              <w:rPr>
                <w:snapToGrid w:val="0"/>
              </w:rPr>
            </w:pPr>
            <w:r>
              <w:rPr>
                <w:snapToGrid w:val="0"/>
              </w:rPr>
              <w:t>B</w:t>
            </w:r>
            <w:r>
              <w:rPr>
                <w:rFonts w:hint="eastAsia"/>
                <w:snapToGrid w:val="0"/>
              </w:rPr>
              <w:t>K</w:t>
            </w:r>
            <w:r>
              <w:rPr>
                <w:snapToGrid w:val="0"/>
              </w:rPr>
              <w:t>3</w:t>
            </w:r>
            <w:r>
              <w:rPr>
                <w:rFonts w:hint="eastAsia"/>
                <w:snapToGrid w:val="0"/>
              </w:rPr>
              <w:t>+100~</w:t>
            </w:r>
            <w:r>
              <w:rPr>
                <w:snapToGrid w:val="0"/>
              </w:rPr>
              <w:t>BK5+220</w:t>
            </w:r>
          </w:p>
        </w:tc>
        <w:tc>
          <w:tcPr>
            <w:tcW w:w="1092" w:type="pct"/>
            <w:vAlign w:val="center"/>
          </w:tcPr>
          <w:p>
            <w:pPr>
              <w:pStyle w:val="105"/>
              <w:jc w:val="center"/>
              <w:rPr>
                <w:snapToGrid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Align w:val="center"/>
          </w:tcPr>
          <w:p>
            <w:pPr>
              <w:pStyle w:val="105"/>
              <w:jc w:val="center"/>
              <w:rPr>
                <w:snapToGrid w:val="0"/>
              </w:rPr>
            </w:pPr>
            <w:r>
              <w:rPr>
                <w:rFonts w:hint="eastAsia"/>
                <w:snapToGrid w:val="0"/>
              </w:rPr>
              <w:t>线路长度</w:t>
            </w:r>
          </w:p>
        </w:tc>
        <w:tc>
          <w:tcPr>
            <w:tcW w:w="1485" w:type="pct"/>
            <w:vAlign w:val="center"/>
          </w:tcPr>
          <w:p>
            <w:pPr>
              <w:pStyle w:val="105"/>
              <w:jc w:val="center"/>
              <w:rPr>
                <w:snapToGrid w:val="0"/>
              </w:rPr>
            </w:pPr>
            <w:r>
              <w:rPr>
                <w:snapToGrid w:val="0"/>
              </w:rPr>
              <w:t>2.010km</w:t>
            </w:r>
          </w:p>
        </w:tc>
        <w:tc>
          <w:tcPr>
            <w:tcW w:w="1563" w:type="pct"/>
            <w:vAlign w:val="center"/>
          </w:tcPr>
          <w:p>
            <w:pPr>
              <w:pStyle w:val="105"/>
              <w:jc w:val="center"/>
              <w:rPr>
                <w:snapToGrid w:val="0"/>
              </w:rPr>
            </w:pPr>
            <w:r>
              <w:rPr>
                <w:snapToGrid w:val="0"/>
              </w:rPr>
              <w:t>2.120</w:t>
            </w:r>
          </w:p>
        </w:tc>
        <w:tc>
          <w:tcPr>
            <w:tcW w:w="1092" w:type="pct"/>
            <w:vAlign w:val="center"/>
          </w:tcPr>
          <w:p>
            <w:pPr>
              <w:pStyle w:val="105"/>
              <w:jc w:val="center"/>
              <w:rPr>
                <w:snapToGrid w:val="0"/>
              </w:rPr>
            </w:pPr>
            <w:r>
              <w:rPr>
                <w:rFonts w:hint="eastAsia"/>
                <w:snapToGrid w:val="0"/>
              </w:rPr>
              <w:t>相当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304" w:type="pct"/>
            <w:vMerge w:val="restart"/>
            <w:vAlign w:val="center"/>
          </w:tcPr>
          <w:p>
            <w:pPr>
              <w:pStyle w:val="105"/>
              <w:jc w:val="center"/>
              <w:rPr>
                <w:snapToGrid w:val="0"/>
              </w:rPr>
            </w:pPr>
            <w:r>
              <w:rPr>
                <w:rFonts w:hint="eastAsia"/>
                <w:snapToGrid w:val="0"/>
              </w:rPr>
              <w:t>生态</w:t>
            </w:r>
          </w:p>
          <w:p>
            <w:pPr>
              <w:pStyle w:val="105"/>
              <w:jc w:val="center"/>
              <w:rPr>
                <w:snapToGrid w:val="0"/>
              </w:rPr>
            </w:pPr>
            <w:r>
              <w:rPr>
                <w:rFonts w:hint="eastAsia"/>
                <w:snapToGrid w:val="0"/>
              </w:rPr>
              <w:t>环境</w:t>
            </w:r>
          </w:p>
        </w:tc>
        <w:tc>
          <w:tcPr>
            <w:tcW w:w="556" w:type="pct"/>
            <w:vAlign w:val="center"/>
          </w:tcPr>
          <w:p>
            <w:pPr>
              <w:pStyle w:val="105"/>
              <w:jc w:val="left"/>
              <w:rPr>
                <w:snapToGrid w:val="0"/>
              </w:rPr>
            </w:pPr>
            <w:r>
              <w:rPr>
                <w:rFonts w:hint="eastAsia"/>
                <w:snapToGrid w:val="0"/>
              </w:rPr>
              <w:t>生态敏感目标</w:t>
            </w:r>
          </w:p>
        </w:tc>
        <w:tc>
          <w:tcPr>
            <w:tcW w:w="1485" w:type="pct"/>
            <w:vAlign w:val="center"/>
          </w:tcPr>
          <w:p>
            <w:pPr>
              <w:pStyle w:val="105"/>
              <w:jc w:val="left"/>
              <w:rPr>
                <w:snapToGrid w:val="0"/>
              </w:rPr>
            </w:pPr>
            <w:r>
              <w:rPr>
                <w:rFonts w:hint="eastAsia"/>
                <w:snapToGrid w:val="0"/>
              </w:rPr>
              <w:t>①线路不涉及占用生态保护红线和基本农田。</w:t>
            </w:r>
          </w:p>
          <w:p>
            <w:pPr>
              <w:pStyle w:val="105"/>
              <w:jc w:val="left"/>
              <w:rPr>
                <w:snapToGrid w:val="0"/>
              </w:rPr>
            </w:pPr>
            <w:r>
              <w:rPr>
                <w:rFonts w:hint="eastAsia"/>
                <w:snapToGrid w:val="0"/>
              </w:rPr>
              <w:t>②线路占用林地</w:t>
            </w:r>
            <w:r>
              <w:rPr>
                <w:snapToGrid w:val="0"/>
              </w:rPr>
              <w:t>1.6430</w:t>
            </w:r>
            <w:r>
              <w:rPr>
                <w:rFonts w:hint="eastAsia"/>
                <w:snapToGrid w:val="0"/>
              </w:rPr>
              <w:t>hm</w:t>
            </w:r>
            <w:r>
              <w:rPr>
                <w:snapToGrid w:val="0"/>
                <w:vertAlign w:val="superscript"/>
              </w:rPr>
              <w:t>2</w:t>
            </w:r>
            <w:r>
              <w:rPr>
                <w:rFonts w:hint="eastAsia"/>
                <w:snapToGrid w:val="0"/>
              </w:rPr>
              <w:t>，不涉及生态公益林。</w:t>
            </w:r>
          </w:p>
          <w:p>
            <w:pPr>
              <w:pStyle w:val="105"/>
              <w:jc w:val="left"/>
              <w:rPr>
                <w:snapToGrid w:val="0"/>
              </w:rPr>
            </w:pPr>
            <w:r>
              <w:rPr>
                <w:rFonts w:hint="eastAsia"/>
                <w:snapToGrid w:val="0"/>
              </w:rPr>
              <w:t>③涉及占用一般湿地2处：其一K</w:t>
            </w:r>
            <w:r>
              <w:rPr>
                <w:snapToGrid w:val="0"/>
              </w:rPr>
              <w:t>3+650~</w:t>
            </w:r>
            <w:r>
              <w:rPr>
                <w:rFonts w:hint="eastAsia"/>
                <w:snapToGrid w:val="0"/>
              </w:rPr>
              <w:t xml:space="preserve"> K</w:t>
            </w:r>
            <w:r>
              <w:rPr>
                <w:snapToGrid w:val="0"/>
              </w:rPr>
              <w:t>3+705</w:t>
            </w:r>
            <w:r>
              <w:rPr>
                <w:rFonts w:hint="eastAsia"/>
                <w:snapToGrid w:val="0"/>
              </w:rPr>
              <w:t>路基跨越河道，涉及改河5及涵洞建设，其二终点接线枝钟中桥跨越河道，含涉水桥墩1个。</w:t>
            </w:r>
          </w:p>
        </w:tc>
        <w:tc>
          <w:tcPr>
            <w:tcW w:w="1563" w:type="pct"/>
            <w:vAlign w:val="center"/>
          </w:tcPr>
          <w:p>
            <w:pPr>
              <w:pStyle w:val="105"/>
              <w:jc w:val="left"/>
              <w:rPr>
                <w:snapToGrid w:val="0"/>
              </w:rPr>
            </w:pPr>
            <w:r>
              <w:rPr>
                <w:rFonts w:hint="eastAsia"/>
                <w:snapToGrid w:val="0"/>
              </w:rPr>
              <w:t>①线路不涉及占用生态保护红线，局部路段（K</w:t>
            </w:r>
            <w:r>
              <w:rPr>
                <w:snapToGrid w:val="0"/>
              </w:rPr>
              <w:t>3+620~770</w:t>
            </w:r>
            <w:r>
              <w:rPr>
                <w:rFonts w:hint="eastAsia"/>
                <w:snapToGrid w:val="0"/>
              </w:rPr>
              <w:t>）边坡占用少量基本农田。</w:t>
            </w:r>
          </w:p>
          <w:p>
            <w:pPr>
              <w:pStyle w:val="105"/>
              <w:jc w:val="left"/>
              <w:rPr>
                <w:snapToGrid w:val="0"/>
              </w:rPr>
            </w:pPr>
            <w:r>
              <w:rPr>
                <w:rFonts w:hint="eastAsia"/>
                <w:snapToGrid w:val="0"/>
              </w:rPr>
              <w:t>②线路占用林地</w:t>
            </w:r>
            <w:r>
              <w:rPr>
                <w:snapToGrid w:val="0"/>
              </w:rPr>
              <w:t>2.1109</w:t>
            </w:r>
            <w:r>
              <w:rPr>
                <w:rFonts w:hint="eastAsia"/>
                <w:snapToGrid w:val="0"/>
              </w:rPr>
              <w:t xml:space="preserve"> hm</w:t>
            </w:r>
            <w:r>
              <w:rPr>
                <w:snapToGrid w:val="0"/>
                <w:vertAlign w:val="superscript"/>
              </w:rPr>
              <w:t>2</w:t>
            </w:r>
            <w:r>
              <w:rPr>
                <w:rFonts w:hint="eastAsia"/>
                <w:snapToGrid w:val="0"/>
              </w:rPr>
              <w:t>，不涉及生态公益林。</w:t>
            </w:r>
          </w:p>
          <w:p>
            <w:pPr>
              <w:pStyle w:val="105"/>
              <w:jc w:val="left"/>
              <w:rPr>
                <w:snapToGrid w:val="0"/>
              </w:rPr>
            </w:pPr>
            <w:r>
              <w:rPr>
                <w:rFonts w:hint="eastAsia"/>
                <w:snapToGrid w:val="0"/>
              </w:rPr>
              <w:t>③涉及占用一般湿地2处：其一BK</w:t>
            </w:r>
            <w:r>
              <w:rPr>
                <w:snapToGrid w:val="0"/>
              </w:rPr>
              <w:t>3+650~</w:t>
            </w:r>
            <w:r>
              <w:rPr>
                <w:rFonts w:hint="eastAsia"/>
                <w:snapToGrid w:val="0"/>
              </w:rPr>
              <w:t xml:space="preserve"> BK</w:t>
            </w:r>
            <w:r>
              <w:rPr>
                <w:snapToGrid w:val="0"/>
              </w:rPr>
              <w:t>3+705</w:t>
            </w:r>
            <w:r>
              <w:rPr>
                <w:rFonts w:hint="eastAsia"/>
                <w:snapToGrid w:val="0"/>
              </w:rPr>
              <w:t>路基跨越河道，涉及改河及涵洞建设，其二终点桥梁跨越河道，含涉水桥墩</w:t>
            </w:r>
            <w:r>
              <w:rPr>
                <w:snapToGrid w:val="0"/>
              </w:rPr>
              <w:t>2</w:t>
            </w:r>
            <w:r>
              <w:rPr>
                <w:rFonts w:hint="eastAsia"/>
                <w:snapToGrid w:val="0"/>
              </w:rPr>
              <w:t>个。</w:t>
            </w:r>
          </w:p>
        </w:tc>
        <w:tc>
          <w:tcPr>
            <w:tcW w:w="1092" w:type="pct"/>
            <w:vAlign w:val="center"/>
          </w:tcPr>
          <w:p>
            <w:pPr>
              <w:pStyle w:val="105"/>
              <w:jc w:val="left"/>
              <w:rPr>
                <w:snapToGrid w:val="0"/>
              </w:rPr>
            </w:pPr>
            <w:r>
              <w:rPr>
                <w:rFonts w:hint="eastAsia"/>
                <w:snapToGrid w:val="0"/>
              </w:rPr>
              <w:t>K线略优，不涉及占用基本农田，占用林地面积小。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vAlign w:val="center"/>
          </w:tcPr>
          <w:p>
            <w:pPr>
              <w:pStyle w:val="105"/>
              <w:jc w:val="center"/>
              <w:rPr>
                <w:snapToGrid w:val="0"/>
              </w:rPr>
            </w:pPr>
          </w:p>
        </w:tc>
        <w:tc>
          <w:tcPr>
            <w:tcW w:w="556" w:type="pct"/>
            <w:vAlign w:val="center"/>
          </w:tcPr>
          <w:p>
            <w:pPr>
              <w:pStyle w:val="105"/>
              <w:jc w:val="center"/>
              <w:rPr>
                <w:snapToGrid w:val="0"/>
              </w:rPr>
            </w:pPr>
            <w:r>
              <w:rPr>
                <w:rFonts w:hint="eastAsia"/>
                <w:snapToGrid w:val="0"/>
              </w:rPr>
              <w:t>占地情况</w:t>
            </w:r>
          </w:p>
        </w:tc>
        <w:tc>
          <w:tcPr>
            <w:tcW w:w="1485" w:type="pct"/>
            <w:vAlign w:val="center"/>
          </w:tcPr>
          <w:p>
            <w:pPr>
              <w:pStyle w:val="105"/>
              <w:jc w:val="center"/>
              <w:rPr>
                <w:snapToGrid w:val="0"/>
              </w:rPr>
            </w:pPr>
            <w:r>
              <w:rPr>
                <w:snapToGrid w:val="0"/>
                <w:spacing w:val="1"/>
              </w:rPr>
              <w:t>85.3</w:t>
            </w:r>
            <w:r>
              <w:rPr>
                <w:snapToGrid w:val="0"/>
              </w:rPr>
              <w:t>亩</w:t>
            </w:r>
          </w:p>
        </w:tc>
        <w:tc>
          <w:tcPr>
            <w:tcW w:w="1563" w:type="pct"/>
            <w:vAlign w:val="center"/>
          </w:tcPr>
          <w:p>
            <w:pPr>
              <w:pStyle w:val="105"/>
              <w:jc w:val="center"/>
              <w:rPr>
                <w:snapToGrid w:val="0"/>
              </w:rPr>
            </w:pPr>
            <w:r>
              <w:rPr>
                <w:snapToGrid w:val="0"/>
                <w:spacing w:val="3"/>
              </w:rPr>
              <w:t>85.6</w:t>
            </w:r>
            <w:r>
              <w:rPr>
                <w:snapToGrid w:val="0"/>
              </w:rPr>
              <w:t>亩</w:t>
            </w:r>
          </w:p>
        </w:tc>
        <w:tc>
          <w:tcPr>
            <w:tcW w:w="1092" w:type="pct"/>
            <w:vAlign w:val="center"/>
          </w:tcPr>
          <w:p>
            <w:pPr>
              <w:pStyle w:val="105"/>
              <w:jc w:val="center"/>
              <w:rPr>
                <w:snapToGrid w:val="0"/>
              </w:rPr>
            </w:pPr>
            <w:r>
              <w:rPr>
                <w:snapToGrid w:val="0"/>
                <w:spacing w:val="3"/>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vAlign w:val="center"/>
          </w:tcPr>
          <w:p>
            <w:pPr>
              <w:pStyle w:val="105"/>
              <w:jc w:val="center"/>
              <w:rPr>
                <w:snapToGrid w:val="0"/>
              </w:rPr>
            </w:pPr>
          </w:p>
        </w:tc>
        <w:tc>
          <w:tcPr>
            <w:tcW w:w="556" w:type="pct"/>
            <w:vAlign w:val="center"/>
          </w:tcPr>
          <w:p>
            <w:pPr>
              <w:pStyle w:val="105"/>
              <w:jc w:val="center"/>
              <w:rPr>
                <w:snapToGrid w:val="0"/>
              </w:rPr>
            </w:pPr>
            <w:r>
              <w:rPr>
                <w:rFonts w:hint="eastAsia"/>
                <w:snapToGrid w:val="0"/>
              </w:rPr>
              <w:t>土石方量</w:t>
            </w:r>
          </w:p>
        </w:tc>
        <w:tc>
          <w:tcPr>
            <w:tcW w:w="1485" w:type="pct"/>
            <w:vAlign w:val="center"/>
          </w:tcPr>
          <w:p>
            <w:pPr>
              <w:pStyle w:val="105"/>
              <w:jc w:val="center"/>
              <w:rPr>
                <w:snapToGrid w:val="0"/>
              </w:rPr>
            </w:pPr>
            <w:r>
              <w:rPr>
                <w:snapToGrid w:val="0"/>
              </w:rPr>
              <w:t>185.3</w:t>
            </w:r>
            <w:r>
              <w:rPr>
                <w:rFonts w:hint="eastAsia"/>
                <w:snapToGrid w:val="0"/>
              </w:rPr>
              <w:t>万m</w:t>
            </w:r>
            <w:r>
              <w:rPr>
                <w:snapToGrid w:val="0"/>
                <w:vertAlign w:val="superscript"/>
              </w:rPr>
              <w:t>3</w:t>
            </w:r>
          </w:p>
        </w:tc>
        <w:tc>
          <w:tcPr>
            <w:tcW w:w="1563" w:type="pct"/>
            <w:vAlign w:val="center"/>
          </w:tcPr>
          <w:p>
            <w:pPr>
              <w:pStyle w:val="105"/>
              <w:jc w:val="center"/>
              <w:rPr>
                <w:snapToGrid w:val="0"/>
              </w:rPr>
            </w:pPr>
            <w:r>
              <w:rPr>
                <w:snapToGrid w:val="0"/>
              </w:rPr>
              <w:t>136.5</w:t>
            </w:r>
            <w:r>
              <w:rPr>
                <w:rFonts w:hint="eastAsia"/>
                <w:snapToGrid w:val="0"/>
              </w:rPr>
              <w:t>万m</w:t>
            </w:r>
            <w:r>
              <w:rPr>
                <w:snapToGrid w:val="0"/>
                <w:vertAlign w:val="superscript"/>
              </w:rPr>
              <w:t>3</w:t>
            </w:r>
          </w:p>
        </w:tc>
        <w:tc>
          <w:tcPr>
            <w:tcW w:w="1092" w:type="pct"/>
            <w:vAlign w:val="center"/>
          </w:tcPr>
          <w:p>
            <w:pPr>
              <w:pStyle w:val="105"/>
              <w:jc w:val="center"/>
              <w:rPr>
                <w:snapToGrid w:val="0"/>
              </w:rPr>
            </w:pPr>
            <w:r>
              <w:rPr>
                <w:snapToGrid w:val="0"/>
              </w:rPr>
              <w:t>B</w:t>
            </w:r>
            <w:r>
              <w:rPr>
                <w:rFonts w:hint="eastAsia"/>
                <w:snapToGrid w:val="0"/>
              </w:rPr>
              <w:t>线土石方量少，</w:t>
            </w:r>
            <w:r>
              <w:rPr>
                <w:snapToGrid w:val="0"/>
              </w:rPr>
              <w:t>B</w:t>
            </w:r>
            <w:r>
              <w:rPr>
                <w:rFonts w:hint="eastAsia"/>
                <w:snapToGrid w:val="0"/>
              </w:rPr>
              <w:t>线优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vAlign w:val="center"/>
          </w:tcPr>
          <w:p>
            <w:pPr>
              <w:pStyle w:val="105"/>
              <w:jc w:val="center"/>
              <w:rPr>
                <w:snapToGrid w:val="0"/>
                <w:highlight w:val="yellow"/>
              </w:rPr>
            </w:pPr>
          </w:p>
        </w:tc>
        <w:tc>
          <w:tcPr>
            <w:tcW w:w="556" w:type="pct"/>
            <w:vAlign w:val="center"/>
          </w:tcPr>
          <w:p>
            <w:pPr>
              <w:pStyle w:val="105"/>
              <w:jc w:val="left"/>
              <w:rPr>
                <w:snapToGrid w:val="0"/>
              </w:rPr>
            </w:pPr>
            <w:r>
              <w:rPr>
                <w:rFonts w:hint="eastAsia"/>
                <w:snapToGrid w:val="0"/>
              </w:rPr>
              <w:t>生态环境影响方面</w:t>
            </w:r>
          </w:p>
        </w:tc>
        <w:tc>
          <w:tcPr>
            <w:tcW w:w="4140" w:type="pct"/>
            <w:gridSpan w:val="3"/>
            <w:vAlign w:val="center"/>
          </w:tcPr>
          <w:p>
            <w:pPr>
              <w:pStyle w:val="105"/>
              <w:jc w:val="left"/>
              <w:rPr>
                <w:snapToGrid w:val="0"/>
              </w:rPr>
            </w:pPr>
            <w:r>
              <w:rPr>
                <w:rFonts w:hint="eastAsia"/>
                <w:b/>
                <w:bCs/>
                <w:snapToGrid w:val="0"/>
              </w:rPr>
              <w:t>工程占地：</w:t>
            </w:r>
            <w:r>
              <w:rPr>
                <w:rFonts w:hint="eastAsia"/>
                <w:snapToGrid w:val="0"/>
              </w:rPr>
              <w:t>K线和</w:t>
            </w:r>
            <w:r>
              <w:rPr>
                <w:snapToGrid w:val="0"/>
              </w:rPr>
              <w:t>B</w:t>
            </w:r>
            <w:r>
              <w:rPr>
                <w:rFonts w:hint="eastAsia"/>
                <w:snapToGrid w:val="0"/>
              </w:rPr>
              <w:t>线影响基本相当；</w:t>
            </w:r>
          </w:p>
          <w:p>
            <w:pPr>
              <w:pStyle w:val="105"/>
              <w:jc w:val="left"/>
              <w:rPr>
                <w:snapToGrid w:val="0"/>
              </w:rPr>
            </w:pPr>
            <w:r>
              <w:rPr>
                <w:rFonts w:hint="eastAsia"/>
                <w:b/>
                <w:bCs/>
                <w:snapToGrid w:val="0"/>
              </w:rPr>
              <w:t>生态系统：</w:t>
            </w:r>
            <w:r>
              <w:rPr>
                <w:rFonts w:hint="eastAsia"/>
                <w:snapToGrid w:val="0"/>
              </w:rPr>
              <w:t>K线和</w:t>
            </w:r>
            <w:r>
              <w:rPr>
                <w:snapToGrid w:val="0"/>
              </w:rPr>
              <w:t>B</w:t>
            </w:r>
            <w:r>
              <w:rPr>
                <w:rFonts w:hint="eastAsia"/>
                <w:snapToGrid w:val="0"/>
              </w:rPr>
              <w:t>线线位相近，区域生态系统主要类型为森林生态系统，主要植被类型为马尾松、桉树，K线和</w:t>
            </w:r>
            <w:r>
              <w:rPr>
                <w:snapToGrid w:val="0"/>
              </w:rPr>
              <w:t>B</w:t>
            </w:r>
            <w:r>
              <w:rPr>
                <w:rFonts w:hint="eastAsia"/>
                <w:snapToGrid w:val="0"/>
              </w:rPr>
              <w:t>线公路的建设均不会对林地生态系统的稳定性产生影响。</w:t>
            </w:r>
          </w:p>
          <w:p>
            <w:pPr>
              <w:pStyle w:val="105"/>
              <w:jc w:val="left"/>
              <w:rPr>
                <w:snapToGrid w:val="0"/>
              </w:rPr>
            </w:pPr>
            <w:r>
              <w:rPr>
                <w:rFonts w:hint="eastAsia"/>
                <w:b/>
                <w:bCs/>
                <w:snapToGrid w:val="0"/>
              </w:rPr>
              <w:t>植被的影响：</w:t>
            </w:r>
            <w:r>
              <w:rPr>
                <w:rFonts w:hint="eastAsia"/>
                <w:snapToGrid w:val="0"/>
              </w:rPr>
              <w:t>K线和</w:t>
            </w:r>
            <w:r>
              <w:rPr>
                <w:snapToGrid w:val="0"/>
              </w:rPr>
              <w:t>B</w:t>
            </w:r>
            <w:r>
              <w:rPr>
                <w:rFonts w:hint="eastAsia"/>
                <w:snapToGrid w:val="0"/>
              </w:rPr>
              <w:t>线涉及植被主要为针叶林和经济林（马尾松、桉树等），主体工程占地导致植物生物量损失量小，对区域总体的植物资源物种多样性和群落多样性影响不大。K线占用林地面积略少于</w:t>
            </w:r>
            <w:r>
              <w:rPr>
                <w:snapToGrid w:val="0"/>
              </w:rPr>
              <w:t>B</w:t>
            </w:r>
            <w:r>
              <w:rPr>
                <w:rFonts w:hint="eastAsia"/>
                <w:snapToGrid w:val="0"/>
              </w:rPr>
              <w:t>线，K线略优。</w:t>
            </w:r>
          </w:p>
          <w:p>
            <w:pPr>
              <w:pStyle w:val="105"/>
              <w:jc w:val="left"/>
              <w:rPr>
                <w:snapToGrid w:val="0"/>
              </w:rPr>
            </w:pPr>
            <w:r>
              <w:rPr>
                <w:rFonts w:hint="eastAsia"/>
                <w:snapToGrid w:val="0"/>
              </w:rPr>
              <w:t>生态公益林影响 ：均不涉及生态公益林。</w:t>
            </w:r>
          </w:p>
          <w:p>
            <w:pPr>
              <w:pStyle w:val="105"/>
              <w:jc w:val="left"/>
              <w:rPr>
                <w:snapToGrid w:val="0"/>
              </w:rPr>
            </w:pPr>
            <w:r>
              <w:rPr>
                <w:rFonts w:hint="eastAsia"/>
                <w:b/>
                <w:bCs/>
                <w:snapToGrid w:val="0"/>
              </w:rPr>
              <w:t>水土流失：</w:t>
            </w:r>
            <w:r>
              <w:rPr>
                <w:rFonts w:cs="Times New Roman"/>
                <w:snapToGrid w:val="0"/>
                <w:spacing w:val="-4"/>
              </w:rPr>
              <w:t>工程水土流失主要集中在公路工程场地平整、开挖回填和路基处理等</w:t>
            </w:r>
            <w:r>
              <w:rPr>
                <w:rFonts w:hint="eastAsia"/>
                <w:snapToGrid w:val="0"/>
              </w:rPr>
              <w:t xml:space="preserve">， </w:t>
            </w:r>
            <w:r>
              <w:rPr>
                <w:snapToGrid w:val="0"/>
              </w:rPr>
              <w:t>B</w:t>
            </w:r>
            <w:r>
              <w:rPr>
                <w:rFonts w:hint="eastAsia"/>
                <w:snapToGrid w:val="0"/>
              </w:rPr>
              <w:t>线土石方量少，水土流失略小于</w:t>
            </w:r>
            <w:r>
              <w:rPr>
                <w:snapToGrid w:val="0"/>
              </w:rPr>
              <w:t>K</w:t>
            </w:r>
            <w:r>
              <w:rPr>
                <w:rFonts w:hint="eastAsia"/>
                <w:snapToGrid w:val="0"/>
              </w:rPr>
              <w:t>线，</w:t>
            </w:r>
            <w:r>
              <w:rPr>
                <w:snapToGrid w:val="0"/>
              </w:rPr>
              <w:t>B</w:t>
            </w:r>
            <w:r>
              <w:rPr>
                <w:rFonts w:hint="eastAsia"/>
                <w:snapToGrid w:val="0"/>
              </w:rPr>
              <w:t>线略优。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Align w:val="center"/>
          </w:tcPr>
          <w:p>
            <w:pPr>
              <w:pStyle w:val="105"/>
              <w:jc w:val="center"/>
              <w:rPr>
                <w:snapToGrid w:val="0"/>
              </w:rPr>
            </w:pPr>
            <w:r>
              <w:rPr>
                <w:rFonts w:hint="eastAsia"/>
                <w:snapToGrid w:val="0"/>
              </w:rPr>
              <w:t>地表水环境</w:t>
            </w:r>
          </w:p>
        </w:tc>
        <w:tc>
          <w:tcPr>
            <w:tcW w:w="1485" w:type="pct"/>
            <w:vAlign w:val="center"/>
          </w:tcPr>
          <w:p>
            <w:pPr>
              <w:pStyle w:val="105"/>
              <w:jc w:val="center"/>
              <w:rPr>
                <w:snapToGrid w:val="0"/>
              </w:rPr>
            </w:pPr>
            <w:r>
              <w:rPr>
                <w:rFonts w:hint="eastAsia"/>
                <w:snapToGrid w:val="0"/>
              </w:rPr>
              <w:t>涉及跨越迳江地表水体</w:t>
            </w:r>
          </w:p>
        </w:tc>
        <w:tc>
          <w:tcPr>
            <w:tcW w:w="1563" w:type="pct"/>
            <w:vAlign w:val="center"/>
          </w:tcPr>
          <w:p>
            <w:pPr>
              <w:pStyle w:val="105"/>
              <w:jc w:val="center"/>
              <w:rPr>
                <w:snapToGrid w:val="0"/>
              </w:rPr>
            </w:pPr>
            <w:r>
              <w:rPr>
                <w:rFonts w:hint="eastAsia"/>
                <w:snapToGrid w:val="0"/>
              </w:rPr>
              <w:t>涉及跨越迳江地表水体</w:t>
            </w:r>
          </w:p>
        </w:tc>
        <w:tc>
          <w:tcPr>
            <w:tcW w:w="1092" w:type="pct"/>
            <w:vAlign w:val="center"/>
          </w:tcPr>
          <w:p>
            <w:pPr>
              <w:pStyle w:val="105"/>
              <w:jc w:val="center"/>
              <w:rPr>
                <w:snapToGrid w:val="0"/>
              </w:rPr>
            </w:pPr>
            <w:r>
              <w:rPr>
                <w:rFonts w:hint="eastAsia"/>
                <w:snapToGrid w:val="0"/>
              </w:rPr>
              <w:t>方案相当，影响相当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Align w:val="center"/>
          </w:tcPr>
          <w:p>
            <w:pPr>
              <w:pStyle w:val="105"/>
              <w:jc w:val="left"/>
              <w:rPr>
                <w:snapToGrid w:val="0"/>
              </w:rPr>
            </w:pPr>
            <w:r>
              <w:rPr>
                <w:rFonts w:hint="eastAsia"/>
                <w:snapToGrid w:val="0"/>
              </w:rPr>
              <w:t>声环境和环境空气</w:t>
            </w:r>
          </w:p>
        </w:tc>
        <w:tc>
          <w:tcPr>
            <w:tcW w:w="1485" w:type="pct"/>
            <w:vAlign w:val="center"/>
          </w:tcPr>
          <w:p>
            <w:pPr>
              <w:pStyle w:val="105"/>
              <w:jc w:val="left"/>
              <w:rPr>
                <w:snapToGrid w:val="0"/>
              </w:rPr>
            </w:pPr>
            <w:r>
              <w:rPr>
                <w:rFonts w:hint="eastAsia"/>
                <w:snapToGrid w:val="0"/>
              </w:rPr>
              <w:t>K线路段2</w:t>
            </w:r>
            <w:r>
              <w:rPr>
                <w:snapToGrid w:val="0"/>
              </w:rPr>
              <w:t>00</w:t>
            </w:r>
            <w:r>
              <w:rPr>
                <w:rFonts w:hint="eastAsia"/>
                <w:snapToGrid w:val="0"/>
              </w:rPr>
              <w:t>m评价范围敏感目标分别为木厝洋（路右2</w:t>
            </w:r>
            <w:r>
              <w:rPr>
                <w:snapToGrid w:val="0"/>
              </w:rPr>
              <w:t>0</w:t>
            </w:r>
            <w:r>
              <w:rPr>
                <w:rFonts w:hint="eastAsia"/>
                <w:snapToGrid w:val="0"/>
              </w:rPr>
              <w:t>m）、三落厝（路右3</w:t>
            </w:r>
            <w:r>
              <w:rPr>
                <w:snapToGrid w:val="0"/>
              </w:rPr>
              <w:t>5</w:t>
            </w:r>
            <w:r>
              <w:rPr>
                <w:rFonts w:hint="eastAsia"/>
                <w:snapToGrid w:val="0"/>
              </w:rPr>
              <w:t>m）等敏感目标分布。</w:t>
            </w:r>
          </w:p>
        </w:tc>
        <w:tc>
          <w:tcPr>
            <w:tcW w:w="1563" w:type="pct"/>
            <w:vAlign w:val="center"/>
          </w:tcPr>
          <w:p>
            <w:pPr>
              <w:pStyle w:val="105"/>
              <w:jc w:val="left"/>
              <w:rPr>
                <w:snapToGrid w:val="0"/>
              </w:rPr>
            </w:pPr>
            <w:r>
              <w:rPr>
                <w:snapToGrid w:val="0"/>
              </w:rPr>
              <w:t>B</w:t>
            </w:r>
            <w:r>
              <w:rPr>
                <w:rFonts w:hint="eastAsia"/>
                <w:snapToGrid w:val="0"/>
              </w:rPr>
              <w:t>线路段2</w:t>
            </w:r>
            <w:r>
              <w:rPr>
                <w:snapToGrid w:val="0"/>
              </w:rPr>
              <w:t>00</w:t>
            </w:r>
            <w:r>
              <w:rPr>
                <w:rFonts w:hint="eastAsia"/>
                <w:snapToGrid w:val="0"/>
              </w:rPr>
              <w:t>m评价范围敏感目标分别为木厝洋（路右2</w:t>
            </w:r>
            <w:r>
              <w:rPr>
                <w:snapToGrid w:val="0"/>
              </w:rPr>
              <w:t>5</w:t>
            </w:r>
            <w:r>
              <w:rPr>
                <w:rFonts w:hint="eastAsia"/>
                <w:snapToGrid w:val="0"/>
              </w:rPr>
              <w:t>m）、三落厝（路右</w:t>
            </w:r>
            <w:r>
              <w:rPr>
                <w:snapToGrid w:val="0"/>
              </w:rPr>
              <w:t>16</w:t>
            </w:r>
            <w:r>
              <w:rPr>
                <w:rFonts w:hint="eastAsia"/>
                <w:snapToGrid w:val="0"/>
              </w:rPr>
              <w:t>m）等敏感目标分布。</w:t>
            </w:r>
          </w:p>
        </w:tc>
        <w:tc>
          <w:tcPr>
            <w:tcW w:w="1092" w:type="pct"/>
            <w:vAlign w:val="center"/>
          </w:tcPr>
          <w:p>
            <w:pPr>
              <w:pStyle w:val="105"/>
              <w:jc w:val="left"/>
              <w:rPr>
                <w:snapToGrid w:val="0"/>
              </w:rPr>
            </w:pPr>
            <w:r>
              <w:rPr>
                <w:rFonts w:hint="eastAsia"/>
                <w:snapToGrid w:val="0"/>
              </w:rPr>
              <w:t>从交通噪声影响分析，K线位于A线西侧，远离沿线声环境敏感目标，声环境影响程度略小于B线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Align w:val="center"/>
          </w:tcPr>
          <w:p>
            <w:pPr>
              <w:pStyle w:val="105"/>
              <w:jc w:val="center"/>
              <w:rPr>
                <w:snapToGrid w:val="0"/>
              </w:rPr>
            </w:pPr>
            <w:r>
              <w:rPr>
                <w:rFonts w:hint="eastAsia"/>
                <w:snapToGrid w:val="0"/>
              </w:rPr>
              <w:t>其他</w:t>
            </w:r>
          </w:p>
        </w:tc>
        <w:tc>
          <w:tcPr>
            <w:tcW w:w="1485" w:type="pct"/>
            <w:vAlign w:val="center"/>
          </w:tcPr>
          <w:p>
            <w:pPr>
              <w:pStyle w:val="105"/>
              <w:jc w:val="center"/>
              <w:rPr>
                <w:snapToGrid w:val="0"/>
              </w:rPr>
            </w:pPr>
            <w:r>
              <w:rPr>
                <w:rFonts w:hint="eastAsia"/>
                <w:snapToGrid w:val="0"/>
              </w:rPr>
              <w:t>避让三落厝古民宅建筑</w:t>
            </w:r>
          </w:p>
        </w:tc>
        <w:tc>
          <w:tcPr>
            <w:tcW w:w="1563" w:type="pct"/>
            <w:vAlign w:val="center"/>
          </w:tcPr>
          <w:p>
            <w:pPr>
              <w:pStyle w:val="105"/>
              <w:jc w:val="center"/>
              <w:rPr>
                <w:snapToGrid w:val="0"/>
              </w:rPr>
            </w:pPr>
            <w:r>
              <w:rPr>
                <w:rFonts w:hint="eastAsia"/>
                <w:snapToGrid w:val="0"/>
              </w:rPr>
              <w:t>涉及征迁古民宅</w:t>
            </w:r>
          </w:p>
        </w:tc>
        <w:tc>
          <w:tcPr>
            <w:tcW w:w="1092" w:type="pct"/>
            <w:vAlign w:val="center"/>
          </w:tcPr>
          <w:p>
            <w:pPr>
              <w:pStyle w:val="105"/>
              <w:jc w:val="center"/>
              <w:rPr>
                <w:snapToGrid w:val="0"/>
              </w:rPr>
            </w:pPr>
            <w:r>
              <w:rPr>
                <w:rFonts w:hint="eastAsia"/>
                <w:snapToGrid w:val="0"/>
              </w:rPr>
              <w:t>K线优</w:t>
            </w:r>
          </w:p>
        </w:tc>
      </w:tr>
    </w:tbl>
    <w:p>
      <w:pPr>
        <w:pStyle w:val="124"/>
      </w:pPr>
      <w:r>
        <w:rPr>
          <w:rFonts w:hint="eastAsia"/>
        </w:rPr>
        <w:t>从环境比选角度分析：K线和B线均不涉及生态保护红线，但B线局部路段（K</w:t>
      </w:r>
      <w:r>
        <w:t>3+620~770</w:t>
      </w:r>
      <w:r>
        <w:rPr>
          <w:rFonts w:hint="eastAsia"/>
        </w:rPr>
        <w:t>）边坡占用少量基本农田，从生态环境影响角度分析，K线占用林地面积较少，但涉及土石方量较大，总体而言，K线和B线相当。此外，从交通噪声影响分析，K线位于</w:t>
      </w:r>
      <w:r>
        <w:t>B</w:t>
      </w:r>
      <w:r>
        <w:rPr>
          <w:rFonts w:hint="eastAsia"/>
        </w:rPr>
        <w:t>线西侧，远离沿线声环境敏感目标，声环境影响程度略小于</w:t>
      </w:r>
      <w:r>
        <w:t>B</w:t>
      </w:r>
      <w:r>
        <w:rPr>
          <w:rFonts w:hint="eastAsia"/>
        </w:rPr>
        <w:t>线，</w:t>
      </w:r>
      <w:r>
        <w:rPr>
          <w:rFonts w:hint="eastAsia"/>
          <w:b/>
          <w:bCs/>
        </w:rPr>
        <w:t>并且B线涉及古厝拆迁，</w:t>
      </w:r>
      <w:r>
        <w:rPr>
          <w:rFonts w:hint="eastAsia"/>
        </w:rPr>
        <w:t>综上分析，从生态保护角度分析，本次推荐的K线方案。</w:t>
      </w:r>
    </w:p>
    <w:p>
      <w:pPr>
        <w:pStyle w:val="105"/>
        <w:rPr>
          <w:rFonts w:hint="eastAsia" w:eastAsia="宋体"/>
          <w:lang w:eastAsia="zh-CN"/>
        </w:rPr>
      </w:pPr>
    </w:p>
    <w:p>
      <w:pPr>
        <w:pStyle w:val="122"/>
      </w:pPr>
      <w:r>
        <w:rPr>
          <w:rFonts w:hint="eastAsia"/>
        </w:rPr>
        <w:t>比选线路与生态敏感目标位置关系图</w:t>
      </w:r>
    </w:p>
    <w:p>
      <w:pPr>
        <w:pStyle w:val="116"/>
      </w:pPr>
      <w:bookmarkStart w:id="223" w:name="2.1项目工程概况"/>
      <w:bookmarkEnd w:id="223"/>
      <w:bookmarkStart w:id="224" w:name="_Toc28427"/>
      <w:bookmarkStart w:id="225" w:name="_Toc204676232"/>
      <w:bookmarkStart w:id="226" w:name="_Toc159405460"/>
      <w:r>
        <w:t>项目</w:t>
      </w:r>
      <w:bookmarkEnd w:id="224"/>
      <w:r>
        <w:rPr>
          <w:rFonts w:hint="eastAsia"/>
        </w:rPr>
        <w:t>基本情况</w:t>
      </w:r>
      <w:bookmarkEnd w:id="225"/>
      <w:bookmarkEnd w:id="226"/>
    </w:p>
    <w:p>
      <w:pPr>
        <w:pStyle w:val="120"/>
        <w:rPr>
          <w:color w:val="auto"/>
        </w:rPr>
      </w:pPr>
      <w:bookmarkStart w:id="227" w:name="_Hlk195520667"/>
      <w:r>
        <w:rPr>
          <w:rFonts w:hint="eastAsia"/>
          <w:color w:val="auto"/>
        </w:rPr>
        <w:t>地理位置</w:t>
      </w:r>
    </w:p>
    <w:p>
      <w:pPr>
        <w:ind w:firstLine="480"/>
      </w:pPr>
      <w:r>
        <w:rPr>
          <w:rFonts w:hint="eastAsia" w:cs="Times New Roman"/>
          <w:shd w:val="clear" w:color="auto" w:fill="FFFFFF"/>
        </w:rPr>
        <w:t>本项目路线起于上迳镇牌边村，起点与G324平交，自东向西下穿福厦高铁（下穿段落已完工）后，新建桥梁跨越沈海高速，经溪北、木厝洋、三落厝后，终点至黄檗山万福寺，设置接线接入规划黄檗文化产业园。</w:t>
      </w:r>
      <w:bookmarkEnd w:id="227"/>
      <w:bookmarkStart w:id="228" w:name="_Hlk143265197"/>
      <w:r>
        <w:rPr>
          <w:rFonts w:hint="eastAsia"/>
        </w:rPr>
        <w:t>地理位置图详见</w:t>
      </w:r>
      <w:r>
        <w:fldChar w:fldCharType="begin"/>
      </w:r>
      <w:r>
        <w:instrText xml:space="preserve"> </w:instrText>
      </w:r>
      <w:r>
        <w:rPr>
          <w:rFonts w:hint="eastAsia"/>
        </w:rPr>
        <w:instrText xml:space="preserve">REF _Ref193725621 \r \h</w:instrText>
      </w:r>
      <w:r>
        <w:instrText xml:space="preserve"> </w:instrText>
      </w:r>
      <w:r>
        <w:fldChar w:fldCharType="separate"/>
      </w:r>
      <w:r>
        <w:rPr>
          <w:rFonts w:hint="eastAsia"/>
        </w:rPr>
        <w:t>图3.2-1</w:t>
      </w:r>
      <w:r>
        <w:fldChar w:fldCharType="end"/>
      </w:r>
      <w:r>
        <w:t>。</w:t>
      </w:r>
      <w:bookmarkEnd w:id="228"/>
    </w:p>
    <w:p>
      <w:pPr>
        <w:pStyle w:val="105"/>
        <w:jc w:val="center"/>
      </w:pPr>
    </w:p>
    <w:p>
      <w:pPr>
        <w:pStyle w:val="122"/>
        <w:ind w:firstLine="480"/>
        <w:rPr>
          <w:lang w:val="zh-CN"/>
        </w:rPr>
      </w:pPr>
      <w:bookmarkStart w:id="229" w:name="_Ref193725621"/>
      <w:r>
        <w:rPr>
          <w:rFonts w:hint="eastAsia"/>
          <w:lang w:val="zh-CN"/>
        </w:rPr>
        <w:t>项目地理位置图</w:t>
      </w:r>
      <w:bookmarkEnd w:id="229"/>
    </w:p>
    <w:p>
      <w:pPr>
        <w:pStyle w:val="120"/>
        <w:rPr>
          <w:color w:val="auto"/>
        </w:rPr>
      </w:pPr>
      <w:bookmarkStart w:id="230" w:name="2.1.2项目概况"/>
      <w:bookmarkEnd w:id="230"/>
      <w:bookmarkStart w:id="231" w:name="2.1.1路线走向"/>
      <w:bookmarkEnd w:id="231"/>
      <w:r>
        <w:rPr>
          <w:color w:val="auto"/>
        </w:rPr>
        <w:t>项目概况</w:t>
      </w:r>
    </w:p>
    <w:p>
      <w:pPr>
        <w:ind w:firstLine="480"/>
        <w:rPr>
          <w:rFonts w:cs="Times New Roman"/>
          <w:b/>
          <w:szCs w:val="24"/>
        </w:rPr>
      </w:pPr>
      <w:bookmarkStart w:id="232" w:name="（1）项目名称：横二线武夷新区洪尾至新岭公路工程塔山大桥至溪口村连接线工程"/>
      <w:bookmarkEnd w:id="232"/>
      <w:bookmarkStart w:id="233" w:name="_Hlk195520646"/>
      <w:r>
        <w:rPr>
          <w:rFonts w:cs="Times New Roman"/>
          <w:szCs w:val="24"/>
        </w:rPr>
        <w:t>（1）项目名称：</w:t>
      </w:r>
      <w:bookmarkStart w:id="234" w:name="_Hlk194396367"/>
      <w:r>
        <w:rPr>
          <w:rFonts w:hint="eastAsia" w:cs="Times New Roman"/>
          <w:szCs w:val="24"/>
        </w:rPr>
        <w:t>黄檗山万福寺旅游公路</w:t>
      </w:r>
      <w:bookmarkEnd w:id="234"/>
    </w:p>
    <w:p>
      <w:pPr>
        <w:ind w:firstLine="480"/>
        <w:rPr>
          <w:rFonts w:cs="Times New Roman"/>
          <w:szCs w:val="24"/>
        </w:rPr>
      </w:pPr>
      <w:r>
        <w:rPr>
          <w:rFonts w:cs="Times New Roman"/>
          <w:szCs w:val="24"/>
        </w:rPr>
        <w:t>（2）建设地点：</w:t>
      </w:r>
      <w:bookmarkStart w:id="235" w:name="_Hlk177552188"/>
      <w:r>
        <w:rPr>
          <w:rFonts w:hint="eastAsia" w:cs="Times New Roman"/>
          <w:szCs w:val="24"/>
          <w:lang w:val="zh-CN"/>
        </w:rPr>
        <w:t>福清市</w:t>
      </w:r>
      <w:bookmarkEnd w:id="235"/>
      <w:r>
        <w:rPr>
          <w:rFonts w:hint="eastAsia" w:cs="Times New Roman"/>
          <w:shd w:val="clear" w:color="auto" w:fill="FFFFFF"/>
        </w:rPr>
        <w:t>上迳镇、渔溪镇</w:t>
      </w:r>
    </w:p>
    <w:p>
      <w:pPr>
        <w:ind w:firstLine="480"/>
        <w:rPr>
          <w:rFonts w:cs="Times New Roman"/>
          <w:szCs w:val="24"/>
        </w:rPr>
      </w:pPr>
      <w:r>
        <w:rPr>
          <w:rFonts w:cs="Times New Roman"/>
          <w:szCs w:val="24"/>
        </w:rPr>
        <w:t>（3）建设单位：</w:t>
      </w:r>
      <w:r>
        <w:rPr>
          <w:rFonts w:hint="eastAsia" w:cs="Times New Roman"/>
          <w:szCs w:val="24"/>
        </w:rPr>
        <w:t>福清市交通建设投资集团有限公司</w:t>
      </w:r>
    </w:p>
    <w:p>
      <w:pPr>
        <w:ind w:firstLine="480"/>
        <w:rPr>
          <w:rFonts w:cs="Times New Roman"/>
          <w:szCs w:val="24"/>
        </w:rPr>
      </w:pPr>
      <w:r>
        <w:rPr>
          <w:rFonts w:cs="Times New Roman"/>
          <w:szCs w:val="24"/>
        </w:rPr>
        <w:t>（4）建设性质：新建</w:t>
      </w:r>
    </w:p>
    <w:p>
      <w:pPr>
        <w:ind w:firstLine="480"/>
        <w:rPr>
          <w:rFonts w:cs="Times New Roman"/>
          <w:szCs w:val="24"/>
        </w:rPr>
      </w:pPr>
      <w:r>
        <w:rPr>
          <w:rFonts w:cs="Times New Roman"/>
          <w:szCs w:val="24"/>
        </w:rPr>
        <w:t>（5）</w:t>
      </w:r>
      <w:r>
        <w:rPr>
          <w:rFonts w:hint="eastAsia"/>
          <w:kern w:val="0"/>
          <w:szCs w:val="24"/>
        </w:rPr>
        <w:t>项目编码：</w:t>
      </w:r>
      <w:r>
        <w:rPr>
          <w:rFonts w:cs="Times New Roman"/>
          <w:kern w:val="0"/>
          <w:szCs w:val="24"/>
          <w:lang w:val="zh-CN"/>
        </w:rPr>
        <w:t>2310-350181-04-01-745952</w:t>
      </w:r>
    </w:p>
    <w:p>
      <w:pPr>
        <w:ind w:firstLine="480"/>
        <w:rPr>
          <w:rFonts w:cs="Times New Roman"/>
          <w:szCs w:val="24"/>
        </w:rPr>
      </w:pPr>
      <w:r>
        <w:rPr>
          <w:rFonts w:cs="Times New Roman"/>
          <w:szCs w:val="24"/>
        </w:rPr>
        <w:t>（6）项目投资：</w:t>
      </w:r>
      <w:r>
        <w:rPr>
          <w:rFonts w:hint="eastAsia" w:cs="Times New Roman"/>
          <w:szCs w:val="24"/>
        </w:rPr>
        <w:t>总</w:t>
      </w:r>
      <w:r>
        <w:t>投资</w:t>
      </w:r>
      <w:r>
        <w:rPr>
          <w:rFonts w:hint="eastAsia"/>
        </w:rPr>
        <w:t>27</w:t>
      </w:r>
      <w:r>
        <w:t>556.8万元</w:t>
      </w:r>
      <w:r>
        <w:rPr>
          <w:rFonts w:cs="Times New Roman"/>
          <w:szCs w:val="24"/>
        </w:rPr>
        <w:t>，</w:t>
      </w:r>
      <w:r>
        <w:rPr>
          <w:rFonts w:hint="eastAsia"/>
        </w:rPr>
        <w:t>其中环保投资为</w:t>
      </w:r>
      <w:r>
        <w:t>321</w:t>
      </w:r>
      <w:r>
        <w:rPr>
          <w:rFonts w:hint="eastAsia"/>
        </w:rPr>
        <w:t>万元，占总投资的</w:t>
      </w:r>
      <w:r>
        <w:t>1.16</w:t>
      </w:r>
      <w:r>
        <w:rPr>
          <w:rFonts w:hint="eastAsia"/>
        </w:rPr>
        <w:t>%</w:t>
      </w:r>
      <w:r>
        <w:rPr>
          <w:rFonts w:cs="Times New Roman"/>
          <w:szCs w:val="24"/>
        </w:rPr>
        <w:t>。</w:t>
      </w:r>
    </w:p>
    <w:p>
      <w:pPr>
        <w:ind w:firstLine="480"/>
        <w:rPr>
          <w:rFonts w:cs="Times New Roman"/>
        </w:rPr>
      </w:pPr>
      <w:r>
        <w:rPr>
          <w:rFonts w:cs="Times New Roman"/>
        </w:rPr>
        <w:t>（7）经纬度：</w:t>
      </w:r>
      <w:bookmarkStart w:id="236" w:name="_Hlk143265332"/>
    </w:p>
    <w:p>
      <w:pPr>
        <w:ind w:firstLine="480"/>
        <w:rPr>
          <w:rFonts w:cs="Times New Roman"/>
        </w:rPr>
      </w:pPr>
      <w:r>
        <w:rPr>
          <w:rFonts w:cs="Times New Roman"/>
        </w:rPr>
        <w:t>主线起点坐标东经119°17′48.18770″，北纬25°37′31.11441″；</w:t>
      </w:r>
    </w:p>
    <w:p>
      <w:pPr>
        <w:ind w:firstLine="480"/>
        <w:rPr>
          <w:rFonts w:cs="Times New Roman"/>
        </w:rPr>
      </w:pPr>
      <w:r>
        <w:rPr>
          <w:rFonts w:cs="Times New Roman"/>
        </w:rPr>
        <w:t>主线终点坐标东经</w:t>
      </w:r>
      <w:bookmarkEnd w:id="236"/>
      <w:r>
        <w:rPr>
          <w:rFonts w:cs="Times New Roman"/>
        </w:rPr>
        <w:t>119°15′18.49630″, 北纬25°38′21.20466″；</w:t>
      </w:r>
    </w:p>
    <w:p>
      <w:pPr>
        <w:ind w:firstLine="480"/>
        <w:rPr>
          <w:rFonts w:cs="Times New Roman"/>
        </w:rPr>
      </w:pPr>
      <w:r>
        <w:rPr>
          <w:rFonts w:cs="Times New Roman"/>
        </w:rPr>
        <w:t>接线起点坐标东经119°15′18.49630″, 北纬25°38′21.20466″；</w:t>
      </w:r>
    </w:p>
    <w:p>
      <w:pPr>
        <w:ind w:firstLine="480"/>
        <w:rPr>
          <w:rFonts w:cs="Times New Roman"/>
        </w:rPr>
      </w:pPr>
      <w:r>
        <w:rPr>
          <w:rFonts w:cs="Times New Roman"/>
        </w:rPr>
        <w:t>接线终点坐标东经119°15′19.67916″, 北纬25°38′23.92281″。</w:t>
      </w:r>
    </w:p>
    <w:p>
      <w:pPr>
        <w:ind w:firstLine="480"/>
      </w:pPr>
      <w:r>
        <w:t>（8）项目建设内容：</w:t>
      </w:r>
      <w:bookmarkStart w:id="237" w:name="OLE_LINK65"/>
      <w:bookmarkStart w:id="238" w:name="_Hlk177552176"/>
    </w:p>
    <w:p>
      <w:pPr>
        <w:ind w:firstLine="480"/>
      </w:pPr>
      <w:r>
        <w:rPr>
          <w:rFonts w:hint="eastAsia"/>
        </w:rPr>
        <w:t>路线全长5.200km，其中主线5.110km（含下穿福厦高铁段落），接线0.090km，均按双向二车道、路基宽度12m的二级公路标准建设。桥梁589.5m/2座（含终点接线桥</w:t>
      </w:r>
      <w:r>
        <w:t>37</w:t>
      </w:r>
      <w:r>
        <w:rPr>
          <w:rFonts w:hint="eastAsia"/>
        </w:rPr>
        <w:t>m/1座），涵洞</w:t>
      </w:r>
      <w:r>
        <w:t>28</w:t>
      </w:r>
      <w:r>
        <w:rPr>
          <w:rFonts w:hint="eastAsia"/>
        </w:rPr>
        <w:t>道，按设计速度60km/h、路基宽12m、双向二车道的二级公路标准建设。</w:t>
      </w:r>
    </w:p>
    <w:p>
      <w:pPr>
        <w:ind w:firstLine="480"/>
      </w:pPr>
      <w:r>
        <w:rPr>
          <w:rFonts w:hint="eastAsia"/>
        </w:rPr>
        <w:t>本项目K1+030~K1+389.8已单独立项并单独进行环评（2</w:t>
      </w:r>
      <w:r>
        <w:t>023</w:t>
      </w:r>
      <w:r>
        <w:rPr>
          <w:rFonts w:hint="eastAsia"/>
        </w:rPr>
        <w:t>年已批复），并由铁四院完成设计。其中：下穿福厦高铁段落（K1+324.8~K1+389.8）路基标准断面宽17.13m，已完成施工，本项目利用；K1+030~K1+324.8段现状路基已实施（路面尚未实施），但该段路标准断面宽度为8.5m，不满足本项目标准断面宽度12m的需求，故对其进行拓宽改造。改造方案如下：保留现状边坡，将设计标高抬高到边坡之间宽度大于12m，现状边沟加高，加装UHPC盖板作为路肩使用。</w:t>
      </w:r>
    </w:p>
    <w:bookmarkEnd w:id="237"/>
    <w:bookmarkEnd w:id="238"/>
    <w:p>
      <w:pPr>
        <w:ind w:firstLine="480"/>
        <w:rPr>
          <w:rFonts w:cs="Times New Roman"/>
          <w:szCs w:val="24"/>
        </w:rPr>
      </w:pPr>
      <w:r>
        <w:rPr>
          <w:rFonts w:cs="Times New Roman"/>
          <w:szCs w:val="24"/>
        </w:rPr>
        <w:t>（9）项目施工期为18</w:t>
      </w:r>
      <w:r>
        <w:rPr>
          <w:rFonts w:hint="eastAsia" w:cs="Times New Roman"/>
          <w:szCs w:val="24"/>
        </w:rPr>
        <w:t>个月</w:t>
      </w:r>
      <w:r>
        <w:rPr>
          <w:rFonts w:cs="Times New Roman"/>
          <w:szCs w:val="24"/>
        </w:rPr>
        <w:t>，即</w:t>
      </w:r>
      <w:r>
        <w:rPr>
          <w:rFonts w:hint="eastAsia"/>
        </w:rPr>
        <w:t>202</w:t>
      </w:r>
      <w:r>
        <w:t>5</w:t>
      </w:r>
      <w:r>
        <w:rPr>
          <w:rFonts w:hint="eastAsia"/>
        </w:rPr>
        <w:t>年</w:t>
      </w:r>
      <w:r>
        <w:t>5</w:t>
      </w:r>
      <w:r>
        <w:rPr>
          <w:rFonts w:hint="eastAsia"/>
        </w:rPr>
        <w:t>月—20</w:t>
      </w:r>
      <w:r>
        <w:t>26</w:t>
      </w:r>
      <w:r>
        <w:rPr>
          <w:rFonts w:hint="eastAsia"/>
        </w:rPr>
        <w:t>年</w:t>
      </w:r>
      <w:r>
        <w:t>11</w:t>
      </w:r>
      <w:r>
        <w:rPr>
          <w:rFonts w:hint="eastAsia"/>
        </w:rPr>
        <w:t>月</w:t>
      </w:r>
      <w:r>
        <w:rPr>
          <w:rFonts w:cs="Times New Roman"/>
          <w:szCs w:val="24"/>
        </w:rPr>
        <w:t>。</w:t>
      </w:r>
    </w:p>
    <w:bookmarkEnd w:id="233"/>
    <w:p>
      <w:pPr>
        <w:ind w:firstLine="480"/>
        <w:rPr>
          <w:rFonts w:cs="Times New Roman"/>
          <w:szCs w:val="24"/>
          <w:lang w:val="zh-CN"/>
        </w:rPr>
      </w:pPr>
      <w:bookmarkStart w:id="239" w:name="2.1.3工程主要技术指标"/>
      <w:bookmarkEnd w:id="239"/>
      <w:r>
        <w:rPr>
          <w:rFonts w:hint="eastAsia" w:cs="Times New Roman"/>
          <w:szCs w:val="24"/>
          <w:lang w:val="zh-CN"/>
        </w:rPr>
        <w:t>（1</w:t>
      </w:r>
      <w:r>
        <w:rPr>
          <w:rFonts w:cs="Times New Roman"/>
          <w:szCs w:val="24"/>
          <w:lang w:val="zh-CN"/>
        </w:rPr>
        <w:t>0</w:t>
      </w:r>
      <w:r>
        <w:rPr>
          <w:rFonts w:hint="eastAsia" w:cs="Times New Roman"/>
          <w:szCs w:val="24"/>
          <w:lang w:val="zh-CN"/>
        </w:rPr>
        <w:t>）</w:t>
      </w:r>
      <w:r>
        <w:rPr>
          <w:rFonts w:cs="Times New Roman"/>
          <w:szCs w:val="24"/>
          <w:lang w:val="zh-CN"/>
        </w:rPr>
        <w:t>建设项目主要经济技术指标见</w:t>
      </w:r>
      <w:r>
        <w:rPr>
          <w:rFonts w:cs="Times New Roman"/>
          <w:szCs w:val="24"/>
          <w:lang w:val="zh-CN"/>
        </w:rPr>
        <w:fldChar w:fldCharType="begin"/>
      </w:r>
      <w:r>
        <w:rPr>
          <w:rFonts w:cs="Times New Roman"/>
          <w:szCs w:val="24"/>
          <w:lang w:val="zh-CN"/>
        </w:rPr>
        <w:instrText xml:space="preserve"> REF _Ref156287661 \r \h </w:instrText>
      </w:r>
      <w:r>
        <w:rPr>
          <w:rFonts w:cs="Times New Roman"/>
          <w:szCs w:val="24"/>
          <w:lang w:val="zh-CN"/>
        </w:rPr>
        <w:fldChar w:fldCharType="separate"/>
      </w:r>
      <w:r>
        <w:rPr>
          <w:rFonts w:hint="eastAsia" w:cs="Times New Roman"/>
          <w:szCs w:val="24"/>
          <w:lang w:val="zh-CN"/>
        </w:rPr>
        <w:t>表3.2-1</w:t>
      </w:r>
      <w:r>
        <w:rPr>
          <w:rFonts w:cs="Times New Roman"/>
          <w:szCs w:val="24"/>
          <w:lang w:val="zh-CN"/>
        </w:rPr>
        <w:fldChar w:fldCharType="end"/>
      </w:r>
      <w:r>
        <w:rPr>
          <w:rFonts w:cs="Times New Roman"/>
          <w:szCs w:val="24"/>
          <w:lang w:val="zh-CN"/>
        </w:rPr>
        <w:t>。</w:t>
      </w:r>
    </w:p>
    <w:p>
      <w:pPr>
        <w:pStyle w:val="87"/>
        <w:spacing w:before="120"/>
      </w:pPr>
      <w:bookmarkStart w:id="240" w:name="_Ref156287661"/>
      <w:r>
        <w:rPr>
          <w:rFonts w:hint="eastAsia"/>
        </w:rPr>
        <w:t>项目</w:t>
      </w:r>
      <w:r>
        <w:t>工程主要经济技术指标</w:t>
      </w:r>
      <w:bookmarkEnd w:id="240"/>
    </w:p>
    <w:tbl>
      <w:tblPr>
        <w:tblStyle w:val="399"/>
        <w:tblW w:w="907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932"/>
        <w:gridCol w:w="2159"/>
        <w:gridCol w:w="2415"/>
        <w:gridCol w:w="25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公路等级</w:t>
            </w:r>
          </w:p>
        </w:tc>
        <w:tc>
          <w:tcPr>
            <w:tcW w:w="2745" w:type="pct"/>
            <w:gridSpan w:val="2"/>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二级公路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路段范围</w:t>
            </w:r>
          </w:p>
        </w:tc>
        <w:tc>
          <w:tcPr>
            <w:tcW w:w="2745" w:type="pct"/>
            <w:gridSpan w:val="2"/>
            <w:vAlign w:val="center"/>
          </w:tcPr>
          <w:p>
            <w:pPr>
              <w:pStyle w:val="105"/>
              <w:widowControl w:val="0"/>
              <w:jc w:val="center"/>
              <w:rPr>
                <w:kern w:val="0"/>
              </w:rPr>
            </w:pPr>
            <w:r>
              <w:rPr>
                <w:rFonts w:hint="eastAsia"/>
                <w:kern w:val="0"/>
              </w:rPr>
              <w:t>K0+000—K5+110、LK0+000-LK0+090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路段长度（km）</w:t>
            </w:r>
          </w:p>
        </w:tc>
        <w:tc>
          <w:tcPr>
            <w:tcW w:w="2745" w:type="pct"/>
            <w:gridSpan w:val="2"/>
            <w:vAlign w:val="center"/>
          </w:tcPr>
          <w:p>
            <w:pPr>
              <w:pStyle w:val="105"/>
              <w:widowControl w:val="0"/>
              <w:jc w:val="center"/>
            </w:pPr>
            <w:r>
              <w:rPr>
                <w:rFonts w:hint="eastAsia"/>
              </w:rPr>
              <w:t>5.200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p>
        </w:tc>
        <w:tc>
          <w:tcPr>
            <w:tcW w:w="1331" w:type="pct"/>
            <w:vAlign w:val="center"/>
          </w:tcPr>
          <w:p>
            <w:pPr>
              <w:pStyle w:val="105"/>
              <w:widowControl w:val="0"/>
              <w:jc w:val="center"/>
            </w:pPr>
            <w:r>
              <w:rPr>
                <w:rFonts w:hint="eastAsia"/>
              </w:rPr>
              <w:t>规范值</w:t>
            </w:r>
          </w:p>
        </w:tc>
        <w:tc>
          <w:tcPr>
            <w:tcW w:w="1414" w:type="pct"/>
            <w:vAlign w:val="center"/>
          </w:tcPr>
          <w:p>
            <w:pPr>
              <w:pStyle w:val="105"/>
              <w:widowControl w:val="0"/>
              <w:jc w:val="center"/>
            </w:pPr>
            <w:r>
              <w:rPr>
                <w:rFonts w:hint="eastAsia"/>
              </w:rPr>
              <w:t>设计采用值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设计速度（公里/小时）</w:t>
            </w:r>
          </w:p>
        </w:tc>
        <w:tc>
          <w:tcPr>
            <w:tcW w:w="1331" w:type="pct"/>
            <w:vAlign w:val="center"/>
          </w:tcPr>
          <w:p>
            <w:pPr>
              <w:pStyle w:val="105"/>
              <w:widowControl w:val="0"/>
              <w:jc w:val="center"/>
            </w:pPr>
            <w:r>
              <w:rPr>
                <w:rFonts w:hint="eastAsia"/>
              </w:rPr>
              <w:t>80、60</w:t>
            </w:r>
          </w:p>
        </w:tc>
        <w:tc>
          <w:tcPr>
            <w:tcW w:w="1414" w:type="pct"/>
            <w:vAlign w:val="center"/>
          </w:tcPr>
          <w:p>
            <w:pPr>
              <w:pStyle w:val="105"/>
              <w:widowControl w:val="0"/>
              <w:jc w:val="center"/>
            </w:pPr>
            <w:r>
              <w:rPr>
                <w:rFonts w:hint="eastAsia"/>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路基宽度（米）</w:t>
            </w:r>
          </w:p>
        </w:tc>
        <w:tc>
          <w:tcPr>
            <w:tcW w:w="1331" w:type="pct"/>
            <w:vAlign w:val="center"/>
          </w:tcPr>
          <w:p>
            <w:pPr>
              <w:pStyle w:val="105"/>
              <w:widowControl w:val="0"/>
              <w:jc w:val="center"/>
            </w:pPr>
            <w:r>
              <w:rPr>
                <w:rFonts w:hint="eastAsia"/>
              </w:rPr>
              <w:t>/</w:t>
            </w:r>
          </w:p>
        </w:tc>
        <w:tc>
          <w:tcPr>
            <w:tcW w:w="1414" w:type="pct"/>
            <w:vAlign w:val="center"/>
          </w:tcPr>
          <w:p>
            <w:pPr>
              <w:pStyle w:val="105"/>
              <w:widowControl w:val="0"/>
              <w:jc w:val="center"/>
            </w:pPr>
            <w:r>
              <w:rPr>
                <w:rFonts w:hint="eastAsia"/>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65" w:type="pct"/>
            <w:vMerge w:val="restart"/>
            <w:vAlign w:val="center"/>
          </w:tcPr>
          <w:p>
            <w:pPr>
              <w:pStyle w:val="105"/>
              <w:widowControl w:val="0"/>
              <w:jc w:val="center"/>
            </w:pPr>
            <w:r>
              <w:rPr>
                <w:rFonts w:hint="eastAsia"/>
              </w:rPr>
              <w:t>平曲线最小</w:t>
            </w:r>
          </w:p>
          <w:p>
            <w:pPr>
              <w:pStyle w:val="105"/>
              <w:widowControl w:val="0"/>
              <w:jc w:val="center"/>
            </w:pPr>
            <w:r>
              <w:rPr>
                <w:rFonts w:hint="eastAsia"/>
              </w:rPr>
              <w:t>半径（米）</w:t>
            </w:r>
          </w:p>
        </w:tc>
        <w:tc>
          <w:tcPr>
            <w:tcW w:w="1190" w:type="pct"/>
            <w:vAlign w:val="center"/>
          </w:tcPr>
          <w:p>
            <w:pPr>
              <w:pStyle w:val="105"/>
              <w:widowControl w:val="0"/>
              <w:jc w:val="center"/>
            </w:pPr>
            <w:r>
              <w:rPr>
                <w:rFonts w:hint="eastAsia"/>
              </w:rPr>
              <w:t>一般值</w:t>
            </w:r>
          </w:p>
        </w:tc>
        <w:tc>
          <w:tcPr>
            <w:tcW w:w="1331" w:type="pct"/>
            <w:vAlign w:val="center"/>
          </w:tcPr>
          <w:p>
            <w:pPr>
              <w:pStyle w:val="105"/>
              <w:widowControl w:val="0"/>
              <w:jc w:val="center"/>
              <w:rPr>
                <w:kern w:val="0"/>
              </w:rPr>
            </w:pPr>
            <w:r>
              <w:rPr>
                <w:rFonts w:hint="eastAsia"/>
                <w:kern w:val="0"/>
              </w:rPr>
              <w:t>200</w:t>
            </w:r>
          </w:p>
        </w:tc>
        <w:tc>
          <w:tcPr>
            <w:tcW w:w="1414" w:type="pct"/>
            <w:vMerge w:val="restart"/>
            <w:vAlign w:val="center"/>
          </w:tcPr>
          <w:p>
            <w:pPr>
              <w:pStyle w:val="105"/>
              <w:widowControl w:val="0"/>
              <w:jc w:val="center"/>
              <w:rPr>
                <w:kern w:val="0"/>
              </w:rPr>
            </w:pPr>
            <w:r>
              <w:rPr>
                <w:rFonts w:hint="eastAsia"/>
                <w:kern w:val="0"/>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65" w:type="pct"/>
            <w:vMerge w:val="continue"/>
            <w:vAlign w:val="center"/>
          </w:tcPr>
          <w:p>
            <w:pPr>
              <w:pStyle w:val="105"/>
              <w:widowControl w:val="0"/>
              <w:jc w:val="center"/>
            </w:pPr>
          </w:p>
        </w:tc>
        <w:tc>
          <w:tcPr>
            <w:tcW w:w="1190" w:type="pct"/>
            <w:vAlign w:val="center"/>
          </w:tcPr>
          <w:p>
            <w:pPr>
              <w:pStyle w:val="105"/>
              <w:widowControl w:val="0"/>
              <w:jc w:val="center"/>
            </w:pPr>
            <w:r>
              <w:rPr>
                <w:rFonts w:hint="eastAsia"/>
              </w:rPr>
              <w:t>极限值</w:t>
            </w:r>
          </w:p>
        </w:tc>
        <w:tc>
          <w:tcPr>
            <w:tcW w:w="1331" w:type="pct"/>
            <w:vAlign w:val="center"/>
          </w:tcPr>
          <w:p>
            <w:pPr>
              <w:pStyle w:val="105"/>
              <w:widowControl w:val="0"/>
              <w:jc w:val="center"/>
              <w:rPr>
                <w:kern w:val="0"/>
              </w:rPr>
            </w:pPr>
            <w:r>
              <w:rPr>
                <w:rFonts w:hint="eastAsia"/>
                <w:kern w:val="0"/>
              </w:rPr>
              <w:t>125</w:t>
            </w:r>
          </w:p>
        </w:tc>
        <w:tc>
          <w:tcPr>
            <w:tcW w:w="1414" w:type="pct"/>
            <w:vMerge w:val="continue"/>
            <w:vAlign w:val="center"/>
          </w:tcPr>
          <w:p>
            <w:pPr>
              <w:pStyle w:val="105"/>
              <w:widowControl w:val="0"/>
              <w:jc w:val="center"/>
              <w:rPr>
                <w:kern w:val="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不设超高最小平曲线半径（米）</w:t>
            </w:r>
          </w:p>
        </w:tc>
        <w:tc>
          <w:tcPr>
            <w:tcW w:w="1331" w:type="pct"/>
            <w:vAlign w:val="center"/>
          </w:tcPr>
          <w:p>
            <w:pPr>
              <w:pStyle w:val="105"/>
              <w:widowControl w:val="0"/>
              <w:jc w:val="center"/>
            </w:pPr>
            <w:r>
              <w:rPr>
                <w:rFonts w:hint="eastAsia"/>
              </w:rPr>
              <w:t>1500</w:t>
            </w:r>
          </w:p>
        </w:tc>
        <w:tc>
          <w:tcPr>
            <w:tcW w:w="1414" w:type="pct"/>
            <w:vAlign w:val="center"/>
          </w:tcPr>
          <w:p>
            <w:pPr>
              <w:pStyle w:val="105"/>
              <w:widowControl w:val="0"/>
              <w:jc w:val="center"/>
            </w:pPr>
            <w:r>
              <w:rPr>
                <w:rFonts w:hint="eastAsia"/>
              </w:rPr>
              <w:t>1520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停车视距（米）</w:t>
            </w:r>
          </w:p>
        </w:tc>
        <w:tc>
          <w:tcPr>
            <w:tcW w:w="1331" w:type="pct"/>
            <w:vAlign w:val="center"/>
          </w:tcPr>
          <w:p>
            <w:pPr>
              <w:pStyle w:val="105"/>
              <w:widowControl w:val="0"/>
              <w:jc w:val="center"/>
            </w:pPr>
            <w:r>
              <w:rPr>
                <w:rFonts w:hint="eastAsia"/>
              </w:rPr>
              <w:t>75</w:t>
            </w:r>
          </w:p>
        </w:tc>
        <w:tc>
          <w:tcPr>
            <w:tcW w:w="1414" w:type="pct"/>
            <w:vAlign w:val="center"/>
          </w:tcPr>
          <w:p>
            <w:pPr>
              <w:pStyle w:val="105"/>
              <w:widowControl w:val="0"/>
              <w:jc w:val="center"/>
            </w:pPr>
            <w:r>
              <w:rPr>
                <w:rFonts w:hint="eastAsia"/>
              </w:rPr>
              <w: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最大纵坡（%）</w:t>
            </w:r>
          </w:p>
        </w:tc>
        <w:tc>
          <w:tcPr>
            <w:tcW w:w="1331" w:type="pct"/>
            <w:vAlign w:val="center"/>
          </w:tcPr>
          <w:p>
            <w:pPr>
              <w:pStyle w:val="105"/>
              <w:widowControl w:val="0"/>
              <w:jc w:val="center"/>
            </w:pPr>
            <w:r>
              <w:rPr>
                <w:rFonts w:hint="eastAsia"/>
              </w:rPr>
              <w:t>6</w:t>
            </w:r>
          </w:p>
        </w:tc>
        <w:tc>
          <w:tcPr>
            <w:tcW w:w="1414" w:type="pct"/>
            <w:vAlign w:val="center"/>
          </w:tcPr>
          <w:p>
            <w:pPr>
              <w:pStyle w:val="105"/>
              <w:widowControl w:val="0"/>
              <w:jc w:val="center"/>
            </w:pPr>
            <w:r>
              <w:rPr>
                <w:rFonts w:hint="eastAsia"/>
              </w:rPr>
              <w:t>5.8</w:t>
            </w:r>
            <w: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65" w:type="pct"/>
            <w:vMerge w:val="restart"/>
            <w:vAlign w:val="center"/>
          </w:tcPr>
          <w:p>
            <w:pPr>
              <w:pStyle w:val="105"/>
              <w:widowControl w:val="0"/>
              <w:jc w:val="center"/>
            </w:pPr>
            <w:r>
              <w:rPr>
                <w:rFonts w:hint="eastAsia"/>
              </w:rPr>
              <w:t>凸形竖曲线</w:t>
            </w:r>
          </w:p>
          <w:p>
            <w:pPr>
              <w:pStyle w:val="105"/>
              <w:widowControl w:val="0"/>
              <w:jc w:val="center"/>
            </w:pPr>
            <w:r>
              <w:rPr>
                <w:rFonts w:hint="eastAsia"/>
              </w:rPr>
              <w:t>最小半径（米）</w:t>
            </w:r>
          </w:p>
        </w:tc>
        <w:tc>
          <w:tcPr>
            <w:tcW w:w="1190" w:type="pct"/>
            <w:vAlign w:val="center"/>
          </w:tcPr>
          <w:p>
            <w:pPr>
              <w:pStyle w:val="105"/>
              <w:widowControl w:val="0"/>
              <w:jc w:val="center"/>
            </w:pPr>
            <w:r>
              <w:rPr>
                <w:rFonts w:hint="eastAsia"/>
              </w:rPr>
              <w:t>一般值</w:t>
            </w:r>
          </w:p>
        </w:tc>
        <w:tc>
          <w:tcPr>
            <w:tcW w:w="1331" w:type="pct"/>
            <w:vAlign w:val="center"/>
          </w:tcPr>
          <w:p>
            <w:pPr>
              <w:pStyle w:val="105"/>
              <w:widowControl w:val="0"/>
              <w:jc w:val="center"/>
              <w:rPr>
                <w:kern w:val="0"/>
              </w:rPr>
            </w:pPr>
            <w:r>
              <w:rPr>
                <w:rFonts w:hint="eastAsia"/>
                <w:kern w:val="0"/>
              </w:rPr>
              <w:t>2000</w:t>
            </w:r>
          </w:p>
        </w:tc>
        <w:tc>
          <w:tcPr>
            <w:tcW w:w="1414" w:type="pct"/>
            <w:vMerge w:val="restart"/>
            <w:vAlign w:val="center"/>
          </w:tcPr>
          <w:p>
            <w:pPr>
              <w:pStyle w:val="105"/>
              <w:widowControl w:val="0"/>
              <w:jc w:val="center"/>
              <w:rPr>
                <w:kern w:val="0"/>
              </w:rPr>
            </w:pPr>
            <w:r>
              <w:rPr>
                <w:kern w:val="0"/>
              </w:rPr>
              <w:t>2225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65" w:type="pct"/>
            <w:vMerge w:val="continue"/>
            <w:vAlign w:val="center"/>
          </w:tcPr>
          <w:p>
            <w:pPr>
              <w:pStyle w:val="105"/>
              <w:widowControl w:val="0"/>
              <w:jc w:val="center"/>
            </w:pPr>
          </w:p>
        </w:tc>
        <w:tc>
          <w:tcPr>
            <w:tcW w:w="1190" w:type="pct"/>
            <w:vAlign w:val="center"/>
          </w:tcPr>
          <w:p>
            <w:pPr>
              <w:pStyle w:val="105"/>
              <w:widowControl w:val="0"/>
              <w:jc w:val="center"/>
            </w:pPr>
            <w:r>
              <w:rPr>
                <w:rFonts w:hint="eastAsia"/>
              </w:rPr>
              <w:t>极限值</w:t>
            </w:r>
          </w:p>
        </w:tc>
        <w:tc>
          <w:tcPr>
            <w:tcW w:w="1331" w:type="pct"/>
            <w:vAlign w:val="center"/>
          </w:tcPr>
          <w:p>
            <w:pPr>
              <w:pStyle w:val="105"/>
              <w:widowControl w:val="0"/>
              <w:jc w:val="center"/>
              <w:rPr>
                <w:kern w:val="0"/>
              </w:rPr>
            </w:pPr>
            <w:r>
              <w:rPr>
                <w:rFonts w:hint="eastAsia"/>
                <w:kern w:val="0"/>
              </w:rPr>
              <w:t>1400</w:t>
            </w:r>
          </w:p>
        </w:tc>
        <w:tc>
          <w:tcPr>
            <w:tcW w:w="1414" w:type="pct"/>
            <w:vMerge w:val="continue"/>
            <w:vAlign w:val="center"/>
          </w:tcPr>
          <w:p>
            <w:pPr>
              <w:pStyle w:val="105"/>
              <w:widowControl w:val="0"/>
              <w:jc w:val="center"/>
              <w:rPr>
                <w:kern w:val="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65" w:type="pct"/>
            <w:vMerge w:val="restart"/>
            <w:vAlign w:val="center"/>
          </w:tcPr>
          <w:p>
            <w:pPr>
              <w:pStyle w:val="105"/>
              <w:widowControl w:val="0"/>
              <w:jc w:val="center"/>
            </w:pPr>
            <w:r>
              <w:rPr>
                <w:rFonts w:hint="eastAsia"/>
              </w:rPr>
              <w:t>凹形竖曲线</w:t>
            </w:r>
          </w:p>
          <w:p>
            <w:pPr>
              <w:pStyle w:val="105"/>
              <w:widowControl w:val="0"/>
              <w:jc w:val="center"/>
            </w:pPr>
            <w:r>
              <w:rPr>
                <w:rFonts w:hint="eastAsia"/>
              </w:rPr>
              <w:t>最小半径（米）</w:t>
            </w:r>
          </w:p>
        </w:tc>
        <w:tc>
          <w:tcPr>
            <w:tcW w:w="1190" w:type="pct"/>
            <w:vAlign w:val="center"/>
          </w:tcPr>
          <w:p>
            <w:pPr>
              <w:pStyle w:val="105"/>
              <w:widowControl w:val="0"/>
              <w:jc w:val="center"/>
            </w:pPr>
            <w:r>
              <w:rPr>
                <w:rFonts w:hint="eastAsia"/>
              </w:rPr>
              <w:t>一般值</w:t>
            </w:r>
          </w:p>
        </w:tc>
        <w:tc>
          <w:tcPr>
            <w:tcW w:w="1331" w:type="pct"/>
            <w:vAlign w:val="center"/>
          </w:tcPr>
          <w:p>
            <w:pPr>
              <w:pStyle w:val="105"/>
              <w:widowControl w:val="0"/>
              <w:jc w:val="center"/>
              <w:rPr>
                <w:kern w:val="0"/>
              </w:rPr>
            </w:pPr>
            <w:r>
              <w:rPr>
                <w:rFonts w:hint="eastAsia"/>
                <w:kern w:val="0"/>
              </w:rPr>
              <w:t>1500</w:t>
            </w:r>
          </w:p>
        </w:tc>
        <w:tc>
          <w:tcPr>
            <w:tcW w:w="1414" w:type="pct"/>
            <w:vMerge w:val="restart"/>
            <w:vAlign w:val="center"/>
          </w:tcPr>
          <w:p>
            <w:pPr>
              <w:pStyle w:val="105"/>
              <w:widowControl w:val="0"/>
              <w:jc w:val="center"/>
              <w:rPr>
                <w:kern w:val="0"/>
              </w:rPr>
            </w:pPr>
            <w:r>
              <w:rPr>
                <w:kern w:val="0"/>
              </w:rPr>
              <w:t>1150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65" w:type="pct"/>
            <w:vMerge w:val="continue"/>
            <w:vAlign w:val="center"/>
          </w:tcPr>
          <w:p>
            <w:pPr>
              <w:pStyle w:val="105"/>
              <w:widowControl w:val="0"/>
              <w:jc w:val="center"/>
            </w:pPr>
          </w:p>
        </w:tc>
        <w:tc>
          <w:tcPr>
            <w:tcW w:w="1190" w:type="pct"/>
            <w:vAlign w:val="center"/>
          </w:tcPr>
          <w:p>
            <w:pPr>
              <w:pStyle w:val="105"/>
              <w:widowControl w:val="0"/>
              <w:jc w:val="center"/>
            </w:pPr>
            <w:r>
              <w:rPr>
                <w:rFonts w:hint="eastAsia"/>
              </w:rPr>
              <w:t>极限值</w:t>
            </w:r>
          </w:p>
        </w:tc>
        <w:tc>
          <w:tcPr>
            <w:tcW w:w="1331" w:type="pct"/>
            <w:vAlign w:val="center"/>
          </w:tcPr>
          <w:p>
            <w:pPr>
              <w:pStyle w:val="105"/>
              <w:widowControl w:val="0"/>
              <w:jc w:val="center"/>
              <w:rPr>
                <w:kern w:val="0"/>
              </w:rPr>
            </w:pPr>
            <w:r>
              <w:rPr>
                <w:rFonts w:hint="eastAsia"/>
                <w:kern w:val="0"/>
              </w:rPr>
              <w:t>1000</w:t>
            </w:r>
          </w:p>
        </w:tc>
        <w:tc>
          <w:tcPr>
            <w:tcW w:w="1414" w:type="pct"/>
            <w:vMerge w:val="continue"/>
            <w:vAlign w:val="center"/>
          </w:tcPr>
          <w:p>
            <w:pPr>
              <w:pStyle w:val="105"/>
              <w:widowControl w:val="0"/>
              <w:jc w:val="center"/>
              <w:rPr>
                <w:kern w:val="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65" w:type="pct"/>
            <w:vMerge w:val="restart"/>
            <w:vAlign w:val="center"/>
          </w:tcPr>
          <w:p>
            <w:pPr>
              <w:pStyle w:val="105"/>
              <w:widowControl w:val="0"/>
              <w:jc w:val="center"/>
            </w:pPr>
            <w:r>
              <w:rPr>
                <w:rFonts w:hint="eastAsia"/>
              </w:rPr>
              <w:t>设计洪水频率</w:t>
            </w:r>
          </w:p>
        </w:tc>
        <w:tc>
          <w:tcPr>
            <w:tcW w:w="1190" w:type="pct"/>
            <w:vAlign w:val="center"/>
          </w:tcPr>
          <w:p>
            <w:pPr>
              <w:pStyle w:val="105"/>
              <w:widowControl w:val="0"/>
              <w:jc w:val="center"/>
            </w:pPr>
            <w:r>
              <w:rPr>
                <w:rFonts w:hint="eastAsia"/>
              </w:rPr>
              <w:t>大、中桥</w:t>
            </w:r>
          </w:p>
        </w:tc>
        <w:tc>
          <w:tcPr>
            <w:tcW w:w="1331" w:type="pct"/>
            <w:vAlign w:val="center"/>
          </w:tcPr>
          <w:p>
            <w:pPr>
              <w:pStyle w:val="105"/>
              <w:widowControl w:val="0"/>
              <w:jc w:val="center"/>
            </w:pPr>
            <w:r>
              <w:rPr>
                <w:rFonts w:hint="eastAsia"/>
              </w:rPr>
              <w:t>1/100</w:t>
            </w:r>
          </w:p>
        </w:tc>
        <w:tc>
          <w:tcPr>
            <w:tcW w:w="1414" w:type="pct"/>
            <w:vAlign w:val="center"/>
          </w:tcPr>
          <w:p>
            <w:pPr>
              <w:pStyle w:val="105"/>
              <w:widowControl w:val="0"/>
              <w:jc w:val="center"/>
            </w:pPr>
            <w:r>
              <w:rPr>
                <w:rFonts w:hint="eastAsia"/>
              </w:rPr>
              <w:t>1/100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65" w:type="pct"/>
            <w:vMerge w:val="continue"/>
            <w:vAlign w:val="center"/>
          </w:tcPr>
          <w:p>
            <w:pPr>
              <w:pStyle w:val="105"/>
              <w:widowControl w:val="0"/>
              <w:jc w:val="center"/>
            </w:pPr>
          </w:p>
        </w:tc>
        <w:tc>
          <w:tcPr>
            <w:tcW w:w="1190" w:type="pct"/>
            <w:vAlign w:val="center"/>
          </w:tcPr>
          <w:p>
            <w:pPr>
              <w:pStyle w:val="105"/>
              <w:widowControl w:val="0"/>
              <w:jc w:val="center"/>
            </w:pPr>
            <w:r>
              <w:rPr>
                <w:rFonts w:hint="eastAsia"/>
              </w:rPr>
              <w:t>小桥、涵洞及路基</w:t>
            </w:r>
          </w:p>
        </w:tc>
        <w:tc>
          <w:tcPr>
            <w:tcW w:w="1331" w:type="pct"/>
            <w:vAlign w:val="center"/>
          </w:tcPr>
          <w:p>
            <w:pPr>
              <w:pStyle w:val="105"/>
              <w:widowControl w:val="0"/>
              <w:jc w:val="center"/>
            </w:pPr>
            <w:r>
              <w:rPr>
                <w:rFonts w:hint="eastAsia"/>
              </w:rPr>
              <w:t>1/50</w:t>
            </w:r>
          </w:p>
        </w:tc>
        <w:tc>
          <w:tcPr>
            <w:tcW w:w="1414" w:type="pct"/>
            <w:vAlign w:val="center"/>
          </w:tcPr>
          <w:p>
            <w:pPr>
              <w:pStyle w:val="105"/>
              <w:widowControl w:val="0"/>
              <w:jc w:val="center"/>
            </w:pPr>
            <w:r>
              <w:rPr>
                <w:rFonts w:hint="eastAsia"/>
              </w:rPr>
              <w:t>1/50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路面设计标准轴载</w:t>
            </w:r>
          </w:p>
        </w:tc>
        <w:tc>
          <w:tcPr>
            <w:tcW w:w="1331" w:type="pct"/>
            <w:vAlign w:val="center"/>
          </w:tcPr>
          <w:p>
            <w:pPr>
              <w:pStyle w:val="105"/>
              <w:widowControl w:val="0"/>
              <w:jc w:val="center"/>
            </w:pPr>
            <w:r>
              <w:rPr>
                <w:rFonts w:hint="eastAsia"/>
              </w:rPr>
              <w:t>双轮组单轴100KN</w:t>
            </w:r>
          </w:p>
        </w:tc>
        <w:tc>
          <w:tcPr>
            <w:tcW w:w="1414" w:type="pct"/>
            <w:vAlign w:val="center"/>
          </w:tcPr>
          <w:p>
            <w:pPr>
              <w:pStyle w:val="105"/>
              <w:widowControl w:val="0"/>
              <w:jc w:val="center"/>
            </w:pPr>
            <w:r>
              <w:rPr>
                <w:rFonts w:hint="eastAsia"/>
              </w:rPr>
              <w:t>双轮组单轴100KN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汽车荷载等级</w:t>
            </w:r>
          </w:p>
        </w:tc>
        <w:tc>
          <w:tcPr>
            <w:tcW w:w="1331" w:type="pct"/>
            <w:vAlign w:val="center"/>
          </w:tcPr>
          <w:p>
            <w:pPr>
              <w:pStyle w:val="105"/>
              <w:widowControl w:val="0"/>
              <w:jc w:val="center"/>
            </w:pPr>
            <w:r>
              <w:rPr>
                <w:rFonts w:hint="eastAsia"/>
              </w:rPr>
              <w:t>公路—Ⅰ级</w:t>
            </w:r>
          </w:p>
        </w:tc>
        <w:tc>
          <w:tcPr>
            <w:tcW w:w="1414" w:type="pct"/>
            <w:vAlign w:val="center"/>
          </w:tcPr>
          <w:p>
            <w:pPr>
              <w:pStyle w:val="105"/>
              <w:widowControl w:val="0"/>
              <w:jc w:val="center"/>
            </w:pPr>
            <w:r>
              <w:rPr>
                <w:rFonts w:hint="eastAsia"/>
              </w:rPr>
              <w:t>公路—Ⅰ级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2255" w:type="pct"/>
            <w:gridSpan w:val="2"/>
            <w:vAlign w:val="center"/>
          </w:tcPr>
          <w:p>
            <w:pPr>
              <w:pStyle w:val="105"/>
              <w:widowControl w:val="0"/>
              <w:jc w:val="center"/>
            </w:pPr>
            <w:r>
              <w:rPr>
                <w:rFonts w:hint="eastAsia"/>
              </w:rPr>
              <w:t>服 务 水 平</w:t>
            </w:r>
          </w:p>
        </w:tc>
        <w:tc>
          <w:tcPr>
            <w:tcW w:w="1331" w:type="pct"/>
            <w:vAlign w:val="center"/>
          </w:tcPr>
          <w:p>
            <w:pPr>
              <w:pStyle w:val="105"/>
              <w:widowControl w:val="0"/>
              <w:jc w:val="center"/>
            </w:pPr>
            <w:r>
              <w:rPr>
                <w:rFonts w:hint="eastAsia"/>
              </w:rPr>
              <w:t>四级</w:t>
            </w:r>
          </w:p>
        </w:tc>
        <w:tc>
          <w:tcPr>
            <w:tcW w:w="1414" w:type="pct"/>
            <w:vAlign w:val="center"/>
          </w:tcPr>
          <w:p>
            <w:pPr>
              <w:pStyle w:val="105"/>
              <w:widowControl w:val="0"/>
              <w:jc w:val="center"/>
            </w:pPr>
            <w:r>
              <w:rPr>
                <w:rFonts w:hint="eastAsia"/>
              </w:rPr>
              <w:t>四级</w:t>
            </w:r>
          </w:p>
        </w:tc>
      </w:tr>
    </w:tbl>
    <w:p>
      <w:pPr>
        <w:pStyle w:val="120"/>
        <w:spacing w:before="240"/>
        <w:rPr>
          <w:color w:val="auto"/>
        </w:rPr>
      </w:pPr>
      <w:bookmarkStart w:id="241" w:name="2.2工程方案"/>
      <w:bookmarkEnd w:id="241"/>
      <w:bookmarkStart w:id="242" w:name="_Toc9565"/>
      <w:r>
        <w:rPr>
          <w:color w:val="auto"/>
        </w:rPr>
        <w:t>工程</w:t>
      </w:r>
      <w:r>
        <w:rPr>
          <w:rFonts w:hint="eastAsia"/>
          <w:color w:val="auto"/>
        </w:rPr>
        <w:t>组成</w:t>
      </w:r>
      <w:bookmarkEnd w:id="242"/>
    </w:p>
    <w:p>
      <w:pPr>
        <w:ind w:firstLine="480"/>
      </w:pPr>
      <w:bookmarkStart w:id="243" w:name="_Hlk150503917"/>
      <w:bookmarkStart w:id="244" w:name="_Hlk195520688"/>
      <w:r>
        <w:t>本项目线路总</w:t>
      </w:r>
      <w:r>
        <w:rPr>
          <w:rFonts w:hint="eastAsia"/>
        </w:rPr>
        <w:t>长5.200k</w:t>
      </w:r>
      <w:r>
        <w:rPr>
          <w:rFonts w:hint="eastAsia"/>
          <w:szCs w:val="24"/>
        </w:rPr>
        <w:t>m，</w:t>
      </w:r>
      <w:r>
        <w:rPr>
          <w:rFonts w:hint="eastAsia"/>
        </w:rPr>
        <w:t>其中主线5.110km，接线0.090km</w:t>
      </w:r>
      <w:r>
        <w:rPr>
          <w:rFonts w:hint="eastAsia"/>
          <w:szCs w:val="24"/>
        </w:rPr>
        <w:t>，</w:t>
      </w:r>
      <w:bookmarkEnd w:id="243"/>
      <w:r>
        <w:rPr>
          <w:rFonts w:hint="eastAsia"/>
        </w:rPr>
        <w:t>均按双向二车道、路基宽度12m的二级公路标准建设。</w:t>
      </w:r>
      <w:r>
        <w:t>工程组成</w:t>
      </w:r>
      <w:r>
        <w:rPr>
          <w:rFonts w:hint="eastAsia"/>
        </w:rPr>
        <w:t>一览表详见</w:t>
      </w:r>
      <w:r>
        <w:fldChar w:fldCharType="begin"/>
      </w:r>
      <w:r>
        <w:instrText xml:space="preserve"> </w:instrText>
      </w:r>
      <w:r>
        <w:rPr>
          <w:rFonts w:hint="eastAsia"/>
        </w:rPr>
        <w:instrText xml:space="preserve">REF _Ref75875529 \r \h</w:instrText>
      </w:r>
      <w:r>
        <w:instrText xml:space="preserve">  \* MERGEFORMAT </w:instrText>
      </w:r>
      <w:r>
        <w:fldChar w:fldCharType="separate"/>
      </w:r>
      <w:r>
        <w:rPr>
          <w:rFonts w:hint="eastAsia"/>
        </w:rPr>
        <w:t>表3.2-2</w:t>
      </w:r>
      <w:r>
        <w:fldChar w:fldCharType="end"/>
      </w:r>
      <w:r>
        <w:t>。</w:t>
      </w:r>
    </w:p>
    <w:p>
      <w:pPr>
        <w:pStyle w:val="87"/>
        <w:spacing w:before="120"/>
      </w:pPr>
      <w:bookmarkStart w:id="245" w:name="_Ref75875529"/>
      <w:r>
        <w:t>工程组成</w:t>
      </w:r>
      <w:bookmarkEnd w:id="245"/>
      <w:r>
        <w:rPr>
          <w:rFonts w:hint="eastAsia"/>
        </w:rPr>
        <w:t>一览表</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7"/>
        <w:gridCol w:w="579"/>
        <w:gridCol w:w="148"/>
        <w:gridCol w:w="433"/>
        <w:gridCol w:w="1304"/>
        <w:gridCol w:w="6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0" w:type="pct"/>
            <w:gridSpan w:val="4"/>
            <w:vAlign w:val="center"/>
          </w:tcPr>
          <w:p>
            <w:pPr>
              <w:pStyle w:val="105"/>
              <w:ind w:left="-48" w:leftChars="-20" w:right="-48" w:rightChars="-20"/>
            </w:pPr>
            <w:bookmarkStart w:id="246" w:name="_Hlk143265735"/>
            <w:r>
              <w:t>项目名称</w:t>
            </w:r>
          </w:p>
        </w:tc>
        <w:tc>
          <w:tcPr>
            <w:tcW w:w="702" w:type="pct"/>
            <w:vAlign w:val="center"/>
          </w:tcPr>
          <w:p>
            <w:pPr>
              <w:pStyle w:val="105"/>
              <w:ind w:left="-48" w:leftChars="-20" w:right="-48" w:rightChars="-20"/>
            </w:pPr>
            <w:r>
              <w:t>数量</w:t>
            </w:r>
          </w:p>
        </w:tc>
        <w:tc>
          <w:tcPr>
            <w:tcW w:w="3438" w:type="pct"/>
            <w:vAlign w:val="center"/>
          </w:tcPr>
          <w:p>
            <w:pPr>
              <w:pStyle w:val="105"/>
              <w:ind w:left="-48" w:leftChars="-20" w:right="-48" w:rightChars="-20"/>
            </w:pPr>
            <w: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restart"/>
            <w:vAlign w:val="center"/>
          </w:tcPr>
          <w:p>
            <w:pPr>
              <w:pStyle w:val="105"/>
              <w:ind w:left="-48" w:leftChars="-20" w:right="-48" w:rightChars="-20"/>
            </w:pPr>
            <w:r>
              <w:t>主体</w:t>
            </w:r>
          </w:p>
          <w:p>
            <w:pPr>
              <w:pStyle w:val="105"/>
              <w:ind w:left="-48" w:leftChars="-20" w:right="-48" w:rightChars="-20"/>
            </w:pPr>
            <w:r>
              <w:t>工程</w:t>
            </w:r>
          </w:p>
        </w:tc>
        <w:tc>
          <w:tcPr>
            <w:tcW w:w="312" w:type="pct"/>
            <w:vMerge w:val="restart"/>
            <w:vAlign w:val="center"/>
          </w:tcPr>
          <w:p>
            <w:pPr>
              <w:pStyle w:val="105"/>
              <w:ind w:left="-48" w:leftChars="-20" w:right="-48" w:rightChars="-20"/>
            </w:pPr>
            <w:r>
              <w:t>线路</w:t>
            </w:r>
          </w:p>
        </w:tc>
        <w:tc>
          <w:tcPr>
            <w:tcW w:w="313" w:type="pct"/>
            <w:gridSpan w:val="2"/>
            <w:vAlign w:val="center"/>
          </w:tcPr>
          <w:p>
            <w:pPr>
              <w:pStyle w:val="105"/>
              <w:ind w:left="-48" w:leftChars="-20" w:right="-48" w:rightChars="-20"/>
            </w:pPr>
            <w:r>
              <w:rPr>
                <w:rFonts w:hint="eastAsia"/>
              </w:rPr>
              <w:t>主线</w:t>
            </w:r>
          </w:p>
        </w:tc>
        <w:tc>
          <w:tcPr>
            <w:tcW w:w="702" w:type="pct"/>
            <w:vAlign w:val="center"/>
          </w:tcPr>
          <w:p>
            <w:pPr>
              <w:pStyle w:val="105"/>
              <w:ind w:left="-48" w:leftChars="-20" w:right="-48" w:rightChars="-20"/>
            </w:pPr>
            <w:r>
              <w:rPr>
                <w:rFonts w:hint="eastAsia"/>
              </w:rPr>
              <w:t>5.110km，接线0.090km</w:t>
            </w:r>
          </w:p>
        </w:tc>
        <w:tc>
          <w:tcPr>
            <w:tcW w:w="3438" w:type="pct"/>
            <w:vAlign w:val="center"/>
          </w:tcPr>
          <w:p>
            <w:pPr>
              <w:pStyle w:val="105"/>
              <w:ind w:left="-48" w:leftChars="-20" w:right="-48" w:rightChars="-20"/>
            </w:pPr>
            <w:r>
              <w:rPr>
                <w:rFonts w:hint="eastAsia"/>
                <w:shd w:val="clear" w:color="auto" w:fill="FFFFFF"/>
              </w:rPr>
              <w:t>（1）起点与G324 平交，自东向西下穿在建福厦高铁后，新建桥梁跨越沈海高速，经溪北、木厝洋、三落厝后，终点至黄檗山万福寺，与黄檗山万福寺放生池大坝处现状路平交</w:t>
            </w:r>
            <w:r>
              <w:rPr>
                <w:rFonts w:hint="eastAsia"/>
              </w:rPr>
              <w:t>。</w:t>
            </w:r>
          </w:p>
          <w:p>
            <w:pPr>
              <w:pStyle w:val="105"/>
              <w:ind w:left="-48" w:leftChars="-20" w:right="-48" w:rightChars="-20"/>
            </w:pPr>
            <w:r>
              <w:rPr>
                <w:rFonts w:hint="eastAsia"/>
              </w:rPr>
              <w:t>路基宽 12m、双向二车道的二级公路标准，设计6</w:t>
            </w:r>
            <w:r>
              <w:t>0</w:t>
            </w:r>
            <w:r>
              <w:rPr>
                <w:rFonts w:hint="eastAsia"/>
              </w:rPr>
              <w:t>km</w:t>
            </w:r>
            <w:r>
              <w:t>/</w:t>
            </w:r>
            <w:r>
              <w:rPr>
                <w:rFonts w:hint="eastAsia"/>
              </w:rPr>
              <w:t>h。</w:t>
            </w:r>
          </w:p>
          <w:p>
            <w:pPr>
              <w:pStyle w:val="105"/>
            </w:pPr>
            <w:r>
              <w:t>（</w:t>
            </w:r>
            <w:r>
              <w:rPr>
                <w:rFonts w:hint="eastAsia"/>
              </w:rPr>
              <w:t>2</w:t>
            </w:r>
            <w:r>
              <w:t>）</w:t>
            </w:r>
            <w:r>
              <w:rPr>
                <w:rFonts w:hint="eastAsia"/>
              </w:rPr>
              <w:t>考虑到远景交通量需求，上跨沈海高速桥梁段按双向四车道预留，桥面宽 18.5m（单幅桥）。</w:t>
            </w:r>
          </w:p>
          <w:p>
            <w:pPr>
              <w:pStyle w:val="105"/>
            </w:pPr>
            <w:r>
              <w:rPr>
                <w:rFonts w:hint="eastAsia"/>
              </w:rPr>
              <w:t>（3）K1+030~K1+389.8 已单独立项，其中下穿福厦高铁段落（ K1+324.8~K1+389.8 ）</w:t>
            </w:r>
            <w:r>
              <w:t>段下穿铁路段路基宽度17.5m，路面宽度16m</w:t>
            </w:r>
            <w:r>
              <w:rPr>
                <w:rFonts w:hint="eastAsia"/>
              </w:rPr>
              <w:t xml:space="preserve"> ， 已 完 成施 工 ， K1+030~K1+324.8 段已完成路基及边坡</w:t>
            </w:r>
            <w:r>
              <w:t>防护工程</w:t>
            </w:r>
            <w:r>
              <w:rPr>
                <w:rFonts w:hint="eastAsia"/>
              </w:rPr>
              <w:t>，路面未完成。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vAlign w:val="center"/>
          </w:tcPr>
          <w:p>
            <w:pPr>
              <w:pStyle w:val="105"/>
              <w:ind w:left="-48" w:leftChars="-20" w:right="-48" w:rightChars="-20"/>
            </w:pPr>
          </w:p>
        </w:tc>
        <w:tc>
          <w:tcPr>
            <w:tcW w:w="312" w:type="pct"/>
            <w:vMerge w:val="continue"/>
            <w:vAlign w:val="center"/>
          </w:tcPr>
          <w:p>
            <w:pPr>
              <w:pStyle w:val="105"/>
              <w:ind w:left="-48" w:leftChars="-20" w:right="-48" w:rightChars="-20"/>
            </w:pPr>
          </w:p>
        </w:tc>
        <w:tc>
          <w:tcPr>
            <w:tcW w:w="313" w:type="pct"/>
            <w:gridSpan w:val="2"/>
            <w:vAlign w:val="center"/>
          </w:tcPr>
          <w:p>
            <w:pPr>
              <w:pStyle w:val="105"/>
              <w:ind w:left="-48" w:leftChars="-20" w:right="-48" w:rightChars="-20"/>
            </w:pPr>
            <w:r>
              <w:rPr>
                <w:rFonts w:hint="eastAsia"/>
              </w:rPr>
              <w:t>接线</w:t>
            </w:r>
          </w:p>
        </w:tc>
        <w:tc>
          <w:tcPr>
            <w:tcW w:w="702" w:type="pct"/>
            <w:vAlign w:val="center"/>
          </w:tcPr>
          <w:p>
            <w:pPr>
              <w:pStyle w:val="105"/>
              <w:ind w:left="-48" w:leftChars="-20" w:right="-48" w:rightChars="-20"/>
            </w:pPr>
            <w:r>
              <w:rPr>
                <w:rFonts w:hint="eastAsia"/>
              </w:rPr>
              <w:t>0.090km</w:t>
            </w:r>
          </w:p>
        </w:tc>
        <w:tc>
          <w:tcPr>
            <w:tcW w:w="3438" w:type="pct"/>
            <w:vAlign w:val="center"/>
          </w:tcPr>
          <w:p>
            <w:pPr>
              <w:pStyle w:val="105"/>
              <w:ind w:left="-48" w:leftChars="-20" w:right="-48" w:rightChars="-20"/>
            </w:pPr>
            <w:r>
              <w:rPr>
                <w:rFonts w:hint="eastAsia"/>
              </w:rPr>
              <w:t>接线起点与主线终点衔接（起点桩号L</w:t>
            </w:r>
            <w:r>
              <w:t>K0+000</w:t>
            </w:r>
            <w:r>
              <w:rPr>
                <w:rFonts w:hint="eastAsia"/>
              </w:rPr>
              <w:t>），对现状万福寺放生池大坝进行延伸，接入规划黄檗文化产业园（接线终点桩号LK0+090）。</w:t>
            </w:r>
          </w:p>
          <w:p>
            <w:pPr>
              <w:pStyle w:val="105"/>
              <w:ind w:left="-48" w:leftChars="-20" w:right="-48" w:rightChars="-20"/>
            </w:pPr>
            <w:r>
              <w:rPr>
                <w:rFonts w:hint="eastAsia"/>
              </w:rPr>
              <w:t>路基宽 12m、双向二车道的二级公路标准，设计6</w:t>
            </w:r>
            <w:r>
              <w:t>0</w:t>
            </w:r>
            <w:r>
              <w:rPr>
                <w:rFonts w:hint="eastAsia"/>
              </w:rPr>
              <w:t>km</w:t>
            </w:r>
            <w:r>
              <w:t>/</w:t>
            </w:r>
            <w:r>
              <w:rPr>
                <w:rFonts w:hint="eastAsia"/>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vAlign w:val="center"/>
          </w:tcPr>
          <w:p>
            <w:pPr>
              <w:pStyle w:val="105"/>
              <w:ind w:left="-48" w:leftChars="-20" w:right="-48" w:rightChars="-20"/>
            </w:pPr>
          </w:p>
        </w:tc>
        <w:tc>
          <w:tcPr>
            <w:tcW w:w="312" w:type="pct"/>
            <w:vMerge w:val="restart"/>
            <w:vAlign w:val="center"/>
          </w:tcPr>
          <w:p>
            <w:pPr>
              <w:pStyle w:val="105"/>
              <w:ind w:left="-48" w:leftChars="-20" w:right="-48" w:rightChars="-20"/>
            </w:pPr>
            <w:r>
              <w:rPr>
                <w:rFonts w:hint="eastAsia"/>
              </w:rPr>
              <w:t>桥梁</w:t>
            </w:r>
          </w:p>
        </w:tc>
        <w:tc>
          <w:tcPr>
            <w:tcW w:w="313" w:type="pct"/>
            <w:gridSpan w:val="2"/>
            <w:vAlign w:val="center"/>
          </w:tcPr>
          <w:p>
            <w:pPr>
              <w:pStyle w:val="105"/>
              <w:ind w:left="-48" w:leftChars="-20" w:right="-48" w:rightChars="-20"/>
            </w:pPr>
            <w:r>
              <w:rPr>
                <w:rFonts w:hint="eastAsia"/>
              </w:rPr>
              <w:t>大桥</w:t>
            </w:r>
          </w:p>
        </w:tc>
        <w:tc>
          <w:tcPr>
            <w:tcW w:w="702" w:type="pct"/>
            <w:vAlign w:val="center"/>
          </w:tcPr>
          <w:p>
            <w:pPr>
              <w:pStyle w:val="105"/>
            </w:pPr>
            <w:r>
              <w:t>552.5m/1座</w:t>
            </w:r>
          </w:p>
        </w:tc>
        <w:tc>
          <w:tcPr>
            <w:tcW w:w="3438" w:type="pct"/>
            <w:vAlign w:val="center"/>
          </w:tcPr>
          <w:p>
            <w:pPr>
              <w:pStyle w:val="105"/>
            </w:pPr>
            <w:r>
              <w:t xml:space="preserve">主线大埔大桥双向四车道，二级公路。 </w:t>
            </w:r>
          </w:p>
          <w:p>
            <w:pPr>
              <w:pStyle w:val="105"/>
            </w:pPr>
            <w:r>
              <w:t>K1+974 ~K2+526.5：</w:t>
            </w:r>
            <w:r>
              <w:rPr>
                <w:rFonts w:hint="eastAsia"/>
              </w:rPr>
              <w:t>桥长</w:t>
            </w:r>
            <w:r>
              <w:t>552.5</w:t>
            </w:r>
            <w:r>
              <w:rPr>
                <w:rFonts w:hint="eastAsia"/>
              </w:rPr>
              <w:t>m，桥梁宽</w:t>
            </w:r>
            <w:r>
              <w:t>18.5m</w:t>
            </w:r>
          </w:p>
          <w:p>
            <w:pPr>
              <w:pStyle w:val="105"/>
            </w:pPr>
            <w:r>
              <w:rPr>
                <w:rFonts w:hint="eastAsia"/>
              </w:rPr>
              <w:t>上跨L</w:t>
            </w:r>
            <w:r>
              <w:t>NG成品油线路、</w:t>
            </w:r>
            <w:r>
              <w:rPr>
                <w:rFonts w:hint="eastAsia"/>
              </w:rPr>
              <w:t>沈海高速、迳江支流（改河），</w:t>
            </w:r>
            <w:r>
              <w:t>改</w:t>
            </w:r>
            <w:r>
              <w:rPr>
                <w:rFonts w:hint="eastAsia"/>
              </w:rPr>
              <w:t>河</w:t>
            </w:r>
            <w:r>
              <w:t>后桥墩</w:t>
            </w:r>
            <w:r>
              <w:rPr>
                <w:rFonts w:hint="eastAsia"/>
              </w:rPr>
              <w:t>不涉水。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vAlign w:val="center"/>
          </w:tcPr>
          <w:p>
            <w:pPr>
              <w:pStyle w:val="105"/>
              <w:ind w:left="-48" w:leftChars="-20" w:right="-48" w:rightChars="-20"/>
            </w:pPr>
          </w:p>
        </w:tc>
        <w:tc>
          <w:tcPr>
            <w:tcW w:w="312" w:type="pct"/>
            <w:vMerge w:val="continue"/>
            <w:vAlign w:val="center"/>
          </w:tcPr>
          <w:p>
            <w:pPr>
              <w:pStyle w:val="105"/>
              <w:ind w:left="-48" w:leftChars="-20" w:right="-48" w:rightChars="-20"/>
            </w:pPr>
          </w:p>
        </w:tc>
        <w:tc>
          <w:tcPr>
            <w:tcW w:w="313" w:type="pct"/>
            <w:gridSpan w:val="2"/>
            <w:vAlign w:val="center"/>
          </w:tcPr>
          <w:p>
            <w:pPr>
              <w:pStyle w:val="105"/>
              <w:ind w:left="-48" w:leftChars="-20" w:right="-48" w:rightChars="-20"/>
            </w:pPr>
            <w:r>
              <w:rPr>
                <w:rFonts w:cs="Times New Roman"/>
                <w:kern w:val="0"/>
                <w:szCs w:val="24"/>
                <w:lang w:val="zh-CN"/>
              </w:rPr>
              <w:t>中桥</w:t>
            </w:r>
          </w:p>
        </w:tc>
        <w:tc>
          <w:tcPr>
            <w:tcW w:w="702" w:type="pct"/>
            <w:vAlign w:val="center"/>
          </w:tcPr>
          <w:p>
            <w:pPr>
              <w:pStyle w:val="105"/>
            </w:pPr>
            <w:r>
              <w:t>37m/1座</w:t>
            </w:r>
          </w:p>
        </w:tc>
        <w:tc>
          <w:tcPr>
            <w:tcW w:w="3438" w:type="pct"/>
            <w:vAlign w:val="center"/>
          </w:tcPr>
          <w:p>
            <w:pPr>
              <w:pStyle w:val="105"/>
            </w:pPr>
            <w:r>
              <w:t>接线枝钟中桥双向两车道，二级公路；</w:t>
            </w:r>
          </w:p>
          <w:p>
            <w:pPr>
              <w:pStyle w:val="105"/>
            </w:pPr>
            <w:r>
              <w:t>LK0+031~ LK0+068：</w:t>
            </w:r>
            <w:r>
              <w:rPr>
                <w:rFonts w:hint="eastAsia"/>
              </w:rPr>
              <w:t>桥长</w:t>
            </w:r>
            <w:r>
              <w:t>37</w:t>
            </w:r>
            <w:r>
              <w:rPr>
                <w:rFonts w:hint="eastAsia"/>
              </w:rPr>
              <w:t>m，桥梁宽</w:t>
            </w:r>
            <w:r>
              <w:t>12m</w:t>
            </w:r>
          </w:p>
          <w:p>
            <w:pPr>
              <w:pStyle w:val="105"/>
            </w:pPr>
            <w:r>
              <w:rPr>
                <w:rFonts w:hint="eastAsia"/>
              </w:rPr>
              <w:t>上跨迳江支流，2</w:t>
            </w:r>
            <w:r>
              <w:t>号</w:t>
            </w:r>
            <w:r>
              <w:rPr>
                <w:rFonts w:hint="eastAsia"/>
              </w:rPr>
              <w:t>桥墩涉水。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vAlign w:val="center"/>
          </w:tcPr>
          <w:p>
            <w:pPr>
              <w:pStyle w:val="105"/>
              <w:ind w:left="-48" w:leftChars="-20" w:right="-48" w:rightChars="-20"/>
            </w:pPr>
          </w:p>
        </w:tc>
        <w:tc>
          <w:tcPr>
            <w:tcW w:w="625" w:type="pct"/>
            <w:gridSpan w:val="3"/>
            <w:vAlign w:val="center"/>
          </w:tcPr>
          <w:p>
            <w:pPr>
              <w:pStyle w:val="105"/>
              <w:ind w:left="-48" w:leftChars="-20" w:right="-48" w:rightChars="-20"/>
            </w:pPr>
            <w:r>
              <w:rPr>
                <w:rFonts w:hint="eastAsia"/>
              </w:rPr>
              <w:t>隧道</w:t>
            </w:r>
          </w:p>
        </w:tc>
        <w:tc>
          <w:tcPr>
            <w:tcW w:w="702" w:type="pct"/>
            <w:vAlign w:val="center"/>
          </w:tcPr>
          <w:p>
            <w:pPr>
              <w:pStyle w:val="105"/>
              <w:ind w:left="-48" w:leftChars="-20" w:right="-48" w:rightChars="-20"/>
            </w:pPr>
            <w:r>
              <w:rPr>
                <w:rFonts w:hint="eastAsia"/>
              </w:rPr>
              <w:t>——</w:t>
            </w:r>
          </w:p>
        </w:tc>
        <w:tc>
          <w:tcPr>
            <w:tcW w:w="3438" w:type="pct"/>
            <w:vAlign w:val="center"/>
          </w:tcPr>
          <w:p>
            <w:pPr>
              <w:pStyle w:val="105"/>
              <w:ind w:left="-48" w:leftChars="-20" w:right="-48" w:rightChars="-2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vAlign w:val="center"/>
          </w:tcPr>
          <w:p>
            <w:pPr>
              <w:pStyle w:val="105"/>
              <w:ind w:left="-48" w:leftChars="-20" w:right="-48" w:rightChars="-20"/>
            </w:pPr>
          </w:p>
        </w:tc>
        <w:tc>
          <w:tcPr>
            <w:tcW w:w="625" w:type="pct"/>
            <w:gridSpan w:val="3"/>
            <w:vAlign w:val="center"/>
          </w:tcPr>
          <w:p>
            <w:pPr>
              <w:pStyle w:val="105"/>
              <w:ind w:left="-48" w:leftChars="-20" w:right="-48" w:rightChars="-20"/>
            </w:pPr>
            <w:r>
              <w:rPr>
                <w:rFonts w:hint="eastAsia"/>
              </w:rPr>
              <w:t>涵洞</w:t>
            </w:r>
          </w:p>
        </w:tc>
        <w:tc>
          <w:tcPr>
            <w:tcW w:w="702" w:type="pct"/>
            <w:vAlign w:val="center"/>
          </w:tcPr>
          <w:p>
            <w:pPr>
              <w:pStyle w:val="105"/>
              <w:ind w:left="-48" w:leftChars="-20" w:right="-48" w:rightChars="-20"/>
            </w:pPr>
            <w:r>
              <w:rPr>
                <w:kern w:val="0"/>
                <w:sz w:val="20"/>
                <w:szCs w:val="20"/>
              </w:rPr>
              <w:t>28</w:t>
            </w:r>
            <w:r>
              <w:rPr>
                <w:rFonts w:hint="eastAsia"/>
              </w:rPr>
              <w:t>道</w:t>
            </w:r>
          </w:p>
        </w:tc>
        <w:tc>
          <w:tcPr>
            <w:tcW w:w="3438" w:type="pct"/>
            <w:vAlign w:val="center"/>
          </w:tcPr>
          <w:p>
            <w:pPr>
              <w:pStyle w:val="105"/>
              <w:ind w:left="-48" w:leftChars="-20" w:right="-48" w:rightChars="-20"/>
            </w:pPr>
            <w:r>
              <w:rPr>
                <w:rFonts w:hint="eastAsia"/>
                <w:lang w:val="zh-CN"/>
              </w:rPr>
              <w:t>线内</w:t>
            </w:r>
            <w:r>
              <w:rPr>
                <w:lang w:val="zh-CN"/>
              </w:rPr>
              <w:t>共设涵洞 21 道，其中设置钢筋混凝土盖板涵 7 道，圆管涵 10 道，箱涵 4 道，总长431.51m</w:t>
            </w:r>
            <w:r>
              <w:rPr>
                <w:rFonts w:hint="eastAsia"/>
                <w:lang w:val="zh-CN"/>
              </w:rPr>
              <w:t>；线外设置排水涵洞7道，为钢筋混凝土圆管涵，总长98m。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vAlign w:val="center"/>
          </w:tcPr>
          <w:p>
            <w:pPr>
              <w:pStyle w:val="105"/>
              <w:ind w:left="-48" w:leftChars="-20" w:right="-48" w:rightChars="-20"/>
            </w:pPr>
          </w:p>
        </w:tc>
        <w:tc>
          <w:tcPr>
            <w:tcW w:w="625" w:type="pct"/>
            <w:gridSpan w:val="3"/>
            <w:vAlign w:val="center"/>
          </w:tcPr>
          <w:p>
            <w:pPr>
              <w:pStyle w:val="105"/>
              <w:ind w:left="-48" w:leftChars="-20" w:right="-48" w:rightChars="-20"/>
            </w:pPr>
            <w:r>
              <w:rPr>
                <w:rFonts w:hint="eastAsia"/>
              </w:rPr>
              <w:t>交叉</w:t>
            </w:r>
          </w:p>
        </w:tc>
        <w:tc>
          <w:tcPr>
            <w:tcW w:w="702" w:type="pct"/>
            <w:vAlign w:val="center"/>
          </w:tcPr>
          <w:p>
            <w:pPr>
              <w:pStyle w:val="105"/>
              <w:ind w:left="-48" w:leftChars="-20" w:right="-48" w:rightChars="-20"/>
              <w:rPr>
                <w:kern w:val="0"/>
                <w:sz w:val="20"/>
                <w:szCs w:val="20"/>
              </w:rPr>
            </w:pPr>
            <w:r>
              <w:rPr>
                <w:rFonts w:hint="eastAsia"/>
              </w:rPr>
              <w:t>1</w:t>
            </w:r>
            <w:r>
              <w:t>3</w:t>
            </w:r>
          </w:p>
        </w:tc>
        <w:tc>
          <w:tcPr>
            <w:tcW w:w="3438" w:type="pct"/>
            <w:vAlign w:val="center"/>
          </w:tcPr>
          <w:p>
            <w:pPr>
              <w:pStyle w:val="105"/>
              <w:ind w:left="-48" w:leftChars="-20" w:right="-48" w:rightChars="-20"/>
              <w:rPr>
                <w:lang w:val="zh-CN"/>
              </w:rPr>
            </w:pPr>
            <w:r>
              <w:rPr>
                <w:rFonts w:hint="eastAsia"/>
              </w:rPr>
              <w:t>平面交叉9</w:t>
            </w:r>
            <w:r>
              <w:t>处，</w:t>
            </w:r>
            <w:r>
              <w:rPr>
                <w:rFonts w:hint="eastAsia"/>
              </w:rPr>
              <w:t>分离式</w:t>
            </w:r>
            <w:r>
              <w:t>立体交叉</w:t>
            </w:r>
            <w:r>
              <w:rPr>
                <w:rFonts w:hint="eastAsia"/>
              </w:rPr>
              <w:t>4</w:t>
            </w:r>
            <w:r>
              <w:t>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vAlign w:val="center"/>
          </w:tcPr>
          <w:p>
            <w:pPr>
              <w:pStyle w:val="105"/>
              <w:ind w:left="-48" w:leftChars="-20" w:right="-48" w:rightChars="-20"/>
            </w:pPr>
          </w:p>
        </w:tc>
        <w:tc>
          <w:tcPr>
            <w:tcW w:w="625" w:type="pct"/>
            <w:gridSpan w:val="3"/>
            <w:vAlign w:val="center"/>
          </w:tcPr>
          <w:p>
            <w:pPr>
              <w:pStyle w:val="105"/>
            </w:pPr>
            <w:r>
              <w:rPr>
                <w:rFonts w:hint="eastAsia"/>
              </w:rPr>
              <w:t>改路</w:t>
            </w:r>
          </w:p>
        </w:tc>
        <w:tc>
          <w:tcPr>
            <w:tcW w:w="702" w:type="pct"/>
            <w:vAlign w:val="center"/>
          </w:tcPr>
          <w:p>
            <w:pPr>
              <w:pStyle w:val="105"/>
            </w:pPr>
            <w:r>
              <w:rPr>
                <w:rFonts w:hint="eastAsia"/>
              </w:rPr>
              <w:t>5</w:t>
            </w:r>
            <w:r>
              <w:t>处</w:t>
            </w:r>
          </w:p>
        </w:tc>
        <w:tc>
          <w:tcPr>
            <w:tcW w:w="3438" w:type="pct"/>
            <w:vAlign w:val="center"/>
          </w:tcPr>
          <w:p>
            <w:pPr>
              <w:pStyle w:val="105"/>
              <w:ind w:left="-48" w:leftChars="-20" w:right="-48" w:rightChars="-20"/>
              <w:rPr>
                <w:lang w:val="zh-CN"/>
              </w:rPr>
            </w:pPr>
            <w:r>
              <w:rPr>
                <w:rFonts w:hint="eastAsia"/>
                <w:lang w:val="zh-CN"/>
              </w:rPr>
              <w:t>本项目有5处改路工程，共268米，为村道与本项目道路出入口。为方便当地群众出行，减少项目修建对当地村民的影响，本项目进行了顺接、修复处理，该路起终点与旧有道路及本项目顺接。</w:t>
            </w:r>
          </w:p>
          <w:p>
            <w:pPr>
              <w:pStyle w:val="105"/>
              <w:ind w:left="-48" w:leftChars="-20" w:right="-48" w:rightChars="-20"/>
              <w:rPr>
                <w:lang w:val="zh-CN"/>
              </w:rPr>
            </w:pPr>
            <w:r>
              <w:rPr>
                <w:rFonts w:hint="eastAsia"/>
                <w:lang w:val="zh-CN"/>
              </w:rPr>
              <w:t>本项目改路工程均为等外路，全线不设置超高加宽。改路路面宽度与现状村道一致，路拱横坡为2%，土路肩横坡为4%。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235" w:type="pct"/>
            <w:vMerge w:val="continue"/>
            <w:vAlign w:val="center"/>
          </w:tcPr>
          <w:p>
            <w:pPr>
              <w:pStyle w:val="105"/>
              <w:ind w:left="-48" w:leftChars="-20" w:right="-48" w:rightChars="-20"/>
            </w:pPr>
          </w:p>
        </w:tc>
        <w:tc>
          <w:tcPr>
            <w:tcW w:w="625" w:type="pct"/>
            <w:gridSpan w:val="3"/>
            <w:vAlign w:val="center"/>
          </w:tcPr>
          <w:p>
            <w:pPr>
              <w:pStyle w:val="105"/>
            </w:pPr>
            <w:r>
              <w:rPr>
                <w:rFonts w:hint="eastAsia"/>
              </w:rPr>
              <w:t>改河</w:t>
            </w:r>
          </w:p>
        </w:tc>
        <w:tc>
          <w:tcPr>
            <w:tcW w:w="702" w:type="pct"/>
            <w:vAlign w:val="center"/>
          </w:tcPr>
          <w:p>
            <w:pPr>
              <w:pStyle w:val="105"/>
            </w:pPr>
            <w:r>
              <w:t>5处</w:t>
            </w:r>
          </w:p>
        </w:tc>
        <w:tc>
          <w:tcPr>
            <w:tcW w:w="3438" w:type="pct"/>
            <w:vAlign w:val="center"/>
          </w:tcPr>
          <w:p>
            <w:pPr>
              <w:pStyle w:val="105"/>
            </w:pPr>
            <w:r>
              <w:rPr>
                <w:lang w:val="zh-CN"/>
              </w:rPr>
              <w:t>本项目改河工程有5处，共484.5</w:t>
            </w:r>
            <w:r>
              <w:rPr>
                <w:rFonts w:hint="eastAsia"/>
                <w:lang w:val="zh-CN"/>
              </w:rPr>
              <w:t>m</w:t>
            </w:r>
            <w:r>
              <w:rPr>
                <w:lang w:val="zh-CN"/>
              </w:rPr>
              <w:t>（含两岸护岸墙）</w:t>
            </w:r>
            <w:r>
              <w:rPr>
                <w:rFonts w:hint="eastAsia"/>
                <w:lang w:val="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vAlign w:val="center"/>
          </w:tcPr>
          <w:p>
            <w:pPr>
              <w:pStyle w:val="105"/>
              <w:ind w:left="-48" w:leftChars="-20" w:right="-48" w:rightChars="-20"/>
            </w:pPr>
          </w:p>
        </w:tc>
        <w:tc>
          <w:tcPr>
            <w:tcW w:w="625" w:type="pct"/>
            <w:gridSpan w:val="3"/>
            <w:vAlign w:val="center"/>
          </w:tcPr>
          <w:p>
            <w:pPr>
              <w:pStyle w:val="105"/>
            </w:pPr>
            <w:r>
              <w:rPr>
                <w:rFonts w:hint="eastAsia"/>
              </w:rPr>
              <w:t>改渠</w:t>
            </w:r>
          </w:p>
        </w:tc>
        <w:tc>
          <w:tcPr>
            <w:tcW w:w="702" w:type="pct"/>
            <w:vAlign w:val="center"/>
          </w:tcPr>
          <w:p>
            <w:pPr>
              <w:pStyle w:val="105"/>
            </w:pPr>
            <w:r>
              <w:rPr>
                <w:rFonts w:hint="eastAsia"/>
              </w:rPr>
              <w:t>1处+</w:t>
            </w:r>
            <w:r>
              <w:t>1</w:t>
            </w:r>
            <w:r>
              <w:rPr>
                <w:rFonts w:hint="eastAsia"/>
              </w:rPr>
              <w:t>渡槽</w:t>
            </w:r>
          </w:p>
        </w:tc>
        <w:tc>
          <w:tcPr>
            <w:tcW w:w="3438" w:type="pct"/>
            <w:vAlign w:val="center"/>
          </w:tcPr>
          <w:p>
            <w:pPr>
              <w:pStyle w:val="105"/>
            </w:pPr>
            <w:r>
              <w:rPr>
                <w:lang w:val="zh-CN"/>
              </w:rPr>
              <w:t>本工程涉及东张福渠全长245m；</w:t>
            </w:r>
            <w:r>
              <w:rPr>
                <w:rFonts w:cs="Times New Roman"/>
                <w:kern w:val="0"/>
                <w:szCs w:val="24"/>
                <w:lang w:val="zh-CN"/>
              </w:rPr>
              <w:t>包含</w:t>
            </w:r>
            <w:r>
              <w:rPr>
                <w:rFonts w:hint="eastAsia" w:cs="Times New Roman"/>
                <w:kern w:val="0"/>
                <w:szCs w:val="24"/>
                <w:lang w:val="zh-CN"/>
              </w:rPr>
              <w:t>①</w:t>
            </w:r>
            <w:r>
              <w:rPr>
                <w:rFonts w:cs="Times New Roman"/>
                <w:kern w:val="0"/>
                <w:szCs w:val="24"/>
                <w:lang w:val="zh-CN"/>
              </w:rPr>
              <w:t>福渠干渠向山体内侧调整改线，主要采用混凝土明渠梯形断面型式，长229m；</w:t>
            </w:r>
            <w:r>
              <w:rPr>
                <w:rFonts w:hint="eastAsia" w:cs="Times New Roman"/>
                <w:kern w:val="0"/>
                <w:szCs w:val="24"/>
                <w:lang w:val="zh-CN"/>
              </w:rPr>
              <w:t>②</w:t>
            </w:r>
            <w:r>
              <w:rPr>
                <w:rFonts w:cs="Times New Roman"/>
                <w:kern w:val="0"/>
                <w:szCs w:val="24"/>
                <w:lang w:val="zh-CN"/>
              </w:rPr>
              <w:t>福渠右岸现有道路恢复，采用混凝土路面，长245m</w:t>
            </w:r>
            <w:r>
              <w:rPr>
                <w:rFonts w:hint="eastAsia" w:cs="Times New Roman"/>
                <w:kern w:val="0"/>
                <w:szCs w:val="24"/>
                <w:lang w:val="zh-CN"/>
              </w:rPr>
              <w:t>（改路5）</w:t>
            </w:r>
            <w:r>
              <w:rPr>
                <w:rFonts w:cs="Times New Roman"/>
                <w:kern w:val="0"/>
                <w:szCs w:val="24"/>
                <w:lang w:val="zh-CN"/>
              </w:rPr>
              <w:t>；</w:t>
            </w:r>
            <w:r>
              <w:rPr>
                <w:rFonts w:hint="eastAsia" w:cs="Times New Roman"/>
                <w:kern w:val="0"/>
                <w:szCs w:val="24"/>
                <w:lang w:val="zh-CN"/>
              </w:rPr>
              <w:t>③</w:t>
            </w:r>
            <w:r>
              <w:rPr>
                <w:rFonts w:cs="Times New Roman"/>
                <w:kern w:val="0"/>
                <w:szCs w:val="24"/>
                <w:lang w:val="zh-CN"/>
              </w:rPr>
              <w:t>跨渠箱涵1座，净宽 6.0m，净高 3.5m；</w:t>
            </w:r>
            <w:r>
              <w:rPr>
                <w:rFonts w:hint="eastAsia" w:cs="Times New Roman"/>
                <w:kern w:val="0"/>
                <w:szCs w:val="24"/>
                <w:lang w:val="zh-CN"/>
              </w:rPr>
              <w:t>④</w:t>
            </w:r>
            <w:r>
              <w:rPr>
                <w:rFonts w:cs="Times New Roman"/>
                <w:kern w:val="0"/>
                <w:szCs w:val="24"/>
                <w:lang w:val="zh-CN"/>
              </w:rPr>
              <w:t>支渠渡槽1座，长35m，渡槽前后连接段共10m。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39" w:hRule="atLeast"/>
          <w:jc w:val="center"/>
        </w:trPr>
        <w:tc>
          <w:tcPr>
            <w:tcW w:w="235" w:type="pct"/>
            <w:vMerge w:val="restart"/>
            <w:vAlign w:val="center"/>
          </w:tcPr>
          <w:p>
            <w:pPr>
              <w:pStyle w:val="105"/>
              <w:ind w:left="-48" w:leftChars="-20" w:right="-48" w:rightChars="-20"/>
            </w:pPr>
            <w:r>
              <w:rPr>
                <w:rFonts w:hint="eastAsia"/>
              </w:rPr>
              <w:t>临时</w:t>
            </w:r>
          </w:p>
          <w:p>
            <w:pPr>
              <w:pStyle w:val="105"/>
              <w:ind w:left="-48" w:leftChars="-20" w:right="-48" w:rightChars="-20"/>
            </w:pPr>
            <w:r>
              <w:rPr>
                <w:rFonts w:hint="eastAsia"/>
              </w:rPr>
              <w:t>工程</w:t>
            </w:r>
          </w:p>
        </w:tc>
        <w:tc>
          <w:tcPr>
            <w:tcW w:w="392" w:type="pct"/>
            <w:gridSpan w:val="2"/>
            <w:vAlign w:val="center"/>
          </w:tcPr>
          <w:p>
            <w:pPr>
              <w:pStyle w:val="105"/>
              <w:ind w:left="-48" w:leftChars="-20" w:right="-48" w:rightChars="-20"/>
            </w:pPr>
            <w:r>
              <w:t>施工场地</w:t>
            </w:r>
          </w:p>
        </w:tc>
        <w:tc>
          <w:tcPr>
            <w:tcW w:w="233" w:type="pct"/>
            <w:vAlign w:val="center"/>
          </w:tcPr>
          <w:p>
            <w:pPr>
              <w:pStyle w:val="105"/>
              <w:ind w:left="-48" w:leftChars="-20" w:right="-48" w:rightChars="-20"/>
            </w:pPr>
            <w:r>
              <w:t>处</w:t>
            </w:r>
          </w:p>
        </w:tc>
        <w:tc>
          <w:tcPr>
            <w:tcW w:w="702" w:type="pct"/>
            <w:vAlign w:val="center"/>
          </w:tcPr>
          <w:p>
            <w:pPr>
              <w:pStyle w:val="105"/>
              <w:ind w:left="-48" w:leftChars="-20" w:right="-48" w:rightChars="-20"/>
            </w:pPr>
            <w:r>
              <w:t>1处施工场地</w:t>
            </w:r>
          </w:p>
        </w:tc>
        <w:tc>
          <w:tcPr>
            <w:tcW w:w="3438" w:type="pct"/>
            <w:vAlign w:val="center"/>
          </w:tcPr>
          <w:p>
            <w:pPr>
              <w:pStyle w:val="105"/>
              <w:ind w:left="-48" w:leftChars="-20" w:right="-48" w:rightChars="-20"/>
            </w:pPr>
            <w:r>
              <w:t>1#</w:t>
            </w:r>
            <w:r>
              <w:rPr>
                <w:rFonts w:hint="eastAsia"/>
              </w:rPr>
              <w:t>施工场地</w:t>
            </w:r>
            <w:r>
              <w:rPr>
                <w:spacing w:val="4"/>
              </w:rPr>
              <w:t>位于桩号</w:t>
            </w:r>
            <w:r>
              <w:rPr>
                <w:rFonts w:hint="eastAsia"/>
              </w:rPr>
              <w:t>K1+894右侧</w:t>
            </w:r>
            <w:r>
              <w:t>，占地</w:t>
            </w:r>
            <w:r>
              <w:rPr>
                <w:rFonts w:hint="eastAsia"/>
                <w:sz w:val="20"/>
                <w:szCs w:val="24"/>
              </w:rPr>
              <w:t>0</w:t>
            </w:r>
            <w:r>
              <w:rPr>
                <w:sz w:val="20"/>
                <w:szCs w:val="24"/>
              </w:rPr>
              <w:t>.70</w:t>
            </w:r>
            <w:r>
              <w:rPr>
                <w:rFonts w:hint="eastAsia"/>
              </w:rPr>
              <w:t>hm</w:t>
            </w:r>
            <w:r>
              <w:rPr>
                <w:vertAlign w:val="superscript"/>
              </w:rPr>
              <w:t>2</w:t>
            </w:r>
            <w:r>
              <w:rPr>
                <w:rFonts w:hint="eastAsia"/>
              </w:rPr>
              <w:t>，</w:t>
            </w:r>
            <w:r>
              <w:t>主要用于</w:t>
            </w:r>
            <w:r>
              <w:rPr>
                <w:rFonts w:hint="eastAsia"/>
              </w:rPr>
              <w:t>钢筋加工场、制梁区、存梁区、钢筋加工区、材料堆场、小型构件预制场、大埔大桥施工泥浆池、临时办公值班房等</w:t>
            </w:r>
            <w:r>
              <w:rPr>
                <w:rFonts w:hint="eastAsia"/>
                <w:spacing w:val="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235" w:type="pct"/>
            <w:vMerge w:val="continue"/>
            <w:vAlign w:val="center"/>
          </w:tcPr>
          <w:p>
            <w:pPr>
              <w:pStyle w:val="105"/>
              <w:ind w:left="-48" w:leftChars="-20" w:right="-48" w:rightChars="-20"/>
            </w:pPr>
          </w:p>
        </w:tc>
        <w:tc>
          <w:tcPr>
            <w:tcW w:w="392" w:type="pct"/>
            <w:gridSpan w:val="2"/>
            <w:vAlign w:val="center"/>
          </w:tcPr>
          <w:p>
            <w:pPr>
              <w:pStyle w:val="105"/>
              <w:ind w:left="-48" w:leftChars="-20" w:right="-48" w:rightChars="-20"/>
            </w:pPr>
            <w:r>
              <w:rPr>
                <w:rFonts w:hint="eastAsia"/>
              </w:rPr>
              <w:t>临时表土堆场</w:t>
            </w:r>
          </w:p>
        </w:tc>
        <w:tc>
          <w:tcPr>
            <w:tcW w:w="233" w:type="pct"/>
            <w:vAlign w:val="center"/>
          </w:tcPr>
          <w:p>
            <w:pPr>
              <w:pStyle w:val="105"/>
              <w:ind w:left="-48" w:leftChars="-20" w:right="-48" w:rightChars="-20"/>
            </w:pPr>
            <w:r>
              <w:t>处</w:t>
            </w:r>
          </w:p>
        </w:tc>
        <w:tc>
          <w:tcPr>
            <w:tcW w:w="702" w:type="pct"/>
            <w:vAlign w:val="center"/>
          </w:tcPr>
          <w:p>
            <w:pPr>
              <w:pStyle w:val="105"/>
              <w:ind w:left="-48" w:leftChars="-20" w:right="-48" w:rightChars="-20"/>
            </w:pPr>
            <w:r>
              <w:t>3</w:t>
            </w:r>
          </w:p>
        </w:tc>
        <w:tc>
          <w:tcPr>
            <w:tcW w:w="3438" w:type="pct"/>
            <w:vAlign w:val="center"/>
          </w:tcPr>
          <w:p>
            <w:pPr>
              <w:pStyle w:val="105"/>
              <w:ind w:left="-48" w:leftChars="-20" w:right="-48" w:rightChars="-20"/>
            </w:pPr>
            <w:r>
              <w:rPr>
                <w:rFonts w:eastAsia="Times New Roman" w:cs="Times New Roman"/>
                <w:spacing w:val="-4"/>
              </w:rPr>
              <w:t>1#</w:t>
            </w:r>
            <w:r>
              <w:rPr>
                <w:rFonts w:ascii="仿宋" w:hAnsi="仿宋"/>
                <w:spacing w:val="-4"/>
              </w:rPr>
              <w:t>表土临时堆场位</w:t>
            </w:r>
            <w:r>
              <w:rPr>
                <w:rFonts w:ascii="仿宋" w:hAnsi="仿宋"/>
                <w:spacing w:val="-2"/>
              </w:rPr>
              <w:t>于桩号</w:t>
            </w:r>
            <w:r>
              <w:t>K0+620</w:t>
            </w:r>
            <w:r>
              <w:rPr>
                <w:rFonts w:hint="eastAsia"/>
              </w:rPr>
              <w:t>~</w:t>
            </w:r>
            <w:r>
              <w:t xml:space="preserve"> K0+780</w:t>
            </w:r>
            <w:r>
              <w:rPr>
                <w:rFonts w:ascii="仿宋" w:hAnsi="仿宋"/>
                <w:spacing w:val="-2"/>
              </w:rPr>
              <w:t>，占地</w:t>
            </w:r>
            <w:r>
              <w:rPr>
                <w:rFonts w:eastAsia="Times New Roman" w:cs="Times New Roman"/>
                <w:spacing w:val="1"/>
              </w:rPr>
              <w:t>0.35</w:t>
            </w:r>
            <w:r>
              <w:rPr>
                <w:rFonts w:eastAsia="Times New Roman" w:cs="Times New Roman"/>
              </w:rPr>
              <w:t>hm</w:t>
            </w:r>
            <w:r>
              <w:rPr>
                <w:rFonts w:eastAsia="Times New Roman" w:cs="Times New Roman"/>
                <w:spacing w:val="1"/>
              </w:rPr>
              <w:t>²</w:t>
            </w:r>
            <w:r>
              <w:rPr>
                <w:rFonts w:ascii="仿宋" w:hAnsi="仿宋"/>
                <w:spacing w:val="-2"/>
              </w:rPr>
              <w:t>；</w:t>
            </w:r>
            <w:r>
              <w:rPr>
                <w:rFonts w:eastAsia="Times New Roman" w:cs="Times New Roman"/>
                <w:spacing w:val="-2"/>
              </w:rPr>
              <w:t>2#</w:t>
            </w:r>
            <w:r>
              <w:rPr>
                <w:rFonts w:ascii="仿宋" w:hAnsi="仿宋"/>
                <w:spacing w:val="-2"/>
              </w:rPr>
              <w:t>表土临</w:t>
            </w:r>
            <w:r>
              <w:rPr>
                <w:rFonts w:ascii="仿宋" w:hAnsi="仿宋"/>
                <w:spacing w:val="2"/>
              </w:rPr>
              <w:t>时堆场位于桩号</w:t>
            </w:r>
            <w:r>
              <w:rPr>
                <w:rFonts w:hint="eastAsia"/>
                <w:spacing w:val="-1"/>
              </w:rPr>
              <w:t>K3+510~620</w:t>
            </w:r>
            <w:r>
              <w:rPr>
                <w:rFonts w:ascii="仿宋" w:hAnsi="仿宋"/>
                <w:spacing w:val="2"/>
              </w:rPr>
              <w:t>，占地</w:t>
            </w:r>
            <w:r>
              <w:rPr>
                <w:rFonts w:eastAsia="Times New Roman" w:cs="Times New Roman"/>
                <w:spacing w:val="-1"/>
              </w:rPr>
              <w:t>0.30</w:t>
            </w:r>
            <w:r>
              <w:rPr>
                <w:rFonts w:eastAsia="Times New Roman" w:cs="Times New Roman"/>
              </w:rPr>
              <w:t>hm</w:t>
            </w:r>
            <w:r>
              <w:rPr>
                <w:rFonts w:eastAsia="Times New Roman" w:cs="Times New Roman"/>
                <w:spacing w:val="1"/>
                <w:position w:val="8"/>
                <w:sz w:val="15"/>
                <w:szCs w:val="15"/>
              </w:rPr>
              <w:t>2</w:t>
            </w:r>
            <w:r>
              <w:rPr>
                <w:rFonts w:ascii="仿宋" w:hAnsi="仿宋"/>
                <w:spacing w:val="1"/>
              </w:rPr>
              <w:t>；</w:t>
            </w:r>
            <w:r>
              <w:rPr>
                <w:rFonts w:eastAsia="Times New Roman" w:cs="Times New Roman"/>
                <w:spacing w:val="1"/>
              </w:rPr>
              <w:t>3#</w:t>
            </w:r>
            <w:r>
              <w:rPr>
                <w:rFonts w:ascii="仿宋" w:hAnsi="仿宋"/>
                <w:spacing w:val="1"/>
              </w:rPr>
              <w:t>表土临时堆场位于桩号</w:t>
            </w:r>
            <w:r>
              <w:rPr>
                <w:rFonts w:hint="eastAsia"/>
              </w:rPr>
              <w:t>K4+300~ K4+420</w:t>
            </w:r>
            <w:r>
              <w:t>右侧</w:t>
            </w:r>
            <w:r>
              <w:rPr>
                <w:rFonts w:ascii="仿宋" w:hAnsi="仿宋"/>
                <w:spacing w:val="-8"/>
              </w:rPr>
              <w:t>，占地</w:t>
            </w:r>
            <w:r>
              <w:rPr>
                <w:rFonts w:eastAsia="Times New Roman" w:cs="Times New Roman"/>
              </w:rPr>
              <w:t>0.35</w:t>
            </w:r>
            <w:r>
              <w:rPr>
                <w:rFonts w:eastAsia="Times New Roman" w:cs="Times New Roman"/>
                <w:spacing w:val="-8"/>
              </w:rPr>
              <w:t>hm</w:t>
            </w:r>
            <w:r>
              <w:rPr>
                <w:rFonts w:eastAsia="Times New Roman" w:cs="Times New Roman"/>
                <w:spacing w:val="-8"/>
                <w:position w:val="7"/>
                <w:sz w:val="15"/>
                <w:szCs w:val="15"/>
              </w:rPr>
              <w:t>2</w:t>
            </w:r>
            <w:r>
              <w:rPr>
                <w:rFonts w:ascii="仿宋" w:hAnsi="仿宋"/>
                <w:spacing w:val="-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235" w:type="pct"/>
            <w:vMerge w:val="continue"/>
            <w:vAlign w:val="center"/>
          </w:tcPr>
          <w:p>
            <w:pPr>
              <w:pStyle w:val="105"/>
              <w:ind w:left="-48" w:leftChars="-20" w:right="-48" w:rightChars="-20"/>
            </w:pPr>
          </w:p>
        </w:tc>
        <w:tc>
          <w:tcPr>
            <w:tcW w:w="392" w:type="pct"/>
            <w:gridSpan w:val="2"/>
            <w:vAlign w:val="center"/>
          </w:tcPr>
          <w:p>
            <w:pPr>
              <w:pStyle w:val="105"/>
              <w:ind w:left="-48" w:leftChars="-20" w:right="-48" w:rightChars="-20"/>
            </w:pPr>
            <w:r>
              <w:rPr>
                <w:rFonts w:hint="eastAsia"/>
              </w:rPr>
              <w:t>弃渣场</w:t>
            </w:r>
          </w:p>
        </w:tc>
        <w:tc>
          <w:tcPr>
            <w:tcW w:w="233" w:type="pct"/>
            <w:vAlign w:val="center"/>
          </w:tcPr>
          <w:p>
            <w:pPr>
              <w:pStyle w:val="105"/>
              <w:ind w:left="-48" w:leftChars="-20" w:right="-48" w:rightChars="-20"/>
            </w:pPr>
            <w:r>
              <w:t>处</w:t>
            </w:r>
          </w:p>
        </w:tc>
        <w:tc>
          <w:tcPr>
            <w:tcW w:w="702" w:type="pct"/>
            <w:vAlign w:val="center"/>
          </w:tcPr>
          <w:p>
            <w:pPr>
              <w:pStyle w:val="105"/>
              <w:ind w:left="-48" w:leftChars="-20" w:right="-48" w:rightChars="-20"/>
            </w:pPr>
            <w:r>
              <w:t>0</w:t>
            </w:r>
          </w:p>
        </w:tc>
        <w:tc>
          <w:tcPr>
            <w:tcW w:w="3438" w:type="pct"/>
            <w:vAlign w:val="center"/>
          </w:tcPr>
          <w:p>
            <w:pPr>
              <w:pStyle w:val="105"/>
              <w:ind w:left="-48" w:leftChars="-20" w:right="-48" w:rightChars="-20"/>
            </w:pPr>
            <w:r>
              <w:rPr>
                <w:rFonts w:hint="eastAsia"/>
              </w:rPr>
              <w:t>项目土石方挖填总量63.61万m³，其中挖方总量40.22万m³（含表土1.80万m³），填方总量23.39万m³（含覆土1.80万m³），余方16.</w:t>
            </w:r>
            <w:r>
              <w:t>8</w:t>
            </w:r>
            <w:r>
              <w:rPr>
                <w:rFonts w:hint="eastAsia"/>
              </w:rPr>
              <w:t>3万m³（其中土方</w:t>
            </w:r>
            <w:r>
              <w:t>4.62</w:t>
            </w:r>
            <w:r>
              <w:rPr>
                <w:rFonts w:hint="eastAsia"/>
              </w:rPr>
              <w:t>万m³，石方</w:t>
            </w:r>
            <w:r>
              <w:t>11.41</w:t>
            </w:r>
            <w:r>
              <w:rPr>
                <w:rFonts w:hint="eastAsia"/>
              </w:rPr>
              <w:t>万m³），其中石方</w:t>
            </w:r>
            <w:r>
              <w:t>6.88</w:t>
            </w:r>
            <w:r>
              <w:rPr>
                <w:rFonts w:hint="eastAsia"/>
              </w:rPr>
              <w:t>万m³本工程利用，作为截（排）水沟、沉沙池、挡墙等附属设施的原材料利用；剩余弃方（9</w:t>
            </w:r>
            <w:r>
              <w:t>.95</w:t>
            </w:r>
            <w:r>
              <w:rPr>
                <w:rFonts w:hint="eastAsia"/>
              </w:rPr>
              <w:t>万m³）拟运往福清市城市管理委员会批准的余方指定堆放点进行综合利用。</w:t>
            </w:r>
          </w:p>
          <w:p>
            <w:pPr>
              <w:pStyle w:val="105"/>
              <w:ind w:left="-48" w:leftChars="-20" w:right="-48" w:rightChars="-20"/>
            </w:pPr>
            <w:r>
              <w:rPr>
                <w:rFonts w:hint="eastAsia"/>
              </w:rPr>
              <w:t>项目不设弃渣场。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restart"/>
            <w:vAlign w:val="center"/>
          </w:tcPr>
          <w:p>
            <w:pPr>
              <w:pStyle w:val="105"/>
              <w:ind w:left="-48" w:leftChars="-20" w:right="-48" w:rightChars="-20"/>
            </w:pPr>
            <w:r>
              <w:t>工程占地</w:t>
            </w:r>
          </w:p>
        </w:tc>
        <w:tc>
          <w:tcPr>
            <w:tcW w:w="392" w:type="pct"/>
            <w:gridSpan w:val="2"/>
            <w:vAlign w:val="center"/>
          </w:tcPr>
          <w:p>
            <w:pPr>
              <w:pStyle w:val="105"/>
              <w:ind w:left="-48" w:leftChars="-20" w:right="-48" w:rightChars="-20"/>
            </w:pPr>
            <w:r>
              <w:rPr>
                <w:rFonts w:hint="eastAsia"/>
              </w:rPr>
              <w:t>永久占地</w:t>
            </w:r>
          </w:p>
        </w:tc>
        <w:tc>
          <w:tcPr>
            <w:tcW w:w="4373" w:type="pct"/>
            <w:gridSpan w:val="3"/>
            <w:vAlign w:val="center"/>
          </w:tcPr>
          <w:p>
            <w:pPr>
              <w:pStyle w:val="105"/>
              <w:ind w:left="-48" w:leftChars="-20" w:right="-48" w:rightChars="-20"/>
            </w:pPr>
            <w:r>
              <w:rPr>
                <w:rFonts w:hint="eastAsia"/>
              </w:rPr>
              <w:t>本项目永久</w:t>
            </w:r>
            <w:r>
              <w:rPr>
                <w:kern w:val="0"/>
                <w:szCs w:val="24"/>
                <w:lang w:val="zh-CN"/>
              </w:rPr>
              <w:t>用地总面积</w:t>
            </w:r>
            <w:r>
              <w:rPr>
                <w:rFonts w:hint="eastAsia"/>
              </w:rPr>
              <w:t>为</w:t>
            </w:r>
            <w:r>
              <w:rPr>
                <w:spacing w:val="-7"/>
              </w:rPr>
              <w:t>1</w:t>
            </w:r>
            <w:r>
              <w:rPr>
                <w:rFonts w:hint="eastAsia"/>
                <w:spacing w:val="-7"/>
              </w:rPr>
              <w:t>4.</w:t>
            </w:r>
            <w:r>
              <w:rPr>
                <w:spacing w:val="-7"/>
              </w:rPr>
              <w:t>6617</w:t>
            </w:r>
            <w:r>
              <w:rPr>
                <w:rFonts w:hint="eastAsia"/>
                <w:spacing w:val="-7"/>
              </w:rPr>
              <w:t>hm</w:t>
            </w:r>
            <w:r>
              <w:rPr>
                <w:rFonts w:hint="eastAsia"/>
                <w:spacing w:val="-7"/>
                <w:vertAlign w:val="superscript"/>
              </w:rPr>
              <w:t>2</w:t>
            </w:r>
            <w:r>
              <w:rPr>
                <w:rFonts w:hint="eastAsia"/>
              </w:rPr>
              <w:t>，</w:t>
            </w:r>
            <w:r>
              <w:rPr>
                <w:kern w:val="0"/>
                <w:szCs w:val="24"/>
                <w:lang w:val="zh-CN"/>
              </w:rPr>
              <w:t>耕地</w:t>
            </w:r>
            <w:r>
              <w:rPr>
                <w:rFonts w:hint="eastAsia"/>
              </w:rPr>
              <w:t>4</w:t>
            </w:r>
            <w:r>
              <w:t>.424</w:t>
            </w:r>
            <w:r>
              <w:rPr>
                <w:rFonts w:hint="eastAsia"/>
              </w:rPr>
              <w:t>hm</w:t>
            </w:r>
            <w:r>
              <w:rPr>
                <w:rFonts w:hint="eastAsia"/>
                <w:vertAlign w:val="superscript"/>
              </w:rPr>
              <w:t>2</w:t>
            </w:r>
            <w:r>
              <w:rPr>
                <w:rFonts w:hint="eastAsia"/>
                <w:kern w:val="0"/>
                <w:szCs w:val="24"/>
              </w:rPr>
              <w:t>，</w:t>
            </w:r>
            <w:r>
              <w:rPr>
                <w:kern w:val="0"/>
                <w:szCs w:val="24"/>
                <w:lang w:val="zh-CN"/>
              </w:rPr>
              <w:t>林地</w:t>
            </w:r>
            <w:r>
              <w:rPr>
                <w:rFonts w:hint="eastAsia"/>
              </w:rPr>
              <w:t>4</w:t>
            </w:r>
            <w:r>
              <w:t>.487</w:t>
            </w:r>
            <w:r>
              <w:rPr>
                <w:rFonts w:hint="eastAsia"/>
              </w:rPr>
              <w:t>hm</w:t>
            </w:r>
            <w:r>
              <w:rPr>
                <w:rFonts w:hint="eastAsia"/>
                <w:vertAlign w:val="superscript"/>
              </w:rPr>
              <w:t>2</w:t>
            </w:r>
            <w:r>
              <w:rPr>
                <w:kern w:val="0"/>
                <w:szCs w:val="24"/>
                <w:lang w:val="zh-CN"/>
              </w:rPr>
              <w:t>、园地</w:t>
            </w:r>
            <w:r>
              <w:rPr>
                <w:rFonts w:hint="eastAsia"/>
              </w:rPr>
              <w:t>2</w:t>
            </w:r>
            <w:r>
              <w:t>.6056</w:t>
            </w:r>
            <w:r>
              <w:rPr>
                <w:rFonts w:hint="eastAsia"/>
              </w:rPr>
              <w:t>hm</w:t>
            </w:r>
            <w:r>
              <w:rPr>
                <w:rFonts w:hint="eastAsia"/>
                <w:vertAlign w:val="superscript"/>
              </w:rPr>
              <w:t>2</w:t>
            </w:r>
            <w:r>
              <w:rPr>
                <w:kern w:val="0"/>
                <w:szCs w:val="24"/>
                <w:lang w:val="zh-CN"/>
              </w:rPr>
              <w:t>、其他农用地</w:t>
            </w:r>
            <w:r>
              <w:rPr>
                <w:rFonts w:hint="eastAsia"/>
              </w:rPr>
              <w:t>1</w:t>
            </w:r>
            <w:r>
              <w:t>.052</w:t>
            </w:r>
            <w:r>
              <w:rPr>
                <w:rFonts w:hint="eastAsia"/>
              </w:rPr>
              <w:t>hm</w:t>
            </w:r>
            <w:r>
              <w:rPr>
                <w:rFonts w:hint="eastAsia"/>
                <w:vertAlign w:val="superscript"/>
              </w:rPr>
              <w:t>2</w:t>
            </w:r>
            <w:r>
              <w:rPr>
                <w:rFonts w:hint="eastAsia"/>
                <w:kern w:val="0"/>
                <w:szCs w:val="24"/>
              </w:rPr>
              <w:t>，</w:t>
            </w:r>
            <w:r>
              <w:rPr>
                <w:kern w:val="0"/>
                <w:szCs w:val="24"/>
                <w:lang w:val="zh-CN"/>
              </w:rPr>
              <w:t>建设用地</w:t>
            </w:r>
            <w:r>
              <w:rPr>
                <w:rFonts w:hint="eastAsia"/>
              </w:rPr>
              <w:t>0</w:t>
            </w:r>
            <w:r>
              <w:t>.6581</w:t>
            </w:r>
            <w:r>
              <w:rPr>
                <w:rFonts w:hint="eastAsia"/>
              </w:rPr>
              <w:t>hm</w:t>
            </w:r>
            <w:r>
              <w:rPr>
                <w:rFonts w:hint="eastAsia"/>
                <w:vertAlign w:val="superscript"/>
              </w:rPr>
              <w:t>2</w:t>
            </w:r>
            <w:r>
              <w:rPr>
                <w:kern w:val="0"/>
                <w:szCs w:val="24"/>
              </w:rPr>
              <w:t>，</w:t>
            </w:r>
            <w:r>
              <w:rPr>
                <w:kern w:val="0"/>
                <w:szCs w:val="24"/>
                <w:lang w:val="zh-CN"/>
              </w:rPr>
              <w:t>未利用地</w:t>
            </w:r>
            <w:r>
              <w:rPr>
                <w:rFonts w:hint="eastAsia"/>
              </w:rPr>
              <w:t>0</w:t>
            </w:r>
            <w:r>
              <w:t>.8507</w:t>
            </w:r>
            <w:r>
              <w:rPr>
                <w:rFonts w:hint="eastAsia"/>
              </w:rPr>
              <w:t>hm</w:t>
            </w:r>
            <w:r>
              <w:rPr>
                <w:rFonts w:hint="eastAsia"/>
                <w:vertAlign w:val="superscript"/>
              </w:rPr>
              <w:t>2</w:t>
            </w:r>
            <w:r>
              <w:rPr>
                <w:kern w:val="0"/>
                <w:szCs w:val="24"/>
                <w:lang w:val="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vAlign w:val="center"/>
          </w:tcPr>
          <w:p>
            <w:pPr>
              <w:pStyle w:val="105"/>
              <w:ind w:left="-48" w:leftChars="-20" w:right="-48" w:rightChars="-20"/>
            </w:pPr>
          </w:p>
        </w:tc>
        <w:tc>
          <w:tcPr>
            <w:tcW w:w="392" w:type="pct"/>
            <w:gridSpan w:val="2"/>
            <w:vAlign w:val="center"/>
          </w:tcPr>
          <w:p>
            <w:pPr>
              <w:pStyle w:val="105"/>
              <w:ind w:left="-48" w:leftChars="-20" w:right="-48" w:rightChars="-20"/>
              <w:rPr>
                <w:szCs w:val="21"/>
              </w:rPr>
            </w:pPr>
            <w:r>
              <w:rPr>
                <w:szCs w:val="21"/>
              </w:rPr>
              <w:t>临时占地</w:t>
            </w:r>
          </w:p>
        </w:tc>
        <w:tc>
          <w:tcPr>
            <w:tcW w:w="4373" w:type="pct"/>
            <w:gridSpan w:val="3"/>
            <w:vAlign w:val="center"/>
          </w:tcPr>
          <w:p>
            <w:pPr>
              <w:pStyle w:val="105"/>
              <w:ind w:left="-48" w:leftChars="-20" w:right="-48" w:rightChars="-20"/>
              <w:rPr>
                <w:szCs w:val="21"/>
              </w:rPr>
            </w:pPr>
            <w:r>
              <w:rPr>
                <w:rFonts w:hint="eastAsia"/>
                <w:szCs w:val="21"/>
              </w:rPr>
              <w:t>施工临时占地：</w:t>
            </w:r>
            <w:r>
              <w:rPr>
                <w:rFonts w:hint="eastAsia"/>
                <w:spacing w:val="-7"/>
              </w:rPr>
              <w:t>临时占地</w:t>
            </w:r>
            <w:r>
              <w:t>1.63</w:t>
            </w:r>
            <w:r>
              <w:rPr>
                <w:rFonts w:hint="eastAsia"/>
                <w:spacing w:val="-7"/>
              </w:rPr>
              <w:t>hm</w:t>
            </w:r>
            <w:r>
              <w:rPr>
                <w:rFonts w:hint="eastAsia"/>
                <w:spacing w:val="-7"/>
                <w:vertAlign w:val="superscript"/>
              </w:rPr>
              <w:t>2</w:t>
            </w:r>
            <w:r>
              <w:rPr>
                <w:rFonts w:hint="eastAsia"/>
              </w:rPr>
              <w:t>，</w:t>
            </w:r>
            <w:r>
              <w:t>施工场地0.69</w:t>
            </w:r>
            <w:r>
              <w:rPr>
                <w:rFonts w:hint="eastAsia"/>
              </w:rPr>
              <w:t xml:space="preserve"> hm</w:t>
            </w:r>
            <w:r>
              <w:rPr>
                <w:vertAlign w:val="superscript"/>
              </w:rPr>
              <w:t>2</w:t>
            </w:r>
            <w:r>
              <w:t>，</w:t>
            </w:r>
            <w:r>
              <w:rPr>
                <w:rFonts w:hint="eastAsia"/>
              </w:rPr>
              <w:t>表土临时堆场0</w:t>
            </w:r>
            <w:r>
              <w:t>.94</w:t>
            </w:r>
            <w:r>
              <w:rPr>
                <w:rFonts w:hint="eastAsia"/>
              </w:rPr>
              <w:t>hm</w:t>
            </w:r>
            <w:r>
              <w:rPr>
                <w:vertAlign w:val="superscript"/>
              </w:rPr>
              <w:t>2</w:t>
            </w:r>
            <w:r>
              <w:rPr>
                <w:rFonts w:hint="eastAsia"/>
              </w:rPr>
              <w:t>，其中表土表土临时堆场0</w:t>
            </w:r>
            <w:r>
              <w:t>.94</w:t>
            </w:r>
            <w:r>
              <w:rPr>
                <w:rFonts w:hint="eastAsia"/>
              </w:rPr>
              <w:t>hm</w:t>
            </w:r>
            <w:r>
              <w:rPr>
                <w:vertAlign w:val="superscript"/>
              </w:rPr>
              <w:t>2</w:t>
            </w:r>
            <w:r>
              <w:t>均位于用地红线范围内</w:t>
            </w:r>
            <w:r>
              <w:rPr>
                <w:rFonts w:hint="eastAsia"/>
                <w:spacing w:val="-7"/>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pct"/>
            <w:gridSpan w:val="3"/>
            <w:vAlign w:val="center"/>
          </w:tcPr>
          <w:p>
            <w:pPr>
              <w:pStyle w:val="105"/>
              <w:ind w:left="-48" w:leftChars="-20" w:right="-48" w:rightChars="-20"/>
            </w:pPr>
            <w:r>
              <w:t>土石方量</w:t>
            </w:r>
          </w:p>
        </w:tc>
        <w:tc>
          <w:tcPr>
            <w:tcW w:w="4373" w:type="pct"/>
            <w:gridSpan w:val="3"/>
            <w:vAlign w:val="center"/>
          </w:tcPr>
          <w:p>
            <w:pPr>
              <w:pStyle w:val="105"/>
              <w:ind w:left="-48" w:leftChars="-20" w:right="-48" w:rightChars="-20"/>
            </w:pPr>
            <w:r>
              <w:rPr>
                <w:rFonts w:hint="eastAsia"/>
              </w:rPr>
              <w:t>项目土石方挖填总量63.61万m³，其中挖方总量40.22万m³（含表土1.80万m³），填方总量23.39万m³（含覆土1.80万m³），本项目建设过程中共产生余方16.</w:t>
            </w:r>
            <w:r>
              <w:t>8</w:t>
            </w:r>
            <w:r>
              <w:rPr>
                <w:rFonts w:hint="eastAsia"/>
              </w:rPr>
              <w:t>3万m³（其中土方</w:t>
            </w:r>
            <w:r>
              <w:t>4.62</w:t>
            </w:r>
            <w:r>
              <w:rPr>
                <w:rFonts w:hint="eastAsia"/>
              </w:rPr>
              <w:t>万m³，石方</w:t>
            </w:r>
            <w:r>
              <w:t>12.21</w:t>
            </w:r>
            <w:r>
              <w:rPr>
                <w:rFonts w:hint="eastAsia"/>
              </w:rPr>
              <w:t>万m³）。</w:t>
            </w:r>
            <w:r>
              <w:rPr>
                <w:rFonts w:hint="eastAsia"/>
                <w:spacing w:val="-3"/>
              </w:rPr>
              <w:t>余方中可利用石方</w:t>
            </w:r>
            <w:r>
              <w:t>6.88</w:t>
            </w:r>
            <w:r>
              <w:rPr>
                <w:rFonts w:hint="eastAsia"/>
                <w:spacing w:val="-3"/>
              </w:rPr>
              <w:t>万m</w:t>
            </w:r>
            <w:r>
              <w:rPr>
                <w:rFonts w:hint="eastAsia"/>
                <w:spacing w:val="-3"/>
                <w:vertAlign w:val="superscript"/>
              </w:rPr>
              <w:t>3</w:t>
            </w:r>
            <w:r>
              <w:rPr>
                <w:rFonts w:hint="eastAsia"/>
                <w:spacing w:val="-3"/>
              </w:rPr>
              <w:t>，用于本项目综合利用，剩余弃方</w:t>
            </w:r>
            <w:r>
              <w:rPr>
                <w:rFonts w:hint="eastAsia"/>
              </w:rPr>
              <w:t>9</w:t>
            </w:r>
            <w:r>
              <w:t>.95</w:t>
            </w:r>
            <w:r>
              <w:rPr>
                <w:rFonts w:hint="eastAsia"/>
              </w:rPr>
              <w:t>万m³。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pct"/>
            <w:gridSpan w:val="3"/>
            <w:vAlign w:val="center"/>
          </w:tcPr>
          <w:p>
            <w:pPr>
              <w:pStyle w:val="105"/>
              <w:ind w:left="-48" w:leftChars="-20" w:right="-48" w:rightChars="-20"/>
            </w:pPr>
            <w:r>
              <w:t>拆迁</w:t>
            </w:r>
          </w:p>
        </w:tc>
        <w:tc>
          <w:tcPr>
            <w:tcW w:w="4373" w:type="pct"/>
            <w:gridSpan w:val="3"/>
            <w:vAlign w:val="center"/>
          </w:tcPr>
          <w:p>
            <w:pPr>
              <w:pStyle w:val="105"/>
              <w:ind w:left="-48" w:leftChars="-20" w:right="-48" w:rightChars="-20"/>
            </w:pPr>
            <w:r>
              <w:rPr>
                <w:rFonts w:hint="eastAsia"/>
                <w:spacing w:val="-2"/>
              </w:rPr>
              <w:t xml:space="preserve">项目共拆迁房屋 2474.98 </w:t>
            </w:r>
            <w:r>
              <w:rPr>
                <w:rFonts w:eastAsia="Times New Roman"/>
                <w:lang w:val="zh-CN"/>
              </w:rPr>
              <w:t>m</w:t>
            </w:r>
            <w:r>
              <w:rPr>
                <w:rFonts w:eastAsia="Times New Roman"/>
                <w:vertAlign w:val="superscript"/>
                <w:lang w:val="zh-CN"/>
              </w:rPr>
              <w:t>2</w:t>
            </w:r>
            <w:r>
              <w:rPr>
                <w:rFonts w:hint="eastAsia"/>
                <w:lang w:val="zh-CN"/>
              </w:rPr>
              <w:t>，</w:t>
            </w:r>
            <w:r>
              <w:rPr>
                <w:rFonts w:hint="eastAsia"/>
                <w:spacing w:val="-2"/>
              </w:rPr>
              <w:t xml:space="preserve">其中砖砼房 2269.42 </w:t>
            </w:r>
            <w:r>
              <w:rPr>
                <w:rFonts w:eastAsia="Times New Roman"/>
                <w:lang w:val="zh-CN"/>
              </w:rPr>
              <w:t>m</w:t>
            </w:r>
            <w:r>
              <w:rPr>
                <w:rFonts w:eastAsia="Times New Roman"/>
                <w:vertAlign w:val="superscript"/>
                <w:lang w:val="zh-CN"/>
              </w:rPr>
              <w:t>2</w:t>
            </w:r>
            <w:r>
              <w:rPr>
                <w:rFonts w:hint="eastAsia"/>
                <w:spacing w:val="-2"/>
              </w:rPr>
              <w:t xml:space="preserve">、厕所猪圈 39.56 </w:t>
            </w:r>
            <w:r>
              <w:rPr>
                <w:rFonts w:eastAsia="Times New Roman"/>
                <w:lang w:val="zh-CN"/>
              </w:rPr>
              <w:t>m</w:t>
            </w:r>
            <w:r>
              <w:rPr>
                <w:rFonts w:eastAsia="Times New Roman"/>
                <w:vertAlign w:val="superscript"/>
                <w:lang w:val="zh-CN"/>
              </w:rPr>
              <w:t>2</w:t>
            </w:r>
            <w:r>
              <w:rPr>
                <w:rFonts w:hint="eastAsia"/>
                <w:spacing w:val="-2"/>
              </w:rPr>
              <w:t xml:space="preserve">，简房 166 </w:t>
            </w:r>
            <w:r>
              <w:rPr>
                <w:rFonts w:eastAsia="Times New Roman"/>
                <w:lang w:val="zh-CN"/>
              </w:rPr>
              <w:t>m</w:t>
            </w:r>
            <w:r>
              <w:rPr>
                <w:rFonts w:eastAsia="Times New Roman"/>
                <w:vertAlign w:val="superscript"/>
                <w:lang w:val="zh-CN"/>
              </w:rPr>
              <w:t>2</w:t>
            </w:r>
            <w:r>
              <w:rPr>
                <w:rFonts w:hint="eastAsia"/>
                <w:spacing w:val="-2"/>
              </w:rPr>
              <w:t>，鳗鱼场 2 座。征迁10kV 电力杆线 1.4 km/3 根；征迁 0.4kV 低压线 5.1 km/10 根。征迁电讯线 5.8 km/15根。迁移变压器 2 处。</w:t>
            </w:r>
          </w:p>
        </w:tc>
      </w:tr>
      <w:bookmarkEnd w:id="244"/>
      <w:bookmarkEnd w:id="246"/>
    </w:tbl>
    <w:p>
      <w:pPr>
        <w:pStyle w:val="116"/>
        <w:spacing w:before="240"/>
      </w:pPr>
      <w:bookmarkStart w:id="247" w:name="_Toc458669850"/>
      <w:bookmarkStart w:id="248" w:name="_Toc153957817"/>
      <w:bookmarkStart w:id="249" w:name="_Toc204676233"/>
      <w:bookmarkStart w:id="250" w:name="_Toc159405461"/>
      <w:bookmarkStart w:id="251" w:name="_Hlk195520724"/>
      <w:r>
        <w:t>工程</w:t>
      </w:r>
      <w:bookmarkEnd w:id="247"/>
      <w:r>
        <w:rPr>
          <w:rFonts w:hint="eastAsia"/>
        </w:rPr>
        <w:t>建设方案</w:t>
      </w:r>
      <w:bookmarkEnd w:id="248"/>
      <w:bookmarkEnd w:id="249"/>
      <w:bookmarkEnd w:id="250"/>
    </w:p>
    <w:bookmarkEnd w:id="251"/>
    <w:p>
      <w:pPr>
        <w:pStyle w:val="120"/>
        <w:rPr>
          <w:color w:val="auto"/>
        </w:rPr>
      </w:pPr>
      <w:r>
        <w:rPr>
          <w:rFonts w:hint="eastAsia"/>
          <w:color w:val="auto"/>
        </w:rPr>
        <w:t>路线平面设计</w:t>
      </w:r>
    </w:p>
    <w:p>
      <w:pPr>
        <w:pStyle w:val="118"/>
      </w:pPr>
      <w:r>
        <w:rPr>
          <w:rFonts w:hint="eastAsia"/>
        </w:rPr>
        <w:t>路线走向</w:t>
      </w:r>
    </w:p>
    <w:p>
      <w:pPr>
        <w:ind w:firstLine="480"/>
        <w:rPr>
          <w:lang w:val="zh-CN"/>
        </w:rPr>
      </w:pPr>
      <w:r>
        <w:rPr>
          <w:lang w:val="zh-CN"/>
        </w:rPr>
        <w:t>本项目路线起于上迳镇牌边村，起点与G324平交，自东向西下穿福厦高铁（下穿段落已完工）后，新建桥梁跨越沈海高速，经溪北、木厝洋、三落厝后，终点至黄檗山万福寺，设置接线接入规划黄檗文化产业园。</w:t>
      </w:r>
    </w:p>
    <w:p>
      <w:pPr>
        <w:ind w:firstLine="480"/>
        <w:rPr>
          <w:lang w:val="zh-CN"/>
        </w:rPr>
      </w:pPr>
      <w:r>
        <w:rPr>
          <w:lang w:val="zh-CN"/>
        </w:rPr>
        <w:t>沿线主要控制点有：国防光缆、G324、福厦高铁、沈海高速、中海油LNG管道、拟建中石油LNG管道、基本农田（已预留走廊）、高压铁塔、沿线房屋、东张福渠、河道等。项目经过城镇（村庄）有：上迳镇、渔溪镇。</w:t>
      </w:r>
    </w:p>
    <w:p>
      <w:pPr>
        <w:ind w:firstLine="480"/>
        <w:rPr>
          <w:lang w:val="zh-CN"/>
        </w:rPr>
      </w:pPr>
      <w:r>
        <w:rPr>
          <w:lang w:val="zh-CN"/>
        </w:rPr>
        <w:t>本项目所经路段主要河流：本项目所经区域水系主要为迳</w:t>
      </w:r>
      <w:r>
        <w:rPr>
          <w:rFonts w:hint="eastAsia"/>
          <w:lang w:val="zh-CN"/>
        </w:rPr>
        <w:t>江</w:t>
      </w:r>
      <w:r>
        <w:rPr>
          <w:lang w:val="zh-CN"/>
        </w:rPr>
        <w:t>。</w:t>
      </w:r>
    </w:p>
    <w:p>
      <w:pPr>
        <w:ind w:firstLine="480"/>
        <w:rPr>
          <w:lang w:val="zh-CN"/>
        </w:rPr>
      </w:pPr>
      <w:r>
        <w:rPr>
          <w:lang w:val="zh-CN"/>
        </w:rPr>
        <w:t>本项目沿线主要道路：G324、侨丰路、枝钟路</w:t>
      </w:r>
      <w:r>
        <w:rPr>
          <w:rFonts w:hint="eastAsia"/>
          <w:lang w:val="zh-CN"/>
        </w:rPr>
        <w:t>及其他</w:t>
      </w:r>
      <w:r>
        <w:rPr>
          <w:lang w:val="zh-CN"/>
        </w:rPr>
        <w:t>村道等。</w:t>
      </w:r>
    </w:p>
    <w:p>
      <w:pPr>
        <w:ind w:firstLine="480"/>
        <w:rPr>
          <w:lang w:val="zh-CN"/>
        </w:rPr>
      </w:pPr>
      <w:r>
        <w:rPr>
          <w:lang w:val="zh-CN"/>
        </w:rPr>
        <w:t>本项目路线全长5.200km，其中主线5.110km，接线0.090km，均按双向二车道、路基宽度12m的二级公路标准建设。桥梁589.5m/2座（含终点接线桥37m/1座），涵洞28道，按设计速度60km/h、路基宽12m、双向二车道的二级公路标准建设。</w:t>
      </w:r>
    </w:p>
    <w:p>
      <w:pPr>
        <w:ind w:firstLine="480"/>
        <w:rPr>
          <w:lang w:val="zh-CN"/>
        </w:rPr>
      </w:pPr>
      <w:r>
        <w:rPr>
          <w:lang w:val="zh-CN"/>
        </w:rPr>
        <w:t>其中：K1+324.8~K1+389.8段已完成路面施工；K1+030~K1+324.8段防护工程已完工，本项目实施范围不含该段防护工程，仅实施路面、边沟及附属设施。</w:t>
      </w:r>
    </w:p>
    <w:p>
      <w:pPr>
        <w:pStyle w:val="118"/>
      </w:pPr>
      <w:r>
        <w:rPr>
          <w:rFonts w:hint="eastAsia"/>
        </w:rPr>
        <w:t>路线起终点论证</w:t>
      </w:r>
    </w:p>
    <w:p>
      <w:pPr>
        <w:ind w:firstLine="480"/>
      </w:pPr>
      <w:r>
        <w:rPr>
          <w:rFonts w:hint="eastAsia"/>
        </w:rPr>
        <w:t>起点：起点位于上迳镇，与现状国道G324平交。现状国道G324线为二级公路，设计速度60km/h，路基宽22m，沥青路面，双向四车道，起点交叉处为直线，道路纵坡1.2%，前后500m范围无交叉口，平纵指标满足设置交叉口要求；本项目为二级公路，设计速度60km/h，路基宽12m。本项目起点与G324平面交叉，起点方案合理可行。</w:t>
      </w:r>
    </w:p>
    <w:p>
      <w:pPr>
        <w:ind w:firstLine="480"/>
      </w:pPr>
      <w:r>
        <w:rPr>
          <w:rFonts w:hint="eastAsia"/>
        </w:rPr>
        <w:t>终点：终点位于黄檗山万福寺，设置接线接入黄檗规划产业园（规划）。本项目为二级公路，设计速度 60km/h，路基宽 12m。本项目终点方案合理可行。</w:t>
      </w:r>
    </w:p>
    <w:p>
      <w:pPr>
        <w:pStyle w:val="105"/>
        <w:spacing w:before="0" w:after="0"/>
        <w:ind w:left="-2" w:leftChars="-59" w:hanging="140" w:hangingChars="67"/>
        <w:jc w:val="center"/>
        <w:rPr>
          <w:rFonts w:hint="eastAsia" w:eastAsia="宋体"/>
          <w:lang w:eastAsia="zh-CN"/>
        </w:rPr>
      </w:pPr>
    </w:p>
    <w:p>
      <w:pPr>
        <w:pStyle w:val="122"/>
      </w:pPr>
      <w:r>
        <w:rPr>
          <w:rFonts w:hint="eastAsia"/>
        </w:rPr>
        <w:t>起终点方案示意图</w:t>
      </w:r>
    </w:p>
    <w:p>
      <w:pPr>
        <w:pStyle w:val="118"/>
      </w:pPr>
      <w:r>
        <w:rPr>
          <w:rFonts w:hint="eastAsia"/>
        </w:rPr>
        <w:t>路线</w:t>
      </w:r>
      <w:r>
        <w:t>纵断面</w:t>
      </w:r>
      <w:r>
        <w:rPr>
          <w:rFonts w:hint="eastAsia"/>
        </w:rPr>
        <w:t>设计</w:t>
      </w:r>
    </w:p>
    <w:p>
      <w:pPr>
        <w:ind w:firstLine="480"/>
      </w:pPr>
      <w:r>
        <w:rPr>
          <w:rFonts w:cs="Times New Roman"/>
          <w:kern w:val="0"/>
          <w:szCs w:val="24"/>
          <w:lang w:val="zh-CN"/>
        </w:rPr>
        <w:t>全线共设置12个处平曲线，最小半径260m，最大半径1520m，缓和曲线最小长度Ls-50m；路线共设置17处竖曲线，最大纵坡5.7%，最小纵坡0.3%，最短坡长30</w:t>
      </w:r>
      <w:r>
        <w:rPr>
          <w:rFonts w:hint="eastAsia" w:cs="Times New Roman"/>
          <w:kern w:val="0"/>
          <w:szCs w:val="24"/>
          <w:lang w:val="zh-CN"/>
        </w:rPr>
        <w:t>m</w:t>
      </w:r>
      <w:r>
        <w:rPr>
          <w:rFonts w:cs="Times New Roman"/>
          <w:kern w:val="0"/>
          <w:szCs w:val="24"/>
          <w:lang w:val="zh-CN"/>
        </w:rPr>
        <w:t>（起点段），竖曲线最小半径凸形1700</w:t>
      </w:r>
      <w:r>
        <w:rPr>
          <w:rFonts w:hint="eastAsia" w:cs="Times New Roman"/>
          <w:kern w:val="0"/>
          <w:szCs w:val="24"/>
          <w:lang w:val="zh-CN"/>
        </w:rPr>
        <w:t>m</w:t>
      </w:r>
      <w:r>
        <w:rPr>
          <w:rFonts w:cs="Times New Roman"/>
          <w:kern w:val="0"/>
          <w:szCs w:val="24"/>
          <w:lang w:val="zh-CN"/>
        </w:rPr>
        <w:t>，凹形1000</w:t>
      </w:r>
      <w:r>
        <w:rPr>
          <w:rFonts w:hint="eastAsia" w:cs="Times New Roman"/>
          <w:kern w:val="0"/>
          <w:szCs w:val="24"/>
          <w:lang w:val="zh-CN"/>
        </w:rPr>
        <w:t>m</w:t>
      </w:r>
      <w:r>
        <w:rPr>
          <w:rFonts w:cs="Times New Roman"/>
          <w:kern w:val="0"/>
          <w:szCs w:val="24"/>
          <w:lang w:val="zh-CN"/>
        </w:rPr>
        <w:t>。</w:t>
      </w:r>
      <w:r>
        <w:rPr>
          <w:rFonts w:hint="eastAsia"/>
        </w:rPr>
        <w:t>线路纵断面图详见图3</w:t>
      </w:r>
      <w:r>
        <w:t>.3-2</w:t>
      </w:r>
      <w:r>
        <w:rPr>
          <w:rFonts w:hint="eastAsia"/>
        </w:rPr>
        <w:t>。</w:t>
      </w:r>
    </w:p>
    <w:p>
      <w:pPr>
        <w:ind w:firstLine="480"/>
        <w:sectPr>
          <w:pgSz w:w="11910" w:h="16840"/>
          <w:pgMar w:top="1418" w:right="1418" w:bottom="1418" w:left="1418" w:header="851" w:footer="851" w:gutter="0"/>
          <w:cols w:space="720" w:num="1"/>
        </w:sectPr>
      </w:pPr>
    </w:p>
    <w:p>
      <w:pPr>
        <w:spacing w:line="240" w:lineRule="auto"/>
        <w:ind w:firstLine="0" w:firstLineChars="0"/>
        <w:rPr>
          <w:rFonts w:hint="eastAsia" w:eastAsia="宋体"/>
          <w:lang w:eastAsia="zh-CN"/>
        </w:rPr>
      </w:pPr>
    </w:p>
    <w:p>
      <w:pPr>
        <w:pStyle w:val="122"/>
        <w:spacing w:before="0" w:after="0"/>
        <w:ind w:firstLine="480"/>
      </w:pPr>
      <w:r>
        <w:rPr>
          <w:rFonts w:hint="eastAsia"/>
        </w:rPr>
        <w:t xml:space="preserve"> 项目平面布置图（</w:t>
      </w:r>
      <w:r>
        <w:t>1</w:t>
      </w:r>
      <w:r>
        <w:rPr>
          <w:rFonts w:hint="eastAsia"/>
        </w:rPr>
        <w:t>）</w:t>
      </w:r>
    </w:p>
    <w:p>
      <w:pPr>
        <w:pStyle w:val="122"/>
        <w:spacing w:before="0" w:after="0"/>
        <w:ind w:firstLine="480"/>
        <w:sectPr>
          <w:headerReference r:id="rId12" w:type="default"/>
          <w:footerReference r:id="rId13" w:type="default"/>
          <w:pgSz w:w="16840" w:h="11910" w:orient="landscape"/>
          <w:pgMar w:top="992" w:right="1418" w:bottom="992" w:left="1418" w:header="851" w:footer="851" w:gutter="0"/>
          <w:cols w:space="720" w:num="1"/>
          <w:docGrid w:linePitch="326" w:charSpace="0"/>
        </w:sectPr>
      </w:pPr>
    </w:p>
    <w:p>
      <w:pPr>
        <w:pStyle w:val="105"/>
        <w:spacing w:before="0" w:after="0"/>
        <w:jc w:val="center"/>
        <w:rPr>
          <w:rFonts w:hint="eastAsia" w:eastAsia="宋体"/>
          <w:lang w:eastAsia="zh-CN"/>
        </w:rPr>
      </w:pPr>
    </w:p>
    <w:p>
      <w:pPr>
        <w:pStyle w:val="105"/>
        <w:spacing w:before="0" w:after="0"/>
        <w:jc w:val="center"/>
        <w:rPr>
          <w:b/>
          <w:bCs/>
        </w:rPr>
      </w:pPr>
      <w:r>
        <w:rPr>
          <w:rFonts w:hint="eastAsia"/>
          <w:b/>
          <w:bCs/>
        </w:rPr>
        <w:t>图3.3-2 ：项目平面布置图（</w:t>
      </w:r>
      <w:r>
        <w:rPr>
          <w:b/>
          <w:bCs/>
        </w:rPr>
        <w:t>2</w:t>
      </w:r>
      <w:r>
        <w:rPr>
          <w:rFonts w:hint="eastAsia"/>
          <w:b/>
          <w:bCs/>
        </w:rPr>
        <w:t>）</w:t>
      </w:r>
    </w:p>
    <w:p>
      <w:pPr>
        <w:ind w:firstLine="480"/>
        <w:sectPr>
          <w:pgSz w:w="11910" w:h="16840"/>
          <w:pgMar w:top="992" w:right="1134" w:bottom="992" w:left="1134" w:header="851" w:footer="851" w:gutter="0"/>
          <w:cols w:space="720" w:num="1"/>
          <w:docGrid w:linePitch="326" w:charSpace="0"/>
        </w:sectPr>
      </w:pPr>
    </w:p>
    <w:p>
      <w:pPr>
        <w:spacing w:line="240" w:lineRule="auto"/>
        <w:ind w:firstLine="480"/>
        <w:rPr>
          <w:rFonts w:hint="eastAsia" w:eastAsia="宋体"/>
          <w:lang w:eastAsia="zh-CN"/>
        </w:rPr>
      </w:pPr>
    </w:p>
    <w:p>
      <w:pPr>
        <w:pStyle w:val="122"/>
        <w:ind w:firstLine="200" w:firstLineChars="83"/>
      </w:pPr>
      <w:r>
        <w:rPr>
          <w:rFonts w:hint="eastAsia"/>
        </w:rPr>
        <w:t>：线路平纵缩图（</w:t>
      </w:r>
      <w:r>
        <w:t>1</w:t>
      </w:r>
      <w:r>
        <w:rPr>
          <w:rFonts w:hint="eastAsia"/>
        </w:rPr>
        <w:t>）</w:t>
      </w:r>
    </w:p>
    <w:p>
      <w:pPr>
        <w:pStyle w:val="105"/>
        <w:spacing w:before="0" w:after="0"/>
        <w:jc w:val="center"/>
        <w:rPr>
          <w:rFonts w:hint="eastAsia" w:eastAsia="宋体"/>
          <w:lang w:eastAsia="zh-CN"/>
        </w:rPr>
      </w:pPr>
    </w:p>
    <w:p>
      <w:pPr>
        <w:pStyle w:val="105"/>
        <w:jc w:val="center"/>
        <w:rPr>
          <w:b/>
          <w:bCs/>
        </w:rPr>
      </w:pPr>
      <w:r>
        <w:rPr>
          <w:rFonts w:hint="eastAsia"/>
          <w:b/>
          <w:bCs/>
        </w:rPr>
        <w:t>图3.3-3 ：线路平纵缩图（</w:t>
      </w:r>
      <w:r>
        <w:rPr>
          <w:b/>
          <w:bCs/>
        </w:rPr>
        <w:t>2</w:t>
      </w:r>
      <w:r>
        <w:rPr>
          <w:rFonts w:hint="eastAsia"/>
          <w:b/>
          <w:bCs/>
        </w:rPr>
        <w:t>）</w:t>
      </w:r>
    </w:p>
    <w:p>
      <w:pPr>
        <w:pStyle w:val="118"/>
        <w:sectPr>
          <w:pgSz w:w="16840" w:h="11910" w:orient="landscape"/>
          <w:pgMar w:top="992" w:right="1134" w:bottom="992" w:left="1134" w:header="851" w:footer="851" w:gutter="0"/>
          <w:cols w:space="720" w:num="1"/>
          <w:docGrid w:linePitch="326" w:charSpace="0"/>
        </w:sectPr>
      </w:pPr>
    </w:p>
    <w:p>
      <w:pPr>
        <w:pStyle w:val="118"/>
      </w:pPr>
      <w:bookmarkStart w:id="252" w:name="（1）路基总体方案"/>
      <w:bookmarkEnd w:id="252"/>
      <w:r>
        <w:rPr>
          <w:rFonts w:hint="eastAsia"/>
        </w:rPr>
        <w:t>路基横断面设计</w:t>
      </w:r>
    </w:p>
    <w:p>
      <w:pPr>
        <w:ind w:firstLine="480"/>
      </w:pPr>
      <w:r>
        <w:rPr>
          <w:rFonts w:hint="eastAsia"/>
        </w:rPr>
        <w:t>（1）路基设计标准</w:t>
      </w:r>
    </w:p>
    <w:p>
      <w:pPr>
        <w:ind w:firstLine="480"/>
      </w:pPr>
      <w:r>
        <w:rPr>
          <w:rFonts w:hint="eastAsia"/>
        </w:rPr>
        <w:t>二级公路，双向 2 车道；</w:t>
      </w:r>
    </w:p>
    <w:p>
      <w:pPr>
        <w:ind w:firstLine="480"/>
      </w:pPr>
      <w:r>
        <w:rPr>
          <w:rFonts w:hint="eastAsia"/>
        </w:rPr>
        <w:t>设计速度：60 km/h；</w:t>
      </w:r>
    </w:p>
    <w:p>
      <w:pPr>
        <w:ind w:firstLine="480"/>
      </w:pPr>
      <w:r>
        <w:rPr>
          <w:rFonts w:hint="eastAsia"/>
        </w:rPr>
        <w:t>路基宽度：12m；</w:t>
      </w:r>
    </w:p>
    <w:p>
      <w:pPr>
        <w:ind w:firstLine="480"/>
      </w:pPr>
      <w:r>
        <w:rPr>
          <w:rFonts w:hint="eastAsia"/>
        </w:rPr>
        <w:t>路基设计洪水频率：1/50；</w:t>
      </w:r>
    </w:p>
    <w:p>
      <w:pPr>
        <w:ind w:firstLine="480"/>
      </w:pPr>
      <w:r>
        <w:rPr>
          <w:rFonts w:hint="eastAsia"/>
        </w:rPr>
        <w:t>设计荷载：公路－Ⅰ级；</w:t>
      </w:r>
    </w:p>
    <w:p>
      <w:pPr>
        <w:ind w:firstLine="480"/>
      </w:pPr>
      <w:r>
        <w:rPr>
          <w:rFonts w:hint="eastAsia"/>
        </w:rPr>
        <w:t>（2）路基横断面布设如下：</w:t>
      </w:r>
    </w:p>
    <w:p>
      <w:pPr>
        <w:ind w:firstLine="480"/>
      </w:pPr>
      <w:r>
        <w:rPr>
          <w:rFonts w:hint="eastAsia"/>
        </w:rPr>
        <w:t>本项目路线路基宽度12.0m，路基断面型式为：0.75m土路肩+1.75m硬路肩+2×3.50m行车道+1.75m硬路肩+0.75m土路肩。</w:t>
      </w:r>
    </w:p>
    <w:p>
      <w:pPr>
        <w:ind w:firstLine="480"/>
      </w:pPr>
      <w:r>
        <w:rPr>
          <w:rFonts w:hint="eastAsia"/>
        </w:rPr>
        <w:t>其中大埔大桥段：0.5 m（护栏）+0.75m（硬路肩）+2×3.5m（机动车道）+0.5m（路缘带）+1.0m（中央护栏）+0.5m（路缘带）+2×3.5m（机动车道）+0.75m（硬路肩）+0.5 m（护栏）</w:t>
      </w:r>
      <w:r>
        <w:t>=18.5m</w:t>
      </w:r>
    </w:p>
    <w:p>
      <w:pPr>
        <w:ind w:firstLine="480"/>
      </w:pPr>
      <w:r>
        <w:rPr>
          <w:rFonts w:hint="eastAsia"/>
        </w:rPr>
        <w:t>（3）路面横坡</w:t>
      </w:r>
    </w:p>
    <w:p>
      <w:pPr>
        <w:ind w:firstLine="480"/>
      </w:pPr>
      <w:r>
        <w:rPr>
          <w:rFonts w:hint="eastAsia"/>
        </w:rPr>
        <w:t>不设超高段行车道、路缘带及硬路肩采用 2.0%，正常路段及超高小等于 4%的路段土路肩以 4.0%横坡向外倾斜。当超高大于 4%位于曲线内侧的土路肩与路拱横坡一致。</w:t>
      </w:r>
    </w:p>
    <w:p>
      <w:pPr>
        <w:ind w:firstLine="0" w:firstLineChars="0"/>
        <w:rPr>
          <w:rFonts w:hint="eastAsia" w:eastAsia="宋体"/>
          <w:lang w:val="zh-CN" w:eastAsia="zh-CN"/>
        </w:rPr>
      </w:pPr>
    </w:p>
    <w:p>
      <w:pPr>
        <w:ind w:firstLine="0" w:firstLineChars="0"/>
        <w:jc w:val="center"/>
        <w:rPr>
          <w:rFonts w:hint="eastAsia" w:eastAsia="宋体"/>
          <w:lang w:eastAsia="zh-CN"/>
        </w:rPr>
      </w:pPr>
    </w:p>
    <w:p>
      <w:pPr>
        <w:ind w:firstLine="0" w:firstLineChars="0"/>
        <w:jc w:val="center"/>
        <w:rPr>
          <w:rFonts w:hint="eastAsia" w:eastAsia="宋体"/>
          <w:lang w:eastAsia="zh-CN"/>
        </w:rPr>
      </w:pPr>
    </w:p>
    <w:p>
      <w:pPr>
        <w:pStyle w:val="122"/>
        <w:rPr>
          <w:lang w:val="zh-CN"/>
        </w:rPr>
      </w:pPr>
      <w:r>
        <w:rPr>
          <w:rFonts w:hint="eastAsia"/>
        </w:rPr>
        <w:t>路基横断面图</w:t>
      </w:r>
    </w:p>
    <w:p>
      <w:pPr>
        <w:pStyle w:val="118"/>
      </w:pPr>
      <w:bookmarkStart w:id="253" w:name="2.2.3路面工程"/>
      <w:bookmarkEnd w:id="253"/>
      <w:r>
        <w:t>交叉工程</w:t>
      </w:r>
    </w:p>
    <w:p>
      <w:pPr>
        <w:ind w:firstLine="480"/>
        <w:rPr>
          <w:rFonts w:cs="Times New Roman"/>
          <w:spacing w:val="-15"/>
          <w:szCs w:val="24"/>
        </w:rPr>
      </w:pPr>
      <w:r>
        <w:rPr>
          <w:rFonts w:hint="eastAsia"/>
        </w:rPr>
        <w:t>根据路线总体布局及地方路网及城镇规划，同时满足沿线交通量发展需求，本项目沿线与七条道路相交，其中十字型交叉的三条被交道路为沿线村道，T字型交叉的四条为起点与国道G324（信号灯控制）终点与黄檗文化产业园规划路及另外两条村道（右进右出）。项目平面交叉共9处，分离式立体交叉4处</w:t>
      </w:r>
      <w:r>
        <w:rPr>
          <w:rFonts w:cs="Times New Roman"/>
          <w:spacing w:val="-7"/>
          <w:szCs w:val="24"/>
        </w:rPr>
        <w:t>。本项目交叉工程设置详见</w:t>
      </w:r>
      <w:r>
        <w:rPr>
          <w:rFonts w:cs="Times New Roman"/>
          <w:spacing w:val="-7"/>
          <w:szCs w:val="24"/>
        </w:rPr>
        <w:fldChar w:fldCharType="begin"/>
      </w:r>
      <w:r>
        <w:rPr>
          <w:rFonts w:cs="Times New Roman"/>
          <w:spacing w:val="-7"/>
          <w:szCs w:val="24"/>
        </w:rPr>
        <w:instrText xml:space="preserve"> REF _Ref156225475 \r \h  \* MERGEFORMAT </w:instrText>
      </w:r>
      <w:r>
        <w:rPr>
          <w:rFonts w:cs="Times New Roman"/>
          <w:spacing w:val="-7"/>
          <w:szCs w:val="24"/>
        </w:rPr>
        <w:fldChar w:fldCharType="separate"/>
      </w:r>
      <w:r>
        <w:rPr>
          <w:rFonts w:hint="eastAsia" w:cs="Times New Roman"/>
          <w:spacing w:val="-7"/>
          <w:szCs w:val="24"/>
        </w:rPr>
        <w:t>表3.3-1</w:t>
      </w:r>
      <w:r>
        <w:rPr>
          <w:rFonts w:cs="Times New Roman"/>
          <w:spacing w:val="-7"/>
          <w:szCs w:val="24"/>
        </w:rPr>
        <w:fldChar w:fldCharType="end"/>
      </w:r>
      <w:r>
        <w:rPr>
          <w:rFonts w:cs="Times New Roman"/>
          <w:spacing w:val="-15"/>
          <w:szCs w:val="24"/>
        </w:rPr>
        <w:t>。</w:t>
      </w:r>
    </w:p>
    <w:p>
      <w:pPr>
        <w:pStyle w:val="87"/>
        <w:spacing w:before="120"/>
      </w:pPr>
      <w:bookmarkStart w:id="254" w:name="_Ref156225475"/>
      <w:r>
        <w:t>本项目交叉工程设置情况一览表</w:t>
      </w:r>
      <w:bookmarkEnd w:id="254"/>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531"/>
        <w:gridCol w:w="1407"/>
        <w:gridCol w:w="1518"/>
        <w:gridCol w:w="2153"/>
        <w:gridCol w:w="1026"/>
        <w:gridCol w:w="1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348" w:type="pct"/>
            <w:vAlign w:val="center"/>
          </w:tcPr>
          <w:p>
            <w:pPr>
              <w:pStyle w:val="105"/>
              <w:spacing w:before="0" w:after="0"/>
              <w:jc w:val="center"/>
              <w:rPr>
                <w:snapToGrid w:val="0"/>
                <w:sz w:val="18"/>
                <w:szCs w:val="22"/>
              </w:rPr>
            </w:pPr>
            <w:r>
              <w:rPr>
                <w:rFonts w:hint="eastAsia"/>
                <w:snapToGrid w:val="0"/>
                <w:sz w:val="18"/>
                <w:szCs w:val="22"/>
              </w:rPr>
              <w:t>序号</w:t>
            </w:r>
          </w:p>
        </w:tc>
        <w:tc>
          <w:tcPr>
            <w:tcW w:w="824" w:type="pct"/>
            <w:vAlign w:val="center"/>
          </w:tcPr>
          <w:p>
            <w:pPr>
              <w:pStyle w:val="105"/>
              <w:spacing w:before="0" w:after="0"/>
              <w:jc w:val="center"/>
              <w:rPr>
                <w:snapToGrid w:val="0"/>
                <w:sz w:val="18"/>
                <w:szCs w:val="22"/>
              </w:rPr>
            </w:pPr>
            <w:r>
              <w:rPr>
                <w:rFonts w:hint="eastAsia"/>
                <w:snapToGrid w:val="0"/>
                <w:sz w:val="18"/>
                <w:szCs w:val="22"/>
              </w:rPr>
              <w:t>交叉中心桩号</w:t>
            </w:r>
          </w:p>
        </w:tc>
        <w:tc>
          <w:tcPr>
            <w:tcW w:w="757" w:type="pct"/>
            <w:vAlign w:val="center"/>
          </w:tcPr>
          <w:p>
            <w:pPr>
              <w:pStyle w:val="105"/>
              <w:spacing w:before="0" w:after="0"/>
              <w:jc w:val="center"/>
              <w:rPr>
                <w:snapToGrid w:val="0"/>
                <w:sz w:val="18"/>
                <w:szCs w:val="22"/>
              </w:rPr>
            </w:pPr>
            <w:r>
              <w:rPr>
                <w:rFonts w:hint="eastAsia"/>
                <w:snapToGrid w:val="0"/>
                <w:sz w:val="18"/>
                <w:szCs w:val="22"/>
              </w:rPr>
              <w:t>交叉角度</w:t>
            </w:r>
          </w:p>
        </w:tc>
        <w:tc>
          <w:tcPr>
            <w:tcW w:w="817" w:type="pct"/>
            <w:vAlign w:val="center"/>
          </w:tcPr>
          <w:p>
            <w:pPr>
              <w:pStyle w:val="105"/>
              <w:spacing w:before="0" w:after="0"/>
              <w:jc w:val="center"/>
              <w:rPr>
                <w:snapToGrid w:val="0"/>
                <w:sz w:val="18"/>
                <w:szCs w:val="22"/>
              </w:rPr>
            </w:pPr>
            <w:r>
              <w:rPr>
                <w:rFonts w:hint="eastAsia"/>
                <w:snapToGrid w:val="0"/>
                <w:sz w:val="18"/>
                <w:szCs w:val="22"/>
              </w:rPr>
              <w:t>被交道路名称</w:t>
            </w:r>
          </w:p>
        </w:tc>
        <w:tc>
          <w:tcPr>
            <w:tcW w:w="1159" w:type="pct"/>
            <w:vAlign w:val="center"/>
          </w:tcPr>
          <w:p>
            <w:pPr>
              <w:pStyle w:val="105"/>
              <w:spacing w:before="0" w:after="0"/>
              <w:jc w:val="center"/>
              <w:rPr>
                <w:snapToGrid w:val="0"/>
                <w:sz w:val="18"/>
                <w:szCs w:val="22"/>
              </w:rPr>
            </w:pPr>
            <w:r>
              <w:rPr>
                <w:rFonts w:hint="eastAsia"/>
                <w:snapToGrid w:val="0"/>
                <w:sz w:val="18"/>
                <w:szCs w:val="22"/>
              </w:rPr>
              <w:t>交叉型式</w:t>
            </w:r>
          </w:p>
        </w:tc>
        <w:tc>
          <w:tcPr>
            <w:tcW w:w="552" w:type="pct"/>
            <w:vAlign w:val="center"/>
          </w:tcPr>
          <w:p>
            <w:pPr>
              <w:pStyle w:val="105"/>
              <w:spacing w:before="0" w:after="0"/>
              <w:jc w:val="center"/>
              <w:rPr>
                <w:snapToGrid w:val="0"/>
                <w:sz w:val="18"/>
                <w:szCs w:val="22"/>
              </w:rPr>
            </w:pPr>
            <w:r>
              <w:rPr>
                <w:rFonts w:hint="eastAsia"/>
                <w:snapToGrid w:val="0"/>
                <w:sz w:val="18"/>
                <w:szCs w:val="22"/>
              </w:rPr>
              <w:t>被交道路宽度（</w:t>
            </w:r>
            <w:r>
              <w:rPr>
                <w:snapToGrid w:val="0"/>
                <w:sz w:val="18"/>
                <w:szCs w:val="22"/>
              </w:rPr>
              <w:t>m</w:t>
            </w:r>
            <w:r>
              <w:rPr>
                <w:rFonts w:hint="eastAsia"/>
                <w:snapToGrid w:val="0"/>
                <w:sz w:val="18"/>
                <w:szCs w:val="22"/>
              </w:rPr>
              <w:t>）</w:t>
            </w:r>
          </w:p>
        </w:tc>
        <w:tc>
          <w:tcPr>
            <w:tcW w:w="543" w:type="pct"/>
            <w:vAlign w:val="center"/>
          </w:tcPr>
          <w:p>
            <w:pPr>
              <w:pStyle w:val="105"/>
              <w:spacing w:before="0" w:after="0"/>
              <w:jc w:val="center"/>
              <w:rPr>
                <w:snapToGrid w:val="0"/>
                <w:sz w:val="18"/>
                <w:szCs w:val="22"/>
              </w:rPr>
            </w:pPr>
            <w:r>
              <w:rPr>
                <w:rFonts w:hint="eastAsia"/>
                <w:snapToGrid w:val="0"/>
                <w:sz w:val="18"/>
                <w:szCs w:val="22"/>
              </w:rPr>
              <w:t>被交道路等级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48" w:type="pct"/>
            <w:vAlign w:val="center"/>
          </w:tcPr>
          <w:p>
            <w:pPr>
              <w:pStyle w:val="105"/>
              <w:spacing w:before="0" w:after="0"/>
              <w:jc w:val="center"/>
              <w:rPr>
                <w:snapToGrid w:val="0"/>
                <w:sz w:val="18"/>
                <w:szCs w:val="22"/>
              </w:rPr>
            </w:pPr>
            <w:r>
              <w:rPr>
                <w:snapToGrid w:val="0"/>
                <w:sz w:val="18"/>
                <w:szCs w:val="22"/>
              </w:rPr>
              <w:t>1</w:t>
            </w:r>
          </w:p>
        </w:tc>
        <w:tc>
          <w:tcPr>
            <w:tcW w:w="824" w:type="pct"/>
            <w:vAlign w:val="center"/>
          </w:tcPr>
          <w:p>
            <w:pPr>
              <w:pStyle w:val="105"/>
              <w:spacing w:before="0" w:after="0"/>
              <w:jc w:val="center"/>
              <w:rPr>
                <w:snapToGrid w:val="0"/>
                <w:sz w:val="18"/>
                <w:szCs w:val="22"/>
              </w:rPr>
            </w:pPr>
            <w:r>
              <w:rPr>
                <w:snapToGrid w:val="0"/>
                <w:sz w:val="18"/>
                <w:szCs w:val="22"/>
              </w:rPr>
              <w:t>K0+000</w:t>
            </w:r>
          </w:p>
        </w:tc>
        <w:tc>
          <w:tcPr>
            <w:tcW w:w="757" w:type="pct"/>
            <w:vAlign w:val="center"/>
          </w:tcPr>
          <w:p>
            <w:pPr>
              <w:pStyle w:val="105"/>
              <w:spacing w:before="0" w:after="0"/>
              <w:jc w:val="center"/>
              <w:rPr>
                <w:rFonts w:cs="Times New Roman"/>
                <w:snapToGrid w:val="0"/>
                <w:sz w:val="18"/>
                <w:szCs w:val="22"/>
              </w:rPr>
            </w:pPr>
            <w:r>
              <w:rPr>
                <w:rFonts w:cs="Times New Roman"/>
                <w:snapToGrid w:val="0"/>
                <w:sz w:val="18"/>
                <w:szCs w:val="22"/>
              </w:rPr>
              <w:t>85° 47′8″</w:t>
            </w:r>
          </w:p>
        </w:tc>
        <w:tc>
          <w:tcPr>
            <w:tcW w:w="817" w:type="pct"/>
            <w:vAlign w:val="center"/>
          </w:tcPr>
          <w:p>
            <w:pPr>
              <w:pStyle w:val="105"/>
              <w:spacing w:before="0" w:after="0"/>
              <w:jc w:val="center"/>
              <w:rPr>
                <w:snapToGrid w:val="0"/>
                <w:sz w:val="18"/>
                <w:szCs w:val="22"/>
              </w:rPr>
            </w:pPr>
            <w:r>
              <w:rPr>
                <w:snapToGrid w:val="0"/>
                <w:sz w:val="18"/>
                <w:szCs w:val="22"/>
              </w:rPr>
              <w:t>G324</w:t>
            </w:r>
          </w:p>
        </w:tc>
        <w:tc>
          <w:tcPr>
            <w:tcW w:w="1159" w:type="pct"/>
            <w:vAlign w:val="center"/>
          </w:tcPr>
          <w:p>
            <w:pPr>
              <w:pStyle w:val="105"/>
              <w:spacing w:before="0" w:after="0"/>
              <w:jc w:val="center"/>
              <w:rPr>
                <w:snapToGrid w:val="0"/>
                <w:sz w:val="18"/>
                <w:szCs w:val="22"/>
              </w:rPr>
            </w:pPr>
            <w:r>
              <w:rPr>
                <w:snapToGrid w:val="0"/>
                <w:sz w:val="18"/>
                <w:szCs w:val="22"/>
              </w:rPr>
              <w:t>T</w:t>
            </w:r>
            <w:r>
              <w:rPr>
                <w:rFonts w:hint="eastAsia"/>
                <w:snapToGrid w:val="0"/>
                <w:sz w:val="18"/>
                <w:szCs w:val="22"/>
              </w:rPr>
              <w:t>型交叉（信号灯控制）</w:t>
            </w:r>
          </w:p>
        </w:tc>
        <w:tc>
          <w:tcPr>
            <w:tcW w:w="552" w:type="pct"/>
            <w:vAlign w:val="center"/>
          </w:tcPr>
          <w:p>
            <w:pPr>
              <w:pStyle w:val="105"/>
              <w:spacing w:before="0" w:after="0"/>
              <w:jc w:val="center"/>
              <w:rPr>
                <w:snapToGrid w:val="0"/>
                <w:sz w:val="18"/>
                <w:szCs w:val="22"/>
              </w:rPr>
            </w:pPr>
            <w:r>
              <w:rPr>
                <w:snapToGrid w:val="0"/>
                <w:sz w:val="18"/>
                <w:szCs w:val="22"/>
              </w:rPr>
              <w:t>23.5</w:t>
            </w:r>
          </w:p>
        </w:tc>
        <w:tc>
          <w:tcPr>
            <w:tcW w:w="543" w:type="pct"/>
            <w:vAlign w:val="center"/>
          </w:tcPr>
          <w:p>
            <w:pPr>
              <w:pStyle w:val="105"/>
              <w:spacing w:before="0" w:after="0"/>
              <w:jc w:val="center"/>
              <w:rPr>
                <w:snapToGrid w:val="0"/>
                <w:sz w:val="18"/>
                <w:szCs w:val="22"/>
              </w:rPr>
            </w:pPr>
            <w:r>
              <w:rPr>
                <w:rFonts w:hint="eastAsia"/>
                <w:snapToGrid w:val="0"/>
                <w:sz w:val="18"/>
                <w:szCs w:val="22"/>
              </w:rPr>
              <w:t>二级公路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8" w:type="pct"/>
            <w:vAlign w:val="center"/>
          </w:tcPr>
          <w:p>
            <w:pPr>
              <w:pStyle w:val="105"/>
              <w:spacing w:before="0" w:after="0"/>
              <w:jc w:val="center"/>
              <w:rPr>
                <w:snapToGrid w:val="0"/>
                <w:sz w:val="18"/>
                <w:szCs w:val="22"/>
              </w:rPr>
            </w:pPr>
            <w:r>
              <w:rPr>
                <w:snapToGrid w:val="0"/>
                <w:sz w:val="18"/>
                <w:szCs w:val="22"/>
              </w:rPr>
              <w:t>2</w:t>
            </w:r>
          </w:p>
        </w:tc>
        <w:tc>
          <w:tcPr>
            <w:tcW w:w="824" w:type="pct"/>
            <w:vAlign w:val="center"/>
          </w:tcPr>
          <w:p>
            <w:pPr>
              <w:pStyle w:val="105"/>
              <w:spacing w:before="0" w:after="0"/>
              <w:jc w:val="center"/>
              <w:rPr>
                <w:snapToGrid w:val="0"/>
                <w:sz w:val="18"/>
                <w:szCs w:val="22"/>
              </w:rPr>
            </w:pPr>
            <w:r>
              <w:rPr>
                <w:snapToGrid w:val="0"/>
                <w:sz w:val="18"/>
                <w:szCs w:val="22"/>
              </w:rPr>
              <w:t>K1+539.810</w:t>
            </w:r>
          </w:p>
        </w:tc>
        <w:tc>
          <w:tcPr>
            <w:tcW w:w="757" w:type="pct"/>
            <w:vAlign w:val="center"/>
          </w:tcPr>
          <w:p>
            <w:pPr>
              <w:pStyle w:val="105"/>
              <w:spacing w:before="0" w:after="0"/>
              <w:jc w:val="center"/>
              <w:rPr>
                <w:rFonts w:cs="Times New Roman"/>
                <w:snapToGrid w:val="0"/>
                <w:sz w:val="18"/>
                <w:szCs w:val="22"/>
              </w:rPr>
            </w:pPr>
            <w:r>
              <w:rPr>
                <w:rFonts w:cs="Times New Roman"/>
                <w:snapToGrid w:val="0"/>
                <w:sz w:val="18"/>
                <w:szCs w:val="22"/>
              </w:rPr>
              <w:t>79° 27′59″</w:t>
            </w:r>
          </w:p>
        </w:tc>
        <w:tc>
          <w:tcPr>
            <w:tcW w:w="817" w:type="pct"/>
            <w:vAlign w:val="center"/>
          </w:tcPr>
          <w:p>
            <w:pPr>
              <w:pStyle w:val="105"/>
              <w:spacing w:before="0" w:after="0"/>
              <w:jc w:val="center"/>
              <w:rPr>
                <w:snapToGrid w:val="0"/>
                <w:sz w:val="18"/>
                <w:szCs w:val="22"/>
              </w:rPr>
            </w:pPr>
            <w:r>
              <w:rPr>
                <w:rFonts w:hint="eastAsia"/>
                <w:snapToGrid w:val="0"/>
                <w:sz w:val="18"/>
                <w:szCs w:val="22"/>
              </w:rPr>
              <w:t>村道</w:t>
            </w:r>
          </w:p>
        </w:tc>
        <w:tc>
          <w:tcPr>
            <w:tcW w:w="1159" w:type="pct"/>
            <w:vAlign w:val="center"/>
          </w:tcPr>
          <w:p>
            <w:pPr>
              <w:pStyle w:val="105"/>
              <w:spacing w:before="0" w:after="0"/>
              <w:jc w:val="center"/>
              <w:rPr>
                <w:snapToGrid w:val="0"/>
                <w:sz w:val="18"/>
                <w:szCs w:val="22"/>
              </w:rPr>
            </w:pPr>
            <w:r>
              <w:rPr>
                <w:snapToGrid w:val="0"/>
                <w:sz w:val="18"/>
                <w:szCs w:val="22"/>
              </w:rPr>
              <w:t>T</w:t>
            </w:r>
            <w:r>
              <w:rPr>
                <w:rFonts w:hint="eastAsia"/>
                <w:snapToGrid w:val="0"/>
                <w:sz w:val="18"/>
                <w:szCs w:val="22"/>
              </w:rPr>
              <w:t>型交叉（右进右出）</w:t>
            </w:r>
          </w:p>
        </w:tc>
        <w:tc>
          <w:tcPr>
            <w:tcW w:w="552" w:type="pct"/>
            <w:vAlign w:val="center"/>
          </w:tcPr>
          <w:p>
            <w:pPr>
              <w:pStyle w:val="105"/>
              <w:spacing w:before="0" w:after="0"/>
              <w:jc w:val="center"/>
              <w:rPr>
                <w:snapToGrid w:val="0"/>
                <w:sz w:val="18"/>
                <w:szCs w:val="22"/>
              </w:rPr>
            </w:pPr>
            <w:r>
              <w:rPr>
                <w:snapToGrid w:val="0"/>
                <w:sz w:val="18"/>
                <w:szCs w:val="22"/>
              </w:rPr>
              <w:t>4.5</w:t>
            </w:r>
          </w:p>
        </w:tc>
        <w:tc>
          <w:tcPr>
            <w:tcW w:w="543" w:type="pct"/>
            <w:vAlign w:val="center"/>
          </w:tcPr>
          <w:p>
            <w:pPr>
              <w:pStyle w:val="105"/>
              <w:spacing w:before="0" w:after="0"/>
              <w:jc w:val="center"/>
              <w:rPr>
                <w:snapToGrid w:val="0"/>
                <w:sz w:val="18"/>
                <w:szCs w:val="22"/>
              </w:rPr>
            </w:pPr>
            <w:r>
              <w:rPr>
                <w:rFonts w:hint="eastAsia"/>
                <w:snapToGrid w:val="0"/>
                <w:sz w:val="18"/>
                <w:szCs w:val="22"/>
              </w:rPr>
              <w:t>等外路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48" w:type="pct"/>
            <w:vAlign w:val="center"/>
          </w:tcPr>
          <w:p>
            <w:pPr>
              <w:pStyle w:val="105"/>
              <w:spacing w:before="0" w:after="0"/>
              <w:jc w:val="center"/>
              <w:rPr>
                <w:snapToGrid w:val="0"/>
                <w:sz w:val="18"/>
                <w:szCs w:val="22"/>
              </w:rPr>
            </w:pPr>
            <w:r>
              <w:rPr>
                <w:snapToGrid w:val="0"/>
                <w:sz w:val="18"/>
                <w:szCs w:val="22"/>
              </w:rPr>
              <w:t>3</w:t>
            </w:r>
          </w:p>
        </w:tc>
        <w:tc>
          <w:tcPr>
            <w:tcW w:w="824" w:type="pct"/>
            <w:vAlign w:val="center"/>
          </w:tcPr>
          <w:p>
            <w:pPr>
              <w:pStyle w:val="105"/>
              <w:spacing w:before="0" w:after="0"/>
              <w:jc w:val="center"/>
              <w:rPr>
                <w:snapToGrid w:val="0"/>
                <w:sz w:val="18"/>
                <w:szCs w:val="22"/>
              </w:rPr>
            </w:pPr>
            <w:r>
              <w:rPr>
                <w:snapToGrid w:val="0"/>
                <w:sz w:val="18"/>
                <w:szCs w:val="22"/>
              </w:rPr>
              <w:t>K1+723.143</w:t>
            </w:r>
          </w:p>
        </w:tc>
        <w:tc>
          <w:tcPr>
            <w:tcW w:w="757" w:type="pct"/>
            <w:vAlign w:val="center"/>
          </w:tcPr>
          <w:p>
            <w:pPr>
              <w:pStyle w:val="105"/>
              <w:spacing w:before="0" w:after="0"/>
              <w:jc w:val="center"/>
              <w:rPr>
                <w:rFonts w:cs="Times New Roman"/>
                <w:snapToGrid w:val="0"/>
                <w:sz w:val="18"/>
                <w:szCs w:val="22"/>
              </w:rPr>
            </w:pPr>
            <w:r>
              <w:rPr>
                <w:rFonts w:cs="Times New Roman"/>
                <w:snapToGrid w:val="0"/>
                <w:sz w:val="18"/>
                <w:szCs w:val="22"/>
              </w:rPr>
              <w:t>72°23′48″</w:t>
            </w:r>
          </w:p>
        </w:tc>
        <w:tc>
          <w:tcPr>
            <w:tcW w:w="817" w:type="pct"/>
            <w:vAlign w:val="center"/>
          </w:tcPr>
          <w:p>
            <w:pPr>
              <w:pStyle w:val="105"/>
              <w:spacing w:before="0" w:after="0"/>
              <w:jc w:val="center"/>
              <w:rPr>
                <w:snapToGrid w:val="0"/>
                <w:sz w:val="18"/>
                <w:szCs w:val="22"/>
              </w:rPr>
            </w:pPr>
            <w:r>
              <w:rPr>
                <w:rFonts w:hint="eastAsia"/>
                <w:snapToGrid w:val="0"/>
                <w:sz w:val="18"/>
                <w:szCs w:val="22"/>
              </w:rPr>
              <w:t>侨丰路</w:t>
            </w:r>
          </w:p>
        </w:tc>
        <w:tc>
          <w:tcPr>
            <w:tcW w:w="1159" w:type="pct"/>
            <w:vAlign w:val="center"/>
          </w:tcPr>
          <w:p>
            <w:pPr>
              <w:pStyle w:val="105"/>
              <w:spacing w:before="0" w:after="0"/>
              <w:jc w:val="center"/>
              <w:rPr>
                <w:snapToGrid w:val="0"/>
                <w:sz w:val="18"/>
                <w:szCs w:val="22"/>
              </w:rPr>
            </w:pPr>
            <w:r>
              <w:rPr>
                <w:rFonts w:hint="eastAsia"/>
                <w:snapToGrid w:val="0"/>
                <w:sz w:val="18"/>
                <w:szCs w:val="22"/>
              </w:rPr>
              <w:t>十字交叉（信号灯控制）</w:t>
            </w:r>
          </w:p>
        </w:tc>
        <w:tc>
          <w:tcPr>
            <w:tcW w:w="552" w:type="pct"/>
            <w:vAlign w:val="center"/>
          </w:tcPr>
          <w:p>
            <w:pPr>
              <w:pStyle w:val="105"/>
              <w:spacing w:before="0" w:after="0"/>
              <w:jc w:val="center"/>
              <w:rPr>
                <w:snapToGrid w:val="0"/>
                <w:sz w:val="18"/>
                <w:szCs w:val="22"/>
              </w:rPr>
            </w:pPr>
            <w:r>
              <w:rPr>
                <w:snapToGrid w:val="0"/>
                <w:sz w:val="18"/>
                <w:szCs w:val="22"/>
              </w:rPr>
              <w:t>8.5</w:t>
            </w:r>
          </w:p>
        </w:tc>
        <w:tc>
          <w:tcPr>
            <w:tcW w:w="543" w:type="pct"/>
            <w:vAlign w:val="center"/>
          </w:tcPr>
          <w:p>
            <w:pPr>
              <w:pStyle w:val="105"/>
              <w:spacing w:before="0" w:after="0"/>
              <w:jc w:val="center"/>
              <w:rPr>
                <w:snapToGrid w:val="0"/>
                <w:sz w:val="18"/>
                <w:szCs w:val="22"/>
              </w:rPr>
            </w:pPr>
            <w:r>
              <w:rPr>
                <w:rFonts w:hint="eastAsia"/>
                <w:snapToGrid w:val="0"/>
                <w:sz w:val="18"/>
                <w:szCs w:val="22"/>
              </w:rPr>
              <w:t>四级公路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8" w:type="pct"/>
            <w:vAlign w:val="center"/>
          </w:tcPr>
          <w:p>
            <w:pPr>
              <w:pStyle w:val="105"/>
              <w:spacing w:before="0" w:after="0"/>
              <w:jc w:val="center"/>
              <w:rPr>
                <w:snapToGrid w:val="0"/>
                <w:sz w:val="18"/>
                <w:szCs w:val="22"/>
              </w:rPr>
            </w:pPr>
            <w:r>
              <w:rPr>
                <w:snapToGrid w:val="0"/>
                <w:sz w:val="18"/>
                <w:szCs w:val="22"/>
              </w:rPr>
              <w:t>4</w:t>
            </w:r>
          </w:p>
        </w:tc>
        <w:tc>
          <w:tcPr>
            <w:tcW w:w="824" w:type="pct"/>
            <w:vAlign w:val="center"/>
          </w:tcPr>
          <w:p>
            <w:pPr>
              <w:pStyle w:val="105"/>
              <w:spacing w:before="0" w:after="0"/>
              <w:jc w:val="center"/>
              <w:rPr>
                <w:snapToGrid w:val="0"/>
                <w:sz w:val="18"/>
                <w:szCs w:val="22"/>
              </w:rPr>
            </w:pPr>
            <w:r>
              <w:rPr>
                <w:snapToGrid w:val="0"/>
                <w:sz w:val="18"/>
                <w:szCs w:val="22"/>
              </w:rPr>
              <w:t>K2+590.700</w:t>
            </w:r>
          </w:p>
        </w:tc>
        <w:tc>
          <w:tcPr>
            <w:tcW w:w="757" w:type="pct"/>
            <w:vAlign w:val="center"/>
          </w:tcPr>
          <w:p>
            <w:pPr>
              <w:pStyle w:val="105"/>
              <w:spacing w:before="0" w:after="0"/>
              <w:jc w:val="center"/>
              <w:rPr>
                <w:rFonts w:cs="Times New Roman"/>
                <w:snapToGrid w:val="0"/>
                <w:sz w:val="18"/>
                <w:szCs w:val="22"/>
              </w:rPr>
            </w:pPr>
            <w:r>
              <w:rPr>
                <w:rFonts w:cs="Times New Roman"/>
                <w:snapToGrid w:val="0"/>
                <w:sz w:val="18"/>
                <w:szCs w:val="22"/>
              </w:rPr>
              <w:t>54°4′8″</w:t>
            </w:r>
          </w:p>
        </w:tc>
        <w:tc>
          <w:tcPr>
            <w:tcW w:w="817" w:type="pct"/>
            <w:vAlign w:val="center"/>
          </w:tcPr>
          <w:p>
            <w:pPr>
              <w:pStyle w:val="105"/>
              <w:spacing w:before="0" w:after="0"/>
              <w:jc w:val="center"/>
              <w:rPr>
                <w:snapToGrid w:val="0"/>
                <w:sz w:val="18"/>
                <w:szCs w:val="22"/>
              </w:rPr>
            </w:pPr>
            <w:r>
              <w:rPr>
                <w:rFonts w:hint="eastAsia"/>
                <w:snapToGrid w:val="0"/>
                <w:sz w:val="18"/>
                <w:szCs w:val="22"/>
              </w:rPr>
              <w:t>村道</w:t>
            </w:r>
          </w:p>
        </w:tc>
        <w:tc>
          <w:tcPr>
            <w:tcW w:w="1159" w:type="pct"/>
            <w:vAlign w:val="center"/>
          </w:tcPr>
          <w:p>
            <w:pPr>
              <w:pStyle w:val="105"/>
              <w:spacing w:before="0" w:after="0"/>
              <w:jc w:val="center"/>
              <w:rPr>
                <w:snapToGrid w:val="0"/>
                <w:sz w:val="18"/>
                <w:szCs w:val="22"/>
              </w:rPr>
            </w:pPr>
            <w:r>
              <w:rPr>
                <w:rFonts w:hint="eastAsia"/>
                <w:snapToGrid w:val="0"/>
                <w:sz w:val="18"/>
                <w:szCs w:val="22"/>
              </w:rPr>
              <w:t>十字交叉（右进右出）</w:t>
            </w:r>
          </w:p>
        </w:tc>
        <w:tc>
          <w:tcPr>
            <w:tcW w:w="552" w:type="pct"/>
            <w:vAlign w:val="center"/>
          </w:tcPr>
          <w:p>
            <w:pPr>
              <w:pStyle w:val="105"/>
              <w:spacing w:before="0" w:after="0"/>
              <w:jc w:val="center"/>
              <w:rPr>
                <w:snapToGrid w:val="0"/>
                <w:sz w:val="18"/>
                <w:szCs w:val="22"/>
              </w:rPr>
            </w:pPr>
            <w:r>
              <w:rPr>
                <w:snapToGrid w:val="0"/>
                <w:sz w:val="18"/>
                <w:szCs w:val="22"/>
              </w:rPr>
              <w:t>4.5</w:t>
            </w:r>
          </w:p>
        </w:tc>
        <w:tc>
          <w:tcPr>
            <w:tcW w:w="543" w:type="pct"/>
            <w:vAlign w:val="center"/>
          </w:tcPr>
          <w:p>
            <w:pPr>
              <w:pStyle w:val="105"/>
              <w:spacing w:before="0" w:after="0"/>
              <w:jc w:val="center"/>
              <w:rPr>
                <w:snapToGrid w:val="0"/>
                <w:sz w:val="18"/>
                <w:szCs w:val="22"/>
              </w:rPr>
            </w:pPr>
            <w:r>
              <w:rPr>
                <w:rFonts w:hint="eastAsia"/>
                <w:snapToGrid w:val="0"/>
                <w:sz w:val="18"/>
                <w:szCs w:val="22"/>
              </w:rPr>
              <w:t>等外路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48" w:type="pct"/>
            <w:vAlign w:val="center"/>
          </w:tcPr>
          <w:p>
            <w:pPr>
              <w:pStyle w:val="105"/>
              <w:spacing w:before="0" w:after="0"/>
              <w:jc w:val="center"/>
              <w:rPr>
                <w:snapToGrid w:val="0"/>
                <w:sz w:val="18"/>
                <w:szCs w:val="22"/>
              </w:rPr>
            </w:pPr>
            <w:r>
              <w:rPr>
                <w:snapToGrid w:val="0"/>
                <w:sz w:val="18"/>
                <w:szCs w:val="22"/>
              </w:rPr>
              <w:t>5</w:t>
            </w:r>
          </w:p>
        </w:tc>
        <w:tc>
          <w:tcPr>
            <w:tcW w:w="824" w:type="pct"/>
            <w:vAlign w:val="center"/>
          </w:tcPr>
          <w:p>
            <w:pPr>
              <w:pStyle w:val="105"/>
              <w:spacing w:before="0" w:after="0"/>
              <w:jc w:val="center"/>
              <w:rPr>
                <w:snapToGrid w:val="0"/>
                <w:sz w:val="18"/>
                <w:szCs w:val="22"/>
              </w:rPr>
            </w:pPr>
            <w:r>
              <w:rPr>
                <w:snapToGrid w:val="0"/>
                <w:sz w:val="18"/>
                <w:szCs w:val="22"/>
              </w:rPr>
              <w:t>K2+885.112</w:t>
            </w:r>
          </w:p>
        </w:tc>
        <w:tc>
          <w:tcPr>
            <w:tcW w:w="757" w:type="pct"/>
            <w:vAlign w:val="center"/>
          </w:tcPr>
          <w:p>
            <w:pPr>
              <w:pStyle w:val="105"/>
              <w:spacing w:before="0" w:after="0"/>
              <w:jc w:val="center"/>
              <w:rPr>
                <w:rFonts w:cs="Times New Roman"/>
                <w:snapToGrid w:val="0"/>
                <w:sz w:val="18"/>
                <w:szCs w:val="22"/>
              </w:rPr>
            </w:pPr>
            <w:r>
              <w:rPr>
                <w:rFonts w:cs="Times New Roman"/>
                <w:snapToGrid w:val="0"/>
                <w:sz w:val="18"/>
                <w:szCs w:val="22"/>
              </w:rPr>
              <w:t>42°21′25″</w:t>
            </w:r>
          </w:p>
        </w:tc>
        <w:tc>
          <w:tcPr>
            <w:tcW w:w="817" w:type="pct"/>
            <w:vAlign w:val="center"/>
          </w:tcPr>
          <w:p>
            <w:pPr>
              <w:pStyle w:val="105"/>
              <w:spacing w:before="0" w:after="0"/>
              <w:jc w:val="center"/>
              <w:rPr>
                <w:snapToGrid w:val="0"/>
                <w:sz w:val="18"/>
                <w:szCs w:val="22"/>
              </w:rPr>
            </w:pPr>
            <w:r>
              <w:rPr>
                <w:rFonts w:hint="eastAsia"/>
                <w:snapToGrid w:val="0"/>
                <w:sz w:val="18"/>
                <w:szCs w:val="22"/>
              </w:rPr>
              <w:t>村道</w:t>
            </w:r>
          </w:p>
        </w:tc>
        <w:tc>
          <w:tcPr>
            <w:tcW w:w="1159" w:type="pct"/>
            <w:vAlign w:val="center"/>
          </w:tcPr>
          <w:p>
            <w:pPr>
              <w:pStyle w:val="105"/>
              <w:spacing w:before="0" w:after="0"/>
              <w:jc w:val="center"/>
              <w:rPr>
                <w:snapToGrid w:val="0"/>
                <w:sz w:val="18"/>
                <w:szCs w:val="22"/>
              </w:rPr>
            </w:pPr>
            <w:r>
              <w:rPr>
                <w:rFonts w:hint="eastAsia"/>
                <w:snapToGrid w:val="0"/>
                <w:sz w:val="18"/>
                <w:szCs w:val="22"/>
              </w:rPr>
              <w:t>十字交叉（右进右出）</w:t>
            </w:r>
          </w:p>
        </w:tc>
        <w:tc>
          <w:tcPr>
            <w:tcW w:w="552" w:type="pct"/>
            <w:vAlign w:val="center"/>
          </w:tcPr>
          <w:p>
            <w:pPr>
              <w:pStyle w:val="105"/>
              <w:spacing w:before="0" w:after="0"/>
              <w:jc w:val="center"/>
              <w:rPr>
                <w:snapToGrid w:val="0"/>
                <w:sz w:val="18"/>
                <w:szCs w:val="22"/>
              </w:rPr>
            </w:pPr>
            <w:r>
              <w:rPr>
                <w:snapToGrid w:val="0"/>
                <w:sz w:val="18"/>
                <w:szCs w:val="22"/>
              </w:rPr>
              <w:t>4.5</w:t>
            </w:r>
          </w:p>
        </w:tc>
        <w:tc>
          <w:tcPr>
            <w:tcW w:w="543" w:type="pct"/>
            <w:vAlign w:val="center"/>
          </w:tcPr>
          <w:p>
            <w:pPr>
              <w:pStyle w:val="105"/>
              <w:spacing w:before="0" w:after="0"/>
              <w:jc w:val="center"/>
              <w:rPr>
                <w:snapToGrid w:val="0"/>
                <w:sz w:val="18"/>
                <w:szCs w:val="22"/>
              </w:rPr>
            </w:pPr>
            <w:r>
              <w:rPr>
                <w:rFonts w:hint="eastAsia"/>
                <w:snapToGrid w:val="0"/>
                <w:sz w:val="18"/>
                <w:szCs w:val="22"/>
              </w:rPr>
              <w:t>等外路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8" w:type="pct"/>
            <w:vAlign w:val="center"/>
          </w:tcPr>
          <w:p>
            <w:pPr>
              <w:pStyle w:val="105"/>
              <w:spacing w:before="0" w:after="0"/>
              <w:jc w:val="center"/>
              <w:rPr>
                <w:snapToGrid w:val="0"/>
                <w:sz w:val="18"/>
                <w:szCs w:val="22"/>
              </w:rPr>
            </w:pPr>
            <w:r>
              <w:rPr>
                <w:snapToGrid w:val="0"/>
                <w:sz w:val="18"/>
                <w:szCs w:val="22"/>
              </w:rPr>
              <w:t>6</w:t>
            </w:r>
          </w:p>
        </w:tc>
        <w:tc>
          <w:tcPr>
            <w:tcW w:w="824" w:type="pct"/>
            <w:vAlign w:val="center"/>
          </w:tcPr>
          <w:p>
            <w:pPr>
              <w:pStyle w:val="105"/>
              <w:spacing w:before="0" w:after="0"/>
              <w:jc w:val="center"/>
              <w:rPr>
                <w:snapToGrid w:val="0"/>
                <w:sz w:val="18"/>
                <w:szCs w:val="22"/>
              </w:rPr>
            </w:pPr>
            <w:r>
              <w:rPr>
                <w:snapToGrid w:val="0"/>
                <w:sz w:val="18"/>
                <w:szCs w:val="22"/>
              </w:rPr>
              <w:t>K3+259.275</w:t>
            </w:r>
          </w:p>
        </w:tc>
        <w:tc>
          <w:tcPr>
            <w:tcW w:w="757" w:type="pct"/>
            <w:vAlign w:val="center"/>
          </w:tcPr>
          <w:p>
            <w:pPr>
              <w:pStyle w:val="105"/>
              <w:spacing w:before="0" w:after="0"/>
              <w:jc w:val="center"/>
              <w:rPr>
                <w:rFonts w:cs="Times New Roman"/>
                <w:snapToGrid w:val="0"/>
                <w:sz w:val="18"/>
                <w:szCs w:val="22"/>
              </w:rPr>
            </w:pPr>
            <w:r>
              <w:rPr>
                <w:rFonts w:cs="Times New Roman"/>
                <w:snapToGrid w:val="0"/>
                <w:sz w:val="18"/>
                <w:szCs w:val="22"/>
              </w:rPr>
              <w:t>63° 15′57″</w:t>
            </w:r>
          </w:p>
        </w:tc>
        <w:tc>
          <w:tcPr>
            <w:tcW w:w="817" w:type="pct"/>
            <w:vAlign w:val="center"/>
          </w:tcPr>
          <w:p>
            <w:pPr>
              <w:pStyle w:val="105"/>
              <w:spacing w:before="0" w:after="0"/>
              <w:jc w:val="center"/>
              <w:rPr>
                <w:snapToGrid w:val="0"/>
                <w:sz w:val="18"/>
                <w:szCs w:val="22"/>
              </w:rPr>
            </w:pPr>
            <w:r>
              <w:rPr>
                <w:rFonts w:hint="eastAsia"/>
                <w:snapToGrid w:val="0"/>
                <w:sz w:val="18"/>
                <w:szCs w:val="22"/>
              </w:rPr>
              <w:t>枝钟路</w:t>
            </w:r>
          </w:p>
        </w:tc>
        <w:tc>
          <w:tcPr>
            <w:tcW w:w="1159" w:type="pct"/>
            <w:vAlign w:val="center"/>
          </w:tcPr>
          <w:p>
            <w:pPr>
              <w:pStyle w:val="105"/>
              <w:spacing w:before="0" w:after="0"/>
              <w:jc w:val="center"/>
              <w:rPr>
                <w:snapToGrid w:val="0"/>
                <w:sz w:val="18"/>
                <w:szCs w:val="22"/>
              </w:rPr>
            </w:pPr>
            <w:r>
              <w:rPr>
                <w:rFonts w:hint="eastAsia"/>
                <w:snapToGrid w:val="0"/>
                <w:sz w:val="18"/>
                <w:szCs w:val="22"/>
              </w:rPr>
              <w:t>十字交叉</w:t>
            </w:r>
          </w:p>
        </w:tc>
        <w:tc>
          <w:tcPr>
            <w:tcW w:w="552" w:type="pct"/>
            <w:vAlign w:val="center"/>
          </w:tcPr>
          <w:p>
            <w:pPr>
              <w:pStyle w:val="105"/>
              <w:spacing w:before="0" w:after="0"/>
              <w:jc w:val="center"/>
              <w:rPr>
                <w:snapToGrid w:val="0"/>
                <w:sz w:val="18"/>
                <w:szCs w:val="22"/>
              </w:rPr>
            </w:pPr>
            <w:r>
              <w:rPr>
                <w:snapToGrid w:val="0"/>
                <w:sz w:val="18"/>
                <w:szCs w:val="22"/>
              </w:rPr>
              <w:t>8.5</w:t>
            </w:r>
          </w:p>
        </w:tc>
        <w:tc>
          <w:tcPr>
            <w:tcW w:w="543" w:type="pct"/>
            <w:vAlign w:val="center"/>
          </w:tcPr>
          <w:p>
            <w:pPr>
              <w:pStyle w:val="105"/>
              <w:spacing w:before="0" w:after="0"/>
              <w:jc w:val="center"/>
              <w:rPr>
                <w:snapToGrid w:val="0"/>
                <w:sz w:val="18"/>
                <w:szCs w:val="22"/>
              </w:rPr>
            </w:pPr>
            <w:r>
              <w:rPr>
                <w:rFonts w:hint="eastAsia"/>
                <w:snapToGrid w:val="0"/>
                <w:sz w:val="18"/>
                <w:szCs w:val="22"/>
              </w:rPr>
              <w:t>四级公路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48" w:type="pct"/>
            <w:vAlign w:val="center"/>
          </w:tcPr>
          <w:p>
            <w:pPr>
              <w:pStyle w:val="105"/>
              <w:spacing w:before="0" w:after="0"/>
              <w:jc w:val="center"/>
              <w:rPr>
                <w:snapToGrid w:val="0"/>
                <w:sz w:val="18"/>
                <w:szCs w:val="22"/>
              </w:rPr>
            </w:pPr>
            <w:r>
              <w:rPr>
                <w:snapToGrid w:val="0"/>
                <w:sz w:val="18"/>
                <w:szCs w:val="22"/>
              </w:rPr>
              <w:t>7</w:t>
            </w:r>
          </w:p>
        </w:tc>
        <w:tc>
          <w:tcPr>
            <w:tcW w:w="824" w:type="pct"/>
            <w:vAlign w:val="center"/>
          </w:tcPr>
          <w:p>
            <w:pPr>
              <w:pStyle w:val="105"/>
              <w:spacing w:before="0" w:after="0"/>
              <w:jc w:val="center"/>
              <w:rPr>
                <w:snapToGrid w:val="0"/>
                <w:sz w:val="18"/>
                <w:szCs w:val="22"/>
              </w:rPr>
            </w:pPr>
            <w:r>
              <w:rPr>
                <w:snapToGrid w:val="0"/>
                <w:sz w:val="18"/>
                <w:szCs w:val="22"/>
              </w:rPr>
              <w:t>K3+494.098</w:t>
            </w:r>
          </w:p>
        </w:tc>
        <w:tc>
          <w:tcPr>
            <w:tcW w:w="757" w:type="pct"/>
            <w:vAlign w:val="center"/>
          </w:tcPr>
          <w:p>
            <w:pPr>
              <w:pStyle w:val="105"/>
              <w:spacing w:before="0" w:after="0"/>
              <w:jc w:val="center"/>
              <w:rPr>
                <w:rFonts w:cs="Times New Roman"/>
                <w:snapToGrid w:val="0"/>
                <w:sz w:val="18"/>
                <w:szCs w:val="22"/>
              </w:rPr>
            </w:pPr>
            <w:r>
              <w:rPr>
                <w:rFonts w:cs="Times New Roman"/>
                <w:snapToGrid w:val="0"/>
                <w:sz w:val="18"/>
                <w:szCs w:val="22"/>
              </w:rPr>
              <w:t>71°28′59″</w:t>
            </w:r>
          </w:p>
        </w:tc>
        <w:tc>
          <w:tcPr>
            <w:tcW w:w="817" w:type="pct"/>
            <w:vAlign w:val="center"/>
          </w:tcPr>
          <w:p>
            <w:pPr>
              <w:pStyle w:val="105"/>
              <w:spacing w:before="0" w:after="0"/>
              <w:jc w:val="center"/>
              <w:rPr>
                <w:snapToGrid w:val="0"/>
                <w:sz w:val="18"/>
                <w:szCs w:val="22"/>
              </w:rPr>
            </w:pPr>
            <w:r>
              <w:rPr>
                <w:rFonts w:hint="eastAsia"/>
                <w:snapToGrid w:val="0"/>
                <w:sz w:val="18"/>
                <w:szCs w:val="22"/>
              </w:rPr>
              <w:t>村道</w:t>
            </w:r>
          </w:p>
        </w:tc>
        <w:tc>
          <w:tcPr>
            <w:tcW w:w="1159" w:type="pct"/>
            <w:vAlign w:val="center"/>
          </w:tcPr>
          <w:p>
            <w:pPr>
              <w:pStyle w:val="105"/>
              <w:spacing w:before="0" w:after="0"/>
              <w:jc w:val="center"/>
              <w:rPr>
                <w:snapToGrid w:val="0"/>
                <w:sz w:val="18"/>
                <w:szCs w:val="22"/>
              </w:rPr>
            </w:pPr>
            <w:r>
              <w:rPr>
                <w:rFonts w:hint="eastAsia"/>
                <w:snapToGrid w:val="0"/>
                <w:sz w:val="18"/>
                <w:szCs w:val="22"/>
              </w:rPr>
              <w:t>十字交叉（右进右出）</w:t>
            </w:r>
          </w:p>
        </w:tc>
        <w:tc>
          <w:tcPr>
            <w:tcW w:w="552" w:type="pct"/>
            <w:vAlign w:val="center"/>
          </w:tcPr>
          <w:p>
            <w:pPr>
              <w:pStyle w:val="105"/>
              <w:spacing w:before="0" w:after="0"/>
              <w:jc w:val="center"/>
              <w:rPr>
                <w:snapToGrid w:val="0"/>
                <w:sz w:val="18"/>
                <w:szCs w:val="22"/>
              </w:rPr>
            </w:pPr>
            <w:r>
              <w:rPr>
                <w:snapToGrid w:val="0"/>
                <w:sz w:val="18"/>
                <w:szCs w:val="22"/>
              </w:rPr>
              <w:t>4.5</w:t>
            </w:r>
          </w:p>
        </w:tc>
        <w:tc>
          <w:tcPr>
            <w:tcW w:w="543" w:type="pct"/>
            <w:vAlign w:val="center"/>
          </w:tcPr>
          <w:p>
            <w:pPr>
              <w:pStyle w:val="105"/>
              <w:spacing w:before="0" w:after="0"/>
              <w:jc w:val="center"/>
              <w:rPr>
                <w:snapToGrid w:val="0"/>
                <w:sz w:val="18"/>
                <w:szCs w:val="22"/>
              </w:rPr>
            </w:pPr>
            <w:r>
              <w:rPr>
                <w:rFonts w:hint="eastAsia"/>
                <w:snapToGrid w:val="0"/>
                <w:sz w:val="18"/>
                <w:szCs w:val="22"/>
              </w:rPr>
              <w:t>等外路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48" w:type="pct"/>
            <w:vAlign w:val="center"/>
          </w:tcPr>
          <w:p>
            <w:pPr>
              <w:pStyle w:val="105"/>
              <w:spacing w:before="0" w:after="0"/>
              <w:jc w:val="center"/>
              <w:rPr>
                <w:snapToGrid w:val="0"/>
                <w:sz w:val="18"/>
                <w:szCs w:val="22"/>
              </w:rPr>
            </w:pPr>
            <w:r>
              <w:rPr>
                <w:snapToGrid w:val="0"/>
                <w:sz w:val="18"/>
                <w:szCs w:val="22"/>
              </w:rPr>
              <w:t>8</w:t>
            </w:r>
          </w:p>
        </w:tc>
        <w:tc>
          <w:tcPr>
            <w:tcW w:w="824" w:type="pct"/>
            <w:vAlign w:val="center"/>
          </w:tcPr>
          <w:p>
            <w:pPr>
              <w:pStyle w:val="105"/>
              <w:spacing w:before="0" w:after="0"/>
              <w:jc w:val="center"/>
              <w:rPr>
                <w:snapToGrid w:val="0"/>
                <w:sz w:val="18"/>
                <w:szCs w:val="22"/>
              </w:rPr>
            </w:pPr>
            <w:r>
              <w:rPr>
                <w:snapToGrid w:val="0"/>
                <w:sz w:val="18"/>
                <w:szCs w:val="22"/>
              </w:rPr>
              <w:t>K3+667.734</w:t>
            </w:r>
          </w:p>
        </w:tc>
        <w:tc>
          <w:tcPr>
            <w:tcW w:w="757" w:type="pct"/>
            <w:vAlign w:val="center"/>
          </w:tcPr>
          <w:p>
            <w:pPr>
              <w:pStyle w:val="105"/>
              <w:spacing w:before="0" w:after="0"/>
              <w:jc w:val="center"/>
              <w:rPr>
                <w:rFonts w:cs="Times New Roman"/>
                <w:snapToGrid w:val="0"/>
                <w:sz w:val="18"/>
                <w:szCs w:val="22"/>
              </w:rPr>
            </w:pPr>
            <w:r>
              <w:rPr>
                <w:rFonts w:cs="Times New Roman"/>
                <w:snapToGrid w:val="0"/>
                <w:sz w:val="18"/>
                <w:szCs w:val="22"/>
              </w:rPr>
              <w:t>79°3′26″</w:t>
            </w:r>
          </w:p>
        </w:tc>
        <w:tc>
          <w:tcPr>
            <w:tcW w:w="817" w:type="pct"/>
            <w:vAlign w:val="center"/>
          </w:tcPr>
          <w:p>
            <w:pPr>
              <w:pStyle w:val="105"/>
              <w:spacing w:before="0" w:after="0"/>
              <w:jc w:val="center"/>
              <w:rPr>
                <w:snapToGrid w:val="0"/>
                <w:sz w:val="18"/>
                <w:szCs w:val="22"/>
              </w:rPr>
            </w:pPr>
            <w:r>
              <w:rPr>
                <w:rFonts w:hint="eastAsia"/>
                <w:snapToGrid w:val="0"/>
                <w:sz w:val="18"/>
                <w:szCs w:val="22"/>
              </w:rPr>
              <w:t>村道</w:t>
            </w:r>
          </w:p>
        </w:tc>
        <w:tc>
          <w:tcPr>
            <w:tcW w:w="1159" w:type="pct"/>
            <w:vAlign w:val="center"/>
          </w:tcPr>
          <w:p>
            <w:pPr>
              <w:pStyle w:val="105"/>
              <w:spacing w:before="0" w:after="0"/>
              <w:jc w:val="center"/>
              <w:rPr>
                <w:snapToGrid w:val="0"/>
                <w:sz w:val="18"/>
                <w:szCs w:val="22"/>
              </w:rPr>
            </w:pPr>
            <w:r>
              <w:rPr>
                <w:snapToGrid w:val="0"/>
                <w:sz w:val="18"/>
                <w:szCs w:val="22"/>
              </w:rPr>
              <w:t>T</w:t>
            </w:r>
            <w:r>
              <w:rPr>
                <w:rFonts w:hint="eastAsia"/>
                <w:snapToGrid w:val="0"/>
                <w:sz w:val="18"/>
                <w:szCs w:val="22"/>
              </w:rPr>
              <w:t>型交叉（右进右出）</w:t>
            </w:r>
          </w:p>
        </w:tc>
        <w:tc>
          <w:tcPr>
            <w:tcW w:w="552" w:type="pct"/>
            <w:vAlign w:val="center"/>
          </w:tcPr>
          <w:p>
            <w:pPr>
              <w:pStyle w:val="105"/>
              <w:spacing w:before="0" w:after="0"/>
              <w:jc w:val="center"/>
              <w:rPr>
                <w:snapToGrid w:val="0"/>
                <w:sz w:val="18"/>
                <w:szCs w:val="22"/>
              </w:rPr>
            </w:pPr>
            <w:r>
              <w:rPr>
                <w:snapToGrid w:val="0"/>
                <w:sz w:val="18"/>
                <w:szCs w:val="22"/>
              </w:rPr>
              <w:t>4.5</w:t>
            </w:r>
          </w:p>
        </w:tc>
        <w:tc>
          <w:tcPr>
            <w:tcW w:w="543" w:type="pct"/>
            <w:vAlign w:val="center"/>
          </w:tcPr>
          <w:p>
            <w:pPr>
              <w:pStyle w:val="105"/>
              <w:spacing w:before="0" w:after="0"/>
              <w:jc w:val="center"/>
              <w:rPr>
                <w:snapToGrid w:val="0"/>
                <w:sz w:val="18"/>
                <w:szCs w:val="22"/>
              </w:rPr>
            </w:pPr>
            <w:r>
              <w:rPr>
                <w:rFonts w:hint="eastAsia"/>
                <w:snapToGrid w:val="0"/>
                <w:sz w:val="18"/>
                <w:szCs w:val="22"/>
              </w:rPr>
              <w:t>等外路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48" w:type="pct"/>
            <w:vAlign w:val="center"/>
          </w:tcPr>
          <w:p>
            <w:pPr>
              <w:pStyle w:val="105"/>
              <w:spacing w:before="0" w:after="0"/>
              <w:jc w:val="center"/>
              <w:rPr>
                <w:snapToGrid w:val="0"/>
                <w:sz w:val="18"/>
                <w:szCs w:val="22"/>
              </w:rPr>
            </w:pPr>
            <w:r>
              <w:rPr>
                <w:snapToGrid w:val="0"/>
                <w:sz w:val="18"/>
                <w:szCs w:val="22"/>
              </w:rPr>
              <w:t>9</w:t>
            </w:r>
          </w:p>
        </w:tc>
        <w:tc>
          <w:tcPr>
            <w:tcW w:w="824" w:type="pct"/>
            <w:vAlign w:val="center"/>
          </w:tcPr>
          <w:p>
            <w:pPr>
              <w:pStyle w:val="105"/>
              <w:spacing w:before="0" w:after="0"/>
              <w:jc w:val="center"/>
              <w:rPr>
                <w:snapToGrid w:val="0"/>
                <w:sz w:val="18"/>
                <w:szCs w:val="22"/>
              </w:rPr>
            </w:pPr>
            <w:r>
              <w:rPr>
                <w:snapToGrid w:val="0"/>
                <w:sz w:val="18"/>
                <w:szCs w:val="22"/>
              </w:rPr>
              <w:t>K5+110</w:t>
            </w:r>
          </w:p>
        </w:tc>
        <w:tc>
          <w:tcPr>
            <w:tcW w:w="757" w:type="pct"/>
            <w:vAlign w:val="center"/>
          </w:tcPr>
          <w:p>
            <w:pPr>
              <w:pStyle w:val="105"/>
              <w:spacing w:before="0" w:after="0"/>
              <w:jc w:val="center"/>
              <w:rPr>
                <w:rFonts w:cs="Times New Roman"/>
                <w:snapToGrid w:val="0"/>
                <w:sz w:val="18"/>
                <w:szCs w:val="22"/>
              </w:rPr>
            </w:pPr>
            <w:r>
              <w:rPr>
                <w:rFonts w:cs="Times New Roman"/>
                <w:snapToGrid w:val="0"/>
                <w:sz w:val="18"/>
                <w:szCs w:val="22"/>
              </w:rPr>
              <w:t>64°20′36″</w:t>
            </w:r>
          </w:p>
        </w:tc>
        <w:tc>
          <w:tcPr>
            <w:tcW w:w="817" w:type="pct"/>
            <w:vAlign w:val="center"/>
          </w:tcPr>
          <w:p>
            <w:pPr>
              <w:pStyle w:val="105"/>
              <w:spacing w:before="0" w:after="0"/>
              <w:jc w:val="center"/>
              <w:rPr>
                <w:snapToGrid w:val="0"/>
                <w:sz w:val="18"/>
                <w:szCs w:val="22"/>
              </w:rPr>
            </w:pPr>
            <w:r>
              <w:rPr>
                <w:rFonts w:hint="eastAsia"/>
                <w:snapToGrid w:val="0"/>
                <w:sz w:val="18"/>
                <w:szCs w:val="22"/>
              </w:rPr>
              <w:t>黄檗文化产业园规划路</w:t>
            </w:r>
          </w:p>
        </w:tc>
        <w:tc>
          <w:tcPr>
            <w:tcW w:w="1159" w:type="pct"/>
            <w:vAlign w:val="center"/>
          </w:tcPr>
          <w:p>
            <w:pPr>
              <w:pStyle w:val="105"/>
              <w:spacing w:before="0" w:after="0"/>
              <w:jc w:val="center"/>
              <w:rPr>
                <w:snapToGrid w:val="0"/>
                <w:sz w:val="18"/>
                <w:szCs w:val="22"/>
              </w:rPr>
            </w:pPr>
            <w:r>
              <w:rPr>
                <w:snapToGrid w:val="0"/>
                <w:sz w:val="18"/>
                <w:szCs w:val="22"/>
              </w:rPr>
              <w:t>T</w:t>
            </w:r>
            <w:r>
              <w:rPr>
                <w:rFonts w:hint="eastAsia"/>
                <w:snapToGrid w:val="0"/>
                <w:sz w:val="18"/>
                <w:szCs w:val="22"/>
              </w:rPr>
              <w:t>型交叉</w:t>
            </w:r>
          </w:p>
        </w:tc>
        <w:tc>
          <w:tcPr>
            <w:tcW w:w="552" w:type="pct"/>
            <w:vAlign w:val="center"/>
          </w:tcPr>
          <w:p>
            <w:pPr>
              <w:pStyle w:val="105"/>
              <w:spacing w:before="0" w:after="0"/>
              <w:jc w:val="center"/>
              <w:rPr>
                <w:snapToGrid w:val="0"/>
                <w:sz w:val="18"/>
                <w:szCs w:val="22"/>
              </w:rPr>
            </w:pPr>
            <w:r>
              <w:rPr>
                <w:snapToGrid w:val="0"/>
                <w:sz w:val="18"/>
                <w:szCs w:val="22"/>
              </w:rPr>
              <w:t>12</w:t>
            </w:r>
          </w:p>
        </w:tc>
        <w:tc>
          <w:tcPr>
            <w:tcW w:w="543" w:type="pct"/>
            <w:vAlign w:val="center"/>
          </w:tcPr>
          <w:p>
            <w:pPr>
              <w:pStyle w:val="105"/>
              <w:spacing w:before="0" w:after="0"/>
              <w:jc w:val="center"/>
              <w:rPr>
                <w:snapToGrid w:val="0"/>
                <w:sz w:val="18"/>
                <w:szCs w:val="22"/>
              </w:rPr>
            </w:pPr>
            <w:r>
              <w:rPr>
                <w:rFonts w:hint="eastAsia"/>
                <w:snapToGrid w:val="0"/>
                <w:sz w:val="18"/>
                <w:szCs w:val="22"/>
              </w:rPr>
              <w:t>规划支路</w:t>
            </w:r>
          </w:p>
        </w:tc>
      </w:tr>
    </w:tbl>
    <w:p>
      <w:pPr>
        <w:pStyle w:val="87"/>
        <w:spacing w:before="120"/>
      </w:pPr>
      <w:r>
        <w:rPr>
          <w:rFonts w:hint="eastAsia"/>
        </w:rPr>
        <w:t>分离式立体交叉</w:t>
      </w:r>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362"/>
        <w:gridCol w:w="1161"/>
        <w:gridCol w:w="1838"/>
        <w:gridCol w:w="1711"/>
        <w:gridCol w:w="2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pPr>
              <w:pStyle w:val="105"/>
              <w:jc w:val="center"/>
              <w:rPr>
                <w:rFonts w:cs="Times New Roman"/>
                <w:snapToGrid w:val="0"/>
                <w:sz w:val="18"/>
                <w:szCs w:val="18"/>
              </w:rPr>
            </w:pPr>
            <w:r>
              <w:rPr>
                <w:rFonts w:cs="Times New Roman"/>
                <w:snapToGrid w:val="0"/>
                <w:sz w:val="18"/>
                <w:szCs w:val="18"/>
              </w:rPr>
              <w:t>序号</w:t>
            </w:r>
          </w:p>
        </w:tc>
        <w:tc>
          <w:tcPr>
            <w:tcW w:w="733" w:type="pct"/>
            <w:vAlign w:val="center"/>
          </w:tcPr>
          <w:p>
            <w:pPr>
              <w:pStyle w:val="105"/>
              <w:jc w:val="center"/>
              <w:rPr>
                <w:rFonts w:cs="Times New Roman"/>
                <w:snapToGrid w:val="0"/>
                <w:sz w:val="18"/>
                <w:szCs w:val="18"/>
              </w:rPr>
            </w:pPr>
            <w:r>
              <w:rPr>
                <w:rFonts w:cs="Times New Roman"/>
                <w:snapToGrid w:val="0"/>
                <w:sz w:val="18"/>
                <w:szCs w:val="18"/>
              </w:rPr>
              <w:t>交叉中心桩号</w:t>
            </w:r>
          </w:p>
        </w:tc>
        <w:tc>
          <w:tcPr>
            <w:tcW w:w="625" w:type="pct"/>
            <w:vAlign w:val="center"/>
          </w:tcPr>
          <w:p>
            <w:pPr>
              <w:pStyle w:val="105"/>
              <w:jc w:val="center"/>
              <w:rPr>
                <w:rFonts w:cs="Times New Roman"/>
                <w:snapToGrid w:val="0"/>
                <w:sz w:val="18"/>
                <w:szCs w:val="18"/>
              </w:rPr>
            </w:pPr>
            <w:r>
              <w:rPr>
                <w:rFonts w:cs="Times New Roman"/>
                <w:snapToGrid w:val="0"/>
                <w:sz w:val="18"/>
                <w:szCs w:val="18"/>
              </w:rPr>
              <w:t>交叉角度</w:t>
            </w:r>
          </w:p>
        </w:tc>
        <w:tc>
          <w:tcPr>
            <w:tcW w:w="989" w:type="pct"/>
            <w:vAlign w:val="center"/>
          </w:tcPr>
          <w:p>
            <w:pPr>
              <w:pStyle w:val="105"/>
              <w:jc w:val="center"/>
              <w:rPr>
                <w:rFonts w:cs="Times New Roman"/>
                <w:snapToGrid w:val="0"/>
                <w:sz w:val="18"/>
                <w:szCs w:val="18"/>
              </w:rPr>
            </w:pPr>
            <w:r>
              <w:rPr>
                <w:rFonts w:cs="Times New Roman"/>
                <w:snapToGrid w:val="0"/>
                <w:sz w:val="18"/>
                <w:szCs w:val="18"/>
              </w:rPr>
              <w:t>被交路（构造物）名称</w:t>
            </w:r>
          </w:p>
        </w:tc>
        <w:tc>
          <w:tcPr>
            <w:tcW w:w="921" w:type="pct"/>
            <w:vAlign w:val="center"/>
          </w:tcPr>
          <w:p>
            <w:pPr>
              <w:pStyle w:val="105"/>
              <w:jc w:val="center"/>
              <w:rPr>
                <w:rFonts w:cs="Times New Roman"/>
                <w:snapToGrid w:val="0"/>
                <w:sz w:val="18"/>
                <w:szCs w:val="18"/>
              </w:rPr>
            </w:pPr>
            <w:r>
              <w:rPr>
                <w:rFonts w:cs="Times New Roman"/>
                <w:snapToGrid w:val="0"/>
                <w:sz w:val="18"/>
                <w:szCs w:val="18"/>
              </w:rPr>
              <w:t>交叉</w:t>
            </w:r>
            <w:r>
              <w:rPr>
                <w:rFonts w:hint="eastAsia" w:cs="Times New Roman"/>
                <w:snapToGrid w:val="0"/>
                <w:sz w:val="18"/>
                <w:szCs w:val="18"/>
              </w:rPr>
              <w:t>形式</w:t>
            </w:r>
          </w:p>
        </w:tc>
        <w:tc>
          <w:tcPr>
            <w:tcW w:w="1361" w:type="pct"/>
            <w:vAlign w:val="center"/>
          </w:tcPr>
          <w:p>
            <w:pPr>
              <w:pStyle w:val="105"/>
              <w:jc w:val="center"/>
              <w:rPr>
                <w:rFonts w:cs="Times New Roman"/>
                <w:snapToGrid w:val="0"/>
                <w:sz w:val="18"/>
                <w:szCs w:val="18"/>
              </w:rPr>
            </w:pPr>
            <w:r>
              <w:rPr>
                <w:rFonts w:cs="Times New Roman"/>
                <w:snapToGrid w:val="0"/>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pPr>
              <w:pStyle w:val="105"/>
              <w:jc w:val="center"/>
              <w:rPr>
                <w:rFonts w:cs="Times New Roman"/>
                <w:snapToGrid w:val="0"/>
                <w:sz w:val="18"/>
                <w:szCs w:val="18"/>
              </w:rPr>
            </w:pPr>
            <w:r>
              <w:rPr>
                <w:rFonts w:cs="Times New Roman"/>
                <w:snapToGrid w:val="0"/>
                <w:sz w:val="18"/>
                <w:szCs w:val="18"/>
              </w:rPr>
              <w:t>1</w:t>
            </w:r>
          </w:p>
        </w:tc>
        <w:tc>
          <w:tcPr>
            <w:tcW w:w="733" w:type="pct"/>
            <w:vAlign w:val="center"/>
          </w:tcPr>
          <w:p>
            <w:pPr>
              <w:pStyle w:val="105"/>
              <w:jc w:val="center"/>
              <w:rPr>
                <w:rFonts w:cs="Times New Roman"/>
                <w:snapToGrid w:val="0"/>
                <w:sz w:val="18"/>
                <w:szCs w:val="18"/>
              </w:rPr>
            </w:pPr>
            <w:r>
              <w:rPr>
                <w:rFonts w:cs="Times New Roman"/>
                <w:snapToGrid w:val="0"/>
                <w:sz w:val="18"/>
                <w:szCs w:val="18"/>
              </w:rPr>
              <w:t>K0+412</w:t>
            </w:r>
          </w:p>
        </w:tc>
        <w:tc>
          <w:tcPr>
            <w:tcW w:w="625" w:type="pct"/>
            <w:vAlign w:val="center"/>
          </w:tcPr>
          <w:p>
            <w:pPr>
              <w:pStyle w:val="105"/>
              <w:jc w:val="center"/>
              <w:rPr>
                <w:rFonts w:cs="Times New Roman"/>
                <w:snapToGrid w:val="0"/>
                <w:sz w:val="18"/>
                <w:szCs w:val="18"/>
              </w:rPr>
            </w:pPr>
            <w:r>
              <w:rPr>
                <w:rFonts w:cs="Times New Roman"/>
                <w:snapToGrid w:val="0"/>
                <w:sz w:val="18"/>
                <w:szCs w:val="18"/>
              </w:rPr>
              <w:t>84</w:t>
            </w:r>
            <w:r>
              <w:rPr>
                <w:rFonts w:cs="Times New Roman"/>
                <w:snapToGrid w:val="0"/>
                <w:sz w:val="18"/>
                <w:szCs w:val="22"/>
              </w:rPr>
              <w:t>°</w:t>
            </w:r>
            <w:r>
              <w:rPr>
                <w:rFonts w:cs="Times New Roman"/>
                <w:snapToGrid w:val="0"/>
                <w:sz w:val="18"/>
                <w:szCs w:val="18"/>
              </w:rPr>
              <w:t>35</w:t>
            </w:r>
            <w:r>
              <w:rPr>
                <w:rFonts w:cs="Times New Roman"/>
                <w:snapToGrid w:val="0"/>
                <w:sz w:val="18"/>
                <w:szCs w:val="22"/>
              </w:rPr>
              <w:t>′</w:t>
            </w:r>
            <w:r>
              <w:rPr>
                <w:rFonts w:cs="Times New Roman"/>
                <w:snapToGrid w:val="0"/>
                <w:sz w:val="18"/>
                <w:szCs w:val="18"/>
              </w:rPr>
              <w:t>33"</w:t>
            </w:r>
          </w:p>
        </w:tc>
        <w:tc>
          <w:tcPr>
            <w:tcW w:w="989" w:type="pct"/>
            <w:vAlign w:val="center"/>
          </w:tcPr>
          <w:p>
            <w:pPr>
              <w:pStyle w:val="105"/>
              <w:jc w:val="center"/>
              <w:rPr>
                <w:rFonts w:cs="Times New Roman"/>
                <w:snapToGrid w:val="0"/>
                <w:sz w:val="18"/>
                <w:szCs w:val="18"/>
              </w:rPr>
            </w:pPr>
            <w:r>
              <w:rPr>
                <w:rFonts w:cs="Times New Roman"/>
                <w:snapToGrid w:val="0"/>
                <w:sz w:val="18"/>
                <w:szCs w:val="18"/>
              </w:rPr>
              <w:t>渡槽</w:t>
            </w:r>
          </w:p>
        </w:tc>
        <w:tc>
          <w:tcPr>
            <w:tcW w:w="921" w:type="pct"/>
            <w:vAlign w:val="center"/>
          </w:tcPr>
          <w:p>
            <w:pPr>
              <w:pStyle w:val="105"/>
              <w:jc w:val="center"/>
              <w:rPr>
                <w:rFonts w:cs="Times New Roman"/>
                <w:snapToGrid w:val="0"/>
                <w:sz w:val="18"/>
                <w:szCs w:val="18"/>
              </w:rPr>
            </w:pPr>
            <w:r>
              <w:rPr>
                <w:rFonts w:cs="Times New Roman"/>
                <w:snapToGrid w:val="0"/>
                <w:sz w:val="18"/>
                <w:szCs w:val="18"/>
              </w:rPr>
              <w:t>分离式立体交叉</w:t>
            </w:r>
          </w:p>
        </w:tc>
        <w:tc>
          <w:tcPr>
            <w:tcW w:w="1361" w:type="pct"/>
            <w:vAlign w:val="center"/>
          </w:tcPr>
          <w:p>
            <w:pPr>
              <w:pStyle w:val="105"/>
              <w:jc w:val="center"/>
              <w:rPr>
                <w:rFonts w:cs="Times New Roman"/>
                <w:snapToGrid w:val="0"/>
                <w:sz w:val="18"/>
                <w:szCs w:val="18"/>
              </w:rPr>
            </w:pPr>
            <w:r>
              <w:rPr>
                <w:rFonts w:cs="Times New Roman"/>
                <w:snapToGrid w:val="0"/>
                <w:sz w:val="18"/>
                <w:szCs w:val="18"/>
              </w:rPr>
              <w:t>主线下穿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pPr>
              <w:pStyle w:val="105"/>
              <w:jc w:val="center"/>
              <w:rPr>
                <w:rFonts w:cs="Times New Roman"/>
                <w:snapToGrid w:val="0"/>
                <w:sz w:val="18"/>
                <w:szCs w:val="18"/>
              </w:rPr>
            </w:pPr>
            <w:r>
              <w:rPr>
                <w:rFonts w:cs="Times New Roman"/>
                <w:snapToGrid w:val="0"/>
                <w:sz w:val="18"/>
                <w:szCs w:val="18"/>
              </w:rPr>
              <w:t>2</w:t>
            </w:r>
          </w:p>
        </w:tc>
        <w:tc>
          <w:tcPr>
            <w:tcW w:w="733" w:type="pct"/>
            <w:vAlign w:val="center"/>
          </w:tcPr>
          <w:p>
            <w:pPr>
              <w:pStyle w:val="105"/>
              <w:jc w:val="center"/>
              <w:rPr>
                <w:rFonts w:cs="Times New Roman"/>
                <w:snapToGrid w:val="0"/>
                <w:sz w:val="18"/>
                <w:szCs w:val="18"/>
              </w:rPr>
            </w:pPr>
            <w:r>
              <w:rPr>
                <w:rFonts w:cs="Times New Roman"/>
                <w:snapToGrid w:val="0"/>
                <w:sz w:val="18"/>
                <w:szCs w:val="18"/>
              </w:rPr>
              <w:t>K0+782</w:t>
            </w:r>
          </w:p>
        </w:tc>
        <w:tc>
          <w:tcPr>
            <w:tcW w:w="625" w:type="pct"/>
            <w:vAlign w:val="center"/>
          </w:tcPr>
          <w:p>
            <w:pPr>
              <w:pStyle w:val="105"/>
              <w:jc w:val="center"/>
              <w:rPr>
                <w:rFonts w:cs="Times New Roman"/>
                <w:snapToGrid w:val="0"/>
                <w:sz w:val="18"/>
                <w:szCs w:val="18"/>
              </w:rPr>
            </w:pPr>
            <w:r>
              <w:rPr>
                <w:rFonts w:cs="Times New Roman"/>
                <w:snapToGrid w:val="0"/>
                <w:sz w:val="18"/>
                <w:szCs w:val="18"/>
              </w:rPr>
              <w:t>67</w:t>
            </w:r>
            <w:r>
              <w:rPr>
                <w:rFonts w:cs="Times New Roman"/>
                <w:snapToGrid w:val="0"/>
                <w:sz w:val="18"/>
                <w:szCs w:val="22"/>
              </w:rPr>
              <w:t>°</w:t>
            </w:r>
            <w:r>
              <w:rPr>
                <w:rFonts w:cs="Times New Roman"/>
                <w:snapToGrid w:val="0"/>
                <w:sz w:val="18"/>
                <w:szCs w:val="18"/>
              </w:rPr>
              <w:t xml:space="preserve"> 0</w:t>
            </w:r>
            <w:r>
              <w:rPr>
                <w:rFonts w:cs="Times New Roman"/>
                <w:snapToGrid w:val="0"/>
                <w:sz w:val="18"/>
                <w:szCs w:val="22"/>
              </w:rPr>
              <w:t>′</w:t>
            </w:r>
            <w:r>
              <w:rPr>
                <w:rFonts w:cs="Times New Roman"/>
                <w:snapToGrid w:val="0"/>
                <w:sz w:val="18"/>
                <w:szCs w:val="18"/>
              </w:rPr>
              <w:t>0"</w:t>
            </w:r>
          </w:p>
        </w:tc>
        <w:tc>
          <w:tcPr>
            <w:tcW w:w="989" w:type="pct"/>
            <w:vAlign w:val="center"/>
          </w:tcPr>
          <w:p>
            <w:pPr>
              <w:pStyle w:val="105"/>
              <w:jc w:val="center"/>
              <w:rPr>
                <w:rFonts w:cs="Times New Roman"/>
                <w:snapToGrid w:val="0"/>
                <w:sz w:val="18"/>
                <w:szCs w:val="18"/>
              </w:rPr>
            </w:pPr>
            <w:r>
              <w:rPr>
                <w:rFonts w:cs="Times New Roman"/>
                <w:snapToGrid w:val="0"/>
                <w:sz w:val="18"/>
                <w:szCs w:val="18"/>
              </w:rPr>
              <w:t>改路2</w:t>
            </w:r>
          </w:p>
        </w:tc>
        <w:tc>
          <w:tcPr>
            <w:tcW w:w="921" w:type="pct"/>
            <w:vAlign w:val="center"/>
          </w:tcPr>
          <w:p>
            <w:pPr>
              <w:pStyle w:val="105"/>
              <w:jc w:val="center"/>
              <w:rPr>
                <w:rFonts w:cs="Times New Roman"/>
                <w:snapToGrid w:val="0"/>
                <w:sz w:val="18"/>
                <w:szCs w:val="18"/>
              </w:rPr>
            </w:pPr>
            <w:r>
              <w:rPr>
                <w:rFonts w:cs="Times New Roman"/>
                <w:snapToGrid w:val="0"/>
                <w:sz w:val="18"/>
                <w:szCs w:val="18"/>
              </w:rPr>
              <w:t>分离式立体交叉</w:t>
            </w:r>
          </w:p>
        </w:tc>
        <w:tc>
          <w:tcPr>
            <w:tcW w:w="1361" w:type="pct"/>
            <w:vAlign w:val="center"/>
          </w:tcPr>
          <w:p>
            <w:pPr>
              <w:pStyle w:val="105"/>
              <w:jc w:val="center"/>
              <w:rPr>
                <w:rFonts w:cs="Times New Roman"/>
                <w:snapToGrid w:val="0"/>
                <w:sz w:val="18"/>
                <w:szCs w:val="18"/>
              </w:rPr>
            </w:pPr>
            <w:r>
              <w:rPr>
                <w:rFonts w:hint="eastAsia" w:cs="Times New Roman"/>
                <w:snapToGrid w:val="0"/>
                <w:sz w:val="18"/>
                <w:szCs w:val="18"/>
              </w:rPr>
              <w:t>改路</w:t>
            </w:r>
            <w:r>
              <w:rPr>
                <w:rFonts w:cs="Times New Roman"/>
                <w:snapToGrid w:val="0"/>
                <w:sz w:val="18"/>
                <w:szCs w:val="18"/>
              </w:rPr>
              <w:t>2通道下穿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pPr>
              <w:pStyle w:val="105"/>
              <w:jc w:val="center"/>
              <w:rPr>
                <w:rFonts w:cs="Times New Roman"/>
                <w:snapToGrid w:val="0"/>
                <w:sz w:val="18"/>
                <w:szCs w:val="18"/>
              </w:rPr>
            </w:pPr>
            <w:r>
              <w:rPr>
                <w:rFonts w:cs="Times New Roman"/>
                <w:snapToGrid w:val="0"/>
                <w:sz w:val="18"/>
                <w:szCs w:val="18"/>
              </w:rPr>
              <w:t>3</w:t>
            </w:r>
          </w:p>
        </w:tc>
        <w:tc>
          <w:tcPr>
            <w:tcW w:w="733" w:type="pct"/>
            <w:vAlign w:val="center"/>
          </w:tcPr>
          <w:p>
            <w:pPr>
              <w:pStyle w:val="105"/>
              <w:jc w:val="center"/>
              <w:rPr>
                <w:rFonts w:cs="Times New Roman"/>
                <w:snapToGrid w:val="0"/>
                <w:sz w:val="18"/>
                <w:szCs w:val="18"/>
              </w:rPr>
            </w:pPr>
            <w:r>
              <w:rPr>
                <w:rFonts w:cs="Times New Roman"/>
                <w:snapToGrid w:val="0"/>
                <w:sz w:val="18"/>
                <w:szCs w:val="18"/>
              </w:rPr>
              <w:t>K1+354</w:t>
            </w:r>
          </w:p>
        </w:tc>
        <w:tc>
          <w:tcPr>
            <w:tcW w:w="625" w:type="pct"/>
            <w:vAlign w:val="center"/>
          </w:tcPr>
          <w:p>
            <w:pPr>
              <w:pStyle w:val="105"/>
              <w:jc w:val="center"/>
              <w:rPr>
                <w:rFonts w:cs="Times New Roman"/>
                <w:snapToGrid w:val="0"/>
                <w:sz w:val="18"/>
                <w:szCs w:val="18"/>
              </w:rPr>
            </w:pPr>
            <w:r>
              <w:rPr>
                <w:rFonts w:cs="Times New Roman"/>
                <w:snapToGrid w:val="0"/>
                <w:sz w:val="18"/>
                <w:szCs w:val="18"/>
              </w:rPr>
              <w:t>68</w:t>
            </w:r>
            <w:r>
              <w:rPr>
                <w:rFonts w:cs="Times New Roman"/>
                <w:snapToGrid w:val="0"/>
                <w:sz w:val="18"/>
                <w:szCs w:val="22"/>
              </w:rPr>
              <w:t>°</w:t>
            </w:r>
            <w:r>
              <w:rPr>
                <w:rFonts w:cs="Times New Roman"/>
                <w:snapToGrid w:val="0"/>
                <w:sz w:val="18"/>
                <w:szCs w:val="18"/>
              </w:rPr>
              <w:t>57</w:t>
            </w:r>
            <w:r>
              <w:rPr>
                <w:rFonts w:cs="Times New Roman"/>
                <w:snapToGrid w:val="0"/>
                <w:sz w:val="18"/>
                <w:szCs w:val="22"/>
              </w:rPr>
              <w:t>′</w:t>
            </w:r>
            <w:r>
              <w:rPr>
                <w:rFonts w:cs="Times New Roman"/>
                <w:snapToGrid w:val="0"/>
                <w:sz w:val="18"/>
                <w:szCs w:val="18"/>
              </w:rPr>
              <w:t>46"</w:t>
            </w:r>
          </w:p>
        </w:tc>
        <w:tc>
          <w:tcPr>
            <w:tcW w:w="989" w:type="pct"/>
            <w:vAlign w:val="center"/>
          </w:tcPr>
          <w:p>
            <w:pPr>
              <w:pStyle w:val="105"/>
              <w:jc w:val="center"/>
              <w:rPr>
                <w:rFonts w:cs="Times New Roman"/>
                <w:snapToGrid w:val="0"/>
                <w:sz w:val="18"/>
                <w:szCs w:val="18"/>
              </w:rPr>
            </w:pPr>
            <w:r>
              <w:rPr>
                <w:rFonts w:cs="Times New Roman"/>
                <w:snapToGrid w:val="0"/>
                <w:sz w:val="18"/>
                <w:szCs w:val="18"/>
              </w:rPr>
              <w:t>福厦高铁</w:t>
            </w:r>
          </w:p>
        </w:tc>
        <w:tc>
          <w:tcPr>
            <w:tcW w:w="921" w:type="pct"/>
            <w:vAlign w:val="center"/>
          </w:tcPr>
          <w:p>
            <w:pPr>
              <w:pStyle w:val="105"/>
              <w:jc w:val="center"/>
              <w:rPr>
                <w:rFonts w:cs="Times New Roman"/>
                <w:snapToGrid w:val="0"/>
                <w:sz w:val="18"/>
                <w:szCs w:val="18"/>
              </w:rPr>
            </w:pPr>
            <w:r>
              <w:rPr>
                <w:rFonts w:cs="Times New Roman"/>
                <w:snapToGrid w:val="0"/>
                <w:sz w:val="18"/>
                <w:szCs w:val="18"/>
              </w:rPr>
              <w:t>分离式立体交叉</w:t>
            </w:r>
          </w:p>
        </w:tc>
        <w:tc>
          <w:tcPr>
            <w:tcW w:w="1361" w:type="pct"/>
            <w:vAlign w:val="center"/>
          </w:tcPr>
          <w:p>
            <w:pPr>
              <w:pStyle w:val="105"/>
              <w:jc w:val="center"/>
              <w:rPr>
                <w:rFonts w:cs="Times New Roman"/>
                <w:snapToGrid w:val="0"/>
                <w:sz w:val="18"/>
                <w:szCs w:val="18"/>
              </w:rPr>
            </w:pPr>
            <w:r>
              <w:rPr>
                <w:rFonts w:cs="Times New Roman"/>
                <w:snapToGrid w:val="0"/>
                <w:sz w:val="18"/>
                <w:szCs w:val="18"/>
              </w:rPr>
              <w:t>主线下穿，未含在本项目</w:t>
            </w:r>
            <w:r>
              <w:rPr>
                <w:rFonts w:hint="eastAsia" w:cs="Times New Roman"/>
                <w:snapToGrid w:val="0"/>
                <w:sz w:val="18"/>
                <w:szCs w:val="18"/>
              </w:rPr>
              <w:t>（已单独设计、环评）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pPr>
              <w:pStyle w:val="105"/>
              <w:jc w:val="center"/>
              <w:rPr>
                <w:rFonts w:cs="Times New Roman"/>
                <w:snapToGrid w:val="0"/>
                <w:sz w:val="18"/>
                <w:szCs w:val="18"/>
              </w:rPr>
            </w:pPr>
            <w:r>
              <w:rPr>
                <w:rFonts w:cs="Times New Roman"/>
                <w:snapToGrid w:val="0"/>
                <w:sz w:val="18"/>
                <w:szCs w:val="18"/>
              </w:rPr>
              <w:t>4</w:t>
            </w:r>
          </w:p>
        </w:tc>
        <w:tc>
          <w:tcPr>
            <w:tcW w:w="733" w:type="pct"/>
            <w:vAlign w:val="center"/>
          </w:tcPr>
          <w:p>
            <w:pPr>
              <w:pStyle w:val="105"/>
              <w:jc w:val="center"/>
              <w:rPr>
                <w:rFonts w:cs="Times New Roman"/>
                <w:snapToGrid w:val="0"/>
                <w:sz w:val="18"/>
                <w:szCs w:val="18"/>
              </w:rPr>
            </w:pPr>
            <w:r>
              <w:rPr>
                <w:rFonts w:cs="Times New Roman"/>
                <w:snapToGrid w:val="0"/>
                <w:sz w:val="18"/>
                <w:szCs w:val="18"/>
              </w:rPr>
              <w:t>K2+220.5</w:t>
            </w:r>
          </w:p>
        </w:tc>
        <w:tc>
          <w:tcPr>
            <w:tcW w:w="625" w:type="pct"/>
            <w:vAlign w:val="center"/>
          </w:tcPr>
          <w:p>
            <w:pPr>
              <w:pStyle w:val="105"/>
              <w:jc w:val="center"/>
              <w:rPr>
                <w:rFonts w:cs="Times New Roman"/>
                <w:snapToGrid w:val="0"/>
                <w:sz w:val="18"/>
                <w:szCs w:val="18"/>
              </w:rPr>
            </w:pPr>
            <w:r>
              <w:rPr>
                <w:rFonts w:cs="Times New Roman"/>
                <w:snapToGrid w:val="0"/>
                <w:sz w:val="18"/>
                <w:szCs w:val="18"/>
              </w:rPr>
              <w:t>88</w:t>
            </w:r>
            <w:r>
              <w:rPr>
                <w:rFonts w:cs="Times New Roman"/>
                <w:snapToGrid w:val="0"/>
                <w:sz w:val="18"/>
                <w:szCs w:val="22"/>
              </w:rPr>
              <w:t>°</w:t>
            </w:r>
            <w:r>
              <w:rPr>
                <w:rFonts w:cs="Times New Roman"/>
                <w:snapToGrid w:val="0"/>
                <w:sz w:val="18"/>
                <w:szCs w:val="18"/>
              </w:rPr>
              <w:t>24</w:t>
            </w:r>
            <w:r>
              <w:rPr>
                <w:rFonts w:cs="Times New Roman"/>
                <w:snapToGrid w:val="0"/>
                <w:sz w:val="18"/>
                <w:szCs w:val="22"/>
              </w:rPr>
              <w:t>′</w:t>
            </w:r>
            <w:r>
              <w:rPr>
                <w:rFonts w:cs="Times New Roman"/>
                <w:snapToGrid w:val="0"/>
                <w:sz w:val="18"/>
                <w:szCs w:val="18"/>
              </w:rPr>
              <w:t>2"</w:t>
            </w:r>
          </w:p>
        </w:tc>
        <w:tc>
          <w:tcPr>
            <w:tcW w:w="989" w:type="pct"/>
            <w:vAlign w:val="center"/>
          </w:tcPr>
          <w:p>
            <w:pPr>
              <w:pStyle w:val="105"/>
              <w:jc w:val="center"/>
              <w:rPr>
                <w:rFonts w:cs="Times New Roman"/>
                <w:snapToGrid w:val="0"/>
                <w:sz w:val="18"/>
                <w:szCs w:val="18"/>
              </w:rPr>
            </w:pPr>
            <w:r>
              <w:rPr>
                <w:rFonts w:cs="Times New Roman"/>
                <w:snapToGrid w:val="0"/>
                <w:sz w:val="18"/>
                <w:szCs w:val="18"/>
              </w:rPr>
              <w:t>沈海高速</w:t>
            </w:r>
          </w:p>
        </w:tc>
        <w:tc>
          <w:tcPr>
            <w:tcW w:w="921" w:type="pct"/>
            <w:vAlign w:val="center"/>
          </w:tcPr>
          <w:p>
            <w:pPr>
              <w:pStyle w:val="105"/>
              <w:jc w:val="center"/>
              <w:rPr>
                <w:rFonts w:cs="Times New Roman"/>
                <w:snapToGrid w:val="0"/>
                <w:sz w:val="18"/>
                <w:szCs w:val="18"/>
              </w:rPr>
            </w:pPr>
            <w:r>
              <w:rPr>
                <w:rFonts w:cs="Times New Roman"/>
                <w:snapToGrid w:val="0"/>
                <w:sz w:val="18"/>
                <w:szCs w:val="18"/>
              </w:rPr>
              <w:t>分离式立体交叉</w:t>
            </w:r>
          </w:p>
        </w:tc>
        <w:tc>
          <w:tcPr>
            <w:tcW w:w="1361" w:type="pct"/>
            <w:vAlign w:val="center"/>
          </w:tcPr>
          <w:p>
            <w:pPr>
              <w:pStyle w:val="105"/>
              <w:jc w:val="center"/>
              <w:rPr>
                <w:rFonts w:cs="Times New Roman"/>
                <w:snapToGrid w:val="0"/>
                <w:sz w:val="18"/>
                <w:szCs w:val="18"/>
              </w:rPr>
            </w:pPr>
            <w:r>
              <w:rPr>
                <w:rFonts w:cs="Times New Roman"/>
                <w:snapToGrid w:val="0"/>
                <w:sz w:val="18"/>
                <w:szCs w:val="18"/>
              </w:rPr>
              <w:t>主线上跨</w:t>
            </w:r>
          </w:p>
        </w:tc>
      </w:tr>
    </w:tbl>
    <w:p>
      <w:pPr>
        <w:pStyle w:val="120"/>
        <w:spacing w:before="240"/>
        <w:rPr>
          <w:color w:val="auto"/>
          <w:lang w:val="zh-CN"/>
        </w:rPr>
      </w:pPr>
      <w:r>
        <w:rPr>
          <w:rFonts w:hint="eastAsia"/>
          <w:color w:val="auto"/>
          <w:lang w:val="zh-CN"/>
        </w:rPr>
        <w:t>路基、路面工程设计</w:t>
      </w:r>
    </w:p>
    <w:p>
      <w:pPr>
        <w:pStyle w:val="118"/>
        <w:rPr>
          <w:lang w:val="zh-CN"/>
        </w:rPr>
      </w:pPr>
      <w:r>
        <w:rPr>
          <w:rFonts w:hint="eastAsia"/>
          <w:lang w:val="zh-CN"/>
        </w:rPr>
        <w:t>路面工程</w:t>
      </w:r>
    </w:p>
    <w:p>
      <w:pPr>
        <w:ind w:firstLine="480"/>
        <w:rPr>
          <w:lang w:val="zh-CN"/>
        </w:rPr>
      </w:pPr>
      <w:r>
        <w:rPr>
          <w:rFonts w:hint="eastAsia"/>
          <w:lang w:val="zh-CN"/>
        </w:rPr>
        <w:t>机动车道路路面结构采用：4cm AC-13C 细粒式改性沥青混凝土+6cm AC-20C 中粒式改性沥青混凝土+10cm 密级配沥青稳定碎石上基层（ATB-25）+15cm 级配碎石下基层+1cm 热沥青表处下封层+30cm 5%水泥稳定碎石底基层。</w:t>
      </w:r>
    </w:p>
    <w:p>
      <w:pPr>
        <w:ind w:firstLine="0" w:firstLineChars="0"/>
        <w:jc w:val="center"/>
        <w:rPr>
          <w:rFonts w:hint="eastAsia" w:eastAsia="宋体"/>
          <w:lang w:eastAsia="zh-CN"/>
        </w:rPr>
      </w:pPr>
    </w:p>
    <w:p>
      <w:pPr>
        <w:pStyle w:val="122"/>
        <w:rPr>
          <w:lang w:val="zh-CN"/>
        </w:rPr>
      </w:pPr>
      <w:r>
        <w:rPr>
          <w:rFonts w:hint="eastAsia"/>
          <w:lang w:val="zh-CN"/>
        </w:rPr>
        <w:t>路面结构图</w:t>
      </w:r>
    </w:p>
    <w:p>
      <w:pPr>
        <w:pStyle w:val="118"/>
        <w:rPr>
          <w:lang w:val="zh-CN"/>
        </w:rPr>
      </w:pPr>
      <w:r>
        <w:rPr>
          <w:rFonts w:hint="eastAsia"/>
          <w:lang w:val="zh-CN"/>
        </w:rPr>
        <w:t>一般路基设计</w:t>
      </w:r>
    </w:p>
    <w:p>
      <w:pPr>
        <w:ind w:firstLine="480"/>
        <w:rPr>
          <w:lang w:val="zh-CN"/>
        </w:rPr>
      </w:pPr>
      <w:r>
        <w:rPr>
          <w:rFonts w:hint="eastAsia"/>
          <w:lang w:val="zh-CN"/>
        </w:rPr>
        <w:t>（1）地基表层处理</w:t>
      </w:r>
    </w:p>
    <w:p>
      <w:pPr>
        <w:ind w:firstLine="480"/>
        <w:rPr>
          <w:rFonts w:cs="Times New Roman"/>
          <w:szCs w:val="24"/>
          <w:lang w:val="zh-CN"/>
        </w:rPr>
      </w:pPr>
      <w:r>
        <w:rPr>
          <w:rFonts w:hint="eastAsia" w:cs="Times New Roman"/>
          <w:szCs w:val="24"/>
          <w:lang w:val="zh-CN"/>
        </w:rPr>
        <w:t>①稳定斜坡上，地面横坡为1:5～1:2.5的土质地段，应先清除表层土（水田段厚0.3m，一般路段厚0.2m）后，再挖台阶，台阶宽度≥2.0m，阶面向内倾斜4%。当开挖台阶尺寸有特殊设计要求时，应按设计要求开挖台阶。</w:t>
      </w:r>
    </w:p>
    <w:p>
      <w:pPr>
        <w:ind w:firstLine="480"/>
        <w:rPr>
          <w:rFonts w:cs="Times New Roman"/>
          <w:szCs w:val="24"/>
          <w:lang w:val="zh-CN"/>
        </w:rPr>
      </w:pPr>
      <w:r>
        <w:rPr>
          <w:rFonts w:hint="eastAsia" w:cs="Times New Roman"/>
          <w:szCs w:val="24"/>
          <w:lang w:val="zh-CN"/>
        </w:rPr>
        <w:t>②对地面横坡为1:5～1:2.5且基岩面上的覆盖层较薄的石方地段，应先清除覆盖层后再挖台阶，当基岩面覆盖较厚且稳定时，可予保留。</w:t>
      </w:r>
    </w:p>
    <w:p>
      <w:pPr>
        <w:ind w:firstLine="480"/>
        <w:rPr>
          <w:rFonts w:cs="Times New Roman"/>
          <w:szCs w:val="24"/>
          <w:lang w:val="zh-CN"/>
        </w:rPr>
      </w:pPr>
      <w:r>
        <w:rPr>
          <w:rFonts w:hint="eastAsia" w:cs="Times New Roman"/>
          <w:szCs w:val="24"/>
          <w:lang w:val="zh-CN"/>
        </w:rPr>
        <w:t>（</w:t>
      </w:r>
      <w:r>
        <w:rPr>
          <w:rFonts w:cs="Times New Roman"/>
          <w:szCs w:val="24"/>
          <w:lang w:val="zh-CN"/>
        </w:rPr>
        <w:t>2</w:t>
      </w:r>
      <w:r>
        <w:rPr>
          <w:rFonts w:hint="eastAsia" w:cs="Times New Roman"/>
          <w:szCs w:val="24"/>
          <w:lang w:val="zh-CN"/>
        </w:rPr>
        <w:t>）路堤边坡</w:t>
      </w:r>
    </w:p>
    <w:p>
      <w:pPr>
        <w:ind w:firstLine="480"/>
        <w:rPr>
          <w:rFonts w:cs="Times New Roman"/>
          <w:szCs w:val="24"/>
          <w:lang w:val="zh-CN"/>
        </w:rPr>
      </w:pPr>
      <w:r>
        <w:rPr>
          <w:rFonts w:hint="eastAsia" w:cs="Times New Roman"/>
          <w:szCs w:val="24"/>
          <w:lang w:val="zh-CN"/>
        </w:rPr>
        <w:t>本项目填土路基均小于8m，护坡道按1.0m宽度设置。填筑路基时，路基宽度在两侧各加宽填筑50cm，使其压实大于路堤设计宽度，以保证路堤X边缘的压实度，削坡后有效的断面尺寸应符合路基设计宽度。纵横向半填半挖的路段，在距路面150cm处填筑30cm级配碎石垫层内布设φ8mm的钢筋网，间距20×20cm。</w:t>
      </w:r>
    </w:p>
    <w:p>
      <w:pPr>
        <w:ind w:firstLine="480"/>
        <w:rPr>
          <w:rFonts w:cs="Times New Roman"/>
          <w:szCs w:val="24"/>
          <w:lang w:val="zh-CN"/>
        </w:rPr>
      </w:pPr>
      <w:r>
        <w:rPr>
          <w:rFonts w:hint="eastAsia" w:cs="Times New Roman"/>
          <w:szCs w:val="24"/>
          <w:lang w:val="zh-CN"/>
        </w:rPr>
        <w:t>当边坡原地面较陡或者有重要构造物干扰时，采用挡土墙、护肩或护脚处理。</w:t>
      </w:r>
    </w:p>
    <w:p>
      <w:pPr>
        <w:ind w:firstLine="480"/>
      </w:pPr>
      <w:r>
        <w:rPr>
          <w:rFonts w:hint="eastAsia"/>
        </w:rPr>
        <w:t>（3）路堑边坡</w:t>
      </w:r>
    </w:p>
    <w:p>
      <w:pPr>
        <w:ind w:firstLine="480"/>
      </w:pPr>
      <w:r>
        <w:rPr>
          <w:rFonts w:hint="eastAsia"/>
        </w:rPr>
        <w:t>土质边坡采用1:0.75～1:1.5，石质边坡采用1:0.</w:t>
      </w:r>
      <w:r>
        <w:t>1</w:t>
      </w:r>
      <w:r>
        <w:rPr>
          <w:rFonts w:hint="eastAsia"/>
        </w:rPr>
        <w:t>～1:</w:t>
      </w:r>
      <w:r>
        <w:t>1.0</w:t>
      </w:r>
      <w:r>
        <w:rPr>
          <w:rFonts w:hint="eastAsia"/>
        </w:rPr>
        <w:t>。</w:t>
      </w:r>
    </w:p>
    <w:p>
      <w:pPr>
        <w:pStyle w:val="118"/>
      </w:pPr>
      <w:r>
        <w:rPr>
          <w:rFonts w:hint="eastAsia"/>
        </w:rPr>
        <w:t>不良路基</w:t>
      </w:r>
    </w:p>
    <w:p>
      <w:pPr>
        <w:ind w:firstLine="480"/>
        <w:rPr>
          <w:rFonts w:cs="Times New Roman"/>
          <w:kern w:val="0"/>
          <w:szCs w:val="24"/>
          <w:lang w:val="zh-CN"/>
        </w:rPr>
      </w:pPr>
      <w:r>
        <w:rPr>
          <w:rFonts w:hint="eastAsia" w:cs="Times New Roman"/>
          <w:kern w:val="0"/>
          <w:szCs w:val="24"/>
          <w:lang w:val="zh-CN"/>
        </w:rPr>
        <w:t>①</w:t>
      </w:r>
      <w:r>
        <w:rPr>
          <w:rFonts w:cs="Times New Roman"/>
          <w:kern w:val="0"/>
          <w:szCs w:val="24"/>
          <w:lang w:val="zh-CN"/>
        </w:rPr>
        <w:t>山坳水田处不良地基处理：山坳水田路段，地表土质湿软，在填筑前，应先进行开沟、拦截、引排地表水和地下水，疏干和</w:t>
      </w:r>
      <w:r>
        <w:rPr>
          <w:rFonts w:hint="eastAsia" w:cs="Times New Roman"/>
          <w:kern w:val="0"/>
          <w:szCs w:val="24"/>
          <w:lang w:val="zh-CN"/>
        </w:rPr>
        <w:t>晾晒</w:t>
      </w:r>
      <w:r>
        <w:rPr>
          <w:rFonts w:cs="Times New Roman"/>
          <w:kern w:val="0"/>
          <w:szCs w:val="24"/>
          <w:lang w:val="zh-CN"/>
        </w:rPr>
        <w:t>后进行填前压实及路堤填筑。因引排有困难路段应增设积水坑，并定期将积水坑内水抽取，使之有良好的地基施工场地。最后进行填筑前压实或换填。视现场地质水文情况，采取如下处理措施：</w:t>
      </w:r>
    </w:p>
    <w:p>
      <w:pPr>
        <w:ind w:firstLine="480"/>
        <w:rPr>
          <w:rFonts w:cs="Times New Roman"/>
          <w:kern w:val="0"/>
          <w:szCs w:val="24"/>
          <w:lang w:val="zh-CN"/>
        </w:rPr>
      </w:pPr>
      <w:r>
        <w:rPr>
          <w:rFonts w:hint="eastAsia" w:cs="Times New Roman"/>
          <w:kern w:val="0"/>
          <w:szCs w:val="24"/>
          <w:lang w:val="zh-CN"/>
        </w:rPr>
        <w:t>A、</w:t>
      </w:r>
      <w:r>
        <w:rPr>
          <w:rFonts w:cs="Times New Roman"/>
          <w:kern w:val="0"/>
          <w:szCs w:val="24"/>
          <w:lang w:val="zh-CN"/>
        </w:rPr>
        <w:t>采用碎石盲沟或渗沟排水。</w:t>
      </w:r>
    </w:p>
    <w:p>
      <w:pPr>
        <w:ind w:firstLine="480"/>
        <w:rPr>
          <w:rFonts w:cs="Times New Roman"/>
          <w:kern w:val="0"/>
          <w:szCs w:val="24"/>
          <w:lang w:val="zh-CN"/>
        </w:rPr>
      </w:pPr>
      <w:r>
        <w:rPr>
          <w:rFonts w:hint="eastAsia" w:cs="Times New Roman"/>
          <w:kern w:val="0"/>
          <w:szCs w:val="24"/>
          <w:lang w:val="zh-CN"/>
        </w:rPr>
        <w:t>B、</w:t>
      </w:r>
      <w:r>
        <w:rPr>
          <w:rFonts w:cs="Times New Roman"/>
          <w:kern w:val="0"/>
          <w:szCs w:val="24"/>
          <w:lang w:val="zh-CN"/>
        </w:rPr>
        <w:t>根据路基稳定和工后沉降情况采用换填透水性材料或设砂垫层处理。一般换填深度控制在3m以内。局部小范围区域换填深度可加深处理。</w:t>
      </w:r>
    </w:p>
    <w:p>
      <w:pPr>
        <w:ind w:firstLine="480"/>
        <w:rPr>
          <w:rFonts w:cs="Times New Roman"/>
          <w:kern w:val="0"/>
          <w:szCs w:val="24"/>
          <w:lang w:val="zh-CN"/>
        </w:rPr>
      </w:pPr>
      <w:r>
        <w:rPr>
          <w:rFonts w:hint="eastAsia" w:ascii="宋体" w:hAnsi="宋体"/>
          <w:kern w:val="0"/>
          <w:szCs w:val="24"/>
          <w:lang w:val="zh-CN"/>
        </w:rPr>
        <w:t>C、</w:t>
      </w:r>
      <w:r>
        <w:rPr>
          <w:rFonts w:cs="Times New Roman"/>
          <w:kern w:val="0"/>
          <w:szCs w:val="24"/>
          <w:lang w:val="zh-CN"/>
        </w:rPr>
        <w:t>砂垫层处理。</w:t>
      </w:r>
    </w:p>
    <w:p>
      <w:pPr>
        <w:ind w:firstLine="480"/>
        <w:rPr>
          <w:rFonts w:cs="Times New Roman"/>
          <w:kern w:val="0"/>
          <w:szCs w:val="24"/>
          <w:lang w:val="zh-CN"/>
        </w:rPr>
      </w:pPr>
      <w:r>
        <w:rPr>
          <w:rFonts w:hint="eastAsia" w:cs="Times New Roman"/>
          <w:kern w:val="0"/>
          <w:szCs w:val="24"/>
          <w:lang w:val="zh-CN"/>
        </w:rPr>
        <w:t>②</w:t>
      </w:r>
      <w:r>
        <w:rPr>
          <w:rFonts w:cs="Times New Roman"/>
          <w:kern w:val="0"/>
          <w:szCs w:val="24"/>
          <w:lang w:val="zh-CN"/>
        </w:rPr>
        <w:t>水塘地段：路基经过水塘地段，采用围堰、抽水、清淤、换填，路基坡面采用铺砌或码砌边坡至正常水位以上0.5m。</w:t>
      </w:r>
    </w:p>
    <w:p>
      <w:pPr>
        <w:ind w:firstLine="480"/>
        <w:rPr>
          <w:rFonts w:cs="Times New Roman"/>
          <w:kern w:val="0"/>
          <w:szCs w:val="24"/>
          <w:lang w:val="zh-CN"/>
        </w:rPr>
      </w:pPr>
      <w:r>
        <w:rPr>
          <w:rFonts w:hint="eastAsia" w:cs="Times New Roman"/>
          <w:kern w:val="0"/>
          <w:szCs w:val="24"/>
          <w:lang w:val="zh-CN"/>
        </w:rPr>
        <w:t>③</w:t>
      </w:r>
      <w:r>
        <w:rPr>
          <w:rFonts w:cs="Times New Roman"/>
          <w:kern w:val="0"/>
          <w:szCs w:val="24"/>
          <w:lang w:val="zh-CN"/>
        </w:rPr>
        <w:t>废弃杂填土、素填土地段，应先挖除杂填土、素填土或</w:t>
      </w:r>
      <w:r>
        <w:rPr>
          <w:rFonts w:hint="eastAsia" w:cs="Times New Roman"/>
          <w:kern w:val="0"/>
          <w:szCs w:val="24"/>
          <w:lang w:val="zh-CN"/>
        </w:rPr>
        <w:t>做</w:t>
      </w:r>
      <w:r>
        <w:rPr>
          <w:rFonts w:cs="Times New Roman"/>
          <w:kern w:val="0"/>
          <w:szCs w:val="24"/>
          <w:lang w:val="zh-CN"/>
        </w:rPr>
        <w:t>处理后回填合格的路基填料。</w:t>
      </w:r>
    </w:p>
    <w:p>
      <w:pPr>
        <w:ind w:firstLine="480"/>
        <w:rPr>
          <w:rFonts w:cs="Times New Roman"/>
          <w:kern w:val="0"/>
          <w:szCs w:val="24"/>
          <w:lang w:val="zh-CN"/>
        </w:rPr>
      </w:pPr>
      <w:r>
        <w:rPr>
          <w:rFonts w:hint="eastAsia" w:cs="Times New Roman"/>
          <w:kern w:val="0"/>
          <w:szCs w:val="24"/>
          <w:lang w:val="zh-CN"/>
        </w:rPr>
        <w:t>④</w:t>
      </w:r>
      <w:r>
        <w:rPr>
          <w:rFonts w:cs="Times New Roman"/>
          <w:kern w:val="0"/>
          <w:szCs w:val="24"/>
          <w:lang w:val="zh-CN"/>
        </w:rPr>
        <w:t>当为低填路堤时，对不良地基的处理深度不应小于重型汽车荷载作用的工作区深度。</w:t>
      </w:r>
    </w:p>
    <w:p>
      <w:pPr>
        <w:pStyle w:val="118"/>
      </w:pPr>
      <w:r>
        <w:rPr>
          <w:rFonts w:hint="eastAsia"/>
        </w:rPr>
        <w:t>深挖高填路段设计</w:t>
      </w:r>
    </w:p>
    <w:p>
      <w:pPr>
        <w:ind w:firstLine="480"/>
      </w:pPr>
      <w:r>
        <w:t>（</w:t>
      </w:r>
      <w:r>
        <w:rPr>
          <w:rFonts w:hint="eastAsia"/>
        </w:rPr>
        <w:t>1）本项目无高填路段。</w:t>
      </w:r>
      <w:bookmarkStart w:id="255" w:name="_Hlk187678337"/>
    </w:p>
    <w:bookmarkEnd w:id="255"/>
    <w:p>
      <w:pPr>
        <w:ind w:firstLine="480"/>
      </w:pPr>
      <w:r>
        <w:rPr>
          <w:rFonts w:hint="eastAsia"/>
        </w:rPr>
        <w:t>（2）深挖路堑：深路堑是指土质挖方边坡高度超过 20m、石质挖方边坡高度超过 30m 的挖方边坡。进行专门的工点设计，以确保路堑高边坡坡体稳定和营运安全。本项目深挖路堑段落统计表如下：</w:t>
      </w:r>
    </w:p>
    <w:p>
      <w:pPr>
        <w:pStyle w:val="87"/>
        <w:spacing w:before="120"/>
      </w:pPr>
      <w:bookmarkStart w:id="256" w:name="_Ref137548988"/>
      <w:r>
        <w:rPr>
          <w:rFonts w:hint="eastAsia"/>
        </w:rPr>
        <w:t>深挖路堑路段列表</w:t>
      </w:r>
      <w:bookmarkEnd w:id="256"/>
    </w:p>
    <w:tbl>
      <w:tblPr>
        <w:tblStyle w:val="39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556"/>
        <w:gridCol w:w="1747"/>
        <w:gridCol w:w="800"/>
        <w:gridCol w:w="682"/>
        <w:gridCol w:w="1130"/>
        <w:gridCol w:w="1330"/>
        <w:gridCol w:w="1159"/>
        <w:gridCol w:w="18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427" w:hRule="atLeast"/>
        </w:trPr>
        <w:tc>
          <w:tcPr>
            <w:tcW w:w="301" w:type="pct"/>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序号</w:t>
            </w:r>
          </w:p>
        </w:tc>
        <w:tc>
          <w:tcPr>
            <w:tcW w:w="942"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起止桩号</w:t>
            </w:r>
          </w:p>
        </w:tc>
        <w:tc>
          <w:tcPr>
            <w:tcW w:w="422"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坡长（</w:t>
            </w:r>
            <w:r>
              <w:rPr>
                <w:rFonts w:eastAsia="New York"/>
              </w:rPr>
              <w:t>m</w:t>
            </w:r>
            <w:r>
              <w:rPr>
                <w:rFonts w:hint="eastAsia" w:ascii="宋体" w:hAnsi="宋体" w:eastAsia="宋体"/>
              </w:rPr>
              <w:t>）</w:t>
            </w:r>
          </w:p>
        </w:tc>
        <w:tc>
          <w:tcPr>
            <w:tcW w:w="368"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坡向</w:t>
            </w:r>
          </w:p>
        </w:tc>
        <w:tc>
          <w:tcPr>
            <w:tcW w:w="609"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中心挖</w:t>
            </w:r>
          </w:p>
          <w:p>
            <w:pPr>
              <w:pStyle w:val="105"/>
              <w:widowControl w:val="0"/>
              <w:jc w:val="center"/>
              <w:rPr>
                <w:rFonts w:eastAsia="New York"/>
              </w:rPr>
            </w:pPr>
            <w:r>
              <w:rPr>
                <w:rFonts w:hint="eastAsia" w:ascii="宋体" w:hAnsi="宋体" w:eastAsia="宋体"/>
              </w:rPr>
              <w:t>高</w:t>
            </w:r>
            <w:r>
              <w:rPr>
                <w:rFonts w:eastAsia="New York"/>
              </w:rPr>
              <w:t xml:space="preserve"> (m)</w:t>
            </w:r>
          </w:p>
        </w:tc>
        <w:tc>
          <w:tcPr>
            <w:tcW w:w="717"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最大边坡</w:t>
            </w:r>
          </w:p>
          <w:p>
            <w:pPr>
              <w:pStyle w:val="105"/>
              <w:widowControl w:val="0"/>
              <w:jc w:val="center"/>
              <w:rPr>
                <w:rFonts w:eastAsia="New York"/>
              </w:rPr>
            </w:pPr>
            <w:r>
              <w:rPr>
                <w:rFonts w:eastAsia="New York"/>
              </w:rPr>
              <w:t xml:space="preserve"> </w:t>
            </w:r>
            <w:r>
              <w:rPr>
                <w:rFonts w:hint="eastAsia" w:ascii="宋体" w:hAnsi="宋体" w:eastAsia="宋体"/>
              </w:rPr>
              <w:t>高度（</w:t>
            </w:r>
            <w:r>
              <w:rPr>
                <w:rFonts w:eastAsia="New York"/>
              </w:rPr>
              <w:t>m</w:t>
            </w:r>
            <w:r>
              <w:rPr>
                <w:rFonts w:hint="eastAsia" w:ascii="宋体" w:hAnsi="宋体" w:eastAsia="宋体"/>
              </w:rPr>
              <w:t>）</w:t>
            </w:r>
          </w:p>
        </w:tc>
        <w:tc>
          <w:tcPr>
            <w:tcW w:w="625"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最大高度</w:t>
            </w:r>
            <w:r>
              <w:rPr>
                <w:rFonts w:eastAsia="New York"/>
              </w:rPr>
              <w:t xml:space="preserve"> </w:t>
            </w:r>
            <w:r>
              <w:rPr>
                <w:rFonts w:hint="eastAsia" w:ascii="宋体" w:hAnsi="宋体" w:eastAsia="宋体"/>
              </w:rPr>
              <w:t>对应里程</w:t>
            </w:r>
          </w:p>
        </w:tc>
        <w:tc>
          <w:tcPr>
            <w:tcW w:w="1016" w:type="pct"/>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防护工程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08" w:hRule="atLeast"/>
        </w:trPr>
        <w:tc>
          <w:tcPr>
            <w:tcW w:w="301" w:type="pct"/>
            <w:vAlign w:val="center"/>
          </w:tcPr>
          <w:p>
            <w:pPr>
              <w:pStyle w:val="105"/>
              <w:widowControl w:val="0"/>
              <w:jc w:val="center"/>
            </w:pPr>
            <w:r>
              <w:t>1</w:t>
            </w:r>
          </w:p>
        </w:tc>
        <w:tc>
          <w:tcPr>
            <w:tcW w:w="942" w:type="pct"/>
            <w:vAlign w:val="center"/>
          </w:tcPr>
          <w:p>
            <w:pPr>
              <w:pStyle w:val="105"/>
              <w:widowControl w:val="0"/>
              <w:jc w:val="center"/>
            </w:pPr>
            <w:r>
              <w:t>K0+220~K0+420</w:t>
            </w:r>
          </w:p>
        </w:tc>
        <w:tc>
          <w:tcPr>
            <w:tcW w:w="422" w:type="pct"/>
            <w:vAlign w:val="center"/>
          </w:tcPr>
          <w:p>
            <w:pPr>
              <w:pStyle w:val="105"/>
              <w:widowControl w:val="0"/>
              <w:jc w:val="center"/>
            </w:pPr>
            <w:r>
              <w:t>200</w:t>
            </w:r>
          </w:p>
        </w:tc>
        <w:tc>
          <w:tcPr>
            <w:tcW w:w="368" w:type="pct"/>
            <w:vAlign w:val="center"/>
          </w:tcPr>
          <w:p>
            <w:pPr>
              <w:pStyle w:val="105"/>
              <w:widowControl w:val="0"/>
              <w:jc w:val="center"/>
            </w:pPr>
            <w:r>
              <w:rPr>
                <w:rFonts w:hint="eastAsia"/>
              </w:rPr>
              <w:t>左右侧</w:t>
            </w:r>
          </w:p>
        </w:tc>
        <w:tc>
          <w:tcPr>
            <w:tcW w:w="609" w:type="pct"/>
            <w:vAlign w:val="center"/>
          </w:tcPr>
          <w:p>
            <w:pPr>
              <w:pStyle w:val="105"/>
              <w:widowControl w:val="0"/>
              <w:jc w:val="center"/>
            </w:pPr>
            <w:r>
              <w:t>44. 20</w:t>
            </w:r>
          </w:p>
        </w:tc>
        <w:tc>
          <w:tcPr>
            <w:tcW w:w="717" w:type="pct"/>
            <w:vAlign w:val="center"/>
          </w:tcPr>
          <w:p>
            <w:pPr>
              <w:pStyle w:val="105"/>
              <w:widowControl w:val="0"/>
              <w:jc w:val="center"/>
            </w:pPr>
            <w:r>
              <w:rPr>
                <w:rFonts w:hint="eastAsia"/>
              </w:rPr>
              <w:t>3</w:t>
            </w:r>
            <w:r>
              <w:t>8.4</w:t>
            </w:r>
          </w:p>
        </w:tc>
        <w:tc>
          <w:tcPr>
            <w:tcW w:w="625" w:type="pct"/>
            <w:vAlign w:val="center"/>
          </w:tcPr>
          <w:p>
            <w:pPr>
              <w:pStyle w:val="105"/>
              <w:widowControl w:val="0"/>
              <w:jc w:val="center"/>
            </w:pPr>
            <w:r>
              <w:t>K0+340</w:t>
            </w:r>
          </w:p>
        </w:tc>
        <w:tc>
          <w:tcPr>
            <w:tcW w:w="1016" w:type="pct"/>
            <w:vAlign w:val="center"/>
          </w:tcPr>
          <w:p>
            <w:pPr>
              <w:pStyle w:val="105"/>
              <w:widowControl w:val="0"/>
              <w:jc w:val="center"/>
            </w:pPr>
            <w:r>
              <w:rPr>
                <w:rFonts w:cs="Times New Roman"/>
                <w:kern w:val="0"/>
                <w:szCs w:val="24"/>
                <w:lang w:val="zh-CN"/>
              </w:rPr>
              <w:t>TBS植草灌进行防护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30" w:hRule="atLeast"/>
        </w:trPr>
        <w:tc>
          <w:tcPr>
            <w:tcW w:w="301" w:type="pct"/>
            <w:vAlign w:val="center"/>
          </w:tcPr>
          <w:p>
            <w:pPr>
              <w:pStyle w:val="105"/>
              <w:widowControl w:val="0"/>
              <w:jc w:val="center"/>
            </w:pPr>
            <w:r>
              <w:t>2</w:t>
            </w:r>
          </w:p>
        </w:tc>
        <w:tc>
          <w:tcPr>
            <w:tcW w:w="942" w:type="pct"/>
            <w:vAlign w:val="center"/>
          </w:tcPr>
          <w:p>
            <w:pPr>
              <w:pStyle w:val="105"/>
              <w:widowControl w:val="0"/>
              <w:jc w:val="center"/>
            </w:pPr>
            <w:r>
              <w:t>K4+840~K5+020</w:t>
            </w:r>
          </w:p>
        </w:tc>
        <w:tc>
          <w:tcPr>
            <w:tcW w:w="422" w:type="pct"/>
            <w:vAlign w:val="center"/>
          </w:tcPr>
          <w:p>
            <w:pPr>
              <w:pStyle w:val="105"/>
              <w:widowControl w:val="0"/>
              <w:jc w:val="center"/>
            </w:pPr>
            <w:r>
              <w:t>180</w:t>
            </w:r>
          </w:p>
        </w:tc>
        <w:tc>
          <w:tcPr>
            <w:tcW w:w="368" w:type="pct"/>
            <w:vAlign w:val="center"/>
          </w:tcPr>
          <w:p>
            <w:pPr>
              <w:pStyle w:val="105"/>
              <w:widowControl w:val="0"/>
              <w:jc w:val="center"/>
            </w:pPr>
            <w:r>
              <w:rPr>
                <w:rFonts w:hint="eastAsia"/>
              </w:rPr>
              <w:t>左侧</w:t>
            </w:r>
          </w:p>
        </w:tc>
        <w:tc>
          <w:tcPr>
            <w:tcW w:w="609" w:type="pct"/>
            <w:vAlign w:val="center"/>
          </w:tcPr>
          <w:p>
            <w:pPr>
              <w:pStyle w:val="105"/>
              <w:widowControl w:val="0"/>
              <w:jc w:val="center"/>
            </w:pPr>
            <w:r>
              <w:t>16.44</w:t>
            </w:r>
          </w:p>
        </w:tc>
        <w:tc>
          <w:tcPr>
            <w:tcW w:w="717" w:type="pct"/>
            <w:vAlign w:val="center"/>
          </w:tcPr>
          <w:p>
            <w:pPr>
              <w:pStyle w:val="105"/>
              <w:widowControl w:val="0"/>
              <w:jc w:val="center"/>
            </w:pPr>
            <w:r>
              <w:t>28</w:t>
            </w:r>
          </w:p>
        </w:tc>
        <w:tc>
          <w:tcPr>
            <w:tcW w:w="625" w:type="pct"/>
            <w:vAlign w:val="center"/>
          </w:tcPr>
          <w:p>
            <w:pPr>
              <w:pStyle w:val="105"/>
              <w:widowControl w:val="0"/>
              <w:jc w:val="center"/>
            </w:pPr>
            <w:r>
              <w:t>K4+920</w:t>
            </w:r>
          </w:p>
        </w:tc>
        <w:tc>
          <w:tcPr>
            <w:tcW w:w="1016" w:type="pct"/>
            <w:vAlign w:val="center"/>
          </w:tcPr>
          <w:p>
            <w:pPr>
              <w:pStyle w:val="105"/>
              <w:widowControl w:val="0"/>
              <w:jc w:val="center"/>
            </w:pPr>
            <w:r>
              <w:rPr>
                <w:rFonts w:cs="Times New Roman"/>
                <w:kern w:val="0"/>
                <w:szCs w:val="24"/>
                <w:lang w:val="zh-CN"/>
              </w:rPr>
              <w:t>TBS植草灌进行防护</w:t>
            </w:r>
          </w:p>
        </w:tc>
      </w:tr>
    </w:tbl>
    <w:p>
      <w:pPr>
        <w:pStyle w:val="105"/>
        <w:jc w:val="center"/>
        <w:rPr>
          <w:rFonts w:hint="eastAsia" w:eastAsia="宋体"/>
          <w:lang w:eastAsia="zh-CN"/>
        </w:rPr>
      </w:pPr>
    </w:p>
    <w:p>
      <w:pPr>
        <w:pStyle w:val="105"/>
        <w:ind w:left="-5" w:leftChars="-119" w:hanging="281" w:hangingChars="134"/>
        <w:jc w:val="center"/>
        <w:rPr>
          <w:rFonts w:hint="eastAsia" w:eastAsia="宋体"/>
          <w:lang w:eastAsia="zh-CN"/>
        </w:rPr>
      </w:pPr>
    </w:p>
    <w:p>
      <w:pPr>
        <w:pStyle w:val="122"/>
      </w:pPr>
      <w:r>
        <w:t>K0+220~K0+420</w:t>
      </w:r>
      <w:r>
        <w:rPr>
          <w:rFonts w:hint="eastAsia"/>
          <w:lang w:val="zh-CN"/>
        </w:rPr>
        <w:t>深挖</w:t>
      </w:r>
      <w:r>
        <w:rPr>
          <w:lang w:val="zh-CN"/>
        </w:rPr>
        <w:t>路堤典型断面图</w:t>
      </w:r>
    </w:p>
    <w:p>
      <w:pPr>
        <w:pStyle w:val="105"/>
        <w:spacing w:before="0" w:after="0"/>
        <w:jc w:val="center"/>
        <w:rPr>
          <w:rFonts w:hint="eastAsia" w:eastAsia="宋体"/>
          <w:lang w:val="zh-CN" w:eastAsia="zh-CN"/>
        </w:rPr>
      </w:pPr>
    </w:p>
    <w:p>
      <w:pPr>
        <w:pStyle w:val="105"/>
        <w:jc w:val="center"/>
        <w:rPr>
          <w:rFonts w:hint="eastAsia" w:eastAsia="宋体"/>
          <w:lang w:val="zh-CN" w:eastAsia="zh-CN"/>
        </w:rPr>
      </w:pPr>
    </w:p>
    <w:p>
      <w:pPr>
        <w:pStyle w:val="122"/>
      </w:pPr>
      <w:r>
        <w:t>K0+220~K0+420</w:t>
      </w:r>
      <w:r>
        <w:rPr>
          <w:rFonts w:hint="eastAsia"/>
          <w:lang w:val="zh-CN"/>
        </w:rPr>
        <w:t>深挖</w:t>
      </w:r>
      <w:r>
        <w:rPr>
          <w:lang w:val="zh-CN"/>
        </w:rPr>
        <w:t>路堤典型断面图</w:t>
      </w:r>
    </w:p>
    <w:p>
      <w:pPr>
        <w:pStyle w:val="118"/>
      </w:pPr>
      <w:r>
        <w:rPr>
          <w:rFonts w:hint="eastAsia"/>
        </w:rPr>
        <w:t>边坡防护</w:t>
      </w:r>
    </w:p>
    <w:p>
      <w:pPr>
        <w:ind w:firstLine="482"/>
        <w:rPr>
          <w:lang w:val="zh-CN"/>
        </w:rPr>
      </w:pPr>
      <w:r>
        <w:rPr>
          <w:rFonts w:hint="eastAsia"/>
          <w:b/>
          <w:bCs/>
          <w:lang w:val="zh-CN"/>
        </w:rPr>
        <w:t>（1）</w:t>
      </w:r>
      <w:r>
        <w:rPr>
          <w:b/>
          <w:bCs/>
          <w:lang w:val="zh-CN"/>
        </w:rPr>
        <w:t>路堤边坡支挡及防护</w:t>
      </w:r>
      <w:r>
        <w:rPr>
          <w:rFonts w:hint="eastAsia"/>
          <w:b/>
          <w:bCs/>
          <w:lang w:val="zh-CN"/>
        </w:rPr>
        <w:t>：</w:t>
      </w:r>
      <w:r>
        <w:rPr>
          <w:lang w:val="zh-CN"/>
        </w:rPr>
        <w:t>路堤高度&gt;3m时，边坡采用路堤拱型骨架撒播草（植乔木）边坡防护，</w:t>
      </w:r>
      <w:r>
        <w:rPr>
          <w:rFonts w:hint="eastAsia"/>
          <w:lang w:val="zh-CN"/>
        </w:rPr>
        <w:t>中间</w:t>
      </w:r>
      <w:r>
        <w:rPr>
          <w:lang w:val="zh-CN"/>
        </w:rPr>
        <w:t>护坡道采用M7.5浆砌片石或预制块铺砌，并预留种树位置。路堤高度&lt;3m时，采用边坡撒播草（植乔木）防护。</w:t>
      </w:r>
    </w:p>
    <w:p>
      <w:pPr>
        <w:ind w:firstLine="480"/>
        <w:rPr>
          <w:lang w:val="zh-CN"/>
        </w:rPr>
      </w:pPr>
      <w:r>
        <w:rPr>
          <w:lang w:val="zh-CN"/>
        </w:rPr>
        <w:t>填石路堤边坡采用码砌防护，填石路堤高度与码砌厚度的关系为：路基高度小于5m时，厚度大等于1m；路基高度大等于5m小等于12m时，厚度大等于 1.5m；路基高度大于12m时，厚度大等于2m。当有景观要求时，可考虑绿化防护设计。码砌石块最小尺寸不应小于300mm。当有景观要求时采用</w:t>
      </w:r>
      <w:r>
        <w:rPr>
          <w:rFonts w:hint="eastAsia"/>
          <w:lang w:val="zh-CN"/>
        </w:rPr>
        <w:t>培土</w:t>
      </w:r>
      <w:r>
        <w:rPr>
          <w:lang w:val="zh-CN"/>
        </w:rPr>
        <w:t>绿化。</w:t>
      </w:r>
    </w:p>
    <w:p>
      <w:pPr>
        <w:ind w:firstLine="482"/>
        <w:rPr>
          <w:lang w:val="zh-CN"/>
        </w:rPr>
      </w:pPr>
      <w:r>
        <w:rPr>
          <w:rFonts w:hint="eastAsia"/>
          <w:b/>
          <w:bCs/>
          <w:lang w:val="zh-CN"/>
        </w:rPr>
        <w:t>（2）</w:t>
      </w:r>
      <w:r>
        <w:rPr>
          <w:b/>
          <w:bCs/>
          <w:lang w:val="zh-CN"/>
        </w:rPr>
        <w:t>挡土墙防护</w:t>
      </w:r>
      <w:r>
        <w:rPr>
          <w:rFonts w:hint="eastAsia"/>
          <w:b/>
          <w:bCs/>
          <w:lang w:val="zh-CN"/>
        </w:rPr>
        <w:t>：</w:t>
      </w:r>
      <w:r>
        <w:rPr>
          <w:lang w:val="zh-CN"/>
        </w:rPr>
        <w:t>砌筑挡土墙所用材料采用片石混凝土、混凝土等。一般原则：挡土墙高度&lt;12m，采用C20片石混凝土。</w:t>
      </w:r>
    </w:p>
    <w:p>
      <w:pPr>
        <w:ind w:firstLine="482"/>
        <w:rPr>
          <w:lang w:val="zh-CN"/>
        </w:rPr>
      </w:pPr>
      <w:r>
        <w:rPr>
          <w:rFonts w:hint="eastAsia"/>
          <w:b/>
          <w:bCs/>
          <w:lang w:val="zh-CN"/>
        </w:rPr>
        <w:t>（3）</w:t>
      </w:r>
      <w:r>
        <w:rPr>
          <w:b/>
          <w:bCs/>
          <w:lang w:val="zh-CN"/>
        </w:rPr>
        <w:t>路堑边坡支挡及防护</w:t>
      </w:r>
      <w:r>
        <w:rPr>
          <w:rFonts w:hint="eastAsia"/>
          <w:b/>
          <w:bCs/>
          <w:lang w:val="zh-CN"/>
        </w:rPr>
        <w:t>：</w:t>
      </w:r>
      <w:r>
        <w:rPr>
          <w:lang w:val="zh-CN"/>
        </w:rPr>
        <w:t>边坡高度&lt;8m时，边坡防护采用边坡机械液压客土喷草（植乔木）防护、路堑拱型骨架喷草（植乔木）防护</w:t>
      </w:r>
      <w:r>
        <w:rPr>
          <w:rFonts w:hint="eastAsia"/>
          <w:lang w:val="zh-CN"/>
        </w:rPr>
        <w:t>或</w:t>
      </w:r>
      <w:r>
        <w:rPr>
          <w:lang w:val="zh-CN"/>
        </w:rPr>
        <w:t>根据边坡稳定性采用支挡防护。边坡高度28m时，边坡防护形式有：边坡机械液压客土喷草（植乔木）防护、拱型骨架喷草（植乔木）防护、边坡（锚杆）TBS 植草防护、锚索（锚杆）框架等。</w:t>
      </w:r>
    </w:p>
    <w:p>
      <w:pPr>
        <w:pStyle w:val="118"/>
        <w:rPr>
          <w:lang w:val="zh-CN"/>
        </w:rPr>
      </w:pPr>
      <w:r>
        <w:rPr>
          <w:rFonts w:hint="eastAsia"/>
        </w:rPr>
        <w:t>路基</w:t>
      </w:r>
      <w:r>
        <w:rPr>
          <w:rFonts w:hint="eastAsia"/>
          <w:lang w:val="zh-CN"/>
        </w:rPr>
        <w:t>排水工程</w:t>
      </w:r>
    </w:p>
    <w:p>
      <w:pPr>
        <w:ind w:firstLine="480"/>
        <w:rPr>
          <w:rFonts w:cs="Times New Roman"/>
          <w:szCs w:val="24"/>
          <w:lang w:val="zh-CN"/>
        </w:rPr>
      </w:pPr>
      <w:r>
        <w:rPr>
          <w:rFonts w:cs="Times New Roman"/>
          <w:kern w:val="0"/>
          <w:szCs w:val="24"/>
          <w:lang w:val="zh-CN"/>
        </w:rPr>
        <w:t>路基排水有边沟、截水沟、排水沟、急流槽；路基地下排水有盲沟、渗沟、检查井等地下排水设施。</w:t>
      </w:r>
    </w:p>
    <w:p>
      <w:pPr>
        <w:ind w:firstLine="480"/>
        <w:rPr>
          <w:lang w:val="zh-CN"/>
        </w:rPr>
      </w:pPr>
      <w:r>
        <w:rPr>
          <w:rFonts w:hint="eastAsia"/>
          <w:lang w:val="zh-CN"/>
        </w:rPr>
        <w:t>①路堑边沟：路堑边沟形式采用矩形边沟，根据汇水面积确定尺寸一般为40cm×80cm、60cm×80cm、80cm×80cm；无市政排水管网系统的路面及边坡汇水直接流入边沟。</w:t>
      </w:r>
    </w:p>
    <w:p>
      <w:pPr>
        <w:ind w:firstLine="480"/>
        <w:rPr>
          <w:rFonts w:cs="Times New Roman"/>
          <w:szCs w:val="24"/>
          <w:lang w:val="zh-CN"/>
        </w:rPr>
      </w:pPr>
      <w:r>
        <w:rPr>
          <w:rFonts w:hint="eastAsia"/>
          <w:lang w:val="zh-CN"/>
        </w:rPr>
        <w:t>②坡顶截水沟：</w:t>
      </w:r>
      <w:r>
        <w:rPr>
          <w:rFonts w:hint="eastAsia" w:cs="Times New Roman"/>
          <w:szCs w:val="24"/>
          <w:lang w:val="zh-CN"/>
        </w:rPr>
        <w:t>坡顶截水沟一般设于汇水面积较大的挖方边坡坡口以外至少5m的位置，用于拦截边坡上部的坡面水。坡顶截水沟可视汇水面积与地质、地形情况采用矩形，沟身尺寸采用50cm×50cm或60cm×60cm，沟长不应大于500m。</w:t>
      </w:r>
    </w:p>
    <w:p>
      <w:pPr>
        <w:ind w:firstLine="480"/>
        <w:rPr>
          <w:rFonts w:cs="Times New Roman"/>
          <w:szCs w:val="24"/>
          <w:lang w:val="zh-CN"/>
        </w:rPr>
      </w:pPr>
      <w:r>
        <w:rPr>
          <w:rFonts w:hint="eastAsia" w:cs="Times New Roman"/>
          <w:szCs w:val="24"/>
          <w:lang w:val="zh-CN"/>
        </w:rPr>
        <w:t>③排水沟：将边沟、截水沟、边坡和路基附近积水引入桥涵或路基以外，排水沟纵坡不宜小于0.5%，长度不超过300m。排水沟根据流量采用矩形沟或梯形沟，根据汇水面积确定尺寸一般为60cm×60cm、60cm×80cm。</w:t>
      </w:r>
    </w:p>
    <w:p>
      <w:pPr>
        <w:ind w:firstLine="480"/>
        <w:rPr>
          <w:rFonts w:cs="Times New Roman"/>
          <w:szCs w:val="24"/>
          <w:lang w:val="zh-CN"/>
        </w:rPr>
      </w:pPr>
      <w:r>
        <w:rPr>
          <w:rFonts w:hint="eastAsia" w:cs="Times New Roman"/>
          <w:szCs w:val="24"/>
          <w:lang w:val="zh-CN"/>
        </w:rPr>
        <w:t>④跌水、急流槽：进、出口采用设消力池等消力措施以防止冲刷。急流槽纵坡不宜陡于1：1.5。急流槽出水口接排水沟或自然山沟，一般采用M7.5浆砌片石砌筑，流速、流量大时采用C15片石混凝土。</w:t>
      </w:r>
    </w:p>
    <w:p>
      <w:pPr>
        <w:pStyle w:val="120"/>
        <w:rPr>
          <w:color w:val="auto"/>
        </w:rPr>
      </w:pPr>
      <w:bookmarkStart w:id="257" w:name="2.2.4桥涵工程"/>
      <w:bookmarkEnd w:id="257"/>
      <w:bookmarkStart w:id="258" w:name="_Hlk195520739"/>
      <w:r>
        <w:rPr>
          <w:rFonts w:hint="eastAsia"/>
          <w:color w:val="auto"/>
        </w:rPr>
        <w:t>桥梁工</w:t>
      </w:r>
      <w:r>
        <w:rPr>
          <w:color w:val="auto"/>
        </w:rPr>
        <w:t>程</w:t>
      </w:r>
    </w:p>
    <w:bookmarkEnd w:id="258"/>
    <w:p>
      <w:pPr>
        <w:pStyle w:val="118"/>
        <w:numPr>
          <w:ilvl w:val="0"/>
          <w:numId w:val="0"/>
        </w:numPr>
      </w:pPr>
      <w:r>
        <w:rPr>
          <w:rFonts w:hint="eastAsia"/>
        </w:rPr>
        <w:t>（1）设计标准</w:t>
      </w:r>
    </w:p>
    <w:p>
      <w:pPr>
        <w:ind w:firstLine="480"/>
      </w:pPr>
      <w:r>
        <w:rPr>
          <w:rFonts w:hint="eastAsia"/>
        </w:rPr>
        <w:t>①道路等级：二级公路，大埔大桥双向四车道，枝钟中桥双向两车道；</w:t>
      </w:r>
    </w:p>
    <w:p>
      <w:pPr>
        <w:ind w:firstLine="480"/>
      </w:pPr>
      <w:r>
        <w:rPr>
          <w:rFonts w:hint="eastAsia"/>
        </w:rPr>
        <w:t>②设计速度：60km/h；</w:t>
      </w:r>
    </w:p>
    <w:p>
      <w:pPr>
        <w:ind w:firstLine="480"/>
      </w:pPr>
      <w:r>
        <w:rPr>
          <w:rFonts w:hint="eastAsia"/>
        </w:rPr>
        <w:t>③结构设计基准期：100年；</w:t>
      </w:r>
    </w:p>
    <w:p>
      <w:pPr>
        <w:ind w:firstLine="480"/>
        <w:rPr>
          <w:rFonts w:cs="Times New Roman"/>
          <w:kern w:val="0"/>
          <w:szCs w:val="24"/>
          <w:lang w:val="zh-CN"/>
        </w:rPr>
      </w:pPr>
      <w:r>
        <w:rPr>
          <w:rFonts w:hint="eastAsia" w:cs="Times New Roman"/>
          <w:kern w:val="0"/>
          <w:szCs w:val="24"/>
          <w:lang w:val="zh-CN"/>
        </w:rPr>
        <w:t>④</w:t>
      </w:r>
      <w:r>
        <w:rPr>
          <w:rFonts w:cs="Times New Roman"/>
          <w:kern w:val="0"/>
          <w:szCs w:val="24"/>
          <w:lang w:val="zh-CN"/>
        </w:rPr>
        <w:t>桥面宽度：</w:t>
      </w:r>
    </w:p>
    <w:p>
      <w:pPr>
        <w:ind w:firstLine="480"/>
        <w:rPr>
          <w:lang w:val="zh-CN"/>
        </w:rPr>
      </w:pPr>
      <w:r>
        <w:rPr>
          <w:lang w:val="zh-CN"/>
        </w:rPr>
        <w:t>大埔大桥：0.5米护栏+净8.447</w:t>
      </w:r>
      <w:r>
        <w:rPr>
          <w:rFonts w:hint="eastAsia"/>
          <w:lang w:val="zh-CN"/>
        </w:rPr>
        <w:t xml:space="preserve"> m</w:t>
      </w:r>
      <w:r>
        <w:rPr>
          <w:lang w:val="zh-CN"/>
        </w:rPr>
        <w:t xml:space="preserve"> +0.606</w:t>
      </w:r>
      <w:r>
        <w:rPr>
          <w:rFonts w:hint="eastAsia"/>
          <w:lang w:val="zh-CN"/>
        </w:rPr>
        <w:t xml:space="preserve"> m</w:t>
      </w:r>
      <w:r>
        <w:rPr>
          <w:lang w:val="zh-CN"/>
        </w:rPr>
        <w:t>护栏+净8.447</w:t>
      </w:r>
      <w:r>
        <w:rPr>
          <w:rFonts w:hint="eastAsia"/>
          <w:lang w:val="zh-CN"/>
        </w:rPr>
        <w:t xml:space="preserve"> m</w:t>
      </w:r>
      <w:r>
        <w:rPr>
          <w:lang w:val="zh-CN"/>
        </w:rPr>
        <w:t xml:space="preserve"> +0.5</w:t>
      </w:r>
      <w:r>
        <w:rPr>
          <w:rFonts w:hint="eastAsia"/>
          <w:lang w:val="zh-CN"/>
        </w:rPr>
        <w:t xml:space="preserve"> m</w:t>
      </w:r>
      <w:r>
        <w:rPr>
          <w:lang w:val="zh-CN"/>
        </w:rPr>
        <w:t>护栏=18.5</w:t>
      </w:r>
      <w:r>
        <w:rPr>
          <w:rFonts w:hint="eastAsia"/>
          <w:lang w:val="zh-CN"/>
        </w:rPr>
        <w:t>m</w:t>
      </w:r>
      <w:r>
        <w:rPr>
          <w:lang w:val="zh-CN"/>
        </w:rPr>
        <w:t>；</w:t>
      </w:r>
    </w:p>
    <w:p>
      <w:pPr>
        <w:ind w:firstLine="480"/>
        <w:rPr>
          <w:lang w:val="zh-CN"/>
        </w:rPr>
      </w:pPr>
      <w:r>
        <w:rPr>
          <w:lang w:val="zh-CN"/>
        </w:rPr>
        <w:t>枝钟中桥：0.5</w:t>
      </w:r>
      <w:r>
        <w:rPr>
          <w:rFonts w:hint="eastAsia"/>
          <w:lang w:val="zh-CN"/>
        </w:rPr>
        <w:t xml:space="preserve"> m</w:t>
      </w:r>
      <w:r>
        <w:rPr>
          <w:lang w:val="zh-CN"/>
        </w:rPr>
        <w:t>护栏+净11.0</w:t>
      </w:r>
      <w:r>
        <w:rPr>
          <w:rFonts w:hint="eastAsia"/>
          <w:lang w:val="zh-CN"/>
        </w:rPr>
        <w:t xml:space="preserve"> m</w:t>
      </w:r>
      <w:r>
        <w:rPr>
          <w:lang w:val="zh-CN"/>
        </w:rPr>
        <w:t xml:space="preserve"> +0.5</w:t>
      </w:r>
      <w:r>
        <w:rPr>
          <w:rFonts w:hint="eastAsia"/>
          <w:lang w:val="zh-CN"/>
        </w:rPr>
        <w:t xml:space="preserve"> m</w:t>
      </w:r>
      <w:r>
        <w:rPr>
          <w:lang w:val="zh-CN"/>
        </w:rPr>
        <w:t>护栏=12</w:t>
      </w:r>
      <w:r>
        <w:rPr>
          <w:rFonts w:hint="eastAsia"/>
          <w:lang w:val="zh-CN"/>
        </w:rPr>
        <w:t xml:space="preserve"> m</w:t>
      </w:r>
      <w:r>
        <w:rPr>
          <w:lang w:val="zh-CN"/>
        </w:rPr>
        <w:t>；</w:t>
      </w:r>
    </w:p>
    <w:p>
      <w:pPr>
        <w:ind w:firstLine="480"/>
        <w:rPr>
          <w:lang w:val="zh-CN"/>
        </w:rPr>
      </w:pPr>
      <w:r>
        <w:rPr>
          <w:rFonts w:hint="eastAsia"/>
          <w:lang w:val="zh-CN"/>
        </w:rPr>
        <w:t>⑤</w:t>
      </w:r>
      <w:r>
        <w:rPr>
          <w:lang w:val="zh-CN"/>
        </w:rPr>
        <w:t>设计洪水频率：100年一遇；（6）汽车荷载等级：公路-Ⅰ 级；</w:t>
      </w:r>
    </w:p>
    <w:p>
      <w:pPr>
        <w:ind w:firstLine="480"/>
      </w:pPr>
      <w:r>
        <w:rPr>
          <w:rFonts w:hint="eastAsia"/>
          <w:lang w:val="zh-CN"/>
        </w:rPr>
        <w:t>⑥</w:t>
      </w:r>
      <w:r>
        <w:rPr>
          <w:lang w:val="zh-CN"/>
        </w:rPr>
        <w:t>抗震设防标准：场地地震动加速度峰值为0.10g，地震动反应谱特征周期为0.45s，桥梁抗震设防烈度为7度，大埔大桥抗震设防措施等级为三级，枝钟中桥抗震设防措施等级为二级。</w:t>
      </w:r>
    </w:p>
    <w:p>
      <w:pPr>
        <w:pStyle w:val="118"/>
        <w:numPr>
          <w:ilvl w:val="0"/>
          <w:numId w:val="0"/>
        </w:numPr>
      </w:pPr>
      <w:r>
        <w:rPr>
          <w:rFonts w:hint="eastAsia"/>
        </w:rPr>
        <w:t>（</w:t>
      </w:r>
      <w:r>
        <w:t>2</w:t>
      </w:r>
      <w:r>
        <w:rPr>
          <w:rFonts w:hint="eastAsia"/>
        </w:rPr>
        <w:t>）</w:t>
      </w:r>
      <w:bookmarkStart w:id="259" w:name="_Hlk195520746"/>
      <w:r>
        <w:rPr>
          <w:rFonts w:hint="eastAsia"/>
        </w:rPr>
        <w:t>线路桥梁分布</w:t>
      </w:r>
    </w:p>
    <w:p>
      <w:pPr>
        <w:ind w:firstLine="480"/>
      </w:pPr>
      <w:r>
        <w:rPr>
          <w:rFonts w:hint="eastAsia"/>
        </w:rPr>
        <w:t>主线设置大桥1座，接线设置中桥1座。</w:t>
      </w:r>
      <w:r>
        <w:t>桥梁设置一览表</w:t>
      </w:r>
      <w:r>
        <w:rPr>
          <w:rFonts w:hint="eastAsia"/>
        </w:rPr>
        <w:t>详见</w:t>
      </w:r>
      <w:r>
        <w:fldChar w:fldCharType="begin"/>
      </w:r>
      <w:r>
        <w:instrText xml:space="preserve"> </w:instrText>
      </w:r>
      <w:r>
        <w:rPr>
          <w:rFonts w:hint="eastAsia"/>
        </w:rPr>
        <w:instrText xml:space="preserve">REF _Ref137548936 \r \h</w:instrText>
      </w:r>
      <w:r>
        <w:instrText xml:space="preserve"> </w:instrText>
      </w:r>
      <w:r>
        <w:fldChar w:fldCharType="separate"/>
      </w:r>
      <w:r>
        <w:rPr>
          <w:rFonts w:hint="eastAsia"/>
        </w:rPr>
        <w:t>表3.3-4</w:t>
      </w:r>
      <w:r>
        <w:fldChar w:fldCharType="end"/>
      </w:r>
      <w:r>
        <w:rPr>
          <w:rFonts w:hint="eastAsia"/>
        </w:rPr>
        <w:t>。</w:t>
      </w:r>
    </w:p>
    <w:p>
      <w:pPr>
        <w:pStyle w:val="87"/>
        <w:spacing w:before="120"/>
        <w:ind w:firstLine="480"/>
      </w:pPr>
      <w:bookmarkStart w:id="260" w:name="_Ref137548936"/>
      <w:r>
        <w:t>推荐方案桥梁设置一览表</w:t>
      </w:r>
      <w:bookmarkEnd w:id="260"/>
    </w:p>
    <w:tbl>
      <w:tblPr>
        <w:tblStyle w:val="5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3"/>
        <w:gridCol w:w="765"/>
        <w:gridCol w:w="715"/>
        <w:gridCol w:w="860"/>
        <w:gridCol w:w="884"/>
        <w:gridCol w:w="611"/>
        <w:gridCol w:w="765"/>
        <w:gridCol w:w="858"/>
        <w:gridCol w:w="843"/>
        <w:gridCol w:w="727"/>
        <w:gridCol w:w="1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01" w:type="pct"/>
            <w:vMerge w:val="restart"/>
            <w:vAlign w:val="center"/>
          </w:tcPr>
          <w:p>
            <w:pPr>
              <w:pStyle w:val="105"/>
              <w:wordWrap w:val="0"/>
              <w:spacing w:before="0" w:after="0"/>
              <w:ind w:left="-48" w:leftChars="-20" w:right="-48" w:rightChars="-20"/>
              <w:jc w:val="center"/>
              <w:rPr>
                <w:sz w:val="18"/>
                <w:szCs w:val="18"/>
              </w:rPr>
            </w:pPr>
            <w:r>
              <w:rPr>
                <w:sz w:val="18"/>
                <w:szCs w:val="18"/>
              </w:rPr>
              <w:t>序</w:t>
            </w:r>
          </w:p>
          <w:p>
            <w:pPr>
              <w:pStyle w:val="105"/>
              <w:wordWrap w:val="0"/>
              <w:spacing w:before="0" w:after="0"/>
              <w:ind w:left="-48" w:leftChars="-20" w:right="-48" w:rightChars="-20"/>
              <w:jc w:val="center"/>
              <w:rPr>
                <w:sz w:val="18"/>
                <w:szCs w:val="18"/>
              </w:rPr>
            </w:pPr>
            <w:r>
              <w:rPr>
                <w:sz w:val="18"/>
                <w:szCs w:val="18"/>
              </w:rPr>
              <w:t>号</w:t>
            </w:r>
          </w:p>
        </w:tc>
        <w:tc>
          <w:tcPr>
            <w:tcW w:w="412" w:type="pct"/>
            <w:vMerge w:val="restart"/>
            <w:vAlign w:val="center"/>
          </w:tcPr>
          <w:p>
            <w:pPr>
              <w:pStyle w:val="105"/>
              <w:wordWrap w:val="0"/>
              <w:spacing w:before="0" w:after="0"/>
              <w:ind w:left="-48" w:leftChars="-20" w:right="-48" w:rightChars="-20"/>
              <w:jc w:val="center"/>
              <w:rPr>
                <w:sz w:val="18"/>
                <w:szCs w:val="18"/>
              </w:rPr>
            </w:pPr>
            <w:r>
              <w:rPr>
                <w:sz w:val="18"/>
                <w:szCs w:val="18"/>
              </w:rPr>
              <w:t>桥梁</w:t>
            </w:r>
          </w:p>
          <w:p>
            <w:pPr>
              <w:pStyle w:val="105"/>
              <w:wordWrap w:val="0"/>
              <w:spacing w:before="0" w:after="0"/>
              <w:ind w:left="-48" w:leftChars="-20" w:right="-48" w:rightChars="-20"/>
              <w:jc w:val="center"/>
              <w:rPr>
                <w:sz w:val="18"/>
                <w:szCs w:val="18"/>
              </w:rPr>
            </w:pPr>
            <w:r>
              <w:rPr>
                <w:sz w:val="18"/>
                <w:szCs w:val="18"/>
              </w:rPr>
              <w:t>名称</w:t>
            </w:r>
          </w:p>
        </w:tc>
        <w:tc>
          <w:tcPr>
            <w:tcW w:w="385" w:type="pct"/>
            <w:vMerge w:val="restart"/>
            <w:vAlign w:val="center"/>
          </w:tcPr>
          <w:p>
            <w:pPr>
              <w:pStyle w:val="105"/>
              <w:wordWrap w:val="0"/>
              <w:spacing w:before="0" w:after="0"/>
              <w:ind w:left="-48" w:leftChars="-20" w:right="-48" w:rightChars="-20"/>
              <w:jc w:val="center"/>
              <w:rPr>
                <w:sz w:val="18"/>
                <w:szCs w:val="18"/>
              </w:rPr>
            </w:pPr>
            <w:r>
              <w:rPr>
                <w:sz w:val="18"/>
                <w:szCs w:val="18"/>
              </w:rPr>
              <w:t>中心</w:t>
            </w:r>
          </w:p>
          <w:p>
            <w:pPr>
              <w:pStyle w:val="105"/>
              <w:wordWrap w:val="0"/>
              <w:spacing w:before="0" w:after="0"/>
              <w:ind w:left="-48" w:leftChars="-20" w:right="-48" w:rightChars="-20"/>
              <w:jc w:val="center"/>
              <w:rPr>
                <w:sz w:val="18"/>
                <w:szCs w:val="18"/>
              </w:rPr>
            </w:pPr>
            <w:r>
              <w:rPr>
                <w:sz w:val="18"/>
                <w:szCs w:val="18"/>
              </w:rPr>
              <w:t>桩号</w:t>
            </w:r>
          </w:p>
        </w:tc>
        <w:tc>
          <w:tcPr>
            <w:tcW w:w="463" w:type="pct"/>
            <w:vMerge w:val="restart"/>
            <w:vAlign w:val="center"/>
          </w:tcPr>
          <w:p>
            <w:pPr>
              <w:pStyle w:val="105"/>
              <w:wordWrap w:val="0"/>
              <w:spacing w:before="0" w:after="0"/>
              <w:ind w:left="-48" w:leftChars="-20" w:right="-48" w:rightChars="-20"/>
              <w:jc w:val="center"/>
              <w:rPr>
                <w:sz w:val="18"/>
                <w:szCs w:val="18"/>
              </w:rPr>
            </w:pPr>
            <w:r>
              <w:rPr>
                <w:rFonts w:hint="eastAsia"/>
                <w:sz w:val="18"/>
                <w:szCs w:val="18"/>
              </w:rPr>
              <w:t>起讫桩号</w:t>
            </w:r>
          </w:p>
        </w:tc>
        <w:tc>
          <w:tcPr>
            <w:tcW w:w="476" w:type="pct"/>
            <w:vMerge w:val="restart"/>
            <w:vAlign w:val="center"/>
          </w:tcPr>
          <w:p>
            <w:pPr>
              <w:pStyle w:val="105"/>
              <w:wordWrap w:val="0"/>
              <w:spacing w:before="0" w:after="0"/>
              <w:ind w:left="-48" w:leftChars="-20" w:right="-48" w:rightChars="-20"/>
              <w:jc w:val="center"/>
              <w:rPr>
                <w:sz w:val="18"/>
                <w:szCs w:val="18"/>
              </w:rPr>
            </w:pPr>
            <w:r>
              <w:rPr>
                <w:rFonts w:hint="eastAsia"/>
                <w:sz w:val="18"/>
                <w:szCs w:val="18"/>
              </w:rPr>
              <w:t>孔数及孔径（孔</w:t>
            </w:r>
            <w:r>
              <w:rPr>
                <w:sz w:val="18"/>
                <w:szCs w:val="18"/>
              </w:rPr>
              <w:t>-m</w:t>
            </w:r>
            <w:r>
              <w:rPr>
                <w:rFonts w:hint="eastAsia"/>
                <w:sz w:val="18"/>
                <w:szCs w:val="18"/>
              </w:rPr>
              <w:t>）</w:t>
            </w:r>
          </w:p>
        </w:tc>
        <w:tc>
          <w:tcPr>
            <w:tcW w:w="329" w:type="pct"/>
            <w:vMerge w:val="restart"/>
            <w:vAlign w:val="center"/>
          </w:tcPr>
          <w:p>
            <w:pPr>
              <w:pStyle w:val="105"/>
              <w:wordWrap w:val="0"/>
              <w:spacing w:before="0" w:after="0"/>
              <w:ind w:left="-48" w:leftChars="-20" w:right="-48" w:rightChars="-20"/>
              <w:jc w:val="center"/>
              <w:rPr>
                <w:sz w:val="18"/>
                <w:szCs w:val="18"/>
              </w:rPr>
            </w:pPr>
            <w:r>
              <w:rPr>
                <w:rFonts w:hint="eastAsia"/>
                <w:sz w:val="18"/>
                <w:szCs w:val="18"/>
              </w:rPr>
              <w:t>桥面</w:t>
            </w:r>
          </w:p>
          <w:p>
            <w:pPr>
              <w:pStyle w:val="105"/>
              <w:wordWrap w:val="0"/>
              <w:spacing w:before="0" w:after="0"/>
              <w:ind w:left="-48" w:leftChars="-20" w:right="-48" w:rightChars="-20"/>
              <w:jc w:val="center"/>
              <w:rPr>
                <w:sz w:val="18"/>
                <w:szCs w:val="18"/>
              </w:rPr>
            </w:pPr>
            <w:r>
              <w:rPr>
                <w:rFonts w:hint="eastAsia"/>
                <w:sz w:val="18"/>
                <w:szCs w:val="18"/>
              </w:rPr>
              <w:t>宽度</w:t>
            </w:r>
          </w:p>
          <w:p>
            <w:pPr>
              <w:pStyle w:val="105"/>
              <w:wordWrap w:val="0"/>
              <w:spacing w:before="0" w:after="0"/>
              <w:ind w:left="-48" w:leftChars="-20" w:right="-48" w:rightChars="-20"/>
              <w:jc w:val="center"/>
              <w:rPr>
                <w:sz w:val="18"/>
                <w:szCs w:val="18"/>
              </w:rPr>
            </w:pPr>
            <w:r>
              <w:rPr>
                <w:rFonts w:hint="eastAsia"/>
                <w:sz w:val="18"/>
                <w:szCs w:val="18"/>
              </w:rPr>
              <w:t>(m)</w:t>
            </w:r>
          </w:p>
        </w:tc>
        <w:tc>
          <w:tcPr>
            <w:tcW w:w="412" w:type="pct"/>
            <w:vMerge w:val="restart"/>
            <w:vAlign w:val="center"/>
          </w:tcPr>
          <w:p>
            <w:pPr>
              <w:pStyle w:val="105"/>
              <w:wordWrap w:val="0"/>
              <w:spacing w:before="0" w:after="0"/>
              <w:ind w:left="-48" w:leftChars="-20" w:right="-48" w:rightChars="-20"/>
              <w:jc w:val="center"/>
              <w:rPr>
                <w:sz w:val="18"/>
                <w:szCs w:val="18"/>
              </w:rPr>
            </w:pPr>
            <w:r>
              <w:rPr>
                <w:sz w:val="18"/>
                <w:szCs w:val="18"/>
              </w:rPr>
              <w:t>桥梁</w:t>
            </w:r>
          </w:p>
          <w:p>
            <w:pPr>
              <w:pStyle w:val="105"/>
              <w:wordWrap w:val="0"/>
              <w:spacing w:before="0" w:after="0"/>
              <w:ind w:left="-48" w:leftChars="-20" w:right="-48" w:rightChars="-20"/>
              <w:jc w:val="center"/>
              <w:rPr>
                <w:sz w:val="18"/>
                <w:szCs w:val="18"/>
              </w:rPr>
            </w:pPr>
            <w:r>
              <w:rPr>
                <w:sz w:val="18"/>
                <w:szCs w:val="18"/>
              </w:rPr>
              <w:t>全长</w:t>
            </w:r>
          </w:p>
          <w:p>
            <w:pPr>
              <w:pStyle w:val="105"/>
              <w:wordWrap w:val="0"/>
              <w:spacing w:before="0" w:after="0"/>
              <w:ind w:left="-48" w:leftChars="-20" w:right="-48" w:rightChars="-20"/>
              <w:jc w:val="center"/>
              <w:rPr>
                <w:sz w:val="18"/>
                <w:szCs w:val="18"/>
              </w:rPr>
            </w:pPr>
            <w:r>
              <w:rPr>
                <w:rFonts w:hint="eastAsia"/>
                <w:sz w:val="18"/>
                <w:szCs w:val="18"/>
              </w:rPr>
              <w:t>(m)</w:t>
            </w:r>
          </w:p>
        </w:tc>
        <w:tc>
          <w:tcPr>
            <w:tcW w:w="1306" w:type="pct"/>
            <w:gridSpan w:val="3"/>
            <w:vAlign w:val="center"/>
          </w:tcPr>
          <w:p>
            <w:pPr>
              <w:pStyle w:val="105"/>
              <w:wordWrap w:val="0"/>
              <w:spacing w:before="0" w:after="0"/>
              <w:ind w:left="-48" w:leftChars="-20" w:right="-48" w:rightChars="-20"/>
              <w:jc w:val="center"/>
              <w:rPr>
                <w:sz w:val="18"/>
                <w:szCs w:val="18"/>
              </w:rPr>
            </w:pPr>
            <w:r>
              <w:rPr>
                <w:rFonts w:hint="eastAsia"/>
                <w:sz w:val="18"/>
                <w:szCs w:val="18"/>
              </w:rPr>
              <w:t>结构类型</w:t>
            </w:r>
          </w:p>
        </w:tc>
        <w:tc>
          <w:tcPr>
            <w:tcW w:w="1016" w:type="pct"/>
            <w:vMerge w:val="restart"/>
            <w:vAlign w:val="center"/>
          </w:tcPr>
          <w:p>
            <w:pPr>
              <w:pStyle w:val="105"/>
              <w:wordWrap w:val="0"/>
              <w:rPr>
                <w:sz w:val="18"/>
                <w:szCs w:val="18"/>
              </w:rPr>
            </w:pPr>
            <w:r>
              <w:rPr>
                <w:sz w:val="18"/>
                <w:szCs w:val="18"/>
              </w:rPr>
              <w:t>交叉道路、河流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 w:type="pct"/>
            <w:vMerge w:val="continue"/>
            <w:vAlign w:val="center"/>
          </w:tcPr>
          <w:p>
            <w:pPr>
              <w:pStyle w:val="105"/>
              <w:wordWrap w:val="0"/>
              <w:spacing w:before="0" w:after="0"/>
              <w:ind w:left="-48" w:leftChars="-20" w:right="-48" w:rightChars="-20"/>
              <w:jc w:val="center"/>
              <w:rPr>
                <w:sz w:val="18"/>
                <w:szCs w:val="18"/>
              </w:rPr>
            </w:pPr>
          </w:p>
        </w:tc>
        <w:tc>
          <w:tcPr>
            <w:tcW w:w="412" w:type="pct"/>
            <w:vMerge w:val="continue"/>
            <w:vAlign w:val="center"/>
          </w:tcPr>
          <w:p>
            <w:pPr>
              <w:pStyle w:val="105"/>
              <w:wordWrap w:val="0"/>
              <w:spacing w:before="0" w:after="0"/>
              <w:ind w:left="-48" w:leftChars="-20" w:right="-48" w:rightChars="-20"/>
              <w:jc w:val="center"/>
              <w:rPr>
                <w:sz w:val="18"/>
                <w:szCs w:val="18"/>
              </w:rPr>
            </w:pPr>
          </w:p>
        </w:tc>
        <w:tc>
          <w:tcPr>
            <w:tcW w:w="385" w:type="pct"/>
            <w:vMerge w:val="continue"/>
            <w:vAlign w:val="center"/>
          </w:tcPr>
          <w:p>
            <w:pPr>
              <w:pStyle w:val="105"/>
              <w:wordWrap w:val="0"/>
              <w:spacing w:before="0" w:after="0"/>
              <w:ind w:left="-48" w:leftChars="-20" w:right="-48" w:rightChars="-20"/>
              <w:jc w:val="center"/>
              <w:rPr>
                <w:sz w:val="18"/>
                <w:szCs w:val="18"/>
              </w:rPr>
            </w:pPr>
          </w:p>
        </w:tc>
        <w:tc>
          <w:tcPr>
            <w:tcW w:w="463" w:type="pct"/>
            <w:vMerge w:val="continue"/>
            <w:vAlign w:val="center"/>
          </w:tcPr>
          <w:p>
            <w:pPr>
              <w:pStyle w:val="105"/>
              <w:wordWrap w:val="0"/>
              <w:spacing w:before="0" w:after="0"/>
              <w:ind w:left="-48" w:leftChars="-20" w:right="-48" w:rightChars="-20"/>
              <w:jc w:val="center"/>
              <w:rPr>
                <w:sz w:val="18"/>
                <w:szCs w:val="18"/>
              </w:rPr>
            </w:pPr>
          </w:p>
        </w:tc>
        <w:tc>
          <w:tcPr>
            <w:tcW w:w="476" w:type="pct"/>
            <w:vMerge w:val="continue"/>
            <w:vAlign w:val="center"/>
          </w:tcPr>
          <w:p>
            <w:pPr>
              <w:pStyle w:val="105"/>
              <w:wordWrap w:val="0"/>
              <w:spacing w:before="0" w:after="0"/>
              <w:ind w:left="-48" w:leftChars="-20" w:right="-48" w:rightChars="-20"/>
              <w:jc w:val="center"/>
              <w:rPr>
                <w:sz w:val="18"/>
                <w:szCs w:val="18"/>
              </w:rPr>
            </w:pPr>
          </w:p>
        </w:tc>
        <w:tc>
          <w:tcPr>
            <w:tcW w:w="329" w:type="pct"/>
            <w:vMerge w:val="continue"/>
            <w:vAlign w:val="center"/>
          </w:tcPr>
          <w:p>
            <w:pPr>
              <w:pStyle w:val="105"/>
              <w:wordWrap w:val="0"/>
              <w:spacing w:before="0" w:after="0"/>
              <w:ind w:left="-48" w:leftChars="-20" w:right="-48" w:rightChars="-20"/>
              <w:jc w:val="center"/>
              <w:rPr>
                <w:sz w:val="18"/>
                <w:szCs w:val="18"/>
              </w:rPr>
            </w:pPr>
          </w:p>
        </w:tc>
        <w:tc>
          <w:tcPr>
            <w:tcW w:w="412" w:type="pct"/>
            <w:vMerge w:val="continue"/>
            <w:vAlign w:val="center"/>
          </w:tcPr>
          <w:p>
            <w:pPr>
              <w:pStyle w:val="105"/>
              <w:wordWrap w:val="0"/>
              <w:spacing w:before="0" w:after="0"/>
              <w:ind w:left="-48" w:leftChars="-20" w:right="-48" w:rightChars="-20"/>
              <w:jc w:val="center"/>
              <w:rPr>
                <w:sz w:val="18"/>
                <w:szCs w:val="18"/>
              </w:rPr>
            </w:pPr>
          </w:p>
        </w:tc>
        <w:tc>
          <w:tcPr>
            <w:tcW w:w="462" w:type="pct"/>
            <w:vMerge w:val="restart"/>
            <w:vAlign w:val="center"/>
          </w:tcPr>
          <w:p>
            <w:pPr>
              <w:pStyle w:val="105"/>
              <w:wordWrap w:val="0"/>
              <w:spacing w:before="0" w:after="0"/>
              <w:ind w:left="-48" w:leftChars="-20" w:right="-48" w:rightChars="-20"/>
              <w:jc w:val="center"/>
              <w:rPr>
                <w:sz w:val="18"/>
                <w:szCs w:val="18"/>
              </w:rPr>
            </w:pPr>
            <w:r>
              <w:rPr>
                <w:rFonts w:hint="eastAsia"/>
                <w:sz w:val="18"/>
                <w:szCs w:val="18"/>
              </w:rPr>
              <w:t>上部</w:t>
            </w:r>
          </w:p>
          <w:p>
            <w:pPr>
              <w:pStyle w:val="105"/>
              <w:wordWrap w:val="0"/>
              <w:spacing w:before="0" w:after="0"/>
              <w:ind w:left="-48" w:leftChars="-20" w:right="-48" w:rightChars="-20"/>
              <w:jc w:val="center"/>
              <w:rPr>
                <w:sz w:val="18"/>
                <w:szCs w:val="18"/>
              </w:rPr>
            </w:pPr>
            <w:r>
              <w:rPr>
                <w:rFonts w:hint="eastAsia"/>
                <w:sz w:val="18"/>
                <w:szCs w:val="18"/>
              </w:rPr>
              <w:t>结构</w:t>
            </w:r>
          </w:p>
        </w:tc>
        <w:tc>
          <w:tcPr>
            <w:tcW w:w="844" w:type="pct"/>
            <w:gridSpan w:val="2"/>
            <w:vAlign w:val="center"/>
          </w:tcPr>
          <w:p>
            <w:pPr>
              <w:pStyle w:val="105"/>
              <w:wordWrap w:val="0"/>
              <w:spacing w:before="0" w:after="0"/>
              <w:ind w:left="-48" w:leftChars="-20" w:right="-48" w:rightChars="-20"/>
              <w:jc w:val="center"/>
              <w:rPr>
                <w:sz w:val="18"/>
                <w:szCs w:val="18"/>
              </w:rPr>
            </w:pPr>
            <w:r>
              <w:rPr>
                <w:rFonts w:hint="eastAsia"/>
                <w:sz w:val="18"/>
                <w:szCs w:val="18"/>
              </w:rPr>
              <w:t>下部结构</w:t>
            </w:r>
          </w:p>
        </w:tc>
        <w:tc>
          <w:tcPr>
            <w:tcW w:w="1016" w:type="pct"/>
            <w:vMerge w:val="continue"/>
            <w:vAlign w:val="center"/>
          </w:tcPr>
          <w:p>
            <w:pPr>
              <w:pStyle w:val="105"/>
              <w:wordWrap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 w:type="pct"/>
            <w:vMerge w:val="continue"/>
            <w:vAlign w:val="center"/>
          </w:tcPr>
          <w:p>
            <w:pPr>
              <w:pStyle w:val="105"/>
              <w:wordWrap w:val="0"/>
              <w:spacing w:before="0" w:after="0"/>
              <w:ind w:left="-48" w:leftChars="-20" w:right="-48" w:rightChars="-20"/>
              <w:jc w:val="center"/>
              <w:rPr>
                <w:sz w:val="18"/>
                <w:szCs w:val="18"/>
              </w:rPr>
            </w:pPr>
          </w:p>
        </w:tc>
        <w:tc>
          <w:tcPr>
            <w:tcW w:w="412" w:type="pct"/>
            <w:vMerge w:val="continue"/>
            <w:vAlign w:val="center"/>
          </w:tcPr>
          <w:p>
            <w:pPr>
              <w:pStyle w:val="105"/>
              <w:wordWrap w:val="0"/>
              <w:spacing w:before="0" w:after="0"/>
              <w:ind w:left="-48" w:leftChars="-20" w:right="-48" w:rightChars="-20"/>
              <w:jc w:val="center"/>
              <w:rPr>
                <w:sz w:val="18"/>
                <w:szCs w:val="18"/>
              </w:rPr>
            </w:pPr>
          </w:p>
        </w:tc>
        <w:tc>
          <w:tcPr>
            <w:tcW w:w="385" w:type="pct"/>
            <w:vMerge w:val="continue"/>
            <w:vAlign w:val="center"/>
          </w:tcPr>
          <w:p>
            <w:pPr>
              <w:pStyle w:val="105"/>
              <w:wordWrap w:val="0"/>
              <w:spacing w:before="0" w:after="0"/>
              <w:ind w:left="-48" w:leftChars="-20" w:right="-48" w:rightChars="-20"/>
              <w:jc w:val="center"/>
              <w:rPr>
                <w:sz w:val="18"/>
                <w:szCs w:val="18"/>
              </w:rPr>
            </w:pPr>
          </w:p>
        </w:tc>
        <w:tc>
          <w:tcPr>
            <w:tcW w:w="463" w:type="pct"/>
            <w:vMerge w:val="continue"/>
            <w:vAlign w:val="center"/>
          </w:tcPr>
          <w:p>
            <w:pPr>
              <w:pStyle w:val="105"/>
              <w:wordWrap w:val="0"/>
              <w:spacing w:before="0" w:after="0"/>
              <w:ind w:left="-48" w:leftChars="-20" w:right="-48" w:rightChars="-20"/>
              <w:jc w:val="center"/>
              <w:rPr>
                <w:sz w:val="18"/>
                <w:szCs w:val="18"/>
              </w:rPr>
            </w:pPr>
          </w:p>
        </w:tc>
        <w:tc>
          <w:tcPr>
            <w:tcW w:w="476" w:type="pct"/>
            <w:vMerge w:val="continue"/>
            <w:vAlign w:val="center"/>
          </w:tcPr>
          <w:p>
            <w:pPr>
              <w:pStyle w:val="105"/>
              <w:wordWrap w:val="0"/>
              <w:spacing w:before="0" w:after="0"/>
              <w:ind w:left="-48" w:leftChars="-20" w:right="-48" w:rightChars="-20"/>
              <w:jc w:val="center"/>
              <w:rPr>
                <w:sz w:val="18"/>
                <w:szCs w:val="18"/>
              </w:rPr>
            </w:pPr>
          </w:p>
        </w:tc>
        <w:tc>
          <w:tcPr>
            <w:tcW w:w="329" w:type="pct"/>
            <w:vMerge w:val="continue"/>
            <w:vAlign w:val="center"/>
          </w:tcPr>
          <w:p>
            <w:pPr>
              <w:pStyle w:val="105"/>
              <w:wordWrap w:val="0"/>
              <w:spacing w:before="0" w:after="0"/>
              <w:ind w:left="-48" w:leftChars="-20" w:right="-48" w:rightChars="-20"/>
              <w:jc w:val="center"/>
              <w:rPr>
                <w:sz w:val="18"/>
                <w:szCs w:val="18"/>
              </w:rPr>
            </w:pPr>
          </w:p>
        </w:tc>
        <w:tc>
          <w:tcPr>
            <w:tcW w:w="412" w:type="pct"/>
            <w:vMerge w:val="continue"/>
            <w:vAlign w:val="center"/>
          </w:tcPr>
          <w:p>
            <w:pPr>
              <w:pStyle w:val="105"/>
              <w:wordWrap w:val="0"/>
              <w:spacing w:before="0" w:after="0"/>
              <w:ind w:left="-48" w:leftChars="-20" w:right="-48" w:rightChars="-20"/>
              <w:jc w:val="center"/>
              <w:rPr>
                <w:sz w:val="18"/>
                <w:szCs w:val="18"/>
              </w:rPr>
            </w:pPr>
          </w:p>
        </w:tc>
        <w:tc>
          <w:tcPr>
            <w:tcW w:w="462" w:type="pct"/>
            <w:vMerge w:val="continue"/>
            <w:vAlign w:val="center"/>
          </w:tcPr>
          <w:p>
            <w:pPr>
              <w:pStyle w:val="105"/>
              <w:wordWrap w:val="0"/>
              <w:spacing w:before="0" w:after="0"/>
              <w:ind w:left="-48" w:leftChars="-20" w:right="-48" w:rightChars="-20"/>
              <w:jc w:val="center"/>
              <w:rPr>
                <w:sz w:val="18"/>
                <w:szCs w:val="18"/>
              </w:rPr>
            </w:pPr>
          </w:p>
        </w:tc>
        <w:tc>
          <w:tcPr>
            <w:tcW w:w="453" w:type="pct"/>
            <w:vAlign w:val="center"/>
          </w:tcPr>
          <w:p>
            <w:pPr>
              <w:pStyle w:val="105"/>
              <w:wordWrap w:val="0"/>
              <w:spacing w:before="0" w:after="0"/>
              <w:ind w:left="-48" w:leftChars="-20" w:right="-48" w:rightChars="-20"/>
              <w:jc w:val="center"/>
              <w:rPr>
                <w:sz w:val="18"/>
                <w:szCs w:val="18"/>
              </w:rPr>
            </w:pPr>
            <w:r>
              <w:rPr>
                <w:rFonts w:hint="eastAsia"/>
                <w:sz w:val="18"/>
                <w:szCs w:val="18"/>
              </w:rPr>
              <w:t>桥台及基础</w:t>
            </w:r>
          </w:p>
        </w:tc>
        <w:tc>
          <w:tcPr>
            <w:tcW w:w="391" w:type="pct"/>
            <w:vAlign w:val="center"/>
          </w:tcPr>
          <w:p>
            <w:pPr>
              <w:pStyle w:val="105"/>
              <w:wordWrap w:val="0"/>
              <w:spacing w:before="0" w:after="0"/>
              <w:ind w:left="-48" w:leftChars="-20" w:right="-48" w:rightChars="-20"/>
              <w:jc w:val="center"/>
              <w:rPr>
                <w:sz w:val="18"/>
                <w:szCs w:val="18"/>
              </w:rPr>
            </w:pPr>
            <w:r>
              <w:rPr>
                <w:rFonts w:hint="eastAsia"/>
                <w:sz w:val="18"/>
                <w:szCs w:val="18"/>
              </w:rPr>
              <w:t>桥墩及基础</w:t>
            </w:r>
          </w:p>
        </w:tc>
        <w:tc>
          <w:tcPr>
            <w:tcW w:w="1016" w:type="pct"/>
            <w:vMerge w:val="continue"/>
            <w:vAlign w:val="center"/>
          </w:tcPr>
          <w:p>
            <w:pPr>
              <w:pStyle w:val="105"/>
              <w:wordWrap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 w:type="pct"/>
            <w:vAlign w:val="center"/>
          </w:tcPr>
          <w:p>
            <w:pPr>
              <w:pStyle w:val="105"/>
              <w:wordWrap w:val="0"/>
              <w:spacing w:before="0" w:after="0"/>
              <w:ind w:left="-48" w:leftChars="-20" w:right="-48" w:rightChars="-20"/>
              <w:jc w:val="center"/>
              <w:rPr>
                <w:sz w:val="18"/>
                <w:szCs w:val="18"/>
              </w:rPr>
            </w:pPr>
            <w:r>
              <w:rPr>
                <w:rFonts w:hint="eastAsia"/>
                <w:sz w:val="18"/>
                <w:szCs w:val="18"/>
              </w:rPr>
              <w:t>1</w:t>
            </w:r>
          </w:p>
        </w:tc>
        <w:tc>
          <w:tcPr>
            <w:tcW w:w="412" w:type="pct"/>
            <w:vAlign w:val="center"/>
          </w:tcPr>
          <w:p>
            <w:pPr>
              <w:pStyle w:val="105"/>
              <w:wordWrap w:val="0"/>
              <w:spacing w:before="0" w:after="0"/>
              <w:ind w:left="-48" w:leftChars="-20" w:right="-48" w:rightChars="-20"/>
              <w:jc w:val="center"/>
              <w:rPr>
                <w:sz w:val="18"/>
                <w:szCs w:val="18"/>
              </w:rPr>
            </w:pPr>
            <w:r>
              <w:rPr>
                <w:rFonts w:cs="Times New Roman"/>
                <w:kern w:val="0"/>
                <w:sz w:val="18"/>
                <w:szCs w:val="18"/>
                <w:lang w:val="zh-CN"/>
              </w:rPr>
              <w:t>大埔大桥</w:t>
            </w:r>
            <w:r>
              <w:rPr>
                <w:rFonts w:hint="eastAsia" w:cs="Times New Roman"/>
                <w:kern w:val="0"/>
                <w:sz w:val="18"/>
                <w:szCs w:val="18"/>
                <w:lang w:val="zh-CN"/>
              </w:rPr>
              <w:t>（主线）</w:t>
            </w:r>
          </w:p>
        </w:tc>
        <w:tc>
          <w:tcPr>
            <w:tcW w:w="385" w:type="pct"/>
            <w:vAlign w:val="center"/>
          </w:tcPr>
          <w:p>
            <w:pPr>
              <w:pStyle w:val="105"/>
              <w:wordWrap w:val="0"/>
              <w:spacing w:before="0" w:after="0"/>
              <w:ind w:left="-48" w:leftChars="-20" w:right="-48" w:rightChars="-20"/>
              <w:jc w:val="center"/>
              <w:rPr>
                <w:sz w:val="18"/>
                <w:szCs w:val="18"/>
              </w:rPr>
            </w:pPr>
            <w:r>
              <w:rPr>
                <w:rFonts w:cs="Times New Roman"/>
                <w:kern w:val="0"/>
                <w:sz w:val="18"/>
                <w:szCs w:val="18"/>
                <w:lang w:val="zh-CN"/>
              </w:rPr>
              <w:t>K2+250.25</w:t>
            </w:r>
          </w:p>
        </w:tc>
        <w:tc>
          <w:tcPr>
            <w:tcW w:w="463" w:type="pct"/>
            <w:vAlign w:val="center"/>
          </w:tcPr>
          <w:p>
            <w:pPr>
              <w:pStyle w:val="105"/>
              <w:wordWrap w:val="0"/>
              <w:spacing w:before="0" w:after="0"/>
              <w:ind w:left="-48" w:leftChars="-20" w:right="-48" w:rightChars="-20"/>
              <w:jc w:val="center"/>
              <w:rPr>
                <w:sz w:val="18"/>
                <w:szCs w:val="18"/>
              </w:rPr>
            </w:pPr>
            <w:r>
              <w:rPr>
                <w:sz w:val="18"/>
                <w:szCs w:val="18"/>
              </w:rPr>
              <w:t>K1+974 ~K2+526.5</w:t>
            </w:r>
          </w:p>
        </w:tc>
        <w:tc>
          <w:tcPr>
            <w:tcW w:w="476" w:type="pct"/>
            <w:vAlign w:val="center"/>
          </w:tcPr>
          <w:p>
            <w:pPr>
              <w:pStyle w:val="105"/>
              <w:wordWrap w:val="0"/>
              <w:jc w:val="center"/>
              <w:rPr>
                <w:sz w:val="18"/>
                <w:szCs w:val="18"/>
              </w:rPr>
            </w:pPr>
            <w:r>
              <w:rPr>
                <w:sz w:val="18"/>
                <w:szCs w:val="18"/>
                <w:lang w:val="zh-CN"/>
              </w:rPr>
              <w:t>3×30+1×30+65+5×30+4×30</w:t>
            </w:r>
          </w:p>
        </w:tc>
        <w:tc>
          <w:tcPr>
            <w:tcW w:w="329" w:type="pct"/>
            <w:vAlign w:val="center"/>
          </w:tcPr>
          <w:p>
            <w:pPr>
              <w:pStyle w:val="105"/>
              <w:wordWrap w:val="0"/>
              <w:spacing w:before="0" w:after="0"/>
              <w:ind w:left="-48" w:leftChars="-20" w:right="-48" w:rightChars="-20"/>
              <w:jc w:val="center"/>
              <w:rPr>
                <w:sz w:val="18"/>
                <w:szCs w:val="18"/>
              </w:rPr>
            </w:pPr>
            <w:r>
              <w:rPr>
                <w:sz w:val="18"/>
                <w:szCs w:val="18"/>
              </w:rPr>
              <w:t>18.5</w:t>
            </w:r>
          </w:p>
        </w:tc>
        <w:tc>
          <w:tcPr>
            <w:tcW w:w="412" w:type="pct"/>
            <w:vAlign w:val="center"/>
          </w:tcPr>
          <w:p>
            <w:pPr>
              <w:pStyle w:val="105"/>
              <w:wordWrap w:val="0"/>
              <w:spacing w:before="0" w:after="0"/>
              <w:ind w:left="-48" w:leftChars="-20" w:right="-48" w:rightChars="-20"/>
              <w:jc w:val="center"/>
              <w:rPr>
                <w:sz w:val="18"/>
                <w:szCs w:val="18"/>
              </w:rPr>
            </w:pPr>
            <w:r>
              <w:rPr>
                <w:rFonts w:cs="Times New Roman"/>
                <w:kern w:val="0"/>
                <w:sz w:val="18"/>
                <w:szCs w:val="18"/>
                <w:lang w:val="zh-CN"/>
              </w:rPr>
              <w:t>552.5</w:t>
            </w:r>
          </w:p>
        </w:tc>
        <w:tc>
          <w:tcPr>
            <w:tcW w:w="462" w:type="pct"/>
            <w:vAlign w:val="center"/>
          </w:tcPr>
          <w:p>
            <w:pPr>
              <w:pStyle w:val="105"/>
              <w:wordWrap w:val="0"/>
              <w:spacing w:before="0" w:after="0"/>
              <w:ind w:left="-48" w:leftChars="-20" w:right="-48" w:rightChars="-20"/>
              <w:jc w:val="center"/>
              <w:rPr>
                <w:sz w:val="18"/>
                <w:szCs w:val="18"/>
              </w:rPr>
            </w:pPr>
            <w:r>
              <w:rPr>
                <w:rFonts w:hint="eastAsia"/>
                <w:sz w:val="18"/>
                <w:szCs w:val="18"/>
              </w:rPr>
              <w:t>预制小箱梁</w:t>
            </w:r>
          </w:p>
        </w:tc>
        <w:tc>
          <w:tcPr>
            <w:tcW w:w="453" w:type="pct"/>
            <w:vAlign w:val="center"/>
          </w:tcPr>
          <w:p>
            <w:pPr>
              <w:pStyle w:val="105"/>
              <w:wordWrap w:val="0"/>
              <w:jc w:val="center"/>
              <w:rPr>
                <w:sz w:val="18"/>
                <w:szCs w:val="18"/>
              </w:rPr>
            </w:pPr>
            <w:r>
              <w:rPr>
                <w:sz w:val="18"/>
                <w:szCs w:val="18"/>
                <w:lang w:val="zh-CN"/>
              </w:rPr>
              <w:t>U台、柱台</w:t>
            </w:r>
            <w:r>
              <w:rPr>
                <w:sz w:val="18"/>
                <w:szCs w:val="18"/>
              </w:rPr>
              <w:t>+</w:t>
            </w:r>
            <w:r>
              <w:rPr>
                <w:rFonts w:hint="eastAsia"/>
                <w:sz w:val="18"/>
                <w:szCs w:val="18"/>
              </w:rPr>
              <w:t>桩基础</w:t>
            </w:r>
          </w:p>
        </w:tc>
        <w:tc>
          <w:tcPr>
            <w:tcW w:w="391" w:type="pct"/>
            <w:vAlign w:val="center"/>
          </w:tcPr>
          <w:p>
            <w:pPr>
              <w:pStyle w:val="105"/>
              <w:wordWrap w:val="0"/>
              <w:spacing w:before="0" w:after="0"/>
              <w:ind w:left="-48" w:leftChars="-20" w:right="-48" w:rightChars="-20"/>
              <w:jc w:val="center"/>
              <w:rPr>
                <w:sz w:val="18"/>
                <w:szCs w:val="18"/>
              </w:rPr>
            </w:pPr>
            <w:r>
              <w:rPr>
                <w:rFonts w:hint="eastAsia"/>
                <w:sz w:val="18"/>
                <w:szCs w:val="18"/>
              </w:rPr>
              <w:t>柱墩</w:t>
            </w:r>
            <w:r>
              <w:rPr>
                <w:sz w:val="18"/>
                <w:szCs w:val="18"/>
              </w:rPr>
              <w:t>+</w:t>
            </w:r>
            <w:r>
              <w:rPr>
                <w:rFonts w:hint="eastAsia"/>
                <w:sz w:val="18"/>
                <w:szCs w:val="18"/>
              </w:rPr>
              <w:t>桩基础</w:t>
            </w:r>
          </w:p>
        </w:tc>
        <w:tc>
          <w:tcPr>
            <w:tcW w:w="1016" w:type="pct"/>
            <w:vAlign w:val="center"/>
          </w:tcPr>
          <w:p>
            <w:pPr>
              <w:pStyle w:val="105"/>
              <w:wordWrap w:val="0"/>
              <w:spacing w:before="0" w:after="0"/>
              <w:ind w:left="-48" w:leftChars="-20" w:right="-48" w:rightChars="-20"/>
              <w:jc w:val="center"/>
              <w:rPr>
                <w:sz w:val="18"/>
                <w:szCs w:val="18"/>
              </w:rPr>
            </w:pPr>
            <w:r>
              <w:rPr>
                <w:rFonts w:hint="eastAsia"/>
                <w:sz w:val="18"/>
                <w:szCs w:val="18"/>
              </w:rPr>
              <w:t>上跨L</w:t>
            </w:r>
            <w:r>
              <w:rPr>
                <w:sz w:val="18"/>
                <w:szCs w:val="18"/>
              </w:rPr>
              <w:t>NG</w:t>
            </w:r>
            <w:r>
              <w:rPr>
                <w:rFonts w:hint="eastAsia"/>
                <w:sz w:val="18"/>
                <w:szCs w:val="18"/>
              </w:rPr>
              <w:t>成品油线路、沈海高速、迳江支流（改渠）。</w:t>
            </w:r>
          </w:p>
          <w:p>
            <w:pPr>
              <w:pStyle w:val="105"/>
              <w:wordWrap w:val="0"/>
              <w:spacing w:before="0" w:after="0"/>
              <w:ind w:left="-48" w:leftChars="-20" w:right="-48" w:rightChars="-20"/>
              <w:jc w:val="center"/>
              <w:rPr>
                <w:sz w:val="18"/>
                <w:szCs w:val="18"/>
              </w:rPr>
            </w:pPr>
            <w:r>
              <w:rPr>
                <w:rFonts w:hint="eastAsia"/>
                <w:sz w:val="18"/>
                <w:szCs w:val="18"/>
              </w:rPr>
              <w:t>改河后桥墩不涉水。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 w:type="pct"/>
            <w:vAlign w:val="center"/>
          </w:tcPr>
          <w:p>
            <w:pPr>
              <w:pStyle w:val="105"/>
              <w:wordWrap w:val="0"/>
              <w:spacing w:before="0" w:after="0"/>
              <w:ind w:left="-48" w:leftChars="-20" w:right="-48" w:rightChars="-20"/>
              <w:jc w:val="center"/>
              <w:rPr>
                <w:sz w:val="18"/>
                <w:szCs w:val="18"/>
              </w:rPr>
            </w:pPr>
            <w:r>
              <w:rPr>
                <w:rFonts w:hint="eastAsia"/>
                <w:sz w:val="18"/>
                <w:szCs w:val="18"/>
              </w:rPr>
              <w:t>2</w:t>
            </w:r>
          </w:p>
        </w:tc>
        <w:tc>
          <w:tcPr>
            <w:tcW w:w="412" w:type="pct"/>
            <w:vAlign w:val="center"/>
          </w:tcPr>
          <w:p>
            <w:pPr>
              <w:pStyle w:val="105"/>
              <w:wordWrap w:val="0"/>
              <w:spacing w:before="0" w:after="0"/>
              <w:ind w:left="-48" w:leftChars="-20" w:right="-48" w:rightChars="-20"/>
              <w:jc w:val="center"/>
              <w:rPr>
                <w:sz w:val="18"/>
                <w:szCs w:val="18"/>
              </w:rPr>
            </w:pPr>
            <w:r>
              <w:rPr>
                <w:sz w:val="18"/>
                <w:szCs w:val="18"/>
              </w:rPr>
              <w:t>枝钟中桥</w:t>
            </w:r>
            <w:r>
              <w:rPr>
                <w:rFonts w:hint="eastAsia"/>
                <w:sz w:val="18"/>
                <w:szCs w:val="18"/>
              </w:rPr>
              <w:t>（接线）</w:t>
            </w:r>
          </w:p>
        </w:tc>
        <w:tc>
          <w:tcPr>
            <w:tcW w:w="385" w:type="pct"/>
            <w:vAlign w:val="center"/>
          </w:tcPr>
          <w:p>
            <w:pPr>
              <w:pStyle w:val="105"/>
              <w:wordWrap w:val="0"/>
              <w:spacing w:before="0" w:after="0"/>
              <w:ind w:left="-48" w:leftChars="-20" w:right="-48" w:rightChars="-20"/>
              <w:jc w:val="center"/>
              <w:rPr>
                <w:sz w:val="18"/>
                <w:szCs w:val="18"/>
              </w:rPr>
            </w:pPr>
            <w:r>
              <w:rPr>
                <w:sz w:val="18"/>
                <w:szCs w:val="18"/>
                <w:lang w:val="zh-CN"/>
              </w:rPr>
              <w:t>LK0+049.500</w:t>
            </w:r>
          </w:p>
        </w:tc>
        <w:tc>
          <w:tcPr>
            <w:tcW w:w="463" w:type="pct"/>
            <w:vAlign w:val="center"/>
          </w:tcPr>
          <w:p>
            <w:pPr>
              <w:pStyle w:val="105"/>
              <w:wordWrap w:val="0"/>
              <w:spacing w:before="0" w:after="0"/>
              <w:ind w:left="-48" w:leftChars="-20" w:right="-48" w:rightChars="-20"/>
              <w:jc w:val="center"/>
              <w:rPr>
                <w:sz w:val="18"/>
                <w:szCs w:val="18"/>
              </w:rPr>
            </w:pPr>
            <w:r>
              <w:rPr>
                <w:sz w:val="18"/>
                <w:szCs w:val="18"/>
                <w:lang w:val="zh-CN"/>
              </w:rPr>
              <w:t>LK0+031~ LK0+068</w:t>
            </w:r>
          </w:p>
        </w:tc>
        <w:tc>
          <w:tcPr>
            <w:tcW w:w="476" w:type="pct"/>
            <w:vAlign w:val="center"/>
          </w:tcPr>
          <w:p>
            <w:pPr>
              <w:pStyle w:val="105"/>
              <w:wordWrap w:val="0"/>
              <w:spacing w:before="0" w:after="0"/>
              <w:ind w:left="-48" w:leftChars="-20" w:right="-48" w:rightChars="-20"/>
              <w:jc w:val="center"/>
              <w:rPr>
                <w:sz w:val="18"/>
                <w:szCs w:val="18"/>
              </w:rPr>
            </w:pPr>
            <w:r>
              <w:rPr>
                <w:sz w:val="18"/>
                <w:szCs w:val="18"/>
                <w:lang w:val="zh-CN"/>
              </w:rPr>
              <w:t>2×16</w:t>
            </w:r>
          </w:p>
        </w:tc>
        <w:tc>
          <w:tcPr>
            <w:tcW w:w="329" w:type="pct"/>
            <w:vAlign w:val="center"/>
          </w:tcPr>
          <w:p>
            <w:pPr>
              <w:pStyle w:val="105"/>
              <w:wordWrap w:val="0"/>
              <w:spacing w:before="0" w:after="0"/>
              <w:ind w:left="-48" w:leftChars="-20" w:right="-48" w:rightChars="-20"/>
              <w:jc w:val="center"/>
              <w:rPr>
                <w:sz w:val="18"/>
                <w:szCs w:val="18"/>
              </w:rPr>
            </w:pPr>
            <w:r>
              <w:rPr>
                <w:rFonts w:hint="eastAsia"/>
                <w:sz w:val="18"/>
                <w:szCs w:val="18"/>
              </w:rPr>
              <w:t>1</w:t>
            </w:r>
            <w:r>
              <w:rPr>
                <w:sz w:val="18"/>
                <w:szCs w:val="18"/>
              </w:rPr>
              <w:t>2</w:t>
            </w:r>
          </w:p>
        </w:tc>
        <w:tc>
          <w:tcPr>
            <w:tcW w:w="412" w:type="pct"/>
            <w:vAlign w:val="center"/>
          </w:tcPr>
          <w:p>
            <w:pPr>
              <w:pStyle w:val="105"/>
              <w:wordWrap w:val="0"/>
              <w:spacing w:before="0" w:after="0"/>
              <w:ind w:left="-48" w:leftChars="-20" w:right="-48" w:rightChars="-20"/>
              <w:jc w:val="center"/>
              <w:rPr>
                <w:sz w:val="18"/>
                <w:szCs w:val="18"/>
              </w:rPr>
            </w:pPr>
            <w:r>
              <w:rPr>
                <w:rFonts w:hint="eastAsia"/>
                <w:sz w:val="18"/>
                <w:szCs w:val="18"/>
              </w:rPr>
              <w:t>3</w:t>
            </w:r>
            <w:r>
              <w:rPr>
                <w:sz w:val="18"/>
                <w:szCs w:val="18"/>
              </w:rPr>
              <w:t>7</w:t>
            </w:r>
          </w:p>
        </w:tc>
        <w:tc>
          <w:tcPr>
            <w:tcW w:w="462" w:type="pct"/>
            <w:vAlign w:val="center"/>
          </w:tcPr>
          <w:p>
            <w:pPr>
              <w:pStyle w:val="105"/>
              <w:wordWrap w:val="0"/>
              <w:spacing w:before="0" w:after="0"/>
              <w:ind w:left="-48" w:leftChars="-20" w:right="-48" w:rightChars="-20"/>
              <w:jc w:val="center"/>
              <w:rPr>
                <w:sz w:val="18"/>
                <w:szCs w:val="18"/>
              </w:rPr>
            </w:pPr>
            <w:r>
              <w:rPr>
                <w:rFonts w:cs="Times New Roman"/>
                <w:kern w:val="0"/>
                <w:sz w:val="18"/>
                <w:szCs w:val="18"/>
                <w:lang w:val="zh-CN"/>
              </w:rPr>
              <w:t>PC简支预制空心板</w:t>
            </w:r>
          </w:p>
        </w:tc>
        <w:tc>
          <w:tcPr>
            <w:tcW w:w="453" w:type="pct"/>
            <w:vAlign w:val="center"/>
          </w:tcPr>
          <w:p>
            <w:pPr>
              <w:pStyle w:val="105"/>
              <w:wordWrap w:val="0"/>
              <w:spacing w:before="0" w:after="0"/>
              <w:ind w:left="-48" w:leftChars="-20" w:right="-48" w:rightChars="-20"/>
              <w:jc w:val="center"/>
              <w:rPr>
                <w:sz w:val="18"/>
                <w:szCs w:val="18"/>
              </w:rPr>
            </w:pPr>
            <w:r>
              <w:rPr>
                <w:sz w:val="18"/>
                <w:szCs w:val="18"/>
                <w:lang w:val="zh-CN"/>
              </w:rPr>
              <w:t>柱台</w:t>
            </w:r>
            <w:r>
              <w:rPr>
                <w:sz w:val="18"/>
                <w:szCs w:val="18"/>
              </w:rPr>
              <w:t>+</w:t>
            </w:r>
            <w:r>
              <w:rPr>
                <w:rFonts w:hint="eastAsia"/>
                <w:sz w:val="18"/>
                <w:szCs w:val="18"/>
              </w:rPr>
              <w:t>桩基础</w:t>
            </w:r>
          </w:p>
        </w:tc>
        <w:tc>
          <w:tcPr>
            <w:tcW w:w="391" w:type="pct"/>
            <w:vAlign w:val="center"/>
          </w:tcPr>
          <w:p>
            <w:pPr>
              <w:pStyle w:val="105"/>
              <w:wordWrap w:val="0"/>
              <w:spacing w:before="0" w:after="0"/>
              <w:ind w:left="-48" w:leftChars="-20" w:right="-48" w:rightChars="-20"/>
              <w:jc w:val="center"/>
              <w:rPr>
                <w:sz w:val="18"/>
                <w:szCs w:val="18"/>
              </w:rPr>
            </w:pPr>
            <w:r>
              <w:rPr>
                <w:rFonts w:hint="eastAsia"/>
                <w:sz w:val="18"/>
                <w:szCs w:val="18"/>
              </w:rPr>
              <w:t>柱墩</w:t>
            </w:r>
            <w:r>
              <w:rPr>
                <w:sz w:val="18"/>
                <w:szCs w:val="18"/>
              </w:rPr>
              <w:t>+</w:t>
            </w:r>
            <w:r>
              <w:rPr>
                <w:rFonts w:hint="eastAsia"/>
                <w:sz w:val="18"/>
                <w:szCs w:val="18"/>
              </w:rPr>
              <w:t>桩基础</w:t>
            </w:r>
          </w:p>
        </w:tc>
        <w:tc>
          <w:tcPr>
            <w:tcW w:w="1016" w:type="pct"/>
            <w:vAlign w:val="center"/>
          </w:tcPr>
          <w:p>
            <w:pPr>
              <w:pStyle w:val="105"/>
              <w:wordWrap w:val="0"/>
              <w:spacing w:before="0" w:after="0"/>
              <w:ind w:left="-48" w:leftChars="-20" w:right="-48" w:rightChars="-20"/>
              <w:jc w:val="center"/>
              <w:rPr>
                <w:sz w:val="18"/>
                <w:szCs w:val="18"/>
              </w:rPr>
            </w:pPr>
            <w:r>
              <w:rPr>
                <w:rFonts w:hint="eastAsia"/>
                <w:sz w:val="18"/>
                <w:szCs w:val="18"/>
              </w:rPr>
              <w:t>上跨迳江支流，2号桥墩涉水</w:t>
            </w:r>
          </w:p>
        </w:tc>
      </w:tr>
      <w:bookmarkEnd w:id="259"/>
    </w:tbl>
    <w:p>
      <w:pPr>
        <w:pStyle w:val="118"/>
        <w:numPr>
          <w:ilvl w:val="0"/>
          <w:numId w:val="0"/>
        </w:numPr>
        <w:spacing w:before="240"/>
      </w:pPr>
      <w:r>
        <w:rPr>
          <w:rFonts w:hint="eastAsia"/>
        </w:rPr>
        <w:t>（</w:t>
      </w:r>
      <w:r>
        <w:t>3</w:t>
      </w:r>
      <w:r>
        <w:rPr>
          <w:rFonts w:hint="eastAsia"/>
        </w:rPr>
        <w:t>）桥梁设计情况</w:t>
      </w:r>
    </w:p>
    <w:p>
      <w:pPr>
        <w:ind w:firstLine="482"/>
        <w:rPr>
          <w:rFonts w:cs="Times New Roman"/>
          <w:kern w:val="0"/>
          <w:szCs w:val="24"/>
          <w:lang w:val="zh-CN"/>
        </w:rPr>
      </w:pPr>
      <w:r>
        <w:rPr>
          <w:rFonts w:hint="eastAsia" w:cs="Times New Roman"/>
          <w:b/>
          <w:bCs/>
          <w:kern w:val="0"/>
          <w:szCs w:val="24"/>
          <w:lang w:val="zh-CN"/>
        </w:rPr>
        <w:t>①</w:t>
      </w:r>
      <w:r>
        <w:rPr>
          <w:rFonts w:cs="Times New Roman"/>
          <w:b/>
          <w:bCs/>
          <w:kern w:val="0"/>
          <w:szCs w:val="24"/>
          <w:lang w:val="zh-CN"/>
        </w:rPr>
        <w:t>大埔大桥</w:t>
      </w:r>
      <w:r>
        <w:rPr>
          <w:rFonts w:hint="eastAsia"/>
          <w:b/>
          <w:bCs/>
        </w:rPr>
        <w:t>：</w:t>
      </w:r>
      <w:r>
        <w:rPr>
          <w:rFonts w:cs="Times New Roman"/>
          <w:kern w:val="0"/>
          <w:szCs w:val="24"/>
          <w:lang w:val="zh-CN"/>
        </w:rPr>
        <w:t>本桥上跨沈海高速、LNG管道及迳江，桥宽18.5米，桥长552.5米。大埔大桥跨越迳江，百年一遇流量199m</w:t>
      </w:r>
      <w:r>
        <w:rPr>
          <w:rFonts w:cs="Times New Roman"/>
          <w:kern w:val="0"/>
          <w:szCs w:val="24"/>
          <w:vertAlign w:val="superscript"/>
          <w:lang w:val="zh-CN"/>
        </w:rPr>
        <w:t>3</w:t>
      </w:r>
      <w:r>
        <w:rPr>
          <w:rFonts w:cs="Times New Roman"/>
          <w:kern w:val="0"/>
          <w:szCs w:val="24"/>
          <w:lang w:val="zh-CN"/>
        </w:rPr>
        <w:t>/s，流速3.16 m/s.设计水位22.94</w:t>
      </w:r>
      <w:r>
        <w:rPr>
          <w:rFonts w:hint="eastAsia" w:cs="Times New Roman"/>
          <w:kern w:val="0"/>
          <w:szCs w:val="24"/>
          <w:lang w:val="zh-CN"/>
        </w:rPr>
        <w:t>m</w:t>
      </w:r>
      <w:r>
        <w:rPr>
          <w:rFonts w:cs="Times New Roman"/>
          <w:kern w:val="0"/>
          <w:szCs w:val="24"/>
          <w:lang w:val="zh-CN"/>
        </w:rPr>
        <w:t>。</w:t>
      </w:r>
    </w:p>
    <w:p>
      <w:pPr>
        <w:ind w:firstLine="480"/>
        <w:rPr>
          <w:lang w:val="zh-CN"/>
        </w:rPr>
      </w:pPr>
      <w:r>
        <w:rPr>
          <w:lang w:val="zh-CN"/>
        </w:rPr>
        <w:t>中心桩号K2+250.25，桥孔为3×30+4×30+65+5×30+4×30</w:t>
      </w:r>
      <w:r>
        <w:rPr>
          <w:rFonts w:hint="eastAsia"/>
          <w:lang w:val="zh-CN"/>
        </w:rPr>
        <w:t>m</w:t>
      </w:r>
      <w:r>
        <w:rPr>
          <w:lang w:val="zh-CN"/>
        </w:rPr>
        <w:t xml:space="preserve"> PC</w:t>
      </w:r>
      <w:r>
        <w:rPr>
          <w:rFonts w:hint="eastAsia"/>
          <w:lang w:val="zh-CN"/>
        </w:rPr>
        <w:t>预应力砼（后张）先简支后结构连续T 梁、简支钢箱梁，钢纤维砼铺装。</w:t>
      </w:r>
      <w:r>
        <w:rPr>
          <w:lang w:val="zh-CN"/>
        </w:rPr>
        <w:t>下部构造采用柱式墩配桩基础；U台配桩基础；柱台配桩基础。上部构造预制T梁主梁直梁设置，曲线形式通过翼缘板调整，墩台按径向设置。桥面纵横坡通过盖梁、台帽横坡及桥面铺装的厚度共同调整。</w:t>
      </w:r>
    </w:p>
    <w:p>
      <w:pPr>
        <w:ind w:firstLine="480"/>
        <w:rPr>
          <w:lang w:val="zh-CN"/>
        </w:rPr>
      </w:pPr>
      <w:r>
        <w:rPr>
          <w:rFonts w:hint="eastAsia" w:cs="Times New Roman"/>
          <w:kern w:val="0"/>
          <w:szCs w:val="24"/>
          <w:lang w:val="zh-CN"/>
        </w:rPr>
        <w:t>其中：</w:t>
      </w:r>
      <w:r>
        <w:rPr>
          <w:rFonts w:cs="Times New Roman"/>
          <w:kern w:val="0"/>
          <w:szCs w:val="24"/>
          <w:lang w:val="zh-CN"/>
        </w:rPr>
        <w:t>大埔大桥第3联65m</w:t>
      </w:r>
      <w:r>
        <w:rPr>
          <w:rFonts w:hint="eastAsia" w:cs="Times New Roman"/>
          <w:kern w:val="0"/>
          <w:szCs w:val="24"/>
          <w:lang w:val="zh-CN"/>
        </w:rPr>
        <w:t>采用</w:t>
      </w:r>
      <w:r>
        <w:rPr>
          <w:rFonts w:cs="Times New Roman"/>
          <w:kern w:val="0"/>
          <w:szCs w:val="24"/>
          <w:lang w:val="zh-CN"/>
        </w:rPr>
        <w:t>钢箱梁</w:t>
      </w:r>
      <w:r>
        <w:rPr>
          <w:rFonts w:hint="eastAsia" w:cs="Times New Roman"/>
          <w:kern w:val="0"/>
          <w:szCs w:val="24"/>
          <w:lang w:val="zh-CN"/>
        </w:rPr>
        <w:t>，</w:t>
      </w:r>
      <w:r>
        <w:rPr>
          <w:rFonts w:cs="Times New Roman"/>
          <w:kern w:val="0"/>
          <w:szCs w:val="24"/>
          <w:lang w:val="zh-CN"/>
        </w:rPr>
        <w:t>起终点桩号为K2+188.000~K2+253.000，主梁采用单箱三室简支钢箱梁，梁内缘中心线高2.9m，桥</w:t>
      </w:r>
      <w:r>
        <w:rPr>
          <w:rFonts w:hint="eastAsia" w:cs="Times New Roman"/>
          <w:kern w:val="0"/>
          <w:szCs w:val="24"/>
        </w:rPr>
        <w:t>面</w:t>
      </w:r>
      <w:r>
        <w:rPr>
          <w:rFonts w:cs="Times New Roman"/>
          <w:kern w:val="0"/>
          <w:szCs w:val="24"/>
          <w:lang w:val="zh-CN"/>
        </w:rPr>
        <w:t>宽18.5m。桥面护栏采用混凝土防撞护栏。</w:t>
      </w:r>
    </w:p>
    <w:p>
      <w:pPr>
        <w:ind w:firstLine="482"/>
        <w:rPr>
          <w:lang w:val="zh-CN"/>
        </w:rPr>
      </w:pPr>
      <w:r>
        <w:rPr>
          <w:rFonts w:hint="eastAsia"/>
          <w:b/>
          <w:bCs/>
        </w:rPr>
        <w:t>②</w:t>
      </w:r>
      <w:r>
        <w:rPr>
          <w:b/>
          <w:bCs/>
        </w:rPr>
        <w:t>枝钟</w:t>
      </w:r>
      <w:r>
        <w:rPr>
          <w:rFonts w:hint="eastAsia"/>
          <w:b/>
          <w:bCs/>
        </w:rPr>
        <w:t>中桥：</w:t>
      </w:r>
      <w:r>
        <w:rPr>
          <w:lang w:val="zh-CN"/>
        </w:rPr>
        <w:t>本桥跨越万福寺放生池的排洪渠，桥宽12米，桥长37米。排洪渠百年一遇流量131m</w:t>
      </w:r>
      <w:r>
        <w:rPr>
          <w:vertAlign w:val="superscript"/>
          <w:lang w:val="zh-CN"/>
        </w:rPr>
        <w:t>3</w:t>
      </w:r>
      <w:r>
        <w:rPr>
          <w:lang w:val="zh-CN"/>
        </w:rPr>
        <w:t>/s，流速1.25m/s，设计水位48.51</w:t>
      </w:r>
      <w:r>
        <w:rPr>
          <w:rFonts w:hint="eastAsia"/>
          <w:lang w:val="zh-CN"/>
        </w:rPr>
        <w:t>m</w:t>
      </w:r>
      <w:r>
        <w:rPr>
          <w:lang w:val="zh-CN"/>
        </w:rPr>
        <w:t>。</w:t>
      </w:r>
    </w:p>
    <w:p>
      <w:pPr>
        <w:ind w:firstLine="480"/>
        <w:rPr>
          <w:lang w:val="zh-CN"/>
        </w:rPr>
      </w:pPr>
      <w:r>
        <w:rPr>
          <w:lang w:val="zh-CN"/>
        </w:rPr>
        <w:t>中心桩号LK0+049.500，桥孔为2×16mPC简支空心板。下部构造采用柱式墩配桩基础；柱台配桩基础。</w:t>
      </w:r>
      <w:r>
        <w:rPr>
          <w:rFonts w:hint="eastAsia"/>
          <w:lang w:val="zh-CN"/>
        </w:rPr>
        <w:t>枝钟中桥桥梁方向与水流主方向垂直，建桥后有1 组（编号1#）共2 个桥墩落入河道内，两侧桥台（编号0#、2#）未落入河道内。</w:t>
      </w:r>
    </w:p>
    <w:p>
      <w:pPr>
        <w:ind w:firstLine="400"/>
        <w:rPr>
          <w:rFonts w:eastAsia="仿宋_GB2312" w:cs="Times New Roman"/>
          <w:sz w:val="20"/>
          <w:szCs w:val="20"/>
          <w:lang w:val="zh-CN"/>
        </w:rPr>
      </w:pPr>
      <w:bookmarkStart w:id="261" w:name="_Hlk197458959"/>
      <w:r>
        <w:rPr>
          <w:rFonts w:eastAsia="仿宋_GB2312" w:cs="Times New Roman"/>
          <w:sz w:val="20"/>
          <w:szCs w:val="20"/>
        </w:rPr>
        <w:t>特别说明：关于枝钟中桥桥长37m，评价提出建议采取一跨直接跨越迳江支流（不设涉水桥墩），设</w:t>
      </w:r>
      <w:r>
        <w:rPr>
          <w:rFonts w:eastAsia="仿宋_GB2312" w:cs="Times New Roman"/>
          <w:kern w:val="0"/>
          <w:sz w:val="20"/>
          <w:szCs w:val="20"/>
          <w:lang w:val="zh-CN"/>
        </w:rPr>
        <w:t>计单位结合洪评提供的设计水位答复：项目施工图枝钟中桥采用2×16m跨径空心板， 16m跨径0.8m梁高的预制空心板梁，桥下有0.75m富余。满足河道行洪需求亦满足规范桥下0.5m净高要求。若采取30m跨径预制梁，梁高则达到2m，无法满足规范桥下0.5m净高要求，则需要调整路线标高，与终点规划标高不一致。本次评价采纳设计意见，但涉水桥墩施工过程应落实相应减缓措施。</w:t>
      </w:r>
    </w:p>
    <w:bookmarkEnd w:id="261"/>
    <w:p>
      <w:pPr>
        <w:pStyle w:val="118"/>
        <w:numPr>
          <w:ilvl w:val="0"/>
          <w:numId w:val="0"/>
        </w:numPr>
      </w:pPr>
      <w:r>
        <w:rPr>
          <w:rFonts w:hint="eastAsia"/>
        </w:rPr>
        <w:t>（</w:t>
      </w:r>
      <w:r>
        <w:t>4</w:t>
      </w:r>
      <w:r>
        <w:rPr>
          <w:rFonts w:hint="eastAsia"/>
        </w:rPr>
        <w:t>）桥梁跨越处环境</w:t>
      </w:r>
    </w:p>
    <w:p>
      <w:pPr>
        <w:ind w:firstLine="480"/>
        <w:rPr>
          <w:lang w:val="zh-CN"/>
        </w:rPr>
      </w:pPr>
      <w:r>
        <w:rPr>
          <w:rFonts w:hint="eastAsia"/>
        </w:rPr>
        <w:t>①</w:t>
      </w:r>
      <w:r>
        <w:rPr>
          <w:b/>
          <w:bCs/>
          <w:lang w:val="zh-CN"/>
        </w:rPr>
        <w:t>大埔大桥</w:t>
      </w:r>
      <w:r>
        <w:rPr>
          <w:rFonts w:hint="eastAsia"/>
          <w:b/>
          <w:bCs/>
        </w:rPr>
        <w:t>：</w:t>
      </w:r>
      <w:r>
        <w:rPr>
          <w:lang w:val="zh-CN"/>
        </w:rPr>
        <w:t>桥址区属于冲洪积平原地貌。场区内地层主要为第四系表层</w:t>
      </w:r>
      <w:r>
        <w:rPr>
          <w:rFonts w:hint="eastAsia"/>
          <w:lang w:val="zh-CN"/>
        </w:rPr>
        <w:t>人工</w:t>
      </w:r>
      <w:r>
        <w:rPr>
          <w:lang w:val="zh-CN"/>
        </w:rPr>
        <w:t>填土层及冲洪积卵石层，其下为凝灰熔岩及其风化层。在此次勘探孔控制深度范围内场地未见有空洞、采空区等洞穴，沿线未发现暗藏的河道、沟浜、墓穴、防空洞等不利工程的埋藏物；周边未发现滑坡、崩塌、泥石流等不良地质作用；亦无人为地下工程和大面积开采地下水的活动，不会产生地面沉降、地裂缝等地质灾害。未见危害桥梁建设的活动性断裂构造迹象，场区地形总体起伏不大，场区稳定性较好，基本适宜桥梁建设。</w:t>
      </w:r>
    </w:p>
    <w:p>
      <w:pPr>
        <w:ind w:firstLine="480"/>
        <w:rPr>
          <w:lang w:val="zh-CN"/>
        </w:rPr>
      </w:pPr>
      <w:r>
        <w:rPr>
          <w:rFonts w:hint="eastAsia"/>
          <w:lang w:val="zh-CN"/>
        </w:rPr>
        <w:t>跨越水系情况：迳溪支流于K2+44</w:t>
      </w:r>
      <w:r>
        <w:rPr>
          <w:lang w:val="zh-CN"/>
        </w:rPr>
        <w:t>0</w:t>
      </w:r>
      <w:r>
        <w:rPr>
          <w:rFonts w:hint="eastAsia"/>
          <w:lang w:val="zh-CN"/>
        </w:rPr>
        <w:t>处自西北向东南斜下穿拟建桥梁，溪沟宽约</w:t>
      </w:r>
      <w:r>
        <w:rPr>
          <w:lang w:val="zh-CN"/>
        </w:rPr>
        <w:t>7~9</w:t>
      </w:r>
      <w:r>
        <w:rPr>
          <w:rFonts w:hint="eastAsia"/>
          <w:lang w:val="zh-CN"/>
        </w:rPr>
        <w:t>m，溪水面宽约3m，水深约0.5-1.0m，流速约0.5-1.0m/s，流量约1-2m</w:t>
      </w:r>
      <w:r>
        <w:rPr>
          <w:rFonts w:hint="eastAsia"/>
          <w:vertAlign w:val="superscript"/>
          <w:lang w:val="zh-CN"/>
        </w:rPr>
        <w:t>3</w:t>
      </w:r>
      <w:r>
        <w:rPr>
          <w:rFonts w:hint="eastAsia"/>
          <w:lang w:val="zh-CN"/>
        </w:rPr>
        <w:t>/s。现状河底高程为19m，两岸为天然岸坡，现状地面高程22.6m。</w:t>
      </w:r>
    </w:p>
    <w:p>
      <w:pPr>
        <w:ind w:firstLine="482"/>
        <w:rPr>
          <w:lang w:val="zh-CN"/>
        </w:rPr>
      </w:pPr>
      <w:r>
        <w:rPr>
          <w:rFonts w:hint="eastAsia"/>
          <w:b/>
          <w:bCs/>
        </w:rPr>
        <w:t>②</w:t>
      </w:r>
      <w:r>
        <w:rPr>
          <w:b/>
          <w:bCs/>
        </w:rPr>
        <w:t>枝钟</w:t>
      </w:r>
      <w:r>
        <w:rPr>
          <w:rFonts w:hint="eastAsia"/>
          <w:b/>
          <w:bCs/>
        </w:rPr>
        <w:t>中桥：</w:t>
      </w:r>
      <w:r>
        <w:rPr>
          <w:lang w:val="zh-CN"/>
        </w:rPr>
        <w:t>桥址区属于冲洪积阶地地貌。场区内地层主要为第四系表层人工填土层及冲洪积卵石层，其下为凝灰熔岩及其风化层。在此次勘探孔控制深度范围内场地未见有空洞、采空区等洞穴，沿线未发现暗藏的河道、沟浜、墓穴、防空洞</w:t>
      </w:r>
      <w:r>
        <w:rPr>
          <w:rFonts w:hint="eastAsia"/>
          <w:lang w:val="zh-CN"/>
        </w:rPr>
        <w:t>等</w:t>
      </w:r>
      <w:r>
        <w:rPr>
          <w:lang w:val="zh-CN"/>
        </w:rPr>
        <w:t>不利工程的埋藏物；周边未发现滑坡、崩塌、泥石流等不良地质作用；亦无人为地下工程和大面积开采地下水的活动，不会产生地面沉降、地裂缝等地质灾害。未见危害桥梁建设的活动性断裂构造迹象，场区地形总体起伏不大，场区稳定性较好，基本适宜桥梁建设。</w:t>
      </w:r>
    </w:p>
    <w:p>
      <w:pPr>
        <w:ind w:firstLine="480"/>
        <w:rPr>
          <w:lang w:val="zh-CN"/>
        </w:rPr>
      </w:pPr>
      <w:r>
        <w:rPr>
          <w:rFonts w:hint="eastAsia"/>
          <w:lang w:val="zh-CN"/>
        </w:rPr>
        <w:t>跨越水系情况：桥位区属冲洪积河谷地貌，迳江大帽山支流于LK0+000~LK0+090处自西北向东南斜下穿拟建桥梁，桥址处河道现状宽度约9~14m，现状河底高程为45.10m，两岸为天然岸坡，水深约0.2-0.5m，未见水流明显流速，流量约0.2-0.5m</w:t>
      </w:r>
      <w:r>
        <w:rPr>
          <w:rFonts w:hint="eastAsia"/>
          <w:vertAlign w:val="superscript"/>
          <w:lang w:val="zh-CN"/>
        </w:rPr>
        <w:t>3</w:t>
      </w:r>
      <w:r>
        <w:rPr>
          <w:rFonts w:hint="eastAsia"/>
          <w:lang w:val="zh-CN"/>
        </w:rPr>
        <w:t>/s。左岸现状地面高程46.70~47.83m，右岸地面高程47.35~53.72m。拟建桥位区为水库的排水区，桥位西侧为水库，水深约10m，现作为万福寺的放生池。</w:t>
      </w:r>
    </w:p>
    <w:p>
      <w:pPr>
        <w:ind w:firstLine="480"/>
        <w:rPr>
          <w:lang w:val="zh-CN"/>
        </w:rPr>
      </w:pPr>
      <w:r>
        <w:rPr>
          <w:rFonts w:hint="eastAsia"/>
          <w:lang w:val="zh-CN"/>
        </w:rPr>
        <w:t>小里程桥台处为水库的堤坝，采用放坡植草支护，现状稳定，未见崩塌、裂缝等变形现象。大里程桥台处为人工边坡的坡脚，人工边坡坡高约25m，坡度约50-60°，坡面无植被，坡顶植被发育，多为杂树和灌木。</w:t>
      </w:r>
    </w:p>
    <w:p>
      <w:pPr>
        <w:pStyle w:val="105"/>
        <w:rPr>
          <w:rFonts w:hint="eastAsia" w:eastAsia="宋体"/>
          <w:lang w:val="zh-CN" w:eastAsia="zh-CN"/>
        </w:rPr>
      </w:pPr>
    </w:p>
    <w:p>
      <w:pPr>
        <w:pStyle w:val="122"/>
        <w:ind w:firstLine="480"/>
        <w:rPr>
          <w:lang w:val="zh-CN"/>
        </w:rPr>
      </w:pPr>
      <w:r>
        <w:rPr>
          <w:rFonts w:hint="eastAsia"/>
          <w:lang w:val="zh-CN"/>
        </w:rPr>
        <w:t>大埔大桥桥型布置图（跨河处）</w:t>
      </w:r>
    </w:p>
    <w:p>
      <w:pPr>
        <w:pStyle w:val="105"/>
        <w:rPr>
          <w:rFonts w:hint="eastAsia" w:eastAsia="宋体"/>
          <w:lang w:val="zh-CN" w:eastAsia="zh-CN"/>
        </w:rPr>
      </w:pPr>
    </w:p>
    <w:p>
      <w:pPr>
        <w:pStyle w:val="122"/>
        <w:ind w:firstLine="480"/>
        <w:rPr>
          <w:lang w:val="zh-CN"/>
        </w:rPr>
      </w:pPr>
      <w:r>
        <w:rPr>
          <w:rFonts w:hint="eastAsia"/>
          <w:lang w:val="zh-CN"/>
        </w:rPr>
        <w:t>大埔大桥桥址两岸现状</w:t>
      </w:r>
    </w:p>
    <w:p>
      <w:pPr>
        <w:ind w:firstLine="480"/>
        <w:rPr>
          <w:lang w:val="zh-CN"/>
        </w:rPr>
        <w:sectPr>
          <w:pgSz w:w="11910" w:h="16840"/>
          <w:pgMar w:top="1418" w:right="1418" w:bottom="1418" w:left="1418" w:header="851" w:footer="851" w:gutter="0"/>
          <w:cols w:space="720" w:num="1"/>
        </w:sectPr>
      </w:pPr>
    </w:p>
    <w:p>
      <w:pPr>
        <w:pStyle w:val="105"/>
        <w:spacing w:before="0" w:after="0"/>
        <w:rPr>
          <w:rFonts w:hint="eastAsia" w:eastAsia="宋体"/>
          <w:lang w:val="zh-CN" w:eastAsia="zh-CN"/>
        </w:rPr>
      </w:pPr>
    </w:p>
    <w:p>
      <w:pPr>
        <w:pStyle w:val="105"/>
        <w:spacing w:before="0" w:after="0"/>
        <w:rPr>
          <w:rFonts w:hint="eastAsia" w:eastAsia="宋体"/>
          <w:lang w:val="zh-CN" w:eastAsia="zh-CN"/>
        </w:rPr>
      </w:pPr>
    </w:p>
    <w:p>
      <w:pPr>
        <w:pStyle w:val="122"/>
        <w:spacing w:before="0" w:after="0"/>
        <w:rPr>
          <w:lang w:val="zh-CN"/>
        </w:rPr>
      </w:pPr>
      <w:r>
        <w:rPr>
          <w:rFonts w:hint="eastAsia"/>
          <w:lang w:val="zh-CN"/>
        </w:rPr>
        <w:t>大埔大桥平面布置图</w:t>
      </w:r>
    </w:p>
    <w:p>
      <w:pPr>
        <w:ind w:firstLine="480"/>
        <w:rPr>
          <w:lang w:val="zh-CN"/>
        </w:rPr>
        <w:sectPr>
          <w:pgSz w:w="16840" w:h="11910" w:orient="landscape"/>
          <w:pgMar w:top="709" w:right="1418" w:bottom="709" w:left="1418" w:header="567" w:footer="398" w:gutter="0"/>
          <w:cols w:space="720" w:num="1"/>
          <w:docGrid w:linePitch="326" w:charSpace="0"/>
        </w:sectPr>
      </w:pPr>
    </w:p>
    <w:p>
      <w:pPr>
        <w:pStyle w:val="105"/>
        <w:rPr>
          <w:rFonts w:hint="eastAsia" w:eastAsia="宋体"/>
          <w:lang w:val="zh-CN" w:eastAsia="zh-CN"/>
        </w:rPr>
      </w:pPr>
    </w:p>
    <w:p>
      <w:pPr>
        <w:pStyle w:val="122"/>
        <w:rPr>
          <w:lang w:val="zh-CN"/>
        </w:rPr>
      </w:pPr>
      <w:r>
        <w:rPr>
          <w:bCs/>
        </w:rPr>
        <w:t>枝钟</w:t>
      </w:r>
      <w:r>
        <w:rPr>
          <w:rFonts w:hint="eastAsia"/>
          <w:bCs/>
        </w:rPr>
        <w:t>中桥</w:t>
      </w:r>
      <w:r>
        <w:rPr>
          <w:rFonts w:hint="eastAsia"/>
          <w:lang w:val="zh-CN"/>
        </w:rPr>
        <w:t>平面布置图</w:t>
      </w:r>
    </w:p>
    <w:p>
      <w:pPr>
        <w:pStyle w:val="105"/>
        <w:jc w:val="center"/>
        <w:rPr>
          <w:rFonts w:hint="eastAsia" w:eastAsia="宋体"/>
          <w:lang w:val="zh-CN" w:eastAsia="zh-CN"/>
        </w:rPr>
      </w:pPr>
    </w:p>
    <w:p>
      <w:pPr>
        <w:pStyle w:val="122"/>
        <w:ind w:firstLine="360"/>
        <w:rPr>
          <w:lang w:val="zh-CN"/>
        </w:rPr>
      </w:pPr>
      <w:r>
        <w:rPr>
          <w:bCs/>
        </w:rPr>
        <w:t>枝钟</w:t>
      </w:r>
      <w:r>
        <w:rPr>
          <w:rFonts w:hint="eastAsia"/>
          <w:bCs/>
        </w:rPr>
        <w:t>中桥</w:t>
      </w:r>
      <w:r>
        <w:rPr>
          <w:rFonts w:hint="eastAsia"/>
          <w:lang w:val="zh-CN"/>
        </w:rPr>
        <w:t>桥型布置图（跨河处）</w:t>
      </w:r>
    </w:p>
    <w:p>
      <w:pPr>
        <w:pStyle w:val="105"/>
        <w:rPr>
          <w:rFonts w:hint="eastAsia" w:eastAsia="宋体"/>
          <w:lang w:val="zh-CN" w:eastAsia="zh-CN"/>
        </w:rPr>
      </w:pPr>
    </w:p>
    <w:p>
      <w:pPr>
        <w:pStyle w:val="122"/>
        <w:rPr>
          <w:lang w:val="zh-CN"/>
        </w:rPr>
      </w:pPr>
      <w:r>
        <w:rPr>
          <w:bCs/>
        </w:rPr>
        <w:t>枝钟</w:t>
      </w:r>
      <w:r>
        <w:rPr>
          <w:rFonts w:hint="eastAsia"/>
          <w:bCs/>
        </w:rPr>
        <w:t>中桥</w:t>
      </w:r>
      <w:r>
        <w:rPr>
          <w:rFonts w:hint="eastAsia"/>
          <w:lang w:val="zh-CN"/>
        </w:rPr>
        <w:t>桥址两岸现状</w:t>
      </w:r>
    </w:p>
    <w:p>
      <w:pPr>
        <w:pStyle w:val="120"/>
        <w:rPr>
          <w:color w:val="auto"/>
        </w:rPr>
      </w:pPr>
      <w:bookmarkStart w:id="262" w:name="_Hlk195520778"/>
      <w:r>
        <w:rPr>
          <w:rFonts w:hint="eastAsia"/>
          <w:color w:val="auto"/>
        </w:rPr>
        <w:t>涵洞</w:t>
      </w:r>
      <w:r>
        <w:rPr>
          <w:color w:val="auto"/>
        </w:rPr>
        <w:t>工程</w:t>
      </w:r>
    </w:p>
    <w:p>
      <w:pPr>
        <w:ind w:firstLine="480"/>
        <w:rPr>
          <w:lang w:val="zh-CN"/>
        </w:rPr>
      </w:pPr>
      <w:bookmarkStart w:id="263" w:name="_Hlk187651160"/>
      <w:r>
        <w:rPr>
          <w:rFonts w:hint="eastAsia"/>
        </w:rPr>
        <w:t>项目共设置涵洞</w:t>
      </w:r>
      <w:r>
        <w:t>28</w:t>
      </w:r>
      <w:r>
        <w:rPr>
          <w:rFonts w:hint="eastAsia"/>
        </w:rPr>
        <w:t>道。其中</w:t>
      </w:r>
      <w:r>
        <w:rPr>
          <w:lang w:val="zh-CN"/>
        </w:rPr>
        <w:t>主线</w:t>
      </w:r>
      <w:r>
        <w:rPr>
          <w:rFonts w:hint="eastAsia"/>
          <w:lang w:val="zh-CN"/>
        </w:rPr>
        <w:t>内</w:t>
      </w:r>
      <w:r>
        <w:rPr>
          <w:lang w:val="zh-CN"/>
        </w:rPr>
        <w:t>共设涵洞 21 道，其中设置钢筋混凝土盖板涵 7 道，圆管涵 10 道，箱涵 4 道，总长431.51m。</w:t>
      </w:r>
      <w:bookmarkEnd w:id="263"/>
      <w:r>
        <w:rPr>
          <w:lang w:val="zh-CN"/>
        </w:rPr>
        <w:t>其中</w:t>
      </w:r>
      <w:r>
        <w:rPr>
          <w:rFonts w:hint="eastAsia"/>
          <w:lang w:val="zh-CN"/>
        </w:rPr>
        <w:t>①</w:t>
      </w:r>
      <w:r>
        <w:rPr>
          <w:lang w:val="zh-CN"/>
        </w:rPr>
        <w:t>K1+563.24处涵洞为6-5.5*4.5箱涵。分三联箱涵设计施工，中心桩号分别为K11548.84、K11563.24、K1+577.61，两联之间设置2cm沉降缝。（2）本项目范围内设置两道LNG管道保护涵。</w:t>
      </w:r>
    </w:p>
    <w:bookmarkEnd w:id="262"/>
    <w:p>
      <w:pPr>
        <w:ind w:firstLine="480"/>
      </w:pPr>
      <w:r>
        <w:rPr>
          <w:rFonts w:hint="eastAsia"/>
          <w:lang w:val="zh-TW" w:eastAsia="zh-TW"/>
        </w:rPr>
        <w:t>项目设线外排水涵洞</w:t>
      </w:r>
      <w:r>
        <w:rPr>
          <w:lang w:val="zh-TW" w:eastAsia="zh-TW"/>
        </w:rPr>
        <w:t>7</w:t>
      </w:r>
      <w:r>
        <w:rPr>
          <w:rFonts w:hint="eastAsia"/>
          <w:lang w:val="zh-TW" w:eastAsia="zh-TW"/>
        </w:rPr>
        <w:t>道，为钢</w:t>
      </w:r>
      <w:r>
        <w:rPr>
          <w:rFonts w:hint="eastAsia"/>
        </w:rPr>
        <w:t>筋混凝土圆管涵，总长</w:t>
      </w:r>
      <w:r>
        <w:t>98m</w:t>
      </w:r>
      <w:r>
        <w:rPr>
          <w:rFonts w:hint="eastAsia"/>
        </w:rPr>
        <w:t>。</w:t>
      </w:r>
    </w:p>
    <w:p>
      <w:pPr>
        <w:pStyle w:val="87"/>
        <w:spacing w:before="120"/>
      </w:pPr>
      <w:r>
        <w:rPr>
          <w:rFonts w:hint="eastAsia"/>
        </w:rPr>
        <w:t>线外涵洞一览表</w:t>
      </w:r>
    </w:p>
    <w:tbl>
      <w:tblPr>
        <w:tblStyle w:val="39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011"/>
        <w:gridCol w:w="1778"/>
        <w:gridCol w:w="1347"/>
        <w:gridCol w:w="1459"/>
        <w:gridCol w:w="1013"/>
        <w:gridCol w:w="26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Merge w:val="restart"/>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序号</w:t>
            </w:r>
          </w:p>
        </w:tc>
        <w:tc>
          <w:tcPr>
            <w:tcW w:w="957" w:type="pct"/>
            <w:vMerge w:val="restar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对应主</w:t>
            </w:r>
          </w:p>
          <w:p>
            <w:pPr>
              <w:pStyle w:val="105"/>
              <w:widowControl w:val="0"/>
              <w:jc w:val="center"/>
              <w:rPr>
                <w:rFonts w:eastAsia="New York"/>
              </w:rPr>
            </w:pPr>
            <w:r>
              <w:rPr>
                <w:rFonts w:hint="eastAsia" w:ascii="宋体" w:hAnsi="宋体" w:eastAsia="宋体"/>
              </w:rPr>
              <w:t>线粧号</w:t>
            </w:r>
          </w:p>
        </w:tc>
        <w:tc>
          <w:tcPr>
            <w:tcW w:w="725" w:type="pct"/>
            <w:vMerge w:val="restar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属性</w:t>
            </w:r>
          </w:p>
        </w:tc>
        <w:tc>
          <w:tcPr>
            <w:tcW w:w="785"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孔数及孔径</w:t>
            </w:r>
          </w:p>
        </w:tc>
        <w:tc>
          <w:tcPr>
            <w:tcW w:w="545"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长度</w:t>
            </w:r>
          </w:p>
        </w:tc>
        <w:tc>
          <w:tcPr>
            <w:tcW w:w="1443" w:type="pct"/>
            <w:vMerge w:val="restart"/>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Merge w:val="continue"/>
            <w:vAlign w:val="center"/>
          </w:tcPr>
          <w:p>
            <w:pPr>
              <w:pStyle w:val="105"/>
              <w:widowControl w:val="0"/>
              <w:jc w:val="center"/>
            </w:pPr>
          </w:p>
        </w:tc>
        <w:tc>
          <w:tcPr>
            <w:tcW w:w="957" w:type="pct"/>
            <w:vMerge w:val="continue"/>
            <w:vAlign w:val="center"/>
          </w:tcPr>
          <w:p>
            <w:pPr>
              <w:pStyle w:val="105"/>
              <w:widowControl w:val="0"/>
              <w:jc w:val="center"/>
            </w:pPr>
          </w:p>
        </w:tc>
        <w:tc>
          <w:tcPr>
            <w:tcW w:w="725" w:type="pct"/>
            <w:vMerge w:val="continue"/>
            <w:vAlign w:val="center"/>
          </w:tcPr>
          <w:p>
            <w:pPr>
              <w:pStyle w:val="105"/>
              <w:widowControl w:val="0"/>
              <w:jc w:val="center"/>
            </w:pPr>
          </w:p>
        </w:tc>
        <w:tc>
          <w:tcPr>
            <w:tcW w:w="785" w:type="pct"/>
            <w:vAlign w:val="center"/>
          </w:tcPr>
          <w:p>
            <w:pPr>
              <w:pStyle w:val="105"/>
              <w:widowControl w:val="0"/>
              <w:jc w:val="center"/>
            </w:pPr>
            <w:r>
              <w:rPr>
                <w:rFonts w:hint="eastAsia"/>
              </w:rPr>
              <w:t>孔</w:t>
            </w:r>
            <w:r>
              <w:t>-</w:t>
            </w:r>
            <w:r>
              <w:rPr>
                <w:rFonts w:hint="eastAsia"/>
              </w:rPr>
              <w:t>米</w:t>
            </w:r>
          </w:p>
        </w:tc>
        <w:tc>
          <w:tcPr>
            <w:tcW w:w="545" w:type="pct"/>
            <w:vAlign w:val="center"/>
          </w:tcPr>
          <w:p>
            <w:pPr>
              <w:pStyle w:val="105"/>
              <w:widowControl w:val="0"/>
              <w:jc w:val="center"/>
            </w:pPr>
            <w:r>
              <w:rPr>
                <w:rFonts w:hint="eastAsia"/>
              </w:rPr>
              <w:t>米</w:t>
            </w:r>
          </w:p>
        </w:tc>
        <w:tc>
          <w:tcPr>
            <w:tcW w:w="1443" w:type="pct"/>
            <w:vMerge w:val="continue"/>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Align w:val="center"/>
          </w:tcPr>
          <w:p>
            <w:pPr>
              <w:pStyle w:val="105"/>
              <w:widowControl w:val="0"/>
              <w:jc w:val="center"/>
            </w:pPr>
            <w:r>
              <w:t>1</w:t>
            </w:r>
          </w:p>
        </w:tc>
        <w:tc>
          <w:tcPr>
            <w:tcW w:w="957" w:type="pct"/>
            <w:vAlign w:val="center"/>
          </w:tcPr>
          <w:p>
            <w:pPr>
              <w:pStyle w:val="105"/>
              <w:widowControl w:val="0"/>
              <w:jc w:val="center"/>
            </w:pPr>
            <w:r>
              <w:t>2</w:t>
            </w:r>
          </w:p>
        </w:tc>
        <w:tc>
          <w:tcPr>
            <w:tcW w:w="725" w:type="pct"/>
            <w:vAlign w:val="center"/>
          </w:tcPr>
          <w:p>
            <w:pPr>
              <w:pStyle w:val="105"/>
              <w:widowControl w:val="0"/>
              <w:jc w:val="center"/>
            </w:pPr>
            <w:r>
              <w:t>3</w:t>
            </w:r>
          </w:p>
        </w:tc>
        <w:tc>
          <w:tcPr>
            <w:tcW w:w="785" w:type="pct"/>
            <w:vAlign w:val="center"/>
          </w:tcPr>
          <w:p>
            <w:pPr>
              <w:pStyle w:val="105"/>
              <w:widowControl w:val="0"/>
              <w:jc w:val="center"/>
            </w:pPr>
            <w:r>
              <w:t>4</w:t>
            </w:r>
          </w:p>
        </w:tc>
        <w:tc>
          <w:tcPr>
            <w:tcW w:w="545" w:type="pct"/>
            <w:vAlign w:val="center"/>
          </w:tcPr>
          <w:p>
            <w:pPr>
              <w:pStyle w:val="105"/>
              <w:widowControl w:val="0"/>
              <w:jc w:val="center"/>
            </w:pPr>
            <w:r>
              <w:t>5</w:t>
            </w:r>
          </w:p>
        </w:tc>
        <w:tc>
          <w:tcPr>
            <w:tcW w:w="1443" w:type="pct"/>
            <w:vAlign w:val="center"/>
          </w:tcPr>
          <w:p>
            <w:pPr>
              <w:pStyle w:val="105"/>
              <w:widowControl w:val="0"/>
              <w:jc w:val="center"/>
            </w:pPr>
            <w: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Align w:val="center"/>
          </w:tcPr>
          <w:p>
            <w:pPr>
              <w:pStyle w:val="105"/>
              <w:widowControl w:val="0"/>
              <w:jc w:val="center"/>
            </w:pPr>
            <w:r>
              <w:t>1</w:t>
            </w:r>
          </w:p>
        </w:tc>
        <w:tc>
          <w:tcPr>
            <w:tcW w:w="957" w:type="pct"/>
            <w:vAlign w:val="center"/>
          </w:tcPr>
          <w:p>
            <w:pPr>
              <w:pStyle w:val="105"/>
              <w:widowControl w:val="0"/>
              <w:jc w:val="center"/>
            </w:pPr>
            <w:r>
              <w:t>K0+170. 0</w:t>
            </w:r>
          </w:p>
        </w:tc>
        <w:tc>
          <w:tcPr>
            <w:tcW w:w="725" w:type="pct"/>
            <w:vAlign w:val="center"/>
          </w:tcPr>
          <w:p>
            <w:pPr>
              <w:pStyle w:val="105"/>
              <w:widowControl w:val="0"/>
              <w:jc w:val="center"/>
            </w:pPr>
            <w:r>
              <w:rPr>
                <w:rFonts w:hint="eastAsia"/>
              </w:rPr>
              <w:t>边沟涵</w:t>
            </w:r>
          </w:p>
        </w:tc>
        <w:tc>
          <w:tcPr>
            <w:tcW w:w="785" w:type="pct"/>
            <w:vAlign w:val="center"/>
          </w:tcPr>
          <w:p>
            <w:pPr>
              <w:pStyle w:val="105"/>
              <w:widowControl w:val="0"/>
              <w:jc w:val="center"/>
            </w:pPr>
            <w:r>
              <w:t>1-00. 75</w:t>
            </w:r>
          </w:p>
        </w:tc>
        <w:tc>
          <w:tcPr>
            <w:tcW w:w="545" w:type="pct"/>
            <w:vAlign w:val="center"/>
          </w:tcPr>
          <w:p>
            <w:pPr>
              <w:pStyle w:val="105"/>
              <w:widowControl w:val="0"/>
              <w:jc w:val="center"/>
            </w:pPr>
            <w:r>
              <w:t>11.0</w:t>
            </w:r>
          </w:p>
        </w:tc>
        <w:tc>
          <w:tcPr>
            <w:tcW w:w="1443" w:type="pct"/>
            <w:vAlign w:val="center"/>
          </w:tcPr>
          <w:p>
            <w:pPr>
              <w:pStyle w:val="105"/>
              <w:widowControl w:val="0"/>
              <w:jc w:val="center"/>
            </w:pPr>
            <w:r>
              <w:rPr>
                <w:rFonts w:hint="eastAsia"/>
              </w:rPr>
              <w:t>改路</w:t>
            </w:r>
            <w: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Align w:val="center"/>
          </w:tcPr>
          <w:p>
            <w:pPr>
              <w:pStyle w:val="105"/>
              <w:widowControl w:val="0"/>
              <w:jc w:val="center"/>
            </w:pPr>
            <w:r>
              <w:t>2</w:t>
            </w:r>
          </w:p>
        </w:tc>
        <w:tc>
          <w:tcPr>
            <w:tcW w:w="957" w:type="pct"/>
            <w:vAlign w:val="center"/>
          </w:tcPr>
          <w:p>
            <w:pPr>
              <w:pStyle w:val="105"/>
              <w:widowControl w:val="0"/>
              <w:jc w:val="center"/>
            </w:pPr>
            <w:r>
              <w:t>K0+785. 0</w:t>
            </w:r>
          </w:p>
        </w:tc>
        <w:tc>
          <w:tcPr>
            <w:tcW w:w="725" w:type="pct"/>
            <w:vAlign w:val="center"/>
          </w:tcPr>
          <w:p>
            <w:pPr>
              <w:pStyle w:val="105"/>
              <w:widowControl w:val="0"/>
              <w:jc w:val="center"/>
            </w:pPr>
            <w:r>
              <w:rPr>
                <w:rFonts w:hint="eastAsia"/>
              </w:rPr>
              <w:t>边沟涵</w:t>
            </w:r>
          </w:p>
        </w:tc>
        <w:tc>
          <w:tcPr>
            <w:tcW w:w="785" w:type="pct"/>
            <w:vAlign w:val="center"/>
          </w:tcPr>
          <w:p>
            <w:pPr>
              <w:pStyle w:val="105"/>
              <w:widowControl w:val="0"/>
              <w:jc w:val="center"/>
            </w:pPr>
            <w:r>
              <w:t>1-00. 75</w:t>
            </w:r>
          </w:p>
        </w:tc>
        <w:tc>
          <w:tcPr>
            <w:tcW w:w="545" w:type="pct"/>
            <w:vAlign w:val="center"/>
          </w:tcPr>
          <w:p>
            <w:pPr>
              <w:pStyle w:val="105"/>
              <w:widowControl w:val="0"/>
              <w:jc w:val="center"/>
            </w:pPr>
            <w:r>
              <w:t>6. 5</w:t>
            </w:r>
          </w:p>
        </w:tc>
        <w:tc>
          <w:tcPr>
            <w:tcW w:w="1443" w:type="pct"/>
            <w:vAlign w:val="center"/>
          </w:tcPr>
          <w:p>
            <w:pPr>
              <w:pStyle w:val="105"/>
              <w:widowControl w:val="0"/>
              <w:jc w:val="center"/>
            </w:pPr>
            <w:r>
              <w:rPr>
                <w:rFonts w:hint="eastAsia"/>
              </w:rPr>
              <w:t>改路</w:t>
            </w:r>
            <w: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Align w:val="center"/>
          </w:tcPr>
          <w:p>
            <w:pPr>
              <w:pStyle w:val="105"/>
              <w:widowControl w:val="0"/>
              <w:jc w:val="center"/>
            </w:pPr>
            <w:r>
              <w:t>3</w:t>
            </w:r>
          </w:p>
        </w:tc>
        <w:tc>
          <w:tcPr>
            <w:tcW w:w="957" w:type="pct"/>
            <w:vAlign w:val="center"/>
          </w:tcPr>
          <w:p>
            <w:pPr>
              <w:pStyle w:val="105"/>
              <w:widowControl w:val="0"/>
              <w:jc w:val="center"/>
            </w:pPr>
            <w:r>
              <w:t>K1+720. 0</w:t>
            </w:r>
          </w:p>
        </w:tc>
        <w:tc>
          <w:tcPr>
            <w:tcW w:w="725" w:type="pct"/>
            <w:vAlign w:val="center"/>
          </w:tcPr>
          <w:p>
            <w:pPr>
              <w:pStyle w:val="105"/>
              <w:widowControl w:val="0"/>
              <w:jc w:val="center"/>
            </w:pPr>
            <w:r>
              <w:rPr>
                <w:rFonts w:hint="eastAsia"/>
              </w:rPr>
              <w:t>边沟涵</w:t>
            </w:r>
          </w:p>
        </w:tc>
        <w:tc>
          <w:tcPr>
            <w:tcW w:w="785" w:type="pct"/>
            <w:vAlign w:val="center"/>
          </w:tcPr>
          <w:p>
            <w:pPr>
              <w:pStyle w:val="105"/>
              <w:widowControl w:val="0"/>
              <w:jc w:val="center"/>
            </w:pPr>
            <w:r>
              <w:t>1-00. 75</w:t>
            </w:r>
          </w:p>
        </w:tc>
        <w:tc>
          <w:tcPr>
            <w:tcW w:w="545" w:type="pct"/>
            <w:vAlign w:val="center"/>
          </w:tcPr>
          <w:p>
            <w:pPr>
              <w:pStyle w:val="105"/>
              <w:widowControl w:val="0"/>
              <w:jc w:val="center"/>
            </w:pPr>
            <w:r>
              <w:t>21.5</w:t>
            </w:r>
          </w:p>
        </w:tc>
        <w:tc>
          <w:tcPr>
            <w:tcW w:w="1443" w:type="pct"/>
            <w:vAlign w:val="center"/>
          </w:tcPr>
          <w:p>
            <w:pPr>
              <w:pStyle w:val="105"/>
              <w:widowControl w:val="0"/>
              <w:jc w:val="center"/>
            </w:pPr>
            <w:r>
              <w:rPr>
                <w:rFonts w:hint="eastAsia"/>
              </w:rPr>
              <w:t>主线左侧侨丰路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Align w:val="center"/>
          </w:tcPr>
          <w:p>
            <w:pPr>
              <w:pStyle w:val="105"/>
              <w:widowControl w:val="0"/>
              <w:jc w:val="center"/>
            </w:pPr>
            <w:r>
              <w:t>4</w:t>
            </w:r>
          </w:p>
        </w:tc>
        <w:tc>
          <w:tcPr>
            <w:tcW w:w="957" w:type="pct"/>
            <w:vAlign w:val="center"/>
          </w:tcPr>
          <w:p>
            <w:pPr>
              <w:pStyle w:val="105"/>
              <w:widowControl w:val="0"/>
              <w:jc w:val="center"/>
            </w:pPr>
            <w:r>
              <w:t>K2+580. 0</w:t>
            </w:r>
          </w:p>
        </w:tc>
        <w:tc>
          <w:tcPr>
            <w:tcW w:w="725" w:type="pct"/>
            <w:vAlign w:val="center"/>
          </w:tcPr>
          <w:p>
            <w:pPr>
              <w:pStyle w:val="105"/>
              <w:widowControl w:val="0"/>
              <w:jc w:val="center"/>
            </w:pPr>
            <w:r>
              <w:rPr>
                <w:rFonts w:hint="eastAsia"/>
              </w:rPr>
              <w:t>边沟涵</w:t>
            </w:r>
          </w:p>
        </w:tc>
        <w:tc>
          <w:tcPr>
            <w:tcW w:w="785" w:type="pct"/>
            <w:vAlign w:val="center"/>
          </w:tcPr>
          <w:p>
            <w:pPr>
              <w:pStyle w:val="105"/>
              <w:widowControl w:val="0"/>
              <w:jc w:val="center"/>
            </w:pPr>
            <w:r>
              <w:t>1-00. 75</w:t>
            </w:r>
          </w:p>
        </w:tc>
        <w:tc>
          <w:tcPr>
            <w:tcW w:w="545" w:type="pct"/>
            <w:vAlign w:val="center"/>
          </w:tcPr>
          <w:p>
            <w:pPr>
              <w:pStyle w:val="105"/>
              <w:widowControl w:val="0"/>
              <w:jc w:val="center"/>
            </w:pPr>
            <w:r>
              <w:t>9. 5</w:t>
            </w:r>
          </w:p>
        </w:tc>
        <w:tc>
          <w:tcPr>
            <w:tcW w:w="1443" w:type="pct"/>
            <w:vAlign w:val="center"/>
          </w:tcPr>
          <w:p>
            <w:pPr>
              <w:pStyle w:val="105"/>
              <w:widowControl w:val="0"/>
              <w:jc w:val="center"/>
            </w:pPr>
            <w:r>
              <w:rPr>
                <w:rFonts w:hint="eastAsia"/>
              </w:rPr>
              <w:t>主线左侧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Align w:val="center"/>
          </w:tcPr>
          <w:p>
            <w:pPr>
              <w:pStyle w:val="105"/>
              <w:widowControl w:val="0"/>
              <w:jc w:val="center"/>
            </w:pPr>
            <w:r>
              <w:t>5</w:t>
            </w:r>
          </w:p>
        </w:tc>
        <w:tc>
          <w:tcPr>
            <w:tcW w:w="957" w:type="pct"/>
            <w:vAlign w:val="center"/>
          </w:tcPr>
          <w:p>
            <w:pPr>
              <w:pStyle w:val="105"/>
              <w:widowControl w:val="0"/>
              <w:jc w:val="center"/>
            </w:pPr>
            <w:r>
              <w:t>K2+600. 0</w:t>
            </w:r>
          </w:p>
        </w:tc>
        <w:tc>
          <w:tcPr>
            <w:tcW w:w="725" w:type="pct"/>
            <w:vAlign w:val="center"/>
          </w:tcPr>
          <w:p>
            <w:pPr>
              <w:pStyle w:val="105"/>
              <w:widowControl w:val="0"/>
              <w:jc w:val="center"/>
            </w:pPr>
            <w:r>
              <w:rPr>
                <w:rFonts w:hint="eastAsia"/>
              </w:rPr>
              <w:t>边沟涵</w:t>
            </w:r>
          </w:p>
        </w:tc>
        <w:tc>
          <w:tcPr>
            <w:tcW w:w="785" w:type="pct"/>
            <w:vAlign w:val="center"/>
          </w:tcPr>
          <w:p>
            <w:pPr>
              <w:pStyle w:val="105"/>
              <w:widowControl w:val="0"/>
              <w:jc w:val="center"/>
            </w:pPr>
            <w:r>
              <w:t>1-00. 75</w:t>
            </w:r>
          </w:p>
        </w:tc>
        <w:tc>
          <w:tcPr>
            <w:tcW w:w="545" w:type="pct"/>
            <w:vAlign w:val="center"/>
          </w:tcPr>
          <w:p>
            <w:pPr>
              <w:pStyle w:val="105"/>
              <w:widowControl w:val="0"/>
              <w:jc w:val="center"/>
            </w:pPr>
            <w:r>
              <w:t>11.5</w:t>
            </w:r>
          </w:p>
        </w:tc>
        <w:tc>
          <w:tcPr>
            <w:tcW w:w="1443" w:type="pct"/>
            <w:vAlign w:val="center"/>
          </w:tcPr>
          <w:p>
            <w:pPr>
              <w:pStyle w:val="105"/>
              <w:widowControl w:val="0"/>
              <w:jc w:val="center"/>
            </w:pPr>
            <w:r>
              <w:rPr>
                <w:rFonts w:hint="eastAsia"/>
              </w:rPr>
              <w:t>主线右侧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Align w:val="center"/>
          </w:tcPr>
          <w:p>
            <w:pPr>
              <w:pStyle w:val="105"/>
              <w:widowControl w:val="0"/>
              <w:jc w:val="center"/>
            </w:pPr>
            <w:r>
              <w:t>6</w:t>
            </w:r>
          </w:p>
        </w:tc>
        <w:tc>
          <w:tcPr>
            <w:tcW w:w="957" w:type="pct"/>
            <w:vAlign w:val="center"/>
          </w:tcPr>
          <w:p>
            <w:pPr>
              <w:pStyle w:val="105"/>
              <w:widowControl w:val="0"/>
              <w:jc w:val="center"/>
            </w:pPr>
            <w:r>
              <w:t>K2+900. 0</w:t>
            </w:r>
          </w:p>
        </w:tc>
        <w:tc>
          <w:tcPr>
            <w:tcW w:w="725" w:type="pct"/>
            <w:vAlign w:val="center"/>
          </w:tcPr>
          <w:p>
            <w:pPr>
              <w:pStyle w:val="105"/>
              <w:widowControl w:val="0"/>
              <w:jc w:val="center"/>
            </w:pPr>
            <w:r>
              <w:rPr>
                <w:rFonts w:hint="eastAsia"/>
              </w:rPr>
              <w:t>边沟涵</w:t>
            </w:r>
          </w:p>
        </w:tc>
        <w:tc>
          <w:tcPr>
            <w:tcW w:w="785" w:type="pct"/>
            <w:vAlign w:val="center"/>
          </w:tcPr>
          <w:p>
            <w:pPr>
              <w:pStyle w:val="105"/>
              <w:widowControl w:val="0"/>
              <w:jc w:val="center"/>
            </w:pPr>
            <w:r>
              <w:t>1-00. 75</w:t>
            </w:r>
          </w:p>
        </w:tc>
        <w:tc>
          <w:tcPr>
            <w:tcW w:w="545" w:type="pct"/>
            <w:vAlign w:val="center"/>
          </w:tcPr>
          <w:p>
            <w:pPr>
              <w:pStyle w:val="105"/>
              <w:widowControl w:val="0"/>
              <w:jc w:val="center"/>
            </w:pPr>
            <w:r>
              <w:t>15.5</w:t>
            </w:r>
          </w:p>
        </w:tc>
        <w:tc>
          <w:tcPr>
            <w:tcW w:w="1443" w:type="pct"/>
            <w:vAlign w:val="center"/>
          </w:tcPr>
          <w:p>
            <w:pPr>
              <w:pStyle w:val="105"/>
              <w:widowControl w:val="0"/>
              <w:jc w:val="center"/>
            </w:pPr>
            <w:r>
              <w:rPr>
                <w:rFonts w:hint="eastAsia"/>
              </w:rPr>
              <w:t>主线右侧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544" w:type="pct"/>
            <w:vAlign w:val="center"/>
          </w:tcPr>
          <w:p>
            <w:pPr>
              <w:pStyle w:val="105"/>
              <w:widowControl w:val="0"/>
              <w:jc w:val="center"/>
            </w:pPr>
            <w:r>
              <w:t>7</w:t>
            </w:r>
          </w:p>
        </w:tc>
        <w:tc>
          <w:tcPr>
            <w:tcW w:w="957" w:type="pct"/>
            <w:vAlign w:val="center"/>
          </w:tcPr>
          <w:p>
            <w:pPr>
              <w:pStyle w:val="105"/>
              <w:widowControl w:val="0"/>
              <w:jc w:val="center"/>
            </w:pPr>
            <w:r>
              <w:t>K3+670. 0</w:t>
            </w:r>
          </w:p>
        </w:tc>
        <w:tc>
          <w:tcPr>
            <w:tcW w:w="725" w:type="pct"/>
            <w:vAlign w:val="center"/>
          </w:tcPr>
          <w:p>
            <w:pPr>
              <w:pStyle w:val="105"/>
              <w:widowControl w:val="0"/>
              <w:jc w:val="center"/>
            </w:pPr>
            <w:r>
              <w:rPr>
                <w:rFonts w:hint="eastAsia"/>
              </w:rPr>
              <w:t>边沟涵</w:t>
            </w:r>
          </w:p>
        </w:tc>
        <w:tc>
          <w:tcPr>
            <w:tcW w:w="785" w:type="pct"/>
            <w:vAlign w:val="center"/>
          </w:tcPr>
          <w:p>
            <w:pPr>
              <w:pStyle w:val="105"/>
              <w:widowControl w:val="0"/>
              <w:jc w:val="center"/>
            </w:pPr>
            <w:r>
              <w:t>1-00. 75</w:t>
            </w:r>
          </w:p>
        </w:tc>
        <w:tc>
          <w:tcPr>
            <w:tcW w:w="545" w:type="pct"/>
            <w:vAlign w:val="center"/>
          </w:tcPr>
          <w:p>
            <w:pPr>
              <w:pStyle w:val="105"/>
              <w:widowControl w:val="0"/>
              <w:jc w:val="center"/>
            </w:pPr>
            <w:r>
              <w:t>22.5</w:t>
            </w:r>
          </w:p>
        </w:tc>
        <w:tc>
          <w:tcPr>
            <w:tcW w:w="1443" w:type="pct"/>
            <w:vAlign w:val="center"/>
          </w:tcPr>
          <w:p>
            <w:pPr>
              <w:pStyle w:val="105"/>
              <w:widowControl w:val="0"/>
              <w:jc w:val="center"/>
            </w:pPr>
            <w:r>
              <w:rPr>
                <w:rFonts w:hint="eastAsia"/>
              </w:rPr>
              <w:t>主线右侧</w:t>
            </w:r>
          </w:p>
        </w:tc>
      </w:tr>
    </w:tbl>
    <w:p>
      <w:pPr>
        <w:ind w:firstLine="480"/>
      </w:pPr>
    </w:p>
    <w:p>
      <w:pPr>
        <w:ind w:firstLine="480"/>
        <w:sectPr>
          <w:pgSz w:w="11910" w:h="16840"/>
          <w:pgMar w:top="1418" w:right="1418" w:bottom="1418" w:left="1418" w:header="851" w:footer="851" w:gutter="0"/>
          <w:cols w:space="720" w:num="1"/>
        </w:sectPr>
      </w:pPr>
    </w:p>
    <w:p>
      <w:pPr>
        <w:pStyle w:val="87"/>
        <w:spacing w:before="120"/>
      </w:pPr>
      <w:r>
        <w:rPr>
          <w:rFonts w:hint="eastAsia"/>
        </w:rPr>
        <w:t>线内</w:t>
      </w:r>
      <w:r>
        <w:t>涵洞设置一览表</w:t>
      </w:r>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237"/>
        <w:gridCol w:w="1237"/>
        <w:gridCol w:w="1234"/>
        <w:gridCol w:w="899"/>
        <w:gridCol w:w="1146"/>
        <w:gridCol w:w="1317"/>
        <w:gridCol w:w="850"/>
        <w:gridCol w:w="1559"/>
        <w:gridCol w:w="1559"/>
        <w:gridCol w:w="1118"/>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Merge w:val="restart"/>
            <w:vAlign w:val="center"/>
          </w:tcPr>
          <w:p>
            <w:pPr>
              <w:pStyle w:val="105"/>
              <w:spacing w:before="0"/>
              <w:jc w:val="center"/>
              <w:rPr>
                <w:snapToGrid w:val="0"/>
                <w:sz w:val="20"/>
                <w:szCs w:val="20"/>
              </w:rPr>
            </w:pPr>
            <w:r>
              <w:rPr>
                <w:rFonts w:hint="eastAsia"/>
                <w:snapToGrid w:val="0"/>
                <w:sz w:val="20"/>
                <w:szCs w:val="20"/>
              </w:rPr>
              <w:t>序号</w:t>
            </w:r>
          </w:p>
        </w:tc>
        <w:tc>
          <w:tcPr>
            <w:tcW w:w="870" w:type="pct"/>
            <w:gridSpan w:val="2"/>
            <w:vMerge w:val="restart"/>
            <w:vAlign w:val="center"/>
          </w:tcPr>
          <w:p>
            <w:pPr>
              <w:pStyle w:val="105"/>
              <w:spacing w:before="0"/>
              <w:jc w:val="center"/>
              <w:rPr>
                <w:snapToGrid w:val="0"/>
                <w:sz w:val="20"/>
                <w:szCs w:val="20"/>
              </w:rPr>
            </w:pPr>
            <w:r>
              <w:rPr>
                <w:rFonts w:hint="eastAsia"/>
                <w:snapToGrid w:val="0"/>
                <w:sz w:val="20"/>
                <w:szCs w:val="20"/>
              </w:rPr>
              <w:t>中心桩号</w:t>
            </w:r>
          </w:p>
        </w:tc>
        <w:tc>
          <w:tcPr>
            <w:tcW w:w="434" w:type="pct"/>
            <w:vMerge w:val="restart"/>
            <w:vAlign w:val="center"/>
          </w:tcPr>
          <w:p>
            <w:pPr>
              <w:pStyle w:val="105"/>
              <w:spacing w:before="0"/>
              <w:jc w:val="center"/>
              <w:rPr>
                <w:snapToGrid w:val="0"/>
                <w:sz w:val="20"/>
                <w:szCs w:val="20"/>
              </w:rPr>
            </w:pPr>
            <w:r>
              <w:rPr>
                <w:rFonts w:hint="eastAsia"/>
                <w:snapToGrid w:val="0"/>
                <w:sz w:val="20"/>
                <w:szCs w:val="20"/>
              </w:rPr>
              <w:t>结构类型</w:t>
            </w:r>
          </w:p>
        </w:tc>
        <w:tc>
          <w:tcPr>
            <w:tcW w:w="316" w:type="pct"/>
            <w:vMerge w:val="restart"/>
            <w:vAlign w:val="center"/>
          </w:tcPr>
          <w:p>
            <w:pPr>
              <w:pStyle w:val="105"/>
              <w:spacing w:before="0"/>
              <w:jc w:val="center"/>
              <w:rPr>
                <w:snapToGrid w:val="0"/>
                <w:sz w:val="20"/>
                <w:szCs w:val="20"/>
              </w:rPr>
            </w:pPr>
            <w:r>
              <w:rPr>
                <w:rFonts w:hint="eastAsia"/>
                <w:snapToGrid w:val="0"/>
                <w:sz w:val="20"/>
                <w:szCs w:val="20"/>
              </w:rPr>
              <w:t>交角</w:t>
            </w:r>
          </w:p>
          <w:p>
            <w:pPr>
              <w:pStyle w:val="105"/>
              <w:spacing w:before="0"/>
              <w:jc w:val="center"/>
              <w:rPr>
                <w:snapToGrid w:val="0"/>
                <w:sz w:val="20"/>
                <w:szCs w:val="20"/>
              </w:rPr>
            </w:pPr>
            <w:r>
              <w:rPr>
                <w:rFonts w:hint="eastAsia"/>
                <w:snapToGrid w:val="0"/>
                <w:sz w:val="20"/>
                <w:szCs w:val="20"/>
              </w:rPr>
              <w:t>（°）</w:t>
            </w:r>
          </w:p>
        </w:tc>
        <w:tc>
          <w:tcPr>
            <w:tcW w:w="403" w:type="pct"/>
            <w:vMerge w:val="restart"/>
            <w:vAlign w:val="center"/>
          </w:tcPr>
          <w:p>
            <w:pPr>
              <w:pStyle w:val="105"/>
              <w:spacing w:before="0"/>
              <w:jc w:val="center"/>
              <w:rPr>
                <w:snapToGrid w:val="0"/>
                <w:sz w:val="20"/>
                <w:szCs w:val="20"/>
              </w:rPr>
            </w:pPr>
            <w:r>
              <w:rPr>
                <w:rFonts w:hint="eastAsia"/>
                <w:snapToGrid w:val="0"/>
                <w:sz w:val="20"/>
                <w:szCs w:val="20"/>
              </w:rPr>
              <w:t>填土高度</w:t>
            </w:r>
          </w:p>
          <w:p>
            <w:pPr>
              <w:pStyle w:val="105"/>
              <w:spacing w:before="0"/>
              <w:jc w:val="center"/>
              <w:rPr>
                <w:snapToGrid w:val="0"/>
                <w:sz w:val="20"/>
                <w:szCs w:val="20"/>
              </w:rPr>
            </w:pPr>
            <w:r>
              <w:rPr>
                <w:rFonts w:hint="eastAsia"/>
                <w:snapToGrid w:val="0"/>
                <w:sz w:val="20"/>
                <w:szCs w:val="20"/>
              </w:rPr>
              <w:t>(m)</w:t>
            </w:r>
          </w:p>
        </w:tc>
        <w:tc>
          <w:tcPr>
            <w:tcW w:w="463" w:type="pct"/>
            <w:vMerge w:val="restart"/>
            <w:vAlign w:val="center"/>
          </w:tcPr>
          <w:p>
            <w:pPr>
              <w:pStyle w:val="105"/>
              <w:spacing w:before="0"/>
              <w:jc w:val="center"/>
              <w:rPr>
                <w:snapToGrid w:val="0"/>
                <w:sz w:val="20"/>
                <w:szCs w:val="20"/>
              </w:rPr>
            </w:pPr>
            <w:r>
              <w:rPr>
                <w:rFonts w:hint="eastAsia"/>
                <w:snapToGrid w:val="0"/>
                <w:sz w:val="20"/>
                <w:szCs w:val="20"/>
              </w:rPr>
              <w:t>孔数</w:t>
            </w:r>
            <w:r>
              <w:rPr>
                <w:snapToGrid w:val="0"/>
                <w:sz w:val="20"/>
                <w:szCs w:val="20"/>
              </w:rPr>
              <w:t>—</w:t>
            </w:r>
          </w:p>
          <w:p>
            <w:pPr>
              <w:pStyle w:val="105"/>
              <w:spacing w:before="0"/>
              <w:jc w:val="center"/>
              <w:rPr>
                <w:snapToGrid w:val="0"/>
                <w:sz w:val="20"/>
                <w:szCs w:val="20"/>
              </w:rPr>
            </w:pPr>
            <w:r>
              <w:rPr>
                <w:rFonts w:hint="eastAsia"/>
                <w:snapToGrid w:val="0"/>
                <w:sz w:val="20"/>
                <w:szCs w:val="20"/>
              </w:rPr>
              <w:t>孔径</w:t>
            </w:r>
          </w:p>
        </w:tc>
        <w:tc>
          <w:tcPr>
            <w:tcW w:w="299" w:type="pct"/>
            <w:vMerge w:val="restart"/>
            <w:vAlign w:val="center"/>
          </w:tcPr>
          <w:p>
            <w:pPr>
              <w:pStyle w:val="105"/>
              <w:spacing w:before="0"/>
              <w:jc w:val="center"/>
              <w:rPr>
                <w:snapToGrid w:val="0"/>
                <w:sz w:val="20"/>
                <w:szCs w:val="20"/>
              </w:rPr>
            </w:pPr>
            <w:r>
              <w:rPr>
                <w:rFonts w:hint="eastAsia"/>
                <w:snapToGrid w:val="0"/>
                <w:sz w:val="20"/>
                <w:szCs w:val="20"/>
              </w:rPr>
              <w:t>涵长</w:t>
            </w:r>
          </w:p>
          <w:p>
            <w:pPr>
              <w:pStyle w:val="105"/>
              <w:spacing w:before="0"/>
              <w:jc w:val="center"/>
              <w:rPr>
                <w:snapToGrid w:val="0"/>
                <w:sz w:val="20"/>
                <w:szCs w:val="20"/>
              </w:rPr>
            </w:pPr>
            <w:r>
              <w:rPr>
                <w:rFonts w:hint="eastAsia"/>
                <w:snapToGrid w:val="0"/>
                <w:sz w:val="20"/>
                <w:szCs w:val="20"/>
              </w:rPr>
              <w:t>(m)</w:t>
            </w:r>
          </w:p>
        </w:tc>
        <w:tc>
          <w:tcPr>
            <w:tcW w:w="1096" w:type="pct"/>
            <w:gridSpan w:val="2"/>
            <w:vAlign w:val="center"/>
          </w:tcPr>
          <w:p>
            <w:pPr>
              <w:pStyle w:val="105"/>
              <w:spacing w:before="0"/>
              <w:jc w:val="center"/>
              <w:rPr>
                <w:snapToGrid w:val="0"/>
                <w:sz w:val="20"/>
                <w:szCs w:val="20"/>
              </w:rPr>
            </w:pPr>
            <w:r>
              <w:rPr>
                <w:rFonts w:hint="eastAsia"/>
                <w:snapToGrid w:val="0"/>
                <w:sz w:val="20"/>
                <w:szCs w:val="20"/>
              </w:rPr>
              <w:t>洞口形式</w:t>
            </w:r>
          </w:p>
        </w:tc>
        <w:tc>
          <w:tcPr>
            <w:tcW w:w="393" w:type="pct"/>
            <w:vMerge w:val="restart"/>
            <w:vAlign w:val="center"/>
          </w:tcPr>
          <w:p>
            <w:pPr>
              <w:pStyle w:val="105"/>
              <w:spacing w:before="0"/>
              <w:jc w:val="center"/>
              <w:rPr>
                <w:snapToGrid w:val="0"/>
                <w:sz w:val="20"/>
                <w:szCs w:val="20"/>
              </w:rPr>
            </w:pPr>
            <w:r>
              <w:rPr>
                <w:rFonts w:hint="eastAsia"/>
                <w:snapToGrid w:val="0"/>
                <w:sz w:val="20"/>
                <w:szCs w:val="20"/>
              </w:rPr>
              <w:t>设计流量</w:t>
            </w:r>
          </w:p>
          <w:p>
            <w:pPr>
              <w:pStyle w:val="105"/>
              <w:spacing w:before="0"/>
              <w:jc w:val="center"/>
              <w:rPr>
                <w:snapToGrid w:val="0"/>
                <w:sz w:val="20"/>
                <w:szCs w:val="20"/>
              </w:rPr>
            </w:pPr>
            <w:r>
              <w:rPr>
                <w:snapToGrid w:val="0"/>
                <w:sz w:val="20"/>
                <w:szCs w:val="20"/>
              </w:rPr>
              <w:t>(m</w:t>
            </w:r>
            <w:r>
              <w:rPr>
                <w:snapToGrid w:val="0"/>
                <w:sz w:val="20"/>
                <w:szCs w:val="20"/>
                <w:vertAlign w:val="superscript"/>
              </w:rPr>
              <w:t>3</w:t>
            </w:r>
            <w:r>
              <w:rPr>
                <w:snapToGrid w:val="0"/>
                <w:sz w:val="20"/>
                <w:szCs w:val="20"/>
              </w:rPr>
              <w:t>/s)</w:t>
            </w:r>
          </w:p>
        </w:tc>
        <w:tc>
          <w:tcPr>
            <w:tcW w:w="488" w:type="pct"/>
            <w:vMerge w:val="restart"/>
            <w:vAlign w:val="center"/>
          </w:tcPr>
          <w:p>
            <w:pPr>
              <w:pStyle w:val="105"/>
              <w:spacing w:before="0"/>
              <w:jc w:val="center"/>
              <w:rPr>
                <w:snapToGrid w:val="0"/>
                <w:sz w:val="20"/>
                <w:szCs w:val="20"/>
              </w:rPr>
            </w:pPr>
            <w:r>
              <w:rPr>
                <w:rFonts w:hint="eastAsia"/>
                <w:snapToGrid w:val="0"/>
                <w:sz w:val="20"/>
                <w:szCs w:val="2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Merge w:val="continue"/>
            <w:vAlign w:val="center"/>
          </w:tcPr>
          <w:p>
            <w:pPr>
              <w:pStyle w:val="105"/>
              <w:spacing w:before="0"/>
              <w:jc w:val="center"/>
              <w:rPr>
                <w:snapToGrid w:val="0"/>
                <w:sz w:val="20"/>
                <w:szCs w:val="20"/>
              </w:rPr>
            </w:pPr>
          </w:p>
        </w:tc>
        <w:tc>
          <w:tcPr>
            <w:tcW w:w="870" w:type="pct"/>
            <w:gridSpan w:val="2"/>
            <w:vMerge w:val="continue"/>
            <w:vAlign w:val="center"/>
          </w:tcPr>
          <w:p>
            <w:pPr>
              <w:pStyle w:val="105"/>
              <w:spacing w:before="0"/>
              <w:jc w:val="center"/>
              <w:rPr>
                <w:snapToGrid w:val="0"/>
                <w:sz w:val="20"/>
                <w:szCs w:val="20"/>
              </w:rPr>
            </w:pPr>
          </w:p>
        </w:tc>
        <w:tc>
          <w:tcPr>
            <w:tcW w:w="434" w:type="pct"/>
            <w:vMerge w:val="continue"/>
            <w:vAlign w:val="center"/>
          </w:tcPr>
          <w:p>
            <w:pPr>
              <w:pStyle w:val="105"/>
              <w:spacing w:before="0"/>
              <w:jc w:val="center"/>
              <w:rPr>
                <w:snapToGrid w:val="0"/>
                <w:sz w:val="20"/>
                <w:szCs w:val="20"/>
              </w:rPr>
            </w:pPr>
          </w:p>
        </w:tc>
        <w:tc>
          <w:tcPr>
            <w:tcW w:w="316" w:type="pct"/>
            <w:vMerge w:val="continue"/>
            <w:vAlign w:val="center"/>
          </w:tcPr>
          <w:p>
            <w:pPr>
              <w:pStyle w:val="105"/>
              <w:spacing w:before="0"/>
              <w:jc w:val="center"/>
              <w:rPr>
                <w:snapToGrid w:val="0"/>
                <w:sz w:val="20"/>
                <w:szCs w:val="20"/>
              </w:rPr>
            </w:pPr>
          </w:p>
        </w:tc>
        <w:tc>
          <w:tcPr>
            <w:tcW w:w="403" w:type="pct"/>
            <w:vMerge w:val="continue"/>
            <w:vAlign w:val="center"/>
          </w:tcPr>
          <w:p>
            <w:pPr>
              <w:pStyle w:val="105"/>
              <w:spacing w:before="0"/>
              <w:jc w:val="center"/>
              <w:rPr>
                <w:snapToGrid w:val="0"/>
                <w:sz w:val="20"/>
                <w:szCs w:val="20"/>
              </w:rPr>
            </w:pPr>
          </w:p>
        </w:tc>
        <w:tc>
          <w:tcPr>
            <w:tcW w:w="463" w:type="pct"/>
            <w:vMerge w:val="continue"/>
            <w:vAlign w:val="center"/>
          </w:tcPr>
          <w:p>
            <w:pPr>
              <w:pStyle w:val="105"/>
              <w:spacing w:before="0"/>
              <w:jc w:val="center"/>
              <w:rPr>
                <w:snapToGrid w:val="0"/>
                <w:sz w:val="20"/>
                <w:szCs w:val="20"/>
              </w:rPr>
            </w:pPr>
          </w:p>
        </w:tc>
        <w:tc>
          <w:tcPr>
            <w:tcW w:w="299" w:type="pct"/>
            <w:vMerge w:val="continue"/>
            <w:vAlign w:val="center"/>
          </w:tcPr>
          <w:p>
            <w:pPr>
              <w:pStyle w:val="105"/>
              <w:spacing w:before="0"/>
              <w:jc w:val="center"/>
              <w:rPr>
                <w:snapToGrid w:val="0"/>
                <w:sz w:val="20"/>
                <w:szCs w:val="20"/>
              </w:rPr>
            </w:pPr>
          </w:p>
        </w:tc>
        <w:tc>
          <w:tcPr>
            <w:tcW w:w="548" w:type="pct"/>
            <w:vAlign w:val="center"/>
          </w:tcPr>
          <w:p>
            <w:pPr>
              <w:pStyle w:val="105"/>
              <w:spacing w:before="0"/>
              <w:jc w:val="center"/>
              <w:rPr>
                <w:snapToGrid w:val="0"/>
                <w:sz w:val="20"/>
                <w:szCs w:val="20"/>
              </w:rPr>
            </w:pPr>
            <w:r>
              <w:rPr>
                <w:rFonts w:hint="eastAsia"/>
                <w:snapToGrid w:val="0"/>
                <w:sz w:val="20"/>
                <w:szCs w:val="20"/>
              </w:rPr>
              <w:t>进口</w:t>
            </w:r>
          </w:p>
        </w:tc>
        <w:tc>
          <w:tcPr>
            <w:tcW w:w="548" w:type="pct"/>
            <w:vAlign w:val="center"/>
          </w:tcPr>
          <w:p>
            <w:pPr>
              <w:pStyle w:val="105"/>
              <w:spacing w:before="0"/>
              <w:jc w:val="center"/>
              <w:rPr>
                <w:snapToGrid w:val="0"/>
                <w:sz w:val="20"/>
                <w:szCs w:val="20"/>
              </w:rPr>
            </w:pPr>
            <w:r>
              <w:rPr>
                <w:rFonts w:hint="eastAsia"/>
                <w:snapToGrid w:val="0"/>
                <w:sz w:val="20"/>
                <w:szCs w:val="20"/>
              </w:rPr>
              <w:t>出口</w:t>
            </w:r>
          </w:p>
        </w:tc>
        <w:tc>
          <w:tcPr>
            <w:tcW w:w="393" w:type="pct"/>
            <w:vMerge w:val="continue"/>
            <w:vAlign w:val="center"/>
          </w:tcPr>
          <w:p>
            <w:pPr>
              <w:pStyle w:val="105"/>
              <w:spacing w:before="0"/>
              <w:jc w:val="center"/>
              <w:rPr>
                <w:snapToGrid w:val="0"/>
                <w:sz w:val="20"/>
                <w:szCs w:val="20"/>
              </w:rPr>
            </w:pPr>
          </w:p>
        </w:tc>
        <w:tc>
          <w:tcPr>
            <w:tcW w:w="488" w:type="pct"/>
            <w:vMerge w:val="continue"/>
            <w:vAlign w:val="center"/>
          </w:tcPr>
          <w:p>
            <w:pPr>
              <w:pStyle w:val="105"/>
              <w:spacing w:before="0"/>
              <w:jc w:val="center"/>
              <w:rPr>
                <w:snapToGrid w:val="0"/>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w:t>
            </w:r>
          </w:p>
        </w:tc>
        <w:tc>
          <w:tcPr>
            <w:tcW w:w="870" w:type="pct"/>
            <w:gridSpan w:val="2"/>
            <w:vAlign w:val="center"/>
          </w:tcPr>
          <w:p>
            <w:pPr>
              <w:pStyle w:val="105"/>
              <w:spacing w:before="0"/>
              <w:jc w:val="center"/>
              <w:rPr>
                <w:snapToGrid w:val="0"/>
                <w:sz w:val="20"/>
                <w:szCs w:val="20"/>
              </w:rPr>
            </w:pPr>
            <w:r>
              <w:rPr>
                <w:snapToGrid w:val="0"/>
                <w:sz w:val="20"/>
                <w:szCs w:val="20"/>
              </w:rPr>
              <w:t>2</w:t>
            </w:r>
          </w:p>
        </w:tc>
        <w:tc>
          <w:tcPr>
            <w:tcW w:w="434" w:type="pct"/>
            <w:vAlign w:val="center"/>
          </w:tcPr>
          <w:p>
            <w:pPr>
              <w:pStyle w:val="105"/>
              <w:spacing w:before="0"/>
              <w:jc w:val="center"/>
              <w:rPr>
                <w:snapToGrid w:val="0"/>
                <w:sz w:val="20"/>
                <w:szCs w:val="20"/>
              </w:rPr>
            </w:pPr>
            <w:r>
              <w:rPr>
                <w:snapToGrid w:val="0"/>
                <w:sz w:val="20"/>
                <w:szCs w:val="20"/>
              </w:rPr>
              <w:t>3</w:t>
            </w:r>
          </w:p>
        </w:tc>
        <w:tc>
          <w:tcPr>
            <w:tcW w:w="316" w:type="pct"/>
            <w:vAlign w:val="center"/>
          </w:tcPr>
          <w:p>
            <w:pPr>
              <w:pStyle w:val="105"/>
              <w:spacing w:before="0"/>
              <w:jc w:val="center"/>
              <w:rPr>
                <w:snapToGrid w:val="0"/>
                <w:sz w:val="20"/>
                <w:szCs w:val="20"/>
              </w:rPr>
            </w:pPr>
            <w:r>
              <w:rPr>
                <w:snapToGrid w:val="0"/>
                <w:sz w:val="20"/>
                <w:szCs w:val="20"/>
              </w:rPr>
              <w:t>4</w:t>
            </w:r>
          </w:p>
        </w:tc>
        <w:tc>
          <w:tcPr>
            <w:tcW w:w="403" w:type="pct"/>
            <w:vAlign w:val="center"/>
          </w:tcPr>
          <w:p>
            <w:pPr>
              <w:pStyle w:val="105"/>
              <w:spacing w:before="0"/>
              <w:jc w:val="center"/>
              <w:rPr>
                <w:snapToGrid w:val="0"/>
                <w:sz w:val="20"/>
                <w:szCs w:val="20"/>
              </w:rPr>
            </w:pPr>
            <w:r>
              <w:rPr>
                <w:snapToGrid w:val="0"/>
                <w:sz w:val="20"/>
                <w:szCs w:val="20"/>
              </w:rPr>
              <w:t>5</w:t>
            </w:r>
          </w:p>
        </w:tc>
        <w:tc>
          <w:tcPr>
            <w:tcW w:w="463" w:type="pct"/>
            <w:vAlign w:val="center"/>
          </w:tcPr>
          <w:p>
            <w:pPr>
              <w:pStyle w:val="105"/>
              <w:spacing w:before="0"/>
              <w:jc w:val="center"/>
              <w:rPr>
                <w:snapToGrid w:val="0"/>
                <w:sz w:val="20"/>
                <w:szCs w:val="20"/>
              </w:rPr>
            </w:pPr>
            <w:r>
              <w:rPr>
                <w:snapToGrid w:val="0"/>
                <w:sz w:val="20"/>
                <w:szCs w:val="20"/>
              </w:rPr>
              <w:t>6</w:t>
            </w:r>
          </w:p>
        </w:tc>
        <w:tc>
          <w:tcPr>
            <w:tcW w:w="299" w:type="pct"/>
            <w:vAlign w:val="center"/>
          </w:tcPr>
          <w:p>
            <w:pPr>
              <w:pStyle w:val="105"/>
              <w:spacing w:before="0"/>
              <w:jc w:val="center"/>
              <w:rPr>
                <w:snapToGrid w:val="0"/>
                <w:sz w:val="20"/>
                <w:szCs w:val="20"/>
              </w:rPr>
            </w:pPr>
            <w:r>
              <w:rPr>
                <w:snapToGrid w:val="0"/>
                <w:sz w:val="20"/>
                <w:szCs w:val="20"/>
              </w:rPr>
              <w:t>7</w:t>
            </w:r>
          </w:p>
        </w:tc>
        <w:tc>
          <w:tcPr>
            <w:tcW w:w="548" w:type="pct"/>
            <w:vAlign w:val="center"/>
          </w:tcPr>
          <w:p>
            <w:pPr>
              <w:pStyle w:val="105"/>
              <w:spacing w:before="0"/>
              <w:jc w:val="center"/>
              <w:rPr>
                <w:snapToGrid w:val="0"/>
                <w:sz w:val="20"/>
                <w:szCs w:val="20"/>
              </w:rPr>
            </w:pPr>
            <w:r>
              <w:rPr>
                <w:snapToGrid w:val="0"/>
                <w:sz w:val="20"/>
                <w:szCs w:val="20"/>
              </w:rPr>
              <w:t>8</w:t>
            </w:r>
          </w:p>
        </w:tc>
        <w:tc>
          <w:tcPr>
            <w:tcW w:w="548" w:type="pct"/>
            <w:vAlign w:val="center"/>
          </w:tcPr>
          <w:p>
            <w:pPr>
              <w:pStyle w:val="105"/>
              <w:spacing w:before="0"/>
              <w:jc w:val="center"/>
              <w:rPr>
                <w:snapToGrid w:val="0"/>
                <w:sz w:val="20"/>
                <w:szCs w:val="20"/>
              </w:rPr>
            </w:pPr>
            <w:r>
              <w:rPr>
                <w:snapToGrid w:val="0"/>
                <w:sz w:val="20"/>
                <w:szCs w:val="20"/>
              </w:rPr>
              <w:t>9</w:t>
            </w:r>
          </w:p>
        </w:tc>
        <w:tc>
          <w:tcPr>
            <w:tcW w:w="393" w:type="pct"/>
            <w:vAlign w:val="center"/>
          </w:tcPr>
          <w:p>
            <w:pPr>
              <w:pStyle w:val="105"/>
              <w:spacing w:before="0"/>
              <w:jc w:val="center"/>
              <w:rPr>
                <w:snapToGrid w:val="0"/>
                <w:sz w:val="20"/>
                <w:szCs w:val="20"/>
              </w:rPr>
            </w:pPr>
            <w:r>
              <w:rPr>
                <w:snapToGrid w:val="0"/>
                <w:sz w:val="20"/>
                <w:szCs w:val="20"/>
              </w:rPr>
              <w:t>11</w:t>
            </w:r>
          </w:p>
        </w:tc>
        <w:tc>
          <w:tcPr>
            <w:tcW w:w="488" w:type="pct"/>
            <w:vAlign w:val="center"/>
          </w:tcPr>
          <w:p>
            <w:pPr>
              <w:pStyle w:val="105"/>
              <w:spacing w:before="0"/>
              <w:jc w:val="center"/>
              <w:rPr>
                <w:snapToGrid w:val="0"/>
                <w:sz w:val="20"/>
                <w:szCs w:val="20"/>
              </w:rPr>
            </w:pPr>
            <w:r>
              <w:rPr>
                <w:snapToGrid w:val="0"/>
                <w:sz w:val="20"/>
                <w:szCs w:val="20"/>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w:t>
            </w:r>
          </w:p>
        </w:tc>
        <w:tc>
          <w:tcPr>
            <w:tcW w:w="870" w:type="pct"/>
            <w:gridSpan w:val="2"/>
            <w:vAlign w:val="center"/>
          </w:tcPr>
          <w:p>
            <w:pPr>
              <w:pStyle w:val="105"/>
              <w:spacing w:before="0"/>
              <w:jc w:val="center"/>
              <w:rPr>
                <w:snapToGrid w:val="0"/>
                <w:sz w:val="20"/>
                <w:szCs w:val="20"/>
              </w:rPr>
            </w:pPr>
            <w:r>
              <w:rPr>
                <w:snapToGrid w:val="0"/>
                <w:sz w:val="20"/>
                <w:szCs w:val="20"/>
              </w:rPr>
              <w:t>K0+030.00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盖板涵</w:t>
            </w:r>
          </w:p>
        </w:tc>
        <w:tc>
          <w:tcPr>
            <w:tcW w:w="316" w:type="pct"/>
            <w:vAlign w:val="center"/>
          </w:tcPr>
          <w:p>
            <w:pPr>
              <w:pStyle w:val="105"/>
              <w:spacing w:before="0"/>
              <w:jc w:val="center"/>
              <w:rPr>
                <w:snapToGrid w:val="0"/>
                <w:sz w:val="20"/>
                <w:szCs w:val="20"/>
              </w:rPr>
            </w:pPr>
            <w:r>
              <w:rPr>
                <w:snapToGrid w:val="0"/>
                <w:sz w:val="20"/>
                <w:szCs w:val="20"/>
              </w:rPr>
              <w:t>90</w:t>
            </w:r>
          </w:p>
        </w:tc>
        <w:tc>
          <w:tcPr>
            <w:tcW w:w="403" w:type="pct"/>
            <w:vAlign w:val="center"/>
          </w:tcPr>
          <w:p>
            <w:pPr>
              <w:pStyle w:val="105"/>
              <w:spacing w:before="0"/>
              <w:jc w:val="center"/>
              <w:rPr>
                <w:snapToGrid w:val="0"/>
                <w:sz w:val="20"/>
                <w:szCs w:val="20"/>
              </w:rPr>
            </w:pPr>
            <w:r>
              <w:rPr>
                <w:snapToGrid w:val="0"/>
                <w:sz w:val="20"/>
                <w:szCs w:val="20"/>
              </w:rPr>
              <w:t>0.12~0.34</w:t>
            </w:r>
          </w:p>
        </w:tc>
        <w:tc>
          <w:tcPr>
            <w:tcW w:w="463" w:type="pct"/>
            <w:vAlign w:val="center"/>
          </w:tcPr>
          <w:p>
            <w:pPr>
              <w:pStyle w:val="105"/>
              <w:spacing w:before="0"/>
              <w:jc w:val="center"/>
              <w:rPr>
                <w:snapToGrid w:val="0"/>
                <w:sz w:val="20"/>
                <w:szCs w:val="20"/>
              </w:rPr>
            </w:pPr>
            <w:r>
              <w:rPr>
                <w:snapToGrid w:val="0"/>
                <w:sz w:val="20"/>
                <w:szCs w:val="20"/>
              </w:rPr>
              <w:t>1-1.5×1.0</w:t>
            </w:r>
          </w:p>
        </w:tc>
        <w:tc>
          <w:tcPr>
            <w:tcW w:w="299" w:type="pct"/>
            <w:vAlign w:val="center"/>
          </w:tcPr>
          <w:p>
            <w:pPr>
              <w:pStyle w:val="105"/>
              <w:spacing w:before="0"/>
              <w:jc w:val="center"/>
              <w:rPr>
                <w:snapToGrid w:val="0"/>
                <w:sz w:val="20"/>
                <w:szCs w:val="20"/>
              </w:rPr>
            </w:pPr>
            <w:r>
              <w:rPr>
                <w:snapToGrid w:val="0"/>
                <w:sz w:val="20"/>
                <w:szCs w:val="20"/>
              </w:rPr>
              <w:t>20.65</w:t>
            </w:r>
          </w:p>
        </w:tc>
        <w:tc>
          <w:tcPr>
            <w:tcW w:w="548" w:type="pct"/>
            <w:vAlign w:val="center"/>
          </w:tcPr>
          <w:p>
            <w:pPr>
              <w:pStyle w:val="105"/>
              <w:spacing w:before="0"/>
              <w:jc w:val="center"/>
              <w:rPr>
                <w:snapToGrid w:val="0"/>
                <w:sz w:val="20"/>
                <w:szCs w:val="20"/>
              </w:rPr>
            </w:pPr>
            <w:r>
              <w:rPr>
                <w:rFonts w:hint="eastAsia"/>
                <w:snapToGrid w:val="0"/>
                <w:sz w:val="20"/>
                <w:szCs w:val="20"/>
              </w:rPr>
              <w:t>边沟跌井</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393" w:type="pct"/>
            <w:vAlign w:val="center"/>
          </w:tcPr>
          <w:p>
            <w:pPr>
              <w:pStyle w:val="105"/>
              <w:spacing w:before="0"/>
              <w:jc w:val="center"/>
              <w:rPr>
                <w:snapToGrid w:val="0"/>
                <w:sz w:val="20"/>
                <w:szCs w:val="20"/>
              </w:rPr>
            </w:pPr>
            <w:r>
              <w:rPr>
                <w:snapToGrid w:val="0"/>
                <w:sz w:val="20"/>
                <w:szCs w:val="20"/>
              </w:rPr>
              <w:t>2.02</w:t>
            </w:r>
          </w:p>
        </w:tc>
        <w:tc>
          <w:tcPr>
            <w:tcW w:w="488" w:type="pct"/>
            <w:vAlign w:val="center"/>
          </w:tcPr>
          <w:p>
            <w:pPr>
              <w:pStyle w:val="105"/>
              <w:spacing w:before="0"/>
              <w:jc w:val="center"/>
              <w:rPr>
                <w:snapToGrid w:val="0"/>
                <w:sz w:val="20"/>
                <w:szCs w:val="20"/>
              </w:rPr>
            </w:pPr>
            <w:r>
              <w:rPr>
                <w:rFonts w:hint="eastAsia"/>
                <w:snapToGrid w:val="0"/>
                <w:sz w:val="20"/>
                <w:szCs w:val="20"/>
              </w:rPr>
              <w:t>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2</w:t>
            </w:r>
          </w:p>
        </w:tc>
        <w:tc>
          <w:tcPr>
            <w:tcW w:w="870" w:type="pct"/>
            <w:gridSpan w:val="2"/>
            <w:vAlign w:val="center"/>
          </w:tcPr>
          <w:p>
            <w:pPr>
              <w:pStyle w:val="105"/>
              <w:spacing w:before="0"/>
              <w:jc w:val="center"/>
              <w:rPr>
                <w:snapToGrid w:val="0"/>
                <w:sz w:val="20"/>
                <w:szCs w:val="20"/>
              </w:rPr>
            </w:pPr>
            <w:r>
              <w:rPr>
                <w:snapToGrid w:val="0"/>
                <w:sz w:val="20"/>
                <w:szCs w:val="20"/>
              </w:rPr>
              <w:t>K0+782.00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箱涵</w:t>
            </w:r>
          </w:p>
        </w:tc>
        <w:tc>
          <w:tcPr>
            <w:tcW w:w="316" w:type="pct"/>
            <w:vAlign w:val="center"/>
          </w:tcPr>
          <w:p>
            <w:pPr>
              <w:pStyle w:val="105"/>
              <w:spacing w:before="0"/>
              <w:jc w:val="center"/>
              <w:rPr>
                <w:snapToGrid w:val="0"/>
                <w:sz w:val="20"/>
                <w:szCs w:val="20"/>
              </w:rPr>
            </w:pPr>
            <w:r>
              <w:rPr>
                <w:snapToGrid w:val="0"/>
                <w:sz w:val="20"/>
                <w:szCs w:val="20"/>
              </w:rPr>
              <w:t>67</w:t>
            </w:r>
          </w:p>
        </w:tc>
        <w:tc>
          <w:tcPr>
            <w:tcW w:w="403" w:type="pct"/>
            <w:vAlign w:val="center"/>
          </w:tcPr>
          <w:p>
            <w:pPr>
              <w:pStyle w:val="105"/>
              <w:spacing w:before="0"/>
              <w:jc w:val="center"/>
              <w:rPr>
                <w:snapToGrid w:val="0"/>
                <w:sz w:val="20"/>
                <w:szCs w:val="20"/>
              </w:rPr>
            </w:pPr>
            <w:r>
              <w:rPr>
                <w:snapToGrid w:val="0"/>
                <w:sz w:val="20"/>
                <w:szCs w:val="20"/>
              </w:rPr>
              <w:t>1.41</w:t>
            </w:r>
          </w:p>
        </w:tc>
        <w:tc>
          <w:tcPr>
            <w:tcW w:w="463" w:type="pct"/>
            <w:vAlign w:val="center"/>
          </w:tcPr>
          <w:p>
            <w:pPr>
              <w:pStyle w:val="105"/>
              <w:spacing w:before="0"/>
              <w:jc w:val="center"/>
              <w:rPr>
                <w:snapToGrid w:val="0"/>
                <w:sz w:val="20"/>
                <w:szCs w:val="20"/>
              </w:rPr>
            </w:pPr>
            <w:r>
              <w:rPr>
                <w:snapToGrid w:val="0"/>
                <w:sz w:val="20"/>
                <w:szCs w:val="20"/>
              </w:rPr>
              <w:t>1-6.0×4.0</w:t>
            </w:r>
          </w:p>
        </w:tc>
        <w:tc>
          <w:tcPr>
            <w:tcW w:w="299" w:type="pct"/>
            <w:vAlign w:val="center"/>
          </w:tcPr>
          <w:p>
            <w:pPr>
              <w:pStyle w:val="105"/>
              <w:spacing w:before="0"/>
              <w:jc w:val="center"/>
              <w:rPr>
                <w:snapToGrid w:val="0"/>
                <w:sz w:val="20"/>
                <w:szCs w:val="20"/>
              </w:rPr>
            </w:pPr>
            <w:r>
              <w:rPr>
                <w:snapToGrid w:val="0"/>
                <w:sz w:val="20"/>
                <w:szCs w:val="20"/>
              </w:rPr>
              <w:t>14.82</w:t>
            </w:r>
          </w:p>
        </w:tc>
        <w:tc>
          <w:tcPr>
            <w:tcW w:w="548" w:type="pct"/>
            <w:vAlign w:val="center"/>
          </w:tcPr>
          <w:p>
            <w:pPr>
              <w:pStyle w:val="105"/>
              <w:spacing w:before="0"/>
              <w:jc w:val="center"/>
              <w:rPr>
                <w:snapToGrid w:val="0"/>
                <w:sz w:val="20"/>
                <w:szCs w:val="20"/>
              </w:rPr>
            </w:pPr>
            <w:r>
              <w:rPr>
                <w:rFonts w:hint="eastAsia"/>
                <w:snapToGrid w:val="0"/>
                <w:sz w:val="20"/>
                <w:szCs w:val="20"/>
              </w:rPr>
              <w:t>锥坡</w:t>
            </w:r>
          </w:p>
        </w:tc>
        <w:tc>
          <w:tcPr>
            <w:tcW w:w="548" w:type="pct"/>
            <w:vAlign w:val="center"/>
          </w:tcPr>
          <w:p>
            <w:pPr>
              <w:pStyle w:val="105"/>
              <w:spacing w:before="0"/>
              <w:jc w:val="center"/>
              <w:rPr>
                <w:snapToGrid w:val="0"/>
                <w:sz w:val="20"/>
                <w:szCs w:val="20"/>
              </w:rPr>
            </w:pPr>
            <w:r>
              <w:rPr>
                <w:rFonts w:hint="eastAsia"/>
                <w:snapToGrid w:val="0"/>
                <w:sz w:val="20"/>
                <w:szCs w:val="20"/>
              </w:rPr>
              <w:t>挡墙</w:t>
            </w:r>
          </w:p>
        </w:tc>
        <w:tc>
          <w:tcPr>
            <w:tcW w:w="393" w:type="pct"/>
            <w:vAlign w:val="center"/>
          </w:tcPr>
          <w:p>
            <w:pPr>
              <w:pStyle w:val="105"/>
              <w:spacing w:before="0"/>
              <w:jc w:val="center"/>
              <w:rPr>
                <w:snapToGrid w:val="0"/>
                <w:sz w:val="20"/>
                <w:szCs w:val="20"/>
              </w:rPr>
            </w:pPr>
          </w:p>
        </w:tc>
        <w:tc>
          <w:tcPr>
            <w:tcW w:w="488" w:type="pct"/>
            <w:vAlign w:val="center"/>
          </w:tcPr>
          <w:p>
            <w:pPr>
              <w:pStyle w:val="105"/>
              <w:spacing w:before="0"/>
              <w:jc w:val="center"/>
              <w:rPr>
                <w:snapToGrid w:val="0"/>
                <w:sz w:val="20"/>
                <w:szCs w:val="20"/>
              </w:rPr>
            </w:pPr>
            <w:r>
              <w:rPr>
                <w:rFonts w:hint="eastAsia"/>
                <w:snapToGrid w:val="0"/>
                <w:sz w:val="20"/>
                <w:szCs w:val="20"/>
              </w:rPr>
              <w:t>通道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3</w:t>
            </w:r>
          </w:p>
        </w:tc>
        <w:tc>
          <w:tcPr>
            <w:tcW w:w="870" w:type="pct"/>
            <w:gridSpan w:val="2"/>
            <w:vAlign w:val="center"/>
          </w:tcPr>
          <w:p>
            <w:pPr>
              <w:pStyle w:val="105"/>
              <w:spacing w:before="0"/>
              <w:jc w:val="center"/>
              <w:rPr>
                <w:snapToGrid w:val="0"/>
                <w:sz w:val="20"/>
                <w:szCs w:val="20"/>
              </w:rPr>
            </w:pPr>
            <w:r>
              <w:rPr>
                <w:snapToGrid w:val="0"/>
                <w:sz w:val="20"/>
                <w:szCs w:val="20"/>
              </w:rPr>
              <w:t>K0+863.00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90</w:t>
            </w:r>
          </w:p>
        </w:tc>
        <w:tc>
          <w:tcPr>
            <w:tcW w:w="403" w:type="pct"/>
            <w:vAlign w:val="center"/>
          </w:tcPr>
          <w:p>
            <w:pPr>
              <w:pStyle w:val="105"/>
              <w:spacing w:before="0"/>
              <w:jc w:val="center"/>
              <w:rPr>
                <w:snapToGrid w:val="0"/>
                <w:sz w:val="20"/>
                <w:szCs w:val="20"/>
              </w:rPr>
            </w:pPr>
            <w:r>
              <w:rPr>
                <w:snapToGrid w:val="0"/>
                <w:sz w:val="20"/>
                <w:szCs w:val="20"/>
              </w:rPr>
              <w:t>4.21</w:t>
            </w:r>
          </w:p>
        </w:tc>
        <w:tc>
          <w:tcPr>
            <w:tcW w:w="463" w:type="pct"/>
            <w:vAlign w:val="center"/>
          </w:tcPr>
          <w:p>
            <w:pPr>
              <w:pStyle w:val="105"/>
              <w:spacing w:before="0"/>
              <w:jc w:val="center"/>
              <w:rPr>
                <w:snapToGrid w:val="0"/>
                <w:sz w:val="20"/>
                <w:szCs w:val="20"/>
              </w:rPr>
            </w:pPr>
            <w:r>
              <w:rPr>
                <w:snapToGrid w:val="0"/>
                <w:sz w:val="20"/>
                <w:szCs w:val="20"/>
              </w:rPr>
              <w:t>1-1.5</w:t>
            </w:r>
          </w:p>
        </w:tc>
        <w:tc>
          <w:tcPr>
            <w:tcW w:w="299" w:type="pct"/>
            <w:vAlign w:val="center"/>
          </w:tcPr>
          <w:p>
            <w:pPr>
              <w:pStyle w:val="105"/>
              <w:spacing w:before="0"/>
              <w:jc w:val="center"/>
              <w:rPr>
                <w:snapToGrid w:val="0"/>
                <w:sz w:val="20"/>
                <w:szCs w:val="20"/>
              </w:rPr>
            </w:pPr>
            <w:r>
              <w:rPr>
                <w:snapToGrid w:val="0"/>
                <w:sz w:val="20"/>
                <w:szCs w:val="20"/>
              </w:rPr>
              <w:t>18.5</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铺砌</w:t>
            </w:r>
          </w:p>
        </w:tc>
        <w:tc>
          <w:tcPr>
            <w:tcW w:w="393" w:type="pct"/>
            <w:vAlign w:val="center"/>
          </w:tcPr>
          <w:p>
            <w:pPr>
              <w:pStyle w:val="105"/>
              <w:spacing w:before="0"/>
              <w:jc w:val="center"/>
              <w:rPr>
                <w:snapToGrid w:val="0"/>
                <w:sz w:val="20"/>
                <w:szCs w:val="20"/>
              </w:rPr>
            </w:pPr>
            <w:r>
              <w:rPr>
                <w:snapToGrid w:val="0"/>
                <w:sz w:val="20"/>
                <w:szCs w:val="20"/>
              </w:rPr>
              <w:t>4.66</w:t>
            </w:r>
          </w:p>
        </w:tc>
        <w:tc>
          <w:tcPr>
            <w:tcW w:w="488" w:type="pct"/>
            <w:vAlign w:val="center"/>
          </w:tcPr>
          <w:p>
            <w:pPr>
              <w:pStyle w:val="105"/>
              <w:spacing w:before="0"/>
              <w:jc w:val="center"/>
              <w:rPr>
                <w:snapToGrid w:val="0"/>
                <w:sz w:val="20"/>
                <w:szCs w:val="20"/>
              </w:rPr>
            </w:pPr>
            <w:r>
              <w:rPr>
                <w:rFonts w:hint="eastAsia"/>
                <w:snapToGrid w:val="0"/>
                <w:sz w:val="20"/>
                <w:szCs w:val="20"/>
              </w:rPr>
              <w:t>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4</w:t>
            </w:r>
          </w:p>
        </w:tc>
        <w:tc>
          <w:tcPr>
            <w:tcW w:w="870" w:type="pct"/>
            <w:gridSpan w:val="2"/>
            <w:vAlign w:val="center"/>
          </w:tcPr>
          <w:p>
            <w:pPr>
              <w:pStyle w:val="105"/>
              <w:spacing w:before="0"/>
              <w:jc w:val="center"/>
              <w:rPr>
                <w:snapToGrid w:val="0"/>
                <w:sz w:val="20"/>
                <w:szCs w:val="20"/>
              </w:rPr>
            </w:pPr>
            <w:r>
              <w:rPr>
                <w:snapToGrid w:val="0"/>
                <w:sz w:val="20"/>
                <w:szCs w:val="20"/>
              </w:rPr>
              <w:t>K0+950.50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77</w:t>
            </w:r>
          </w:p>
        </w:tc>
        <w:tc>
          <w:tcPr>
            <w:tcW w:w="403" w:type="pct"/>
            <w:vAlign w:val="center"/>
          </w:tcPr>
          <w:p>
            <w:pPr>
              <w:pStyle w:val="105"/>
              <w:spacing w:before="0"/>
              <w:jc w:val="center"/>
              <w:rPr>
                <w:snapToGrid w:val="0"/>
                <w:sz w:val="20"/>
                <w:szCs w:val="20"/>
              </w:rPr>
            </w:pPr>
            <w:r>
              <w:rPr>
                <w:snapToGrid w:val="0"/>
                <w:sz w:val="20"/>
                <w:szCs w:val="20"/>
              </w:rPr>
              <w:t>4.07</w:t>
            </w:r>
          </w:p>
        </w:tc>
        <w:tc>
          <w:tcPr>
            <w:tcW w:w="463" w:type="pct"/>
            <w:vAlign w:val="center"/>
          </w:tcPr>
          <w:p>
            <w:pPr>
              <w:pStyle w:val="105"/>
              <w:spacing w:before="0"/>
              <w:jc w:val="center"/>
              <w:rPr>
                <w:snapToGrid w:val="0"/>
                <w:sz w:val="20"/>
                <w:szCs w:val="20"/>
              </w:rPr>
            </w:pPr>
            <w:r>
              <w:rPr>
                <w:snapToGrid w:val="0"/>
                <w:sz w:val="20"/>
                <w:szCs w:val="20"/>
              </w:rPr>
              <w:t>1-1.5</w:t>
            </w:r>
          </w:p>
        </w:tc>
        <w:tc>
          <w:tcPr>
            <w:tcW w:w="299" w:type="pct"/>
            <w:vAlign w:val="center"/>
          </w:tcPr>
          <w:p>
            <w:pPr>
              <w:pStyle w:val="105"/>
              <w:spacing w:before="0"/>
              <w:jc w:val="center"/>
              <w:rPr>
                <w:snapToGrid w:val="0"/>
                <w:sz w:val="20"/>
                <w:szCs w:val="20"/>
              </w:rPr>
            </w:pPr>
            <w:r>
              <w:rPr>
                <w:snapToGrid w:val="0"/>
                <w:sz w:val="20"/>
                <w:szCs w:val="20"/>
              </w:rPr>
              <w:t>18.44</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铺砌</w:t>
            </w:r>
          </w:p>
        </w:tc>
        <w:tc>
          <w:tcPr>
            <w:tcW w:w="393" w:type="pct"/>
            <w:vAlign w:val="center"/>
          </w:tcPr>
          <w:p>
            <w:pPr>
              <w:pStyle w:val="105"/>
              <w:spacing w:before="0"/>
              <w:jc w:val="center"/>
              <w:rPr>
                <w:snapToGrid w:val="0"/>
                <w:sz w:val="20"/>
                <w:szCs w:val="20"/>
              </w:rPr>
            </w:pPr>
            <w:r>
              <w:rPr>
                <w:snapToGrid w:val="0"/>
                <w:sz w:val="20"/>
                <w:szCs w:val="20"/>
              </w:rPr>
              <w:t>4.66</w:t>
            </w:r>
          </w:p>
        </w:tc>
        <w:tc>
          <w:tcPr>
            <w:tcW w:w="488" w:type="pct"/>
            <w:vAlign w:val="center"/>
          </w:tcPr>
          <w:p>
            <w:pPr>
              <w:pStyle w:val="105"/>
              <w:spacing w:before="0"/>
              <w:jc w:val="center"/>
              <w:rPr>
                <w:snapToGrid w:val="0"/>
                <w:sz w:val="20"/>
                <w:szCs w:val="20"/>
              </w:rPr>
            </w:pPr>
            <w:r>
              <w:rPr>
                <w:rFonts w:hint="eastAsia"/>
                <w:snapToGrid w:val="0"/>
                <w:sz w:val="20"/>
                <w:szCs w:val="20"/>
              </w:rPr>
              <w:t>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5</w:t>
            </w:r>
          </w:p>
        </w:tc>
        <w:tc>
          <w:tcPr>
            <w:tcW w:w="870" w:type="pct"/>
            <w:gridSpan w:val="2"/>
            <w:vAlign w:val="center"/>
          </w:tcPr>
          <w:p>
            <w:pPr>
              <w:pStyle w:val="105"/>
              <w:spacing w:before="0"/>
              <w:jc w:val="center"/>
              <w:rPr>
                <w:snapToGrid w:val="0"/>
                <w:sz w:val="20"/>
                <w:szCs w:val="20"/>
              </w:rPr>
            </w:pPr>
            <w:r>
              <w:rPr>
                <w:snapToGrid w:val="0"/>
                <w:sz w:val="20"/>
                <w:szCs w:val="20"/>
              </w:rPr>
              <w:t>K1+025.00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90</w:t>
            </w:r>
          </w:p>
        </w:tc>
        <w:tc>
          <w:tcPr>
            <w:tcW w:w="403" w:type="pct"/>
            <w:vAlign w:val="center"/>
          </w:tcPr>
          <w:p>
            <w:pPr>
              <w:pStyle w:val="105"/>
              <w:spacing w:before="0"/>
              <w:jc w:val="center"/>
              <w:rPr>
                <w:snapToGrid w:val="0"/>
                <w:sz w:val="20"/>
                <w:szCs w:val="20"/>
              </w:rPr>
            </w:pPr>
            <w:r>
              <w:rPr>
                <w:snapToGrid w:val="0"/>
                <w:sz w:val="20"/>
                <w:szCs w:val="20"/>
              </w:rPr>
              <w:t>1.24</w:t>
            </w:r>
          </w:p>
        </w:tc>
        <w:tc>
          <w:tcPr>
            <w:tcW w:w="463" w:type="pct"/>
            <w:vAlign w:val="center"/>
          </w:tcPr>
          <w:p>
            <w:pPr>
              <w:pStyle w:val="105"/>
              <w:spacing w:before="0"/>
              <w:jc w:val="center"/>
              <w:rPr>
                <w:snapToGrid w:val="0"/>
                <w:sz w:val="20"/>
                <w:szCs w:val="20"/>
              </w:rPr>
            </w:pPr>
            <w:r>
              <w:rPr>
                <w:snapToGrid w:val="0"/>
                <w:sz w:val="20"/>
                <w:szCs w:val="20"/>
              </w:rPr>
              <w:t>1-1.5</w:t>
            </w:r>
          </w:p>
        </w:tc>
        <w:tc>
          <w:tcPr>
            <w:tcW w:w="299" w:type="pct"/>
            <w:vAlign w:val="center"/>
          </w:tcPr>
          <w:p>
            <w:pPr>
              <w:pStyle w:val="105"/>
              <w:spacing w:before="0"/>
              <w:jc w:val="center"/>
              <w:rPr>
                <w:snapToGrid w:val="0"/>
                <w:sz w:val="20"/>
                <w:szCs w:val="20"/>
              </w:rPr>
            </w:pPr>
            <w:r>
              <w:rPr>
                <w:snapToGrid w:val="0"/>
                <w:sz w:val="20"/>
                <w:szCs w:val="20"/>
              </w:rPr>
              <w:t>13.5</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铺砌</w:t>
            </w:r>
          </w:p>
        </w:tc>
        <w:tc>
          <w:tcPr>
            <w:tcW w:w="393" w:type="pct"/>
            <w:vAlign w:val="center"/>
          </w:tcPr>
          <w:p>
            <w:pPr>
              <w:pStyle w:val="105"/>
              <w:spacing w:before="0"/>
              <w:jc w:val="center"/>
              <w:rPr>
                <w:snapToGrid w:val="0"/>
                <w:sz w:val="20"/>
                <w:szCs w:val="20"/>
              </w:rPr>
            </w:pPr>
            <w:r>
              <w:rPr>
                <w:snapToGrid w:val="0"/>
                <w:sz w:val="20"/>
                <w:szCs w:val="20"/>
              </w:rPr>
              <w:t>4.66</w:t>
            </w:r>
          </w:p>
        </w:tc>
        <w:tc>
          <w:tcPr>
            <w:tcW w:w="488" w:type="pct"/>
            <w:vAlign w:val="center"/>
          </w:tcPr>
          <w:p>
            <w:pPr>
              <w:pStyle w:val="105"/>
              <w:spacing w:before="0"/>
              <w:jc w:val="center"/>
              <w:rPr>
                <w:snapToGrid w:val="0"/>
                <w:sz w:val="20"/>
                <w:szCs w:val="20"/>
              </w:rPr>
            </w:pPr>
            <w:r>
              <w:rPr>
                <w:rFonts w:hint="eastAsia"/>
                <w:snapToGrid w:val="0"/>
                <w:sz w:val="20"/>
                <w:szCs w:val="20"/>
              </w:rPr>
              <w:t>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6</w:t>
            </w:r>
          </w:p>
        </w:tc>
        <w:tc>
          <w:tcPr>
            <w:tcW w:w="870" w:type="pct"/>
            <w:gridSpan w:val="2"/>
            <w:vAlign w:val="center"/>
          </w:tcPr>
          <w:p>
            <w:pPr>
              <w:pStyle w:val="105"/>
              <w:spacing w:before="0"/>
              <w:jc w:val="center"/>
              <w:rPr>
                <w:snapToGrid w:val="0"/>
                <w:sz w:val="20"/>
                <w:szCs w:val="20"/>
              </w:rPr>
            </w:pPr>
            <w:r>
              <w:rPr>
                <w:snapToGrid w:val="0"/>
                <w:sz w:val="20"/>
                <w:szCs w:val="20"/>
              </w:rPr>
              <w:t>K1+450.00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90</w:t>
            </w:r>
          </w:p>
        </w:tc>
        <w:tc>
          <w:tcPr>
            <w:tcW w:w="403" w:type="pct"/>
            <w:vAlign w:val="center"/>
          </w:tcPr>
          <w:p>
            <w:pPr>
              <w:pStyle w:val="105"/>
              <w:spacing w:before="0"/>
              <w:jc w:val="center"/>
              <w:rPr>
                <w:snapToGrid w:val="0"/>
                <w:sz w:val="20"/>
                <w:szCs w:val="20"/>
              </w:rPr>
            </w:pPr>
            <w:r>
              <w:rPr>
                <w:snapToGrid w:val="0"/>
                <w:sz w:val="20"/>
                <w:szCs w:val="20"/>
              </w:rPr>
              <w:t>0.68</w:t>
            </w:r>
          </w:p>
        </w:tc>
        <w:tc>
          <w:tcPr>
            <w:tcW w:w="463" w:type="pct"/>
            <w:vAlign w:val="center"/>
          </w:tcPr>
          <w:p>
            <w:pPr>
              <w:pStyle w:val="105"/>
              <w:spacing w:before="0"/>
              <w:jc w:val="center"/>
              <w:rPr>
                <w:snapToGrid w:val="0"/>
                <w:sz w:val="20"/>
                <w:szCs w:val="20"/>
              </w:rPr>
            </w:pPr>
            <w:r>
              <w:rPr>
                <w:snapToGrid w:val="0"/>
                <w:sz w:val="20"/>
                <w:szCs w:val="20"/>
              </w:rPr>
              <w:t>1-1.5</w:t>
            </w:r>
          </w:p>
        </w:tc>
        <w:tc>
          <w:tcPr>
            <w:tcW w:w="299" w:type="pct"/>
            <w:vAlign w:val="center"/>
          </w:tcPr>
          <w:p>
            <w:pPr>
              <w:pStyle w:val="105"/>
              <w:spacing w:before="0"/>
              <w:jc w:val="center"/>
              <w:rPr>
                <w:snapToGrid w:val="0"/>
                <w:sz w:val="20"/>
                <w:szCs w:val="20"/>
              </w:rPr>
            </w:pPr>
            <w:r>
              <w:rPr>
                <w:snapToGrid w:val="0"/>
                <w:sz w:val="20"/>
                <w:szCs w:val="20"/>
              </w:rPr>
              <w:t>13</w:t>
            </w:r>
          </w:p>
        </w:tc>
        <w:tc>
          <w:tcPr>
            <w:tcW w:w="548" w:type="pct"/>
            <w:vAlign w:val="center"/>
          </w:tcPr>
          <w:p>
            <w:pPr>
              <w:pStyle w:val="105"/>
              <w:spacing w:before="0"/>
              <w:jc w:val="center"/>
              <w:rPr>
                <w:snapToGrid w:val="0"/>
                <w:sz w:val="20"/>
                <w:szCs w:val="20"/>
              </w:rPr>
            </w:pPr>
            <w:r>
              <w:rPr>
                <w:rFonts w:hint="eastAsia"/>
                <w:snapToGrid w:val="0"/>
                <w:sz w:val="20"/>
                <w:szCs w:val="20"/>
              </w:rPr>
              <w:t>边沟跌井</w:t>
            </w:r>
          </w:p>
        </w:tc>
        <w:tc>
          <w:tcPr>
            <w:tcW w:w="548" w:type="pct"/>
            <w:vAlign w:val="center"/>
          </w:tcPr>
          <w:p>
            <w:pPr>
              <w:pStyle w:val="105"/>
              <w:spacing w:before="0"/>
              <w:jc w:val="center"/>
              <w:rPr>
                <w:snapToGrid w:val="0"/>
                <w:sz w:val="20"/>
                <w:szCs w:val="20"/>
              </w:rPr>
            </w:pPr>
            <w:r>
              <w:rPr>
                <w:rFonts w:hint="eastAsia"/>
                <w:snapToGrid w:val="0"/>
                <w:sz w:val="20"/>
                <w:szCs w:val="20"/>
              </w:rPr>
              <w:t>挡墙</w:t>
            </w:r>
          </w:p>
        </w:tc>
        <w:tc>
          <w:tcPr>
            <w:tcW w:w="393" w:type="pct"/>
            <w:vAlign w:val="center"/>
          </w:tcPr>
          <w:p>
            <w:pPr>
              <w:pStyle w:val="105"/>
              <w:spacing w:before="0"/>
              <w:jc w:val="center"/>
              <w:rPr>
                <w:snapToGrid w:val="0"/>
                <w:sz w:val="20"/>
                <w:szCs w:val="20"/>
              </w:rPr>
            </w:pPr>
            <w:r>
              <w:rPr>
                <w:snapToGrid w:val="0"/>
                <w:sz w:val="20"/>
                <w:szCs w:val="20"/>
              </w:rPr>
              <w:t>4.66</w:t>
            </w:r>
          </w:p>
        </w:tc>
        <w:tc>
          <w:tcPr>
            <w:tcW w:w="488" w:type="pct"/>
            <w:vAlign w:val="center"/>
          </w:tcPr>
          <w:p>
            <w:pPr>
              <w:pStyle w:val="105"/>
              <w:spacing w:before="0"/>
              <w:jc w:val="center"/>
              <w:rPr>
                <w:snapToGrid w:val="0"/>
                <w:sz w:val="20"/>
                <w:szCs w:val="20"/>
              </w:rPr>
            </w:pPr>
            <w:r>
              <w:rPr>
                <w:rFonts w:hint="eastAsia"/>
                <w:snapToGrid w:val="0"/>
                <w:sz w:val="20"/>
                <w:szCs w:val="20"/>
              </w:rPr>
              <w:t>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Merge w:val="restart"/>
            <w:vAlign w:val="center"/>
          </w:tcPr>
          <w:p>
            <w:pPr>
              <w:pStyle w:val="105"/>
              <w:spacing w:before="0"/>
              <w:jc w:val="center"/>
              <w:rPr>
                <w:snapToGrid w:val="0"/>
                <w:sz w:val="20"/>
                <w:szCs w:val="20"/>
              </w:rPr>
            </w:pPr>
            <w:r>
              <w:rPr>
                <w:snapToGrid w:val="0"/>
                <w:sz w:val="20"/>
                <w:szCs w:val="20"/>
              </w:rPr>
              <w:t>7</w:t>
            </w:r>
          </w:p>
        </w:tc>
        <w:tc>
          <w:tcPr>
            <w:tcW w:w="435" w:type="pct"/>
            <w:vMerge w:val="restart"/>
            <w:vAlign w:val="center"/>
          </w:tcPr>
          <w:p>
            <w:pPr>
              <w:pStyle w:val="105"/>
              <w:spacing w:before="0"/>
              <w:jc w:val="center"/>
              <w:rPr>
                <w:snapToGrid w:val="0"/>
                <w:sz w:val="20"/>
                <w:szCs w:val="20"/>
              </w:rPr>
            </w:pPr>
            <w:r>
              <w:rPr>
                <w:snapToGrid w:val="0"/>
                <w:sz w:val="20"/>
                <w:szCs w:val="20"/>
              </w:rPr>
              <w:t>K1+563.24</w:t>
            </w:r>
          </w:p>
        </w:tc>
        <w:tc>
          <w:tcPr>
            <w:tcW w:w="435" w:type="pct"/>
            <w:vAlign w:val="center"/>
          </w:tcPr>
          <w:p>
            <w:pPr>
              <w:pStyle w:val="105"/>
              <w:spacing w:before="0"/>
              <w:jc w:val="center"/>
              <w:rPr>
                <w:snapToGrid w:val="0"/>
                <w:sz w:val="20"/>
                <w:szCs w:val="20"/>
              </w:rPr>
            </w:pPr>
            <w:r>
              <w:rPr>
                <w:snapToGrid w:val="0"/>
                <w:sz w:val="20"/>
                <w:szCs w:val="20"/>
              </w:rPr>
              <w:t>K1+548.84</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箱涵</w:t>
            </w:r>
          </w:p>
        </w:tc>
        <w:tc>
          <w:tcPr>
            <w:tcW w:w="316" w:type="pct"/>
            <w:vAlign w:val="center"/>
          </w:tcPr>
          <w:p>
            <w:pPr>
              <w:pStyle w:val="105"/>
              <w:spacing w:before="0"/>
              <w:jc w:val="center"/>
              <w:rPr>
                <w:snapToGrid w:val="0"/>
                <w:sz w:val="20"/>
                <w:szCs w:val="20"/>
              </w:rPr>
            </w:pPr>
            <w:r>
              <w:rPr>
                <w:snapToGrid w:val="0"/>
                <w:sz w:val="20"/>
                <w:szCs w:val="20"/>
              </w:rPr>
              <w:t>60</w:t>
            </w:r>
          </w:p>
        </w:tc>
        <w:tc>
          <w:tcPr>
            <w:tcW w:w="403" w:type="pct"/>
            <w:vMerge w:val="restart"/>
            <w:vAlign w:val="center"/>
          </w:tcPr>
          <w:p>
            <w:pPr>
              <w:pStyle w:val="105"/>
              <w:spacing w:before="0"/>
              <w:jc w:val="center"/>
              <w:rPr>
                <w:snapToGrid w:val="0"/>
                <w:sz w:val="20"/>
                <w:szCs w:val="20"/>
              </w:rPr>
            </w:pPr>
            <w:r>
              <w:rPr>
                <w:snapToGrid w:val="0"/>
                <w:sz w:val="20"/>
                <w:szCs w:val="20"/>
              </w:rPr>
              <w:t>0.18~0.73</w:t>
            </w:r>
          </w:p>
        </w:tc>
        <w:tc>
          <w:tcPr>
            <w:tcW w:w="463" w:type="pct"/>
            <w:vAlign w:val="center"/>
          </w:tcPr>
          <w:p>
            <w:pPr>
              <w:pStyle w:val="105"/>
              <w:spacing w:before="0"/>
              <w:jc w:val="center"/>
              <w:rPr>
                <w:snapToGrid w:val="0"/>
                <w:sz w:val="20"/>
                <w:szCs w:val="20"/>
              </w:rPr>
            </w:pPr>
            <w:r>
              <w:rPr>
                <w:snapToGrid w:val="0"/>
                <w:sz w:val="20"/>
                <w:szCs w:val="20"/>
              </w:rPr>
              <w:t>2-5.5×4.5</w:t>
            </w:r>
          </w:p>
        </w:tc>
        <w:tc>
          <w:tcPr>
            <w:tcW w:w="299" w:type="pct"/>
            <w:vAlign w:val="center"/>
          </w:tcPr>
          <w:p>
            <w:pPr>
              <w:pStyle w:val="105"/>
              <w:spacing w:before="0"/>
              <w:jc w:val="center"/>
              <w:rPr>
                <w:snapToGrid w:val="0"/>
                <w:sz w:val="20"/>
                <w:szCs w:val="20"/>
              </w:rPr>
            </w:pPr>
            <w:r>
              <w:rPr>
                <w:snapToGrid w:val="0"/>
                <w:sz w:val="20"/>
                <w:szCs w:val="20"/>
              </w:rPr>
              <w:t>18.52</w:t>
            </w:r>
          </w:p>
        </w:tc>
        <w:tc>
          <w:tcPr>
            <w:tcW w:w="548" w:type="pct"/>
            <w:vAlign w:val="center"/>
          </w:tcPr>
          <w:p>
            <w:pPr>
              <w:pStyle w:val="105"/>
              <w:spacing w:before="0"/>
              <w:jc w:val="center"/>
              <w:rPr>
                <w:snapToGrid w:val="0"/>
                <w:sz w:val="20"/>
                <w:szCs w:val="20"/>
              </w:rPr>
            </w:pPr>
            <w:r>
              <w:rPr>
                <w:rFonts w:hint="eastAsia"/>
                <w:snapToGrid w:val="0"/>
                <w:sz w:val="20"/>
                <w:szCs w:val="20"/>
              </w:rPr>
              <w:t>挡墙</w:t>
            </w:r>
          </w:p>
        </w:tc>
        <w:tc>
          <w:tcPr>
            <w:tcW w:w="548" w:type="pct"/>
            <w:vAlign w:val="center"/>
          </w:tcPr>
          <w:p>
            <w:pPr>
              <w:pStyle w:val="105"/>
              <w:spacing w:before="0"/>
              <w:jc w:val="center"/>
              <w:rPr>
                <w:snapToGrid w:val="0"/>
                <w:sz w:val="20"/>
                <w:szCs w:val="20"/>
              </w:rPr>
            </w:pPr>
            <w:r>
              <w:rPr>
                <w:rFonts w:hint="eastAsia"/>
                <w:snapToGrid w:val="0"/>
                <w:sz w:val="20"/>
                <w:szCs w:val="20"/>
              </w:rPr>
              <w:t>挡墙</w:t>
            </w:r>
          </w:p>
        </w:tc>
        <w:tc>
          <w:tcPr>
            <w:tcW w:w="393" w:type="pct"/>
            <w:vAlign w:val="center"/>
          </w:tcPr>
          <w:p>
            <w:pPr>
              <w:pStyle w:val="105"/>
              <w:spacing w:before="0"/>
              <w:jc w:val="center"/>
              <w:rPr>
                <w:snapToGrid w:val="0"/>
                <w:sz w:val="20"/>
                <w:szCs w:val="20"/>
              </w:rPr>
            </w:pPr>
          </w:p>
        </w:tc>
        <w:tc>
          <w:tcPr>
            <w:tcW w:w="488" w:type="pct"/>
            <w:vAlign w:val="center"/>
          </w:tcPr>
          <w:p>
            <w:pPr>
              <w:pStyle w:val="105"/>
              <w:spacing w:before="0"/>
              <w:jc w:val="center"/>
              <w:rPr>
                <w:snapToGrid w:val="0"/>
                <w:sz w:val="20"/>
                <w:szCs w:val="20"/>
              </w:rPr>
            </w:pPr>
            <w:r>
              <w:rPr>
                <w:rFonts w:hint="eastAsia"/>
                <w:snapToGrid w:val="0"/>
                <w:sz w:val="20"/>
                <w:szCs w:val="20"/>
              </w:rPr>
              <w:t>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Merge w:val="continue"/>
            <w:vAlign w:val="center"/>
          </w:tcPr>
          <w:p>
            <w:pPr>
              <w:pStyle w:val="105"/>
              <w:spacing w:before="0"/>
              <w:jc w:val="center"/>
              <w:rPr>
                <w:snapToGrid w:val="0"/>
                <w:sz w:val="20"/>
                <w:szCs w:val="20"/>
              </w:rPr>
            </w:pPr>
          </w:p>
        </w:tc>
        <w:tc>
          <w:tcPr>
            <w:tcW w:w="435" w:type="pct"/>
            <w:vMerge w:val="continue"/>
            <w:vAlign w:val="center"/>
          </w:tcPr>
          <w:p>
            <w:pPr>
              <w:pStyle w:val="105"/>
              <w:spacing w:before="0"/>
              <w:jc w:val="center"/>
              <w:rPr>
                <w:snapToGrid w:val="0"/>
                <w:sz w:val="20"/>
                <w:szCs w:val="20"/>
              </w:rPr>
            </w:pPr>
          </w:p>
        </w:tc>
        <w:tc>
          <w:tcPr>
            <w:tcW w:w="435" w:type="pct"/>
            <w:vAlign w:val="center"/>
          </w:tcPr>
          <w:p>
            <w:pPr>
              <w:pStyle w:val="105"/>
              <w:spacing w:before="0"/>
              <w:jc w:val="center"/>
              <w:rPr>
                <w:snapToGrid w:val="0"/>
                <w:sz w:val="20"/>
                <w:szCs w:val="20"/>
              </w:rPr>
            </w:pPr>
            <w:r>
              <w:rPr>
                <w:snapToGrid w:val="0"/>
                <w:sz w:val="20"/>
                <w:szCs w:val="20"/>
              </w:rPr>
              <w:t>K1+563.24</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箱涵</w:t>
            </w:r>
          </w:p>
        </w:tc>
        <w:tc>
          <w:tcPr>
            <w:tcW w:w="316" w:type="pct"/>
            <w:vAlign w:val="center"/>
          </w:tcPr>
          <w:p>
            <w:pPr>
              <w:pStyle w:val="105"/>
              <w:spacing w:before="0"/>
              <w:jc w:val="center"/>
              <w:rPr>
                <w:snapToGrid w:val="0"/>
                <w:sz w:val="20"/>
                <w:szCs w:val="20"/>
              </w:rPr>
            </w:pPr>
            <w:r>
              <w:rPr>
                <w:snapToGrid w:val="0"/>
                <w:sz w:val="20"/>
                <w:szCs w:val="20"/>
              </w:rPr>
              <w:t>60</w:t>
            </w:r>
          </w:p>
        </w:tc>
        <w:tc>
          <w:tcPr>
            <w:tcW w:w="403" w:type="pct"/>
            <w:vMerge w:val="continue"/>
            <w:vAlign w:val="center"/>
          </w:tcPr>
          <w:p>
            <w:pPr>
              <w:pStyle w:val="105"/>
              <w:spacing w:before="0"/>
              <w:jc w:val="center"/>
              <w:rPr>
                <w:snapToGrid w:val="0"/>
                <w:sz w:val="20"/>
                <w:szCs w:val="20"/>
              </w:rPr>
            </w:pPr>
          </w:p>
        </w:tc>
        <w:tc>
          <w:tcPr>
            <w:tcW w:w="463" w:type="pct"/>
            <w:vAlign w:val="center"/>
          </w:tcPr>
          <w:p>
            <w:pPr>
              <w:pStyle w:val="105"/>
              <w:spacing w:before="0"/>
              <w:jc w:val="center"/>
              <w:rPr>
                <w:snapToGrid w:val="0"/>
                <w:sz w:val="20"/>
                <w:szCs w:val="20"/>
              </w:rPr>
            </w:pPr>
            <w:r>
              <w:rPr>
                <w:snapToGrid w:val="0"/>
                <w:sz w:val="20"/>
                <w:szCs w:val="20"/>
              </w:rPr>
              <w:t>2-5.5×4.5</w:t>
            </w:r>
          </w:p>
        </w:tc>
        <w:tc>
          <w:tcPr>
            <w:tcW w:w="299" w:type="pct"/>
            <w:vAlign w:val="center"/>
          </w:tcPr>
          <w:p>
            <w:pPr>
              <w:pStyle w:val="105"/>
              <w:spacing w:before="0"/>
              <w:jc w:val="center"/>
              <w:rPr>
                <w:snapToGrid w:val="0"/>
                <w:sz w:val="20"/>
                <w:szCs w:val="20"/>
              </w:rPr>
            </w:pPr>
            <w:r>
              <w:rPr>
                <w:snapToGrid w:val="0"/>
                <w:sz w:val="20"/>
                <w:szCs w:val="20"/>
              </w:rPr>
              <w:t>13.91</w:t>
            </w:r>
          </w:p>
        </w:tc>
        <w:tc>
          <w:tcPr>
            <w:tcW w:w="548" w:type="pct"/>
            <w:vAlign w:val="center"/>
          </w:tcPr>
          <w:p>
            <w:pPr>
              <w:pStyle w:val="105"/>
              <w:spacing w:before="0"/>
              <w:jc w:val="center"/>
              <w:rPr>
                <w:snapToGrid w:val="0"/>
                <w:sz w:val="20"/>
                <w:szCs w:val="20"/>
              </w:rPr>
            </w:pPr>
            <w:r>
              <w:rPr>
                <w:snapToGrid w:val="0"/>
                <w:sz w:val="20"/>
                <w:szCs w:val="20"/>
              </w:rPr>
              <w:t>-</w:t>
            </w:r>
          </w:p>
        </w:tc>
        <w:tc>
          <w:tcPr>
            <w:tcW w:w="548" w:type="pct"/>
            <w:vAlign w:val="center"/>
          </w:tcPr>
          <w:p>
            <w:pPr>
              <w:pStyle w:val="105"/>
              <w:spacing w:before="0"/>
              <w:jc w:val="center"/>
              <w:rPr>
                <w:snapToGrid w:val="0"/>
                <w:sz w:val="20"/>
                <w:szCs w:val="20"/>
              </w:rPr>
            </w:pPr>
            <w:r>
              <w:rPr>
                <w:snapToGrid w:val="0"/>
                <w:sz w:val="20"/>
                <w:szCs w:val="20"/>
              </w:rPr>
              <w:t>-</w:t>
            </w:r>
          </w:p>
        </w:tc>
        <w:tc>
          <w:tcPr>
            <w:tcW w:w="393" w:type="pct"/>
            <w:vAlign w:val="center"/>
          </w:tcPr>
          <w:p>
            <w:pPr>
              <w:pStyle w:val="105"/>
              <w:spacing w:before="0"/>
              <w:jc w:val="center"/>
              <w:rPr>
                <w:snapToGrid w:val="0"/>
                <w:sz w:val="20"/>
                <w:szCs w:val="20"/>
              </w:rPr>
            </w:pPr>
            <w:r>
              <w:rPr>
                <w:snapToGrid w:val="0"/>
                <w:sz w:val="20"/>
                <w:szCs w:val="20"/>
              </w:rPr>
              <w:t>423.00</w:t>
            </w:r>
          </w:p>
        </w:tc>
        <w:tc>
          <w:tcPr>
            <w:tcW w:w="488" w:type="pct"/>
            <w:vAlign w:val="center"/>
          </w:tcPr>
          <w:p>
            <w:pPr>
              <w:pStyle w:val="105"/>
              <w:spacing w:before="0"/>
              <w:jc w:val="center"/>
              <w:rPr>
                <w:snapToGrid w:val="0"/>
                <w:sz w:val="20"/>
                <w:szCs w:val="20"/>
              </w:rPr>
            </w:pPr>
            <w:r>
              <w:rPr>
                <w:rFonts w:hint="eastAsia"/>
                <w:snapToGrid w:val="0"/>
                <w:sz w:val="20"/>
                <w:szCs w:val="20"/>
              </w:rPr>
              <w:t>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Merge w:val="continue"/>
            <w:vAlign w:val="center"/>
          </w:tcPr>
          <w:p>
            <w:pPr>
              <w:pStyle w:val="105"/>
              <w:spacing w:before="0"/>
              <w:jc w:val="center"/>
              <w:rPr>
                <w:snapToGrid w:val="0"/>
                <w:sz w:val="20"/>
                <w:szCs w:val="20"/>
              </w:rPr>
            </w:pPr>
          </w:p>
        </w:tc>
        <w:tc>
          <w:tcPr>
            <w:tcW w:w="435" w:type="pct"/>
            <w:vMerge w:val="continue"/>
            <w:vAlign w:val="center"/>
          </w:tcPr>
          <w:p>
            <w:pPr>
              <w:pStyle w:val="105"/>
              <w:spacing w:before="0"/>
              <w:jc w:val="center"/>
              <w:rPr>
                <w:snapToGrid w:val="0"/>
                <w:sz w:val="20"/>
                <w:szCs w:val="20"/>
              </w:rPr>
            </w:pPr>
          </w:p>
        </w:tc>
        <w:tc>
          <w:tcPr>
            <w:tcW w:w="435" w:type="pct"/>
            <w:vAlign w:val="center"/>
          </w:tcPr>
          <w:p>
            <w:pPr>
              <w:pStyle w:val="105"/>
              <w:spacing w:before="0"/>
              <w:jc w:val="center"/>
              <w:rPr>
                <w:snapToGrid w:val="0"/>
                <w:sz w:val="20"/>
                <w:szCs w:val="20"/>
              </w:rPr>
            </w:pPr>
            <w:r>
              <w:rPr>
                <w:snapToGrid w:val="0"/>
                <w:sz w:val="20"/>
                <w:szCs w:val="20"/>
              </w:rPr>
              <w:t>K1+577.61</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箱涵</w:t>
            </w:r>
          </w:p>
        </w:tc>
        <w:tc>
          <w:tcPr>
            <w:tcW w:w="316" w:type="pct"/>
            <w:vAlign w:val="center"/>
          </w:tcPr>
          <w:p>
            <w:pPr>
              <w:pStyle w:val="105"/>
              <w:spacing w:before="0"/>
              <w:jc w:val="center"/>
              <w:rPr>
                <w:snapToGrid w:val="0"/>
                <w:sz w:val="20"/>
                <w:szCs w:val="20"/>
              </w:rPr>
            </w:pPr>
            <w:r>
              <w:rPr>
                <w:snapToGrid w:val="0"/>
                <w:sz w:val="20"/>
                <w:szCs w:val="20"/>
              </w:rPr>
              <w:t>60</w:t>
            </w:r>
          </w:p>
        </w:tc>
        <w:tc>
          <w:tcPr>
            <w:tcW w:w="403" w:type="pct"/>
            <w:vMerge w:val="continue"/>
            <w:vAlign w:val="center"/>
          </w:tcPr>
          <w:p>
            <w:pPr>
              <w:pStyle w:val="105"/>
              <w:spacing w:before="0"/>
              <w:jc w:val="center"/>
              <w:rPr>
                <w:snapToGrid w:val="0"/>
                <w:sz w:val="20"/>
                <w:szCs w:val="20"/>
              </w:rPr>
            </w:pPr>
          </w:p>
        </w:tc>
        <w:tc>
          <w:tcPr>
            <w:tcW w:w="463" w:type="pct"/>
            <w:vAlign w:val="center"/>
          </w:tcPr>
          <w:p>
            <w:pPr>
              <w:pStyle w:val="105"/>
              <w:spacing w:before="0"/>
              <w:jc w:val="center"/>
              <w:rPr>
                <w:snapToGrid w:val="0"/>
                <w:sz w:val="20"/>
                <w:szCs w:val="20"/>
              </w:rPr>
            </w:pPr>
            <w:r>
              <w:rPr>
                <w:snapToGrid w:val="0"/>
                <w:sz w:val="20"/>
                <w:szCs w:val="20"/>
              </w:rPr>
              <w:t>2-5.5×4.5</w:t>
            </w:r>
          </w:p>
        </w:tc>
        <w:tc>
          <w:tcPr>
            <w:tcW w:w="299" w:type="pct"/>
            <w:vAlign w:val="center"/>
          </w:tcPr>
          <w:p>
            <w:pPr>
              <w:pStyle w:val="105"/>
              <w:spacing w:before="0"/>
              <w:jc w:val="center"/>
              <w:rPr>
                <w:snapToGrid w:val="0"/>
                <w:sz w:val="20"/>
                <w:szCs w:val="20"/>
              </w:rPr>
            </w:pPr>
            <w:r>
              <w:rPr>
                <w:snapToGrid w:val="0"/>
                <w:sz w:val="20"/>
                <w:szCs w:val="20"/>
              </w:rPr>
              <w:t>13.93</w:t>
            </w:r>
          </w:p>
        </w:tc>
        <w:tc>
          <w:tcPr>
            <w:tcW w:w="548" w:type="pct"/>
            <w:vAlign w:val="center"/>
          </w:tcPr>
          <w:p>
            <w:pPr>
              <w:pStyle w:val="105"/>
              <w:spacing w:before="0"/>
              <w:jc w:val="center"/>
              <w:rPr>
                <w:snapToGrid w:val="0"/>
                <w:sz w:val="20"/>
                <w:szCs w:val="20"/>
              </w:rPr>
            </w:pPr>
            <w:r>
              <w:rPr>
                <w:rFonts w:hint="eastAsia"/>
                <w:snapToGrid w:val="0"/>
                <w:sz w:val="20"/>
                <w:szCs w:val="20"/>
              </w:rPr>
              <w:t>挡墙</w:t>
            </w:r>
          </w:p>
        </w:tc>
        <w:tc>
          <w:tcPr>
            <w:tcW w:w="548" w:type="pct"/>
            <w:vAlign w:val="center"/>
          </w:tcPr>
          <w:p>
            <w:pPr>
              <w:pStyle w:val="105"/>
              <w:spacing w:before="0"/>
              <w:jc w:val="center"/>
              <w:rPr>
                <w:snapToGrid w:val="0"/>
                <w:sz w:val="20"/>
                <w:szCs w:val="20"/>
              </w:rPr>
            </w:pPr>
            <w:r>
              <w:rPr>
                <w:rFonts w:hint="eastAsia"/>
                <w:snapToGrid w:val="0"/>
                <w:sz w:val="20"/>
                <w:szCs w:val="20"/>
              </w:rPr>
              <w:t>挡墙</w:t>
            </w:r>
          </w:p>
        </w:tc>
        <w:tc>
          <w:tcPr>
            <w:tcW w:w="393" w:type="pct"/>
            <w:vAlign w:val="center"/>
          </w:tcPr>
          <w:p>
            <w:pPr>
              <w:pStyle w:val="105"/>
              <w:spacing w:before="0"/>
              <w:jc w:val="center"/>
              <w:rPr>
                <w:snapToGrid w:val="0"/>
                <w:sz w:val="20"/>
                <w:szCs w:val="20"/>
              </w:rPr>
            </w:pPr>
          </w:p>
        </w:tc>
        <w:tc>
          <w:tcPr>
            <w:tcW w:w="488" w:type="pct"/>
            <w:vAlign w:val="center"/>
          </w:tcPr>
          <w:p>
            <w:pPr>
              <w:pStyle w:val="105"/>
              <w:spacing w:before="0"/>
              <w:jc w:val="center"/>
              <w:rPr>
                <w:snapToGrid w:val="0"/>
                <w:sz w:val="20"/>
                <w:szCs w:val="20"/>
              </w:rPr>
            </w:pPr>
            <w:r>
              <w:rPr>
                <w:rFonts w:hint="eastAsia"/>
                <w:snapToGrid w:val="0"/>
                <w:sz w:val="20"/>
                <w:szCs w:val="20"/>
              </w:rPr>
              <w:t>排水</w:t>
            </w:r>
            <w:r>
              <w:rPr>
                <w:snapToGrid w:val="0"/>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8</w:t>
            </w:r>
          </w:p>
        </w:tc>
        <w:tc>
          <w:tcPr>
            <w:tcW w:w="870" w:type="pct"/>
            <w:gridSpan w:val="2"/>
            <w:vAlign w:val="center"/>
          </w:tcPr>
          <w:p>
            <w:pPr>
              <w:pStyle w:val="105"/>
              <w:spacing w:before="0"/>
              <w:jc w:val="center"/>
              <w:rPr>
                <w:snapToGrid w:val="0"/>
                <w:sz w:val="20"/>
                <w:szCs w:val="20"/>
              </w:rPr>
            </w:pPr>
            <w:r>
              <w:rPr>
                <w:snapToGrid w:val="0"/>
                <w:sz w:val="20"/>
                <w:szCs w:val="20"/>
              </w:rPr>
              <w:t>K1+730.00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箱涵</w:t>
            </w:r>
          </w:p>
        </w:tc>
        <w:tc>
          <w:tcPr>
            <w:tcW w:w="316" w:type="pct"/>
            <w:vAlign w:val="center"/>
          </w:tcPr>
          <w:p>
            <w:pPr>
              <w:pStyle w:val="105"/>
              <w:spacing w:before="0"/>
              <w:jc w:val="center"/>
              <w:rPr>
                <w:snapToGrid w:val="0"/>
                <w:sz w:val="20"/>
                <w:szCs w:val="20"/>
              </w:rPr>
            </w:pPr>
            <w:r>
              <w:rPr>
                <w:snapToGrid w:val="0"/>
                <w:sz w:val="20"/>
                <w:szCs w:val="20"/>
              </w:rPr>
              <w:t>90</w:t>
            </w:r>
          </w:p>
        </w:tc>
        <w:tc>
          <w:tcPr>
            <w:tcW w:w="403" w:type="pct"/>
            <w:vAlign w:val="center"/>
          </w:tcPr>
          <w:p>
            <w:pPr>
              <w:pStyle w:val="105"/>
              <w:spacing w:before="0"/>
              <w:jc w:val="center"/>
              <w:rPr>
                <w:snapToGrid w:val="0"/>
                <w:sz w:val="20"/>
                <w:szCs w:val="20"/>
              </w:rPr>
            </w:pPr>
            <w:r>
              <w:rPr>
                <w:snapToGrid w:val="0"/>
                <w:sz w:val="20"/>
                <w:szCs w:val="20"/>
              </w:rPr>
              <w:t>1.60</w:t>
            </w:r>
          </w:p>
        </w:tc>
        <w:tc>
          <w:tcPr>
            <w:tcW w:w="463" w:type="pct"/>
            <w:vAlign w:val="center"/>
          </w:tcPr>
          <w:p>
            <w:pPr>
              <w:pStyle w:val="105"/>
              <w:spacing w:before="0"/>
              <w:jc w:val="center"/>
              <w:rPr>
                <w:snapToGrid w:val="0"/>
                <w:sz w:val="20"/>
                <w:szCs w:val="20"/>
              </w:rPr>
            </w:pPr>
            <w:r>
              <w:rPr>
                <w:snapToGrid w:val="0"/>
                <w:sz w:val="20"/>
                <w:szCs w:val="20"/>
              </w:rPr>
              <w:t>3—5.0×4.5r</w:t>
            </w:r>
          </w:p>
        </w:tc>
        <w:tc>
          <w:tcPr>
            <w:tcW w:w="299" w:type="pct"/>
            <w:vAlign w:val="center"/>
          </w:tcPr>
          <w:p>
            <w:pPr>
              <w:pStyle w:val="105"/>
              <w:spacing w:before="0"/>
              <w:jc w:val="center"/>
              <w:rPr>
                <w:snapToGrid w:val="0"/>
                <w:sz w:val="20"/>
                <w:szCs w:val="20"/>
              </w:rPr>
            </w:pPr>
            <w:r>
              <w:rPr>
                <w:snapToGrid w:val="0"/>
                <w:sz w:val="20"/>
                <w:szCs w:val="20"/>
              </w:rPr>
              <w:t>35</w:t>
            </w:r>
          </w:p>
        </w:tc>
        <w:tc>
          <w:tcPr>
            <w:tcW w:w="548" w:type="pct"/>
            <w:vAlign w:val="center"/>
          </w:tcPr>
          <w:p>
            <w:pPr>
              <w:pStyle w:val="105"/>
              <w:spacing w:before="0"/>
              <w:jc w:val="center"/>
              <w:rPr>
                <w:snapToGrid w:val="0"/>
                <w:sz w:val="20"/>
                <w:szCs w:val="20"/>
              </w:rPr>
            </w:pPr>
            <w:r>
              <w:rPr>
                <w:rFonts w:hint="eastAsia"/>
                <w:snapToGrid w:val="0"/>
                <w:sz w:val="20"/>
                <w:szCs w:val="20"/>
              </w:rPr>
              <w:t>挡墙、排水槽</w:t>
            </w:r>
          </w:p>
        </w:tc>
        <w:tc>
          <w:tcPr>
            <w:tcW w:w="548" w:type="pct"/>
            <w:vAlign w:val="center"/>
          </w:tcPr>
          <w:p>
            <w:pPr>
              <w:pStyle w:val="105"/>
              <w:spacing w:before="0"/>
              <w:jc w:val="center"/>
              <w:rPr>
                <w:snapToGrid w:val="0"/>
                <w:sz w:val="20"/>
                <w:szCs w:val="20"/>
              </w:rPr>
            </w:pPr>
            <w:r>
              <w:rPr>
                <w:rFonts w:hint="eastAsia"/>
                <w:snapToGrid w:val="0"/>
                <w:sz w:val="20"/>
                <w:szCs w:val="20"/>
              </w:rPr>
              <w:t>挡墙、排水槽</w:t>
            </w:r>
          </w:p>
        </w:tc>
        <w:tc>
          <w:tcPr>
            <w:tcW w:w="393" w:type="pct"/>
            <w:vAlign w:val="center"/>
          </w:tcPr>
          <w:p>
            <w:pPr>
              <w:pStyle w:val="105"/>
              <w:spacing w:before="0"/>
              <w:jc w:val="center"/>
              <w:rPr>
                <w:snapToGrid w:val="0"/>
                <w:sz w:val="20"/>
                <w:szCs w:val="20"/>
              </w:rPr>
            </w:pPr>
            <w:r>
              <w:rPr>
                <w:snapToGrid w:val="0"/>
                <w:sz w:val="20"/>
                <w:szCs w:val="20"/>
              </w:rPr>
              <w:t>225.37</w:t>
            </w:r>
          </w:p>
        </w:tc>
        <w:tc>
          <w:tcPr>
            <w:tcW w:w="488" w:type="pct"/>
            <w:vAlign w:val="center"/>
          </w:tcPr>
          <w:p>
            <w:pPr>
              <w:pStyle w:val="105"/>
              <w:spacing w:before="0"/>
              <w:jc w:val="center"/>
              <w:rPr>
                <w:snapToGrid w:val="0"/>
                <w:sz w:val="20"/>
                <w:szCs w:val="20"/>
              </w:rPr>
            </w:pPr>
            <w:r>
              <w:rPr>
                <w:rFonts w:hint="eastAsia"/>
                <w:snapToGrid w:val="0"/>
                <w:sz w:val="20"/>
                <w:szCs w:val="20"/>
              </w:rPr>
              <w:t>线外涵排水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9</w:t>
            </w:r>
          </w:p>
        </w:tc>
        <w:tc>
          <w:tcPr>
            <w:tcW w:w="870" w:type="pct"/>
            <w:gridSpan w:val="2"/>
            <w:vAlign w:val="center"/>
          </w:tcPr>
          <w:p>
            <w:pPr>
              <w:pStyle w:val="105"/>
              <w:spacing w:before="0"/>
              <w:jc w:val="center"/>
              <w:rPr>
                <w:snapToGrid w:val="0"/>
                <w:sz w:val="20"/>
                <w:szCs w:val="20"/>
              </w:rPr>
            </w:pPr>
            <w:r>
              <w:rPr>
                <w:snapToGrid w:val="0"/>
                <w:sz w:val="20"/>
                <w:szCs w:val="20"/>
              </w:rPr>
              <w:t>K1+830.00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箱涵</w:t>
            </w:r>
          </w:p>
        </w:tc>
        <w:tc>
          <w:tcPr>
            <w:tcW w:w="316" w:type="pct"/>
            <w:vAlign w:val="center"/>
          </w:tcPr>
          <w:p>
            <w:pPr>
              <w:pStyle w:val="105"/>
              <w:spacing w:before="0"/>
              <w:jc w:val="center"/>
              <w:rPr>
                <w:snapToGrid w:val="0"/>
                <w:sz w:val="20"/>
                <w:szCs w:val="20"/>
              </w:rPr>
            </w:pPr>
            <w:r>
              <w:rPr>
                <w:snapToGrid w:val="0"/>
                <w:sz w:val="20"/>
                <w:szCs w:val="20"/>
              </w:rPr>
              <w:t>120</w:t>
            </w:r>
          </w:p>
        </w:tc>
        <w:tc>
          <w:tcPr>
            <w:tcW w:w="403" w:type="pct"/>
            <w:vAlign w:val="center"/>
          </w:tcPr>
          <w:p>
            <w:pPr>
              <w:pStyle w:val="105"/>
              <w:spacing w:before="0"/>
              <w:jc w:val="center"/>
              <w:rPr>
                <w:snapToGrid w:val="0"/>
                <w:sz w:val="20"/>
                <w:szCs w:val="20"/>
              </w:rPr>
            </w:pPr>
            <w:r>
              <w:rPr>
                <w:snapToGrid w:val="0"/>
                <w:sz w:val="20"/>
                <w:szCs w:val="20"/>
              </w:rPr>
              <w:t>3.54</w:t>
            </w:r>
          </w:p>
        </w:tc>
        <w:tc>
          <w:tcPr>
            <w:tcW w:w="463" w:type="pct"/>
            <w:vAlign w:val="center"/>
          </w:tcPr>
          <w:p>
            <w:pPr>
              <w:pStyle w:val="105"/>
              <w:spacing w:before="0"/>
              <w:jc w:val="center"/>
              <w:rPr>
                <w:snapToGrid w:val="0"/>
                <w:sz w:val="20"/>
                <w:szCs w:val="20"/>
              </w:rPr>
            </w:pPr>
            <w:r>
              <w:rPr>
                <w:snapToGrid w:val="0"/>
                <w:sz w:val="20"/>
                <w:szCs w:val="20"/>
              </w:rPr>
              <w:t>3-5.0×4.5</w:t>
            </w:r>
          </w:p>
        </w:tc>
        <w:tc>
          <w:tcPr>
            <w:tcW w:w="299" w:type="pct"/>
            <w:vAlign w:val="center"/>
          </w:tcPr>
          <w:p>
            <w:pPr>
              <w:pStyle w:val="105"/>
              <w:spacing w:before="0"/>
              <w:jc w:val="center"/>
              <w:rPr>
                <w:snapToGrid w:val="0"/>
                <w:sz w:val="20"/>
                <w:szCs w:val="20"/>
              </w:rPr>
            </w:pPr>
            <w:r>
              <w:rPr>
                <w:snapToGrid w:val="0"/>
                <w:sz w:val="20"/>
                <w:szCs w:val="20"/>
              </w:rPr>
              <w:t>19.85</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挡墙</w:t>
            </w:r>
          </w:p>
        </w:tc>
        <w:tc>
          <w:tcPr>
            <w:tcW w:w="393" w:type="pct"/>
            <w:vAlign w:val="center"/>
          </w:tcPr>
          <w:p>
            <w:pPr>
              <w:pStyle w:val="105"/>
              <w:spacing w:before="0"/>
              <w:jc w:val="center"/>
              <w:rPr>
                <w:snapToGrid w:val="0"/>
                <w:sz w:val="20"/>
                <w:szCs w:val="20"/>
              </w:rPr>
            </w:pPr>
            <w:r>
              <w:rPr>
                <w:snapToGrid w:val="0"/>
                <w:sz w:val="20"/>
                <w:szCs w:val="20"/>
              </w:rPr>
              <w:t>225.37</w:t>
            </w:r>
          </w:p>
        </w:tc>
        <w:tc>
          <w:tcPr>
            <w:tcW w:w="488" w:type="pct"/>
            <w:vAlign w:val="center"/>
          </w:tcPr>
          <w:p>
            <w:pPr>
              <w:pStyle w:val="105"/>
              <w:spacing w:before="0"/>
              <w:jc w:val="center"/>
              <w:rPr>
                <w:snapToGrid w:val="0"/>
                <w:sz w:val="20"/>
                <w:szCs w:val="20"/>
              </w:rPr>
            </w:pPr>
            <w:r>
              <w:rPr>
                <w:rFonts w:hint="eastAsia"/>
                <w:snapToGrid w:val="0"/>
                <w:sz w:val="20"/>
                <w:szCs w:val="20"/>
              </w:rPr>
              <w:t>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10</w:t>
            </w:r>
          </w:p>
        </w:tc>
        <w:tc>
          <w:tcPr>
            <w:tcW w:w="870" w:type="pct"/>
            <w:gridSpan w:val="2"/>
            <w:vAlign w:val="center"/>
          </w:tcPr>
          <w:p>
            <w:pPr>
              <w:pStyle w:val="105"/>
              <w:spacing w:before="0"/>
              <w:jc w:val="center"/>
              <w:rPr>
                <w:snapToGrid w:val="0"/>
                <w:sz w:val="20"/>
                <w:szCs w:val="20"/>
              </w:rPr>
            </w:pPr>
            <w:r>
              <w:rPr>
                <w:snapToGrid w:val="0"/>
                <w:sz w:val="20"/>
                <w:szCs w:val="20"/>
              </w:rPr>
              <w:t>K2+144.50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盖板涵</w:t>
            </w:r>
          </w:p>
        </w:tc>
        <w:tc>
          <w:tcPr>
            <w:tcW w:w="316" w:type="pct"/>
            <w:vAlign w:val="center"/>
          </w:tcPr>
          <w:p>
            <w:pPr>
              <w:pStyle w:val="105"/>
              <w:spacing w:before="0"/>
              <w:jc w:val="center"/>
              <w:rPr>
                <w:snapToGrid w:val="0"/>
                <w:sz w:val="20"/>
                <w:szCs w:val="20"/>
              </w:rPr>
            </w:pPr>
            <w:r>
              <w:rPr>
                <w:snapToGrid w:val="0"/>
                <w:sz w:val="20"/>
                <w:szCs w:val="20"/>
              </w:rPr>
              <w:t>84</w:t>
            </w:r>
          </w:p>
        </w:tc>
        <w:tc>
          <w:tcPr>
            <w:tcW w:w="403" w:type="pct"/>
            <w:vAlign w:val="center"/>
          </w:tcPr>
          <w:p>
            <w:pPr>
              <w:pStyle w:val="105"/>
              <w:spacing w:before="0"/>
              <w:jc w:val="center"/>
              <w:rPr>
                <w:snapToGrid w:val="0"/>
                <w:sz w:val="20"/>
                <w:szCs w:val="20"/>
              </w:rPr>
            </w:pPr>
            <w:r>
              <w:rPr>
                <w:snapToGrid w:val="0"/>
                <w:sz w:val="20"/>
                <w:szCs w:val="20"/>
              </w:rPr>
              <w:t>0.80</w:t>
            </w:r>
          </w:p>
        </w:tc>
        <w:tc>
          <w:tcPr>
            <w:tcW w:w="463" w:type="pct"/>
            <w:vAlign w:val="center"/>
          </w:tcPr>
          <w:p>
            <w:pPr>
              <w:pStyle w:val="105"/>
              <w:spacing w:before="0"/>
              <w:jc w:val="center"/>
              <w:rPr>
                <w:snapToGrid w:val="0"/>
                <w:sz w:val="20"/>
                <w:szCs w:val="20"/>
              </w:rPr>
            </w:pPr>
            <w:r>
              <w:rPr>
                <w:snapToGrid w:val="0"/>
                <w:sz w:val="20"/>
                <w:szCs w:val="20"/>
              </w:rPr>
              <w:t>1-1.6×0.9</w:t>
            </w:r>
          </w:p>
        </w:tc>
        <w:tc>
          <w:tcPr>
            <w:tcW w:w="299" w:type="pct"/>
            <w:vAlign w:val="center"/>
          </w:tcPr>
          <w:p>
            <w:pPr>
              <w:pStyle w:val="105"/>
              <w:spacing w:before="0"/>
              <w:jc w:val="center"/>
              <w:rPr>
                <w:snapToGrid w:val="0"/>
                <w:sz w:val="20"/>
                <w:szCs w:val="20"/>
              </w:rPr>
            </w:pPr>
            <w:r>
              <w:rPr>
                <w:snapToGrid w:val="0"/>
                <w:sz w:val="20"/>
                <w:szCs w:val="20"/>
              </w:rPr>
              <w:t>28.5</w:t>
            </w:r>
          </w:p>
        </w:tc>
        <w:tc>
          <w:tcPr>
            <w:tcW w:w="548" w:type="pct"/>
            <w:vAlign w:val="center"/>
          </w:tcPr>
          <w:p>
            <w:pPr>
              <w:pStyle w:val="105"/>
              <w:spacing w:before="0"/>
              <w:jc w:val="center"/>
              <w:rPr>
                <w:snapToGrid w:val="0"/>
                <w:sz w:val="20"/>
                <w:szCs w:val="20"/>
              </w:rPr>
            </w:pPr>
            <w:r>
              <w:rPr>
                <w:snapToGrid w:val="0"/>
                <w:sz w:val="20"/>
                <w:szCs w:val="20"/>
              </w:rPr>
              <w:t>-</w:t>
            </w:r>
          </w:p>
        </w:tc>
        <w:tc>
          <w:tcPr>
            <w:tcW w:w="548" w:type="pct"/>
            <w:vAlign w:val="center"/>
          </w:tcPr>
          <w:p>
            <w:pPr>
              <w:pStyle w:val="105"/>
              <w:spacing w:before="0"/>
              <w:jc w:val="center"/>
              <w:rPr>
                <w:snapToGrid w:val="0"/>
                <w:sz w:val="20"/>
                <w:szCs w:val="20"/>
              </w:rPr>
            </w:pPr>
            <w:r>
              <w:rPr>
                <w:snapToGrid w:val="0"/>
                <w:sz w:val="20"/>
                <w:szCs w:val="20"/>
              </w:rPr>
              <w:t>-</w:t>
            </w:r>
          </w:p>
        </w:tc>
        <w:tc>
          <w:tcPr>
            <w:tcW w:w="393" w:type="pct"/>
            <w:vAlign w:val="center"/>
          </w:tcPr>
          <w:p>
            <w:pPr>
              <w:pStyle w:val="105"/>
              <w:spacing w:before="0"/>
              <w:jc w:val="center"/>
              <w:rPr>
                <w:snapToGrid w:val="0"/>
                <w:sz w:val="20"/>
                <w:szCs w:val="20"/>
              </w:rPr>
            </w:pPr>
            <w:r>
              <w:rPr>
                <w:snapToGrid w:val="0"/>
                <w:sz w:val="20"/>
                <w:szCs w:val="20"/>
              </w:rPr>
              <w:t>-</w:t>
            </w:r>
          </w:p>
        </w:tc>
        <w:tc>
          <w:tcPr>
            <w:tcW w:w="488" w:type="pct"/>
            <w:vAlign w:val="center"/>
          </w:tcPr>
          <w:p>
            <w:pPr>
              <w:pStyle w:val="105"/>
              <w:spacing w:before="0"/>
              <w:jc w:val="center"/>
              <w:rPr>
                <w:snapToGrid w:val="0"/>
                <w:sz w:val="20"/>
                <w:szCs w:val="20"/>
              </w:rPr>
            </w:pPr>
            <w:r>
              <w:rPr>
                <w:snapToGrid w:val="0"/>
                <w:sz w:val="20"/>
                <w:szCs w:val="20"/>
              </w:rPr>
              <w:t>LNG</w:t>
            </w:r>
            <w:r>
              <w:rPr>
                <w:rFonts w:hint="eastAsia"/>
                <w:snapToGrid w:val="0"/>
                <w:sz w:val="20"/>
                <w:szCs w:val="20"/>
              </w:rPr>
              <w:t>保护涵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11</w:t>
            </w:r>
          </w:p>
        </w:tc>
        <w:tc>
          <w:tcPr>
            <w:tcW w:w="870" w:type="pct"/>
            <w:gridSpan w:val="2"/>
            <w:vAlign w:val="center"/>
          </w:tcPr>
          <w:p>
            <w:pPr>
              <w:pStyle w:val="105"/>
              <w:spacing w:before="0"/>
              <w:jc w:val="center"/>
              <w:rPr>
                <w:snapToGrid w:val="0"/>
                <w:sz w:val="20"/>
                <w:szCs w:val="20"/>
              </w:rPr>
            </w:pPr>
            <w:r>
              <w:rPr>
                <w:snapToGrid w:val="0"/>
                <w:sz w:val="20"/>
                <w:szCs w:val="20"/>
              </w:rPr>
              <w:t>K2+673.50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90</w:t>
            </w:r>
          </w:p>
        </w:tc>
        <w:tc>
          <w:tcPr>
            <w:tcW w:w="403" w:type="pct"/>
            <w:vAlign w:val="center"/>
          </w:tcPr>
          <w:p>
            <w:pPr>
              <w:pStyle w:val="105"/>
              <w:spacing w:before="0"/>
              <w:jc w:val="center"/>
              <w:rPr>
                <w:snapToGrid w:val="0"/>
                <w:sz w:val="20"/>
                <w:szCs w:val="20"/>
              </w:rPr>
            </w:pPr>
            <w:r>
              <w:rPr>
                <w:snapToGrid w:val="0"/>
                <w:sz w:val="20"/>
                <w:szCs w:val="20"/>
              </w:rPr>
              <w:t>0.69</w:t>
            </w:r>
          </w:p>
        </w:tc>
        <w:tc>
          <w:tcPr>
            <w:tcW w:w="463" w:type="pct"/>
            <w:vAlign w:val="center"/>
          </w:tcPr>
          <w:p>
            <w:pPr>
              <w:pStyle w:val="105"/>
              <w:spacing w:before="0"/>
              <w:jc w:val="center"/>
              <w:rPr>
                <w:snapToGrid w:val="0"/>
                <w:sz w:val="20"/>
                <w:szCs w:val="20"/>
              </w:rPr>
            </w:pPr>
            <w:r>
              <w:rPr>
                <w:snapToGrid w:val="0"/>
                <w:sz w:val="20"/>
                <w:szCs w:val="20"/>
              </w:rPr>
              <w:t>1-1.5</w:t>
            </w:r>
          </w:p>
        </w:tc>
        <w:tc>
          <w:tcPr>
            <w:tcW w:w="299" w:type="pct"/>
            <w:vAlign w:val="center"/>
          </w:tcPr>
          <w:p>
            <w:pPr>
              <w:pStyle w:val="105"/>
              <w:spacing w:before="0"/>
              <w:jc w:val="center"/>
              <w:rPr>
                <w:snapToGrid w:val="0"/>
                <w:sz w:val="20"/>
                <w:szCs w:val="20"/>
              </w:rPr>
            </w:pPr>
            <w:r>
              <w:rPr>
                <w:snapToGrid w:val="0"/>
                <w:sz w:val="20"/>
                <w:szCs w:val="20"/>
              </w:rPr>
              <w:t>14</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393" w:type="pct"/>
            <w:vAlign w:val="center"/>
          </w:tcPr>
          <w:p>
            <w:pPr>
              <w:pStyle w:val="105"/>
              <w:spacing w:before="0"/>
              <w:jc w:val="center"/>
              <w:rPr>
                <w:snapToGrid w:val="0"/>
                <w:sz w:val="20"/>
                <w:szCs w:val="20"/>
              </w:rPr>
            </w:pPr>
            <w:r>
              <w:rPr>
                <w:snapToGrid w:val="0"/>
                <w:sz w:val="20"/>
                <w:szCs w:val="20"/>
              </w:rPr>
              <w:t>4.66</w:t>
            </w:r>
          </w:p>
        </w:tc>
        <w:tc>
          <w:tcPr>
            <w:tcW w:w="488" w:type="pct"/>
            <w:vAlign w:val="center"/>
          </w:tcPr>
          <w:p>
            <w:pPr>
              <w:pStyle w:val="105"/>
              <w:spacing w:before="0"/>
              <w:jc w:val="center"/>
              <w:rPr>
                <w:snapToGrid w:val="0"/>
                <w:sz w:val="20"/>
                <w:szCs w:val="20"/>
              </w:rPr>
            </w:pPr>
            <w:r>
              <w:rPr>
                <w:rFonts w:hint="eastAsia"/>
                <w:snapToGrid w:val="0"/>
                <w:sz w:val="20"/>
                <w:szCs w:val="20"/>
              </w:rPr>
              <w:t>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12</w:t>
            </w:r>
          </w:p>
        </w:tc>
        <w:tc>
          <w:tcPr>
            <w:tcW w:w="870" w:type="pct"/>
            <w:gridSpan w:val="2"/>
            <w:vAlign w:val="center"/>
          </w:tcPr>
          <w:p>
            <w:pPr>
              <w:pStyle w:val="105"/>
              <w:spacing w:before="0"/>
              <w:jc w:val="center"/>
              <w:rPr>
                <w:snapToGrid w:val="0"/>
                <w:sz w:val="20"/>
                <w:szCs w:val="20"/>
              </w:rPr>
            </w:pPr>
            <w:r>
              <w:rPr>
                <w:snapToGrid w:val="0"/>
                <w:sz w:val="20"/>
                <w:szCs w:val="20"/>
              </w:rPr>
              <w:t>K2+871.50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120</w:t>
            </w:r>
          </w:p>
        </w:tc>
        <w:tc>
          <w:tcPr>
            <w:tcW w:w="403" w:type="pct"/>
            <w:vAlign w:val="center"/>
          </w:tcPr>
          <w:p>
            <w:pPr>
              <w:pStyle w:val="105"/>
              <w:spacing w:before="0"/>
              <w:jc w:val="center"/>
              <w:rPr>
                <w:snapToGrid w:val="0"/>
                <w:sz w:val="20"/>
                <w:szCs w:val="20"/>
              </w:rPr>
            </w:pPr>
            <w:r>
              <w:rPr>
                <w:snapToGrid w:val="0"/>
                <w:sz w:val="20"/>
                <w:szCs w:val="20"/>
              </w:rPr>
              <w:t>1.05</w:t>
            </w:r>
          </w:p>
        </w:tc>
        <w:tc>
          <w:tcPr>
            <w:tcW w:w="463" w:type="pct"/>
            <w:vAlign w:val="center"/>
          </w:tcPr>
          <w:p>
            <w:pPr>
              <w:pStyle w:val="105"/>
              <w:spacing w:before="0"/>
              <w:jc w:val="center"/>
              <w:rPr>
                <w:snapToGrid w:val="0"/>
                <w:sz w:val="20"/>
                <w:szCs w:val="20"/>
              </w:rPr>
            </w:pPr>
            <w:r>
              <w:rPr>
                <w:snapToGrid w:val="0"/>
                <w:sz w:val="20"/>
                <w:szCs w:val="20"/>
              </w:rPr>
              <w:t>1-1.5</w:t>
            </w:r>
          </w:p>
        </w:tc>
        <w:tc>
          <w:tcPr>
            <w:tcW w:w="299" w:type="pct"/>
            <w:vAlign w:val="center"/>
          </w:tcPr>
          <w:p>
            <w:pPr>
              <w:pStyle w:val="105"/>
              <w:spacing w:before="0"/>
              <w:jc w:val="center"/>
              <w:rPr>
                <w:snapToGrid w:val="0"/>
                <w:sz w:val="20"/>
                <w:szCs w:val="20"/>
              </w:rPr>
            </w:pPr>
            <w:r>
              <w:rPr>
                <w:snapToGrid w:val="0"/>
                <w:sz w:val="20"/>
                <w:szCs w:val="20"/>
              </w:rPr>
              <w:t>17.24</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393" w:type="pct"/>
            <w:vAlign w:val="center"/>
          </w:tcPr>
          <w:p>
            <w:pPr>
              <w:pStyle w:val="105"/>
              <w:spacing w:before="0"/>
              <w:jc w:val="center"/>
              <w:rPr>
                <w:snapToGrid w:val="0"/>
                <w:sz w:val="20"/>
                <w:szCs w:val="20"/>
              </w:rPr>
            </w:pPr>
            <w:r>
              <w:rPr>
                <w:snapToGrid w:val="0"/>
                <w:sz w:val="20"/>
                <w:szCs w:val="20"/>
              </w:rPr>
              <w:t>1.69</w:t>
            </w:r>
          </w:p>
        </w:tc>
        <w:tc>
          <w:tcPr>
            <w:tcW w:w="488" w:type="pct"/>
            <w:vAlign w:val="center"/>
          </w:tcPr>
          <w:p>
            <w:pPr>
              <w:pStyle w:val="105"/>
              <w:spacing w:before="0"/>
              <w:jc w:val="center"/>
              <w:rPr>
                <w:snapToGrid w:val="0"/>
                <w:sz w:val="20"/>
                <w:szCs w:val="20"/>
              </w:rPr>
            </w:pPr>
            <w:r>
              <w:rPr>
                <w:rFonts w:hint="eastAsia"/>
                <w:snapToGrid w:val="0"/>
                <w:sz w:val="20"/>
                <w:szCs w:val="20"/>
              </w:rPr>
              <w:t>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13</w:t>
            </w:r>
          </w:p>
        </w:tc>
        <w:tc>
          <w:tcPr>
            <w:tcW w:w="870" w:type="pct"/>
            <w:gridSpan w:val="2"/>
            <w:vAlign w:val="center"/>
          </w:tcPr>
          <w:p>
            <w:pPr>
              <w:pStyle w:val="105"/>
              <w:spacing w:before="0"/>
              <w:jc w:val="center"/>
              <w:rPr>
                <w:snapToGrid w:val="0"/>
                <w:sz w:val="20"/>
                <w:szCs w:val="20"/>
              </w:rPr>
            </w:pPr>
            <w:r>
              <w:rPr>
                <w:snapToGrid w:val="0"/>
                <w:sz w:val="20"/>
                <w:szCs w:val="20"/>
              </w:rPr>
              <w:t>K3+280.00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90</w:t>
            </w:r>
          </w:p>
        </w:tc>
        <w:tc>
          <w:tcPr>
            <w:tcW w:w="403" w:type="pct"/>
            <w:vAlign w:val="center"/>
          </w:tcPr>
          <w:p>
            <w:pPr>
              <w:pStyle w:val="105"/>
              <w:spacing w:before="0"/>
              <w:jc w:val="center"/>
              <w:rPr>
                <w:snapToGrid w:val="0"/>
                <w:sz w:val="20"/>
                <w:szCs w:val="20"/>
              </w:rPr>
            </w:pPr>
            <w:r>
              <w:rPr>
                <w:snapToGrid w:val="0"/>
                <w:sz w:val="20"/>
                <w:szCs w:val="20"/>
              </w:rPr>
              <w:t>0.66</w:t>
            </w:r>
          </w:p>
        </w:tc>
        <w:tc>
          <w:tcPr>
            <w:tcW w:w="463" w:type="pct"/>
            <w:vAlign w:val="center"/>
          </w:tcPr>
          <w:p>
            <w:pPr>
              <w:pStyle w:val="105"/>
              <w:spacing w:before="0"/>
              <w:jc w:val="center"/>
              <w:rPr>
                <w:snapToGrid w:val="0"/>
                <w:sz w:val="20"/>
                <w:szCs w:val="20"/>
              </w:rPr>
            </w:pPr>
            <w:r>
              <w:rPr>
                <w:snapToGrid w:val="0"/>
                <w:sz w:val="20"/>
                <w:szCs w:val="20"/>
              </w:rPr>
              <w:t>1-1.5</w:t>
            </w:r>
          </w:p>
        </w:tc>
        <w:tc>
          <w:tcPr>
            <w:tcW w:w="299" w:type="pct"/>
            <w:vAlign w:val="center"/>
          </w:tcPr>
          <w:p>
            <w:pPr>
              <w:pStyle w:val="105"/>
              <w:spacing w:before="0"/>
              <w:jc w:val="center"/>
              <w:rPr>
                <w:snapToGrid w:val="0"/>
                <w:sz w:val="20"/>
                <w:szCs w:val="20"/>
              </w:rPr>
            </w:pPr>
            <w:r>
              <w:rPr>
                <w:snapToGrid w:val="0"/>
                <w:sz w:val="20"/>
                <w:szCs w:val="20"/>
              </w:rPr>
              <w:t>14</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393" w:type="pct"/>
            <w:vAlign w:val="center"/>
          </w:tcPr>
          <w:p>
            <w:pPr>
              <w:pStyle w:val="105"/>
              <w:spacing w:before="0"/>
              <w:jc w:val="center"/>
              <w:rPr>
                <w:snapToGrid w:val="0"/>
                <w:sz w:val="20"/>
                <w:szCs w:val="20"/>
              </w:rPr>
            </w:pPr>
            <w:r>
              <w:rPr>
                <w:snapToGrid w:val="0"/>
                <w:sz w:val="20"/>
                <w:szCs w:val="20"/>
              </w:rPr>
              <w:t>1.69</w:t>
            </w:r>
          </w:p>
        </w:tc>
        <w:tc>
          <w:tcPr>
            <w:tcW w:w="488" w:type="pct"/>
            <w:vAlign w:val="center"/>
          </w:tcPr>
          <w:p>
            <w:pPr>
              <w:pStyle w:val="105"/>
              <w:spacing w:before="0"/>
              <w:jc w:val="center"/>
              <w:rPr>
                <w:snapToGrid w:val="0"/>
                <w:sz w:val="20"/>
                <w:szCs w:val="20"/>
              </w:rPr>
            </w:pPr>
            <w:r>
              <w:rPr>
                <w:rFonts w:hint="eastAsia"/>
                <w:snapToGrid w:val="0"/>
                <w:sz w:val="20"/>
                <w:szCs w:val="20"/>
              </w:rPr>
              <w:t>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14</w:t>
            </w:r>
          </w:p>
        </w:tc>
        <w:tc>
          <w:tcPr>
            <w:tcW w:w="870" w:type="pct"/>
            <w:gridSpan w:val="2"/>
            <w:vAlign w:val="center"/>
          </w:tcPr>
          <w:p>
            <w:pPr>
              <w:pStyle w:val="105"/>
              <w:spacing w:before="0"/>
              <w:jc w:val="center"/>
              <w:rPr>
                <w:snapToGrid w:val="0"/>
                <w:sz w:val="20"/>
                <w:szCs w:val="20"/>
              </w:rPr>
            </w:pPr>
            <w:r>
              <w:rPr>
                <w:snapToGrid w:val="0"/>
                <w:sz w:val="20"/>
                <w:szCs w:val="20"/>
              </w:rPr>
              <w:t>K3+436.500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盖板涵</w:t>
            </w:r>
          </w:p>
        </w:tc>
        <w:tc>
          <w:tcPr>
            <w:tcW w:w="316" w:type="pct"/>
            <w:vAlign w:val="center"/>
          </w:tcPr>
          <w:p>
            <w:pPr>
              <w:pStyle w:val="105"/>
              <w:spacing w:before="0"/>
              <w:jc w:val="center"/>
              <w:rPr>
                <w:snapToGrid w:val="0"/>
                <w:sz w:val="20"/>
                <w:szCs w:val="20"/>
              </w:rPr>
            </w:pPr>
            <w:r>
              <w:rPr>
                <w:snapToGrid w:val="0"/>
                <w:sz w:val="20"/>
                <w:szCs w:val="20"/>
              </w:rPr>
              <w:t>80</w:t>
            </w:r>
          </w:p>
        </w:tc>
        <w:tc>
          <w:tcPr>
            <w:tcW w:w="403" w:type="pct"/>
            <w:vAlign w:val="center"/>
          </w:tcPr>
          <w:p>
            <w:pPr>
              <w:pStyle w:val="105"/>
              <w:spacing w:before="0"/>
              <w:jc w:val="center"/>
              <w:rPr>
                <w:snapToGrid w:val="0"/>
                <w:sz w:val="20"/>
                <w:szCs w:val="20"/>
              </w:rPr>
            </w:pPr>
            <w:r>
              <w:rPr>
                <w:snapToGrid w:val="0"/>
                <w:sz w:val="20"/>
                <w:szCs w:val="20"/>
              </w:rPr>
              <w:t>0.19-0.51</w:t>
            </w:r>
          </w:p>
        </w:tc>
        <w:tc>
          <w:tcPr>
            <w:tcW w:w="463" w:type="pct"/>
            <w:vAlign w:val="center"/>
          </w:tcPr>
          <w:p>
            <w:pPr>
              <w:pStyle w:val="105"/>
              <w:spacing w:before="0"/>
              <w:jc w:val="center"/>
              <w:rPr>
                <w:snapToGrid w:val="0"/>
                <w:sz w:val="20"/>
                <w:szCs w:val="20"/>
              </w:rPr>
            </w:pPr>
            <w:r>
              <w:rPr>
                <w:snapToGrid w:val="0"/>
                <w:sz w:val="20"/>
                <w:szCs w:val="20"/>
              </w:rPr>
              <w:t>3-4.0×3.5</w:t>
            </w:r>
          </w:p>
        </w:tc>
        <w:tc>
          <w:tcPr>
            <w:tcW w:w="299" w:type="pct"/>
            <w:vAlign w:val="center"/>
          </w:tcPr>
          <w:p>
            <w:pPr>
              <w:pStyle w:val="105"/>
              <w:spacing w:before="0"/>
              <w:jc w:val="center"/>
              <w:rPr>
                <w:snapToGrid w:val="0"/>
                <w:sz w:val="20"/>
                <w:szCs w:val="20"/>
              </w:rPr>
            </w:pPr>
            <w:r>
              <w:rPr>
                <w:snapToGrid w:val="0"/>
                <w:sz w:val="20"/>
                <w:szCs w:val="20"/>
              </w:rPr>
              <w:t>12.68</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铺砌</w:t>
            </w:r>
          </w:p>
        </w:tc>
        <w:tc>
          <w:tcPr>
            <w:tcW w:w="393" w:type="pct"/>
            <w:vAlign w:val="center"/>
          </w:tcPr>
          <w:p>
            <w:pPr>
              <w:pStyle w:val="105"/>
              <w:spacing w:before="0"/>
              <w:jc w:val="center"/>
              <w:rPr>
                <w:snapToGrid w:val="0"/>
                <w:sz w:val="20"/>
                <w:szCs w:val="20"/>
              </w:rPr>
            </w:pPr>
            <w:r>
              <w:rPr>
                <w:snapToGrid w:val="0"/>
                <w:sz w:val="20"/>
                <w:szCs w:val="20"/>
              </w:rPr>
              <w:t>57.60</w:t>
            </w:r>
          </w:p>
        </w:tc>
        <w:tc>
          <w:tcPr>
            <w:tcW w:w="488" w:type="pct"/>
            <w:vAlign w:val="center"/>
          </w:tcPr>
          <w:p>
            <w:pPr>
              <w:pStyle w:val="105"/>
              <w:spacing w:before="0"/>
              <w:jc w:val="center"/>
              <w:rPr>
                <w:snapToGrid w:val="0"/>
                <w:sz w:val="20"/>
                <w:szCs w:val="20"/>
              </w:rPr>
            </w:pPr>
            <w:r>
              <w:rPr>
                <w:rFonts w:hint="eastAsia"/>
                <w:snapToGrid w:val="0"/>
                <w:sz w:val="20"/>
                <w:szCs w:val="20"/>
              </w:rPr>
              <w:t>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15</w:t>
            </w:r>
          </w:p>
        </w:tc>
        <w:tc>
          <w:tcPr>
            <w:tcW w:w="870" w:type="pct"/>
            <w:gridSpan w:val="2"/>
            <w:vAlign w:val="center"/>
          </w:tcPr>
          <w:p>
            <w:pPr>
              <w:pStyle w:val="105"/>
              <w:spacing w:before="0"/>
              <w:jc w:val="center"/>
              <w:rPr>
                <w:snapToGrid w:val="0"/>
                <w:sz w:val="20"/>
                <w:szCs w:val="20"/>
              </w:rPr>
            </w:pPr>
            <w:r>
              <w:rPr>
                <w:snapToGrid w:val="0"/>
                <w:sz w:val="20"/>
                <w:szCs w:val="20"/>
              </w:rPr>
              <w:t>K3+499.00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盖板涵</w:t>
            </w:r>
          </w:p>
        </w:tc>
        <w:tc>
          <w:tcPr>
            <w:tcW w:w="316" w:type="pct"/>
            <w:vAlign w:val="center"/>
          </w:tcPr>
          <w:p>
            <w:pPr>
              <w:pStyle w:val="105"/>
              <w:spacing w:before="0"/>
              <w:jc w:val="center"/>
              <w:rPr>
                <w:snapToGrid w:val="0"/>
                <w:sz w:val="20"/>
                <w:szCs w:val="20"/>
              </w:rPr>
            </w:pPr>
            <w:r>
              <w:rPr>
                <w:snapToGrid w:val="0"/>
                <w:sz w:val="20"/>
                <w:szCs w:val="20"/>
              </w:rPr>
              <w:t>74</w:t>
            </w:r>
          </w:p>
        </w:tc>
        <w:tc>
          <w:tcPr>
            <w:tcW w:w="403" w:type="pct"/>
            <w:vAlign w:val="center"/>
          </w:tcPr>
          <w:p>
            <w:pPr>
              <w:pStyle w:val="105"/>
              <w:spacing w:before="0"/>
              <w:jc w:val="center"/>
              <w:rPr>
                <w:snapToGrid w:val="0"/>
                <w:sz w:val="20"/>
                <w:szCs w:val="20"/>
              </w:rPr>
            </w:pPr>
            <w:r>
              <w:rPr>
                <w:snapToGrid w:val="0"/>
                <w:sz w:val="20"/>
                <w:szCs w:val="20"/>
              </w:rPr>
              <w:t>0.90</w:t>
            </w:r>
          </w:p>
        </w:tc>
        <w:tc>
          <w:tcPr>
            <w:tcW w:w="463" w:type="pct"/>
            <w:vAlign w:val="center"/>
          </w:tcPr>
          <w:p>
            <w:pPr>
              <w:pStyle w:val="105"/>
              <w:spacing w:before="0"/>
              <w:jc w:val="center"/>
              <w:rPr>
                <w:snapToGrid w:val="0"/>
                <w:sz w:val="20"/>
                <w:szCs w:val="20"/>
              </w:rPr>
            </w:pPr>
            <w:r>
              <w:rPr>
                <w:snapToGrid w:val="0"/>
                <w:sz w:val="20"/>
                <w:szCs w:val="20"/>
              </w:rPr>
              <w:t>1-5.0×2.0</w:t>
            </w:r>
          </w:p>
        </w:tc>
        <w:tc>
          <w:tcPr>
            <w:tcW w:w="299" w:type="pct"/>
            <w:vAlign w:val="center"/>
          </w:tcPr>
          <w:p>
            <w:pPr>
              <w:pStyle w:val="105"/>
              <w:spacing w:before="0"/>
              <w:jc w:val="center"/>
              <w:rPr>
                <w:snapToGrid w:val="0"/>
                <w:sz w:val="20"/>
                <w:szCs w:val="20"/>
              </w:rPr>
            </w:pPr>
            <w:r>
              <w:rPr>
                <w:snapToGrid w:val="0"/>
                <w:sz w:val="20"/>
                <w:szCs w:val="20"/>
              </w:rPr>
              <w:t>29.2</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393" w:type="pct"/>
            <w:vAlign w:val="center"/>
          </w:tcPr>
          <w:p>
            <w:pPr>
              <w:pStyle w:val="105"/>
              <w:spacing w:before="0"/>
              <w:jc w:val="center"/>
              <w:rPr>
                <w:snapToGrid w:val="0"/>
                <w:sz w:val="20"/>
                <w:szCs w:val="20"/>
              </w:rPr>
            </w:pPr>
            <w:r>
              <w:rPr>
                <w:snapToGrid w:val="0"/>
                <w:sz w:val="20"/>
                <w:szCs w:val="20"/>
              </w:rPr>
              <w:t>19.00</w:t>
            </w:r>
          </w:p>
        </w:tc>
        <w:tc>
          <w:tcPr>
            <w:tcW w:w="488" w:type="pct"/>
            <w:vAlign w:val="center"/>
          </w:tcPr>
          <w:p>
            <w:pPr>
              <w:pStyle w:val="105"/>
              <w:spacing w:before="0"/>
              <w:jc w:val="center"/>
              <w:rPr>
                <w:snapToGrid w:val="0"/>
                <w:sz w:val="20"/>
                <w:szCs w:val="20"/>
              </w:rPr>
            </w:pPr>
            <w:r>
              <w:rPr>
                <w:rFonts w:hint="eastAsia"/>
                <w:snapToGrid w:val="0"/>
                <w:sz w:val="20"/>
                <w:szCs w:val="20"/>
              </w:rPr>
              <w:t>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16</w:t>
            </w:r>
          </w:p>
        </w:tc>
        <w:tc>
          <w:tcPr>
            <w:tcW w:w="870" w:type="pct"/>
            <w:gridSpan w:val="2"/>
            <w:vAlign w:val="center"/>
          </w:tcPr>
          <w:p>
            <w:pPr>
              <w:pStyle w:val="105"/>
              <w:spacing w:before="0"/>
              <w:jc w:val="center"/>
              <w:rPr>
                <w:snapToGrid w:val="0"/>
                <w:sz w:val="20"/>
                <w:szCs w:val="20"/>
              </w:rPr>
            </w:pPr>
            <w:r>
              <w:rPr>
                <w:snapToGrid w:val="0"/>
                <w:sz w:val="20"/>
                <w:szCs w:val="20"/>
              </w:rPr>
              <w:t>K3+640.00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盖板涵</w:t>
            </w:r>
          </w:p>
        </w:tc>
        <w:tc>
          <w:tcPr>
            <w:tcW w:w="316" w:type="pct"/>
            <w:vAlign w:val="center"/>
          </w:tcPr>
          <w:p>
            <w:pPr>
              <w:pStyle w:val="105"/>
              <w:spacing w:before="0"/>
              <w:jc w:val="center"/>
              <w:rPr>
                <w:snapToGrid w:val="0"/>
                <w:sz w:val="20"/>
                <w:szCs w:val="20"/>
              </w:rPr>
            </w:pPr>
            <w:r>
              <w:rPr>
                <w:snapToGrid w:val="0"/>
                <w:sz w:val="20"/>
                <w:szCs w:val="20"/>
              </w:rPr>
              <w:t>117</w:t>
            </w:r>
          </w:p>
        </w:tc>
        <w:tc>
          <w:tcPr>
            <w:tcW w:w="403" w:type="pct"/>
            <w:vAlign w:val="center"/>
          </w:tcPr>
          <w:p>
            <w:pPr>
              <w:pStyle w:val="105"/>
              <w:spacing w:before="0"/>
              <w:jc w:val="center"/>
              <w:rPr>
                <w:snapToGrid w:val="0"/>
                <w:sz w:val="20"/>
                <w:szCs w:val="20"/>
              </w:rPr>
            </w:pPr>
            <w:r>
              <w:rPr>
                <w:snapToGrid w:val="0"/>
                <w:sz w:val="20"/>
                <w:szCs w:val="20"/>
              </w:rPr>
              <w:t>0.16~0‘63</w:t>
            </w:r>
          </w:p>
        </w:tc>
        <w:tc>
          <w:tcPr>
            <w:tcW w:w="463" w:type="pct"/>
            <w:vAlign w:val="center"/>
          </w:tcPr>
          <w:p>
            <w:pPr>
              <w:pStyle w:val="105"/>
              <w:spacing w:before="0"/>
              <w:jc w:val="center"/>
              <w:rPr>
                <w:snapToGrid w:val="0"/>
                <w:sz w:val="20"/>
                <w:szCs w:val="20"/>
              </w:rPr>
            </w:pPr>
            <w:r>
              <w:rPr>
                <w:snapToGrid w:val="0"/>
                <w:sz w:val="20"/>
                <w:szCs w:val="20"/>
              </w:rPr>
              <w:t>3-4.0×3.5</w:t>
            </w:r>
          </w:p>
        </w:tc>
        <w:tc>
          <w:tcPr>
            <w:tcW w:w="299" w:type="pct"/>
            <w:vAlign w:val="center"/>
          </w:tcPr>
          <w:p>
            <w:pPr>
              <w:pStyle w:val="105"/>
              <w:spacing w:before="0"/>
              <w:jc w:val="center"/>
              <w:rPr>
                <w:snapToGrid w:val="0"/>
                <w:sz w:val="20"/>
                <w:szCs w:val="20"/>
              </w:rPr>
            </w:pPr>
            <w:r>
              <w:rPr>
                <w:snapToGrid w:val="0"/>
                <w:sz w:val="20"/>
                <w:szCs w:val="20"/>
              </w:rPr>
              <w:t>16.08</w:t>
            </w:r>
          </w:p>
        </w:tc>
        <w:tc>
          <w:tcPr>
            <w:tcW w:w="548" w:type="pct"/>
            <w:vAlign w:val="center"/>
          </w:tcPr>
          <w:p>
            <w:pPr>
              <w:pStyle w:val="105"/>
              <w:spacing w:before="0"/>
              <w:jc w:val="center"/>
              <w:rPr>
                <w:snapToGrid w:val="0"/>
                <w:sz w:val="20"/>
                <w:szCs w:val="20"/>
              </w:rPr>
            </w:pPr>
            <w:r>
              <w:rPr>
                <w:rFonts w:hint="eastAsia"/>
                <w:snapToGrid w:val="0"/>
                <w:sz w:val="20"/>
                <w:szCs w:val="20"/>
              </w:rPr>
              <w:t>挡墙</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393" w:type="pct"/>
            <w:vAlign w:val="center"/>
          </w:tcPr>
          <w:p>
            <w:pPr>
              <w:pStyle w:val="105"/>
              <w:spacing w:before="0"/>
              <w:jc w:val="center"/>
              <w:rPr>
                <w:snapToGrid w:val="0"/>
                <w:sz w:val="20"/>
                <w:szCs w:val="20"/>
              </w:rPr>
            </w:pPr>
            <w:r>
              <w:rPr>
                <w:snapToGrid w:val="0"/>
                <w:sz w:val="20"/>
                <w:szCs w:val="20"/>
              </w:rPr>
              <w:t>57.60</w:t>
            </w:r>
          </w:p>
        </w:tc>
        <w:tc>
          <w:tcPr>
            <w:tcW w:w="488" w:type="pct"/>
            <w:vAlign w:val="center"/>
          </w:tcPr>
          <w:p>
            <w:pPr>
              <w:pStyle w:val="105"/>
              <w:spacing w:before="0"/>
              <w:jc w:val="center"/>
              <w:rPr>
                <w:snapToGrid w:val="0"/>
                <w:sz w:val="20"/>
                <w:szCs w:val="20"/>
              </w:rPr>
            </w:pPr>
            <w:r>
              <w:rPr>
                <w:rFonts w:hint="eastAsia"/>
                <w:snapToGrid w:val="0"/>
                <w:sz w:val="20"/>
                <w:szCs w:val="20"/>
              </w:rPr>
              <w:t>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17</w:t>
            </w:r>
          </w:p>
        </w:tc>
        <w:tc>
          <w:tcPr>
            <w:tcW w:w="870" w:type="pct"/>
            <w:gridSpan w:val="2"/>
            <w:vAlign w:val="center"/>
          </w:tcPr>
          <w:p>
            <w:pPr>
              <w:pStyle w:val="105"/>
              <w:spacing w:before="0"/>
              <w:jc w:val="center"/>
              <w:rPr>
                <w:snapToGrid w:val="0"/>
                <w:sz w:val="20"/>
                <w:szCs w:val="20"/>
              </w:rPr>
            </w:pPr>
            <w:r>
              <w:rPr>
                <w:snapToGrid w:val="0"/>
                <w:sz w:val="20"/>
                <w:szCs w:val="20"/>
              </w:rPr>
              <w:t>K3+810.00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120</w:t>
            </w:r>
          </w:p>
        </w:tc>
        <w:tc>
          <w:tcPr>
            <w:tcW w:w="403" w:type="pct"/>
            <w:vAlign w:val="center"/>
          </w:tcPr>
          <w:p>
            <w:pPr>
              <w:pStyle w:val="105"/>
              <w:spacing w:before="0"/>
              <w:jc w:val="center"/>
              <w:rPr>
                <w:snapToGrid w:val="0"/>
                <w:sz w:val="20"/>
                <w:szCs w:val="20"/>
              </w:rPr>
            </w:pPr>
            <w:r>
              <w:rPr>
                <w:snapToGrid w:val="0"/>
                <w:sz w:val="20"/>
                <w:szCs w:val="20"/>
              </w:rPr>
              <w:t>0.76</w:t>
            </w:r>
          </w:p>
        </w:tc>
        <w:tc>
          <w:tcPr>
            <w:tcW w:w="463" w:type="pct"/>
            <w:vAlign w:val="center"/>
          </w:tcPr>
          <w:p>
            <w:pPr>
              <w:pStyle w:val="105"/>
              <w:spacing w:before="0"/>
              <w:jc w:val="center"/>
              <w:rPr>
                <w:snapToGrid w:val="0"/>
                <w:sz w:val="20"/>
                <w:szCs w:val="20"/>
              </w:rPr>
            </w:pPr>
            <w:r>
              <w:rPr>
                <w:snapToGrid w:val="0"/>
                <w:sz w:val="20"/>
                <w:szCs w:val="20"/>
              </w:rPr>
              <w:t>1-1.5</w:t>
            </w:r>
          </w:p>
        </w:tc>
        <w:tc>
          <w:tcPr>
            <w:tcW w:w="299" w:type="pct"/>
            <w:vAlign w:val="center"/>
          </w:tcPr>
          <w:p>
            <w:pPr>
              <w:pStyle w:val="105"/>
              <w:spacing w:before="0"/>
              <w:jc w:val="center"/>
              <w:rPr>
                <w:snapToGrid w:val="0"/>
                <w:sz w:val="20"/>
                <w:szCs w:val="20"/>
              </w:rPr>
            </w:pPr>
            <w:r>
              <w:rPr>
                <w:snapToGrid w:val="0"/>
                <w:sz w:val="20"/>
                <w:szCs w:val="20"/>
              </w:rPr>
              <w:t>15.6</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393" w:type="pct"/>
            <w:vAlign w:val="center"/>
          </w:tcPr>
          <w:p>
            <w:pPr>
              <w:pStyle w:val="105"/>
              <w:spacing w:before="0"/>
              <w:jc w:val="center"/>
              <w:rPr>
                <w:snapToGrid w:val="0"/>
                <w:sz w:val="20"/>
                <w:szCs w:val="20"/>
              </w:rPr>
            </w:pPr>
            <w:r>
              <w:rPr>
                <w:snapToGrid w:val="0"/>
                <w:sz w:val="20"/>
                <w:szCs w:val="20"/>
              </w:rPr>
              <w:t>4.66</w:t>
            </w:r>
          </w:p>
        </w:tc>
        <w:tc>
          <w:tcPr>
            <w:tcW w:w="488" w:type="pct"/>
            <w:vAlign w:val="center"/>
          </w:tcPr>
          <w:p>
            <w:pPr>
              <w:pStyle w:val="105"/>
              <w:spacing w:before="0"/>
              <w:jc w:val="center"/>
              <w:rPr>
                <w:snapToGrid w:val="0"/>
                <w:sz w:val="20"/>
                <w:szCs w:val="20"/>
              </w:rPr>
            </w:pPr>
            <w:r>
              <w:rPr>
                <w:rFonts w:hint="eastAsia"/>
                <w:snapToGrid w:val="0"/>
                <w:sz w:val="20"/>
                <w:szCs w:val="20"/>
              </w:rPr>
              <w:t>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18</w:t>
            </w:r>
          </w:p>
        </w:tc>
        <w:tc>
          <w:tcPr>
            <w:tcW w:w="870" w:type="pct"/>
            <w:gridSpan w:val="2"/>
            <w:vAlign w:val="center"/>
          </w:tcPr>
          <w:p>
            <w:pPr>
              <w:pStyle w:val="105"/>
              <w:spacing w:before="0"/>
              <w:jc w:val="center"/>
              <w:rPr>
                <w:snapToGrid w:val="0"/>
                <w:sz w:val="20"/>
                <w:szCs w:val="20"/>
              </w:rPr>
            </w:pPr>
            <w:r>
              <w:rPr>
                <w:snapToGrid w:val="0"/>
                <w:sz w:val="20"/>
                <w:szCs w:val="20"/>
              </w:rPr>
              <w:t>K3+870.00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120</w:t>
            </w:r>
          </w:p>
        </w:tc>
        <w:tc>
          <w:tcPr>
            <w:tcW w:w="403" w:type="pct"/>
            <w:vAlign w:val="center"/>
          </w:tcPr>
          <w:p>
            <w:pPr>
              <w:pStyle w:val="105"/>
              <w:spacing w:before="0"/>
              <w:jc w:val="center"/>
              <w:rPr>
                <w:snapToGrid w:val="0"/>
                <w:sz w:val="20"/>
                <w:szCs w:val="20"/>
              </w:rPr>
            </w:pPr>
            <w:r>
              <w:rPr>
                <w:snapToGrid w:val="0"/>
                <w:sz w:val="20"/>
                <w:szCs w:val="20"/>
              </w:rPr>
              <w:t>1.00</w:t>
            </w:r>
          </w:p>
        </w:tc>
        <w:tc>
          <w:tcPr>
            <w:tcW w:w="463" w:type="pct"/>
            <w:vAlign w:val="center"/>
          </w:tcPr>
          <w:p>
            <w:pPr>
              <w:pStyle w:val="105"/>
              <w:spacing w:before="0"/>
              <w:jc w:val="center"/>
              <w:rPr>
                <w:snapToGrid w:val="0"/>
                <w:sz w:val="20"/>
                <w:szCs w:val="20"/>
              </w:rPr>
            </w:pPr>
            <w:r>
              <w:rPr>
                <w:snapToGrid w:val="0"/>
                <w:sz w:val="20"/>
                <w:szCs w:val="20"/>
              </w:rPr>
              <w:t>1-1.5</w:t>
            </w:r>
          </w:p>
        </w:tc>
        <w:tc>
          <w:tcPr>
            <w:tcW w:w="299" w:type="pct"/>
            <w:vAlign w:val="center"/>
          </w:tcPr>
          <w:p>
            <w:pPr>
              <w:pStyle w:val="105"/>
              <w:spacing w:before="0"/>
              <w:jc w:val="center"/>
              <w:rPr>
                <w:snapToGrid w:val="0"/>
                <w:sz w:val="20"/>
                <w:szCs w:val="20"/>
              </w:rPr>
            </w:pPr>
            <w:r>
              <w:rPr>
                <w:snapToGrid w:val="0"/>
                <w:sz w:val="20"/>
                <w:szCs w:val="20"/>
              </w:rPr>
              <w:t>16.03</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393" w:type="pct"/>
            <w:vAlign w:val="center"/>
          </w:tcPr>
          <w:p>
            <w:pPr>
              <w:pStyle w:val="105"/>
              <w:spacing w:before="0"/>
              <w:jc w:val="center"/>
              <w:rPr>
                <w:snapToGrid w:val="0"/>
                <w:sz w:val="20"/>
                <w:szCs w:val="20"/>
              </w:rPr>
            </w:pPr>
            <w:r>
              <w:rPr>
                <w:snapToGrid w:val="0"/>
                <w:sz w:val="20"/>
                <w:szCs w:val="20"/>
              </w:rPr>
              <w:t>4.6.6</w:t>
            </w:r>
          </w:p>
        </w:tc>
        <w:tc>
          <w:tcPr>
            <w:tcW w:w="488" w:type="pct"/>
            <w:vAlign w:val="center"/>
          </w:tcPr>
          <w:p>
            <w:pPr>
              <w:pStyle w:val="105"/>
              <w:spacing w:before="0"/>
              <w:jc w:val="center"/>
              <w:rPr>
                <w:snapToGrid w:val="0"/>
                <w:sz w:val="20"/>
                <w:szCs w:val="20"/>
              </w:rPr>
            </w:pPr>
            <w:r>
              <w:rPr>
                <w:rFonts w:hint="eastAsia"/>
                <w:snapToGrid w:val="0"/>
                <w:sz w:val="20"/>
                <w:szCs w:val="20"/>
              </w:rPr>
              <w:t>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19</w:t>
            </w:r>
          </w:p>
        </w:tc>
        <w:tc>
          <w:tcPr>
            <w:tcW w:w="870" w:type="pct"/>
            <w:gridSpan w:val="2"/>
            <w:vAlign w:val="center"/>
          </w:tcPr>
          <w:p>
            <w:pPr>
              <w:pStyle w:val="105"/>
              <w:spacing w:before="0"/>
              <w:jc w:val="center"/>
              <w:rPr>
                <w:snapToGrid w:val="0"/>
                <w:sz w:val="20"/>
                <w:szCs w:val="20"/>
              </w:rPr>
            </w:pPr>
            <w:r>
              <w:rPr>
                <w:snapToGrid w:val="0"/>
                <w:sz w:val="20"/>
                <w:szCs w:val="20"/>
              </w:rPr>
              <w:t>K3+904.00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盖板涵</w:t>
            </w:r>
          </w:p>
        </w:tc>
        <w:tc>
          <w:tcPr>
            <w:tcW w:w="316" w:type="pct"/>
            <w:vAlign w:val="center"/>
          </w:tcPr>
          <w:p>
            <w:pPr>
              <w:pStyle w:val="105"/>
              <w:spacing w:before="0"/>
              <w:jc w:val="center"/>
              <w:rPr>
                <w:snapToGrid w:val="0"/>
                <w:sz w:val="20"/>
                <w:szCs w:val="20"/>
              </w:rPr>
            </w:pPr>
            <w:r>
              <w:rPr>
                <w:snapToGrid w:val="0"/>
                <w:sz w:val="20"/>
                <w:szCs w:val="20"/>
              </w:rPr>
              <w:t>51</w:t>
            </w:r>
          </w:p>
        </w:tc>
        <w:tc>
          <w:tcPr>
            <w:tcW w:w="403" w:type="pct"/>
            <w:vAlign w:val="center"/>
          </w:tcPr>
          <w:p>
            <w:pPr>
              <w:pStyle w:val="105"/>
              <w:spacing w:before="0"/>
              <w:jc w:val="center"/>
              <w:rPr>
                <w:snapToGrid w:val="0"/>
                <w:sz w:val="20"/>
                <w:szCs w:val="20"/>
              </w:rPr>
            </w:pPr>
            <w:r>
              <w:rPr>
                <w:snapToGrid w:val="0"/>
                <w:sz w:val="20"/>
                <w:szCs w:val="20"/>
              </w:rPr>
              <w:t>4.20</w:t>
            </w:r>
          </w:p>
        </w:tc>
        <w:tc>
          <w:tcPr>
            <w:tcW w:w="463" w:type="pct"/>
            <w:vAlign w:val="center"/>
          </w:tcPr>
          <w:p>
            <w:pPr>
              <w:pStyle w:val="105"/>
              <w:spacing w:before="0"/>
              <w:jc w:val="center"/>
              <w:rPr>
                <w:snapToGrid w:val="0"/>
                <w:sz w:val="20"/>
                <w:szCs w:val="20"/>
              </w:rPr>
            </w:pPr>
            <w:r>
              <w:rPr>
                <w:snapToGrid w:val="0"/>
                <w:sz w:val="20"/>
                <w:szCs w:val="20"/>
              </w:rPr>
              <w:t>1-2.0×</w:t>
            </w:r>
          </w:p>
          <w:p>
            <w:pPr>
              <w:pStyle w:val="105"/>
              <w:spacing w:before="0"/>
              <w:jc w:val="center"/>
              <w:rPr>
                <w:snapToGrid w:val="0"/>
                <w:sz w:val="20"/>
                <w:szCs w:val="20"/>
              </w:rPr>
            </w:pPr>
            <w:r>
              <w:rPr>
                <w:snapToGrid w:val="0"/>
                <w:sz w:val="20"/>
                <w:szCs w:val="20"/>
              </w:rPr>
              <w:t>1.5</w:t>
            </w:r>
          </w:p>
        </w:tc>
        <w:tc>
          <w:tcPr>
            <w:tcW w:w="299" w:type="pct"/>
            <w:vAlign w:val="center"/>
          </w:tcPr>
          <w:p>
            <w:pPr>
              <w:pStyle w:val="105"/>
              <w:spacing w:before="0"/>
              <w:jc w:val="center"/>
              <w:rPr>
                <w:snapToGrid w:val="0"/>
                <w:sz w:val="20"/>
                <w:szCs w:val="20"/>
              </w:rPr>
            </w:pPr>
            <w:r>
              <w:rPr>
                <w:snapToGrid w:val="0"/>
                <w:sz w:val="20"/>
                <w:szCs w:val="20"/>
              </w:rPr>
              <w:t>34</w:t>
            </w:r>
          </w:p>
        </w:tc>
        <w:tc>
          <w:tcPr>
            <w:tcW w:w="548" w:type="pct"/>
            <w:vAlign w:val="center"/>
          </w:tcPr>
          <w:p>
            <w:pPr>
              <w:pStyle w:val="105"/>
              <w:spacing w:before="0"/>
              <w:jc w:val="center"/>
              <w:rPr>
                <w:snapToGrid w:val="0"/>
                <w:sz w:val="20"/>
                <w:szCs w:val="20"/>
              </w:rPr>
            </w:pPr>
            <w:r>
              <w:rPr>
                <w:snapToGrid w:val="0"/>
                <w:sz w:val="20"/>
                <w:szCs w:val="20"/>
              </w:rPr>
              <w:t>-</w:t>
            </w:r>
          </w:p>
        </w:tc>
        <w:tc>
          <w:tcPr>
            <w:tcW w:w="548" w:type="pct"/>
            <w:vAlign w:val="center"/>
          </w:tcPr>
          <w:p>
            <w:pPr>
              <w:pStyle w:val="105"/>
              <w:spacing w:before="0"/>
              <w:jc w:val="center"/>
              <w:rPr>
                <w:snapToGrid w:val="0"/>
                <w:sz w:val="20"/>
                <w:szCs w:val="20"/>
              </w:rPr>
            </w:pPr>
            <w:r>
              <w:rPr>
                <w:snapToGrid w:val="0"/>
                <w:sz w:val="20"/>
                <w:szCs w:val="20"/>
              </w:rPr>
              <w:t>-</w:t>
            </w:r>
          </w:p>
        </w:tc>
        <w:tc>
          <w:tcPr>
            <w:tcW w:w="393" w:type="pct"/>
            <w:vAlign w:val="center"/>
          </w:tcPr>
          <w:p>
            <w:pPr>
              <w:pStyle w:val="105"/>
              <w:spacing w:before="0"/>
              <w:jc w:val="center"/>
              <w:rPr>
                <w:snapToGrid w:val="0"/>
                <w:sz w:val="20"/>
                <w:szCs w:val="20"/>
              </w:rPr>
            </w:pPr>
            <w:r>
              <w:rPr>
                <w:snapToGrid w:val="0"/>
                <w:sz w:val="20"/>
                <w:szCs w:val="20"/>
              </w:rPr>
              <w:t>-</w:t>
            </w:r>
          </w:p>
        </w:tc>
        <w:tc>
          <w:tcPr>
            <w:tcW w:w="488" w:type="pct"/>
            <w:vAlign w:val="center"/>
          </w:tcPr>
          <w:p>
            <w:pPr>
              <w:pStyle w:val="105"/>
              <w:spacing w:before="0"/>
              <w:jc w:val="center"/>
              <w:rPr>
                <w:snapToGrid w:val="0"/>
                <w:sz w:val="20"/>
                <w:szCs w:val="20"/>
              </w:rPr>
            </w:pPr>
            <w:r>
              <w:rPr>
                <w:snapToGrid w:val="0"/>
                <w:sz w:val="20"/>
                <w:szCs w:val="20"/>
              </w:rPr>
              <w:t>LNG</w:t>
            </w:r>
            <w:r>
              <w:rPr>
                <w:rFonts w:hint="eastAsia"/>
                <w:snapToGrid w:val="0"/>
                <w:sz w:val="20"/>
                <w:szCs w:val="20"/>
              </w:rPr>
              <w:t>保护涵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20</w:t>
            </w:r>
          </w:p>
        </w:tc>
        <w:tc>
          <w:tcPr>
            <w:tcW w:w="870" w:type="pct"/>
            <w:gridSpan w:val="2"/>
            <w:vAlign w:val="center"/>
          </w:tcPr>
          <w:p>
            <w:pPr>
              <w:pStyle w:val="105"/>
              <w:spacing w:before="0"/>
              <w:jc w:val="center"/>
              <w:rPr>
                <w:snapToGrid w:val="0"/>
                <w:sz w:val="20"/>
                <w:szCs w:val="20"/>
              </w:rPr>
            </w:pPr>
            <w:r>
              <w:rPr>
                <w:snapToGrid w:val="0"/>
                <w:sz w:val="20"/>
                <w:szCs w:val="20"/>
              </w:rPr>
              <w:t>K4+300.00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盖板涵</w:t>
            </w:r>
          </w:p>
        </w:tc>
        <w:tc>
          <w:tcPr>
            <w:tcW w:w="316" w:type="pct"/>
            <w:vAlign w:val="center"/>
          </w:tcPr>
          <w:p>
            <w:pPr>
              <w:pStyle w:val="105"/>
              <w:spacing w:before="0"/>
              <w:jc w:val="center"/>
              <w:rPr>
                <w:snapToGrid w:val="0"/>
                <w:sz w:val="20"/>
                <w:szCs w:val="20"/>
              </w:rPr>
            </w:pPr>
            <w:r>
              <w:rPr>
                <w:snapToGrid w:val="0"/>
                <w:sz w:val="20"/>
                <w:szCs w:val="20"/>
              </w:rPr>
              <w:t>90</w:t>
            </w:r>
          </w:p>
        </w:tc>
        <w:tc>
          <w:tcPr>
            <w:tcW w:w="403" w:type="pct"/>
            <w:vAlign w:val="center"/>
          </w:tcPr>
          <w:p>
            <w:pPr>
              <w:pStyle w:val="105"/>
              <w:spacing w:before="0"/>
              <w:jc w:val="center"/>
              <w:rPr>
                <w:snapToGrid w:val="0"/>
                <w:sz w:val="20"/>
                <w:szCs w:val="20"/>
              </w:rPr>
            </w:pPr>
            <w:r>
              <w:rPr>
                <w:snapToGrid w:val="0"/>
                <w:sz w:val="20"/>
                <w:szCs w:val="20"/>
              </w:rPr>
              <w:t>1.19</w:t>
            </w:r>
          </w:p>
        </w:tc>
        <w:tc>
          <w:tcPr>
            <w:tcW w:w="463" w:type="pct"/>
            <w:vAlign w:val="center"/>
          </w:tcPr>
          <w:p>
            <w:pPr>
              <w:pStyle w:val="105"/>
              <w:spacing w:before="0"/>
              <w:jc w:val="center"/>
              <w:rPr>
                <w:snapToGrid w:val="0"/>
                <w:sz w:val="20"/>
                <w:szCs w:val="20"/>
              </w:rPr>
            </w:pPr>
            <w:r>
              <w:rPr>
                <w:snapToGrid w:val="0"/>
                <w:sz w:val="20"/>
                <w:szCs w:val="20"/>
              </w:rPr>
              <w:t>1-3.0×2.0</w:t>
            </w:r>
          </w:p>
        </w:tc>
        <w:tc>
          <w:tcPr>
            <w:tcW w:w="299" w:type="pct"/>
            <w:vAlign w:val="center"/>
          </w:tcPr>
          <w:p>
            <w:pPr>
              <w:pStyle w:val="105"/>
              <w:spacing w:before="0"/>
              <w:jc w:val="center"/>
              <w:rPr>
                <w:snapToGrid w:val="0"/>
                <w:sz w:val="20"/>
                <w:szCs w:val="20"/>
              </w:rPr>
            </w:pPr>
            <w:r>
              <w:rPr>
                <w:snapToGrid w:val="0"/>
                <w:sz w:val="20"/>
                <w:szCs w:val="20"/>
              </w:rPr>
              <w:t>13.56</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铺砌</w:t>
            </w:r>
          </w:p>
        </w:tc>
        <w:tc>
          <w:tcPr>
            <w:tcW w:w="393" w:type="pct"/>
            <w:vAlign w:val="center"/>
          </w:tcPr>
          <w:p>
            <w:pPr>
              <w:pStyle w:val="105"/>
              <w:spacing w:before="0"/>
              <w:jc w:val="center"/>
              <w:rPr>
                <w:snapToGrid w:val="0"/>
                <w:sz w:val="20"/>
                <w:szCs w:val="20"/>
              </w:rPr>
            </w:pPr>
            <w:r>
              <w:rPr>
                <w:snapToGrid w:val="0"/>
                <w:sz w:val="20"/>
                <w:szCs w:val="20"/>
              </w:rPr>
              <w:t>11.40</w:t>
            </w:r>
          </w:p>
        </w:tc>
        <w:tc>
          <w:tcPr>
            <w:tcW w:w="488" w:type="pct"/>
            <w:vAlign w:val="center"/>
          </w:tcPr>
          <w:p>
            <w:pPr>
              <w:pStyle w:val="105"/>
              <w:spacing w:before="0"/>
              <w:jc w:val="center"/>
              <w:rPr>
                <w:snapToGrid w:val="0"/>
                <w:sz w:val="20"/>
                <w:szCs w:val="20"/>
              </w:rPr>
            </w:pPr>
            <w:r>
              <w:rPr>
                <w:rFonts w:hint="eastAsia"/>
                <w:snapToGrid w:val="0"/>
                <w:sz w:val="20"/>
                <w:szCs w:val="20"/>
              </w:rPr>
              <w:t>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 w:type="pct"/>
            <w:vAlign w:val="center"/>
          </w:tcPr>
          <w:p>
            <w:pPr>
              <w:pStyle w:val="105"/>
              <w:spacing w:before="0"/>
              <w:jc w:val="center"/>
              <w:rPr>
                <w:snapToGrid w:val="0"/>
                <w:sz w:val="20"/>
                <w:szCs w:val="20"/>
              </w:rPr>
            </w:pPr>
            <w:r>
              <w:rPr>
                <w:snapToGrid w:val="0"/>
                <w:sz w:val="20"/>
                <w:szCs w:val="20"/>
              </w:rPr>
              <w:t>21</w:t>
            </w:r>
          </w:p>
        </w:tc>
        <w:tc>
          <w:tcPr>
            <w:tcW w:w="870" w:type="pct"/>
            <w:gridSpan w:val="2"/>
            <w:vAlign w:val="center"/>
          </w:tcPr>
          <w:p>
            <w:pPr>
              <w:pStyle w:val="105"/>
              <w:spacing w:before="0"/>
              <w:jc w:val="center"/>
              <w:rPr>
                <w:snapToGrid w:val="0"/>
                <w:sz w:val="20"/>
                <w:szCs w:val="20"/>
              </w:rPr>
            </w:pPr>
            <w:r>
              <w:rPr>
                <w:snapToGrid w:val="0"/>
                <w:sz w:val="20"/>
                <w:szCs w:val="20"/>
              </w:rPr>
              <w:t>K4+775.00</w:t>
            </w:r>
          </w:p>
        </w:tc>
        <w:tc>
          <w:tcPr>
            <w:tcW w:w="434" w:type="pct"/>
            <w:vAlign w:val="center"/>
          </w:tcPr>
          <w:p>
            <w:pPr>
              <w:pStyle w:val="105"/>
              <w:spacing w:before="0"/>
              <w:jc w:val="center"/>
              <w:rPr>
                <w:snapToGrid w:val="0"/>
                <w:sz w:val="20"/>
                <w:szCs w:val="20"/>
              </w:rPr>
            </w:pPr>
            <w:r>
              <w:rPr>
                <w:snapToGrid w:val="0"/>
                <w:sz w:val="20"/>
                <w:szCs w:val="20"/>
              </w:rPr>
              <w:t>RC</w:t>
            </w:r>
            <w:r>
              <w:rPr>
                <w:rFonts w:hint="eastAsia"/>
                <w:snapToGrid w:val="0"/>
                <w:sz w:val="20"/>
                <w:szCs w:val="20"/>
              </w:rPr>
              <w:t>圆管涵</w:t>
            </w:r>
          </w:p>
        </w:tc>
        <w:tc>
          <w:tcPr>
            <w:tcW w:w="316" w:type="pct"/>
            <w:vAlign w:val="center"/>
          </w:tcPr>
          <w:p>
            <w:pPr>
              <w:pStyle w:val="105"/>
              <w:spacing w:before="0"/>
              <w:jc w:val="center"/>
              <w:rPr>
                <w:snapToGrid w:val="0"/>
                <w:sz w:val="20"/>
                <w:szCs w:val="20"/>
              </w:rPr>
            </w:pPr>
            <w:r>
              <w:rPr>
                <w:snapToGrid w:val="0"/>
                <w:sz w:val="20"/>
                <w:szCs w:val="20"/>
              </w:rPr>
              <w:t>90</w:t>
            </w:r>
          </w:p>
        </w:tc>
        <w:tc>
          <w:tcPr>
            <w:tcW w:w="403" w:type="pct"/>
            <w:vAlign w:val="center"/>
          </w:tcPr>
          <w:p>
            <w:pPr>
              <w:pStyle w:val="105"/>
              <w:spacing w:before="0"/>
              <w:jc w:val="center"/>
              <w:rPr>
                <w:snapToGrid w:val="0"/>
                <w:sz w:val="20"/>
                <w:szCs w:val="20"/>
              </w:rPr>
            </w:pPr>
            <w:r>
              <w:rPr>
                <w:snapToGrid w:val="0"/>
                <w:sz w:val="20"/>
                <w:szCs w:val="20"/>
              </w:rPr>
              <w:t>2.97</w:t>
            </w:r>
          </w:p>
        </w:tc>
        <w:tc>
          <w:tcPr>
            <w:tcW w:w="463" w:type="pct"/>
            <w:vAlign w:val="center"/>
          </w:tcPr>
          <w:p>
            <w:pPr>
              <w:pStyle w:val="105"/>
              <w:spacing w:before="0"/>
              <w:jc w:val="center"/>
              <w:rPr>
                <w:snapToGrid w:val="0"/>
                <w:sz w:val="20"/>
                <w:szCs w:val="20"/>
              </w:rPr>
            </w:pPr>
            <w:r>
              <w:rPr>
                <w:snapToGrid w:val="0"/>
                <w:sz w:val="20"/>
                <w:szCs w:val="20"/>
              </w:rPr>
              <w:t>14.5</w:t>
            </w:r>
          </w:p>
        </w:tc>
        <w:tc>
          <w:tcPr>
            <w:tcW w:w="299" w:type="pct"/>
            <w:vAlign w:val="center"/>
          </w:tcPr>
          <w:p>
            <w:pPr>
              <w:pStyle w:val="105"/>
              <w:spacing w:before="0"/>
              <w:jc w:val="center"/>
              <w:rPr>
                <w:snapToGrid w:val="0"/>
                <w:sz w:val="20"/>
                <w:szCs w:val="20"/>
              </w:rPr>
            </w:pPr>
            <w:r>
              <w:rPr>
                <w:snapToGrid w:val="0"/>
                <w:sz w:val="20"/>
                <w:szCs w:val="20"/>
              </w:rPr>
              <w:t>20.5</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548" w:type="pct"/>
            <w:vAlign w:val="center"/>
          </w:tcPr>
          <w:p>
            <w:pPr>
              <w:pStyle w:val="105"/>
              <w:spacing w:before="0"/>
              <w:jc w:val="center"/>
              <w:rPr>
                <w:snapToGrid w:val="0"/>
                <w:sz w:val="20"/>
                <w:szCs w:val="20"/>
              </w:rPr>
            </w:pPr>
            <w:r>
              <w:rPr>
                <w:rFonts w:hint="eastAsia"/>
                <w:snapToGrid w:val="0"/>
                <w:sz w:val="20"/>
                <w:szCs w:val="20"/>
              </w:rPr>
              <w:t>八字翼墙</w:t>
            </w:r>
          </w:p>
        </w:tc>
        <w:tc>
          <w:tcPr>
            <w:tcW w:w="393" w:type="pct"/>
            <w:vAlign w:val="center"/>
          </w:tcPr>
          <w:p>
            <w:pPr>
              <w:pStyle w:val="105"/>
              <w:spacing w:before="0"/>
              <w:jc w:val="center"/>
              <w:rPr>
                <w:snapToGrid w:val="0"/>
                <w:sz w:val="20"/>
                <w:szCs w:val="20"/>
              </w:rPr>
            </w:pPr>
            <w:r>
              <w:rPr>
                <w:snapToGrid w:val="0"/>
                <w:sz w:val="20"/>
                <w:szCs w:val="20"/>
              </w:rPr>
              <w:t>4.66</w:t>
            </w:r>
          </w:p>
        </w:tc>
        <w:tc>
          <w:tcPr>
            <w:tcW w:w="488" w:type="pct"/>
            <w:vAlign w:val="center"/>
          </w:tcPr>
          <w:p>
            <w:pPr>
              <w:pStyle w:val="105"/>
              <w:spacing w:before="0"/>
              <w:jc w:val="center"/>
              <w:rPr>
                <w:snapToGrid w:val="0"/>
                <w:sz w:val="20"/>
                <w:szCs w:val="20"/>
              </w:rPr>
            </w:pPr>
            <w:r>
              <w:rPr>
                <w:rFonts w:hint="eastAsia"/>
                <w:snapToGrid w:val="0"/>
                <w:sz w:val="20"/>
                <w:szCs w:val="20"/>
              </w:rPr>
              <w:t>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12"/>
            <w:vAlign w:val="center"/>
          </w:tcPr>
          <w:p>
            <w:pPr>
              <w:pStyle w:val="105"/>
              <w:spacing w:before="0"/>
              <w:jc w:val="center"/>
              <w:rPr>
                <w:snapToGrid w:val="0"/>
                <w:sz w:val="20"/>
                <w:szCs w:val="20"/>
              </w:rPr>
            </w:pPr>
            <w:r>
              <w:rPr>
                <w:rFonts w:hint="eastAsia"/>
                <w:snapToGrid w:val="0"/>
                <w:sz w:val="20"/>
                <w:szCs w:val="20"/>
              </w:rPr>
              <w:t>合计：</w:t>
            </w:r>
            <w:r>
              <w:rPr>
                <w:snapToGrid w:val="0"/>
                <w:sz w:val="20"/>
                <w:szCs w:val="20"/>
              </w:rPr>
              <w:t>21</w:t>
            </w:r>
            <w:r>
              <w:rPr>
                <w:rFonts w:hint="eastAsia"/>
                <w:snapToGrid w:val="0"/>
                <w:sz w:val="20"/>
                <w:szCs w:val="20"/>
              </w:rPr>
              <w:t>道</w:t>
            </w:r>
            <w:r>
              <w:rPr>
                <w:rStyle w:val="844"/>
                <w:rFonts w:hint="eastAsia" w:ascii="Times New Roman"/>
                <w:snapToGrid w:val="0"/>
                <w:spacing w:val="0"/>
                <w:sz w:val="20"/>
                <w:szCs w:val="20"/>
                <w:shd w:val="clear" w:color="auto" w:fill="auto"/>
                <w:lang w:val="en-US" w:eastAsia="zh-CN"/>
              </w:rPr>
              <w:t xml:space="preserve"> </w:t>
            </w:r>
            <w:r>
              <w:rPr>
                <w:rStyle w:val="844"/>
                <w:rFonts w:ascii="Times New Roman"/>
                <w:snapToGrid w:val="0"/>
                <w:spacing w:val="0"/>
                <w:sz w:val="20"/>
                <w:szCs w:val="20"/>
                <w:shd w:val="clear" w:color="auto" w:fill="auto"/>
                <w:lang w:val="en-US" w:eastAsia="zh-CN"/>
              </w:rPr>
              <w:t xml:space="preserve"> </w:t>
            </w:r>
            <w:r>
              <w:rPr>
                <w:rFonts w:hint="eastAsia"/>
                <w:snapToGrid w:val="0"/>
                <w:sz w:val="20"/>
                <w:szCs w:val="20"/>
              </w:rPr>
              <w:t>共</w:t>
            </w:r>
            <w:r>
              <w:rPr>
                <w:snapToGrid w:val="0"/>
                <w:sz w:val="20"/>
                <w:szCs w:val="20"/>
              </w:rPr>
              <w:t>431.51</w:t>
            </w:r>
            <w:r>
              <w:rPr>
                <w:rFonts w:hint="eastAsia"/>
                <w:snapToGrid w:val="0"/>
                <w:sz w:val="20"/>
                <w:szCs w:val="20"/>
              </w:rPr>
              <w:t>米</w:t>
            </w:r>
          </w:p>
        </w:tc>
      </w:tr>
    </w:tbl>
    <w:p>
      <w:pPr>
        <w:ind w:firstLine="480"/>
        <w:sectPr>
          <w:pgSz w:w="16840" w:h="11910" w:orient="landscape"/>
          <w:pgMar w:top="1418" w:right="1418" w:bottom="1418" w:left="1418" w:header="851" w:footer="851" w:gutter="0"/>
          <w:cols w:space="720" w:num="1"/>
          <w:docGrid w:linePitch="326" w:charSpace="0"/>
        </w:sectPr>
      </w:pPr>
    </w:p>
    <w:p>
      <w:pPr>
        <w:pStyle w:val="120"/>
        <w:rPr>
          <w:color w:val="auto"/>
          <w:lang w:val="zh-CN"/>
        </w:rPr>
      </w:pPr>
      <w:bookmarkStart w:id="264" w:name="2.2.6交通工程"/>
      <w:bookmarkEnd w:id="264"/>
      <w:bookmarkStart w:id="265" w:name="_Hlk195520799"/>
      <w:r>
        <w:rPr>
          <w:rFonts w:hint="eastAsia"/>
          <w:color w:val="auto"/>
          <w:lang w:val="zh-CN"/>
        </w:rPr>
        <w:t>改路工程</w:t>
      </w:r>
    </w:p>
    <w:p>
      <w:pPr>
        <w:ind w:firstLine="480"/>
      </w:pPr>
      <w:r>
        <w:rPr>
          <w:lang w:val="zh-CN"/>
        </w:rPr>
        <w:t>本项目有5处改路工程，共579</w:t>
      </w:r>
      <w:r>
        <w:rPr>
          <w:rFonts w:hint="eastAsia"/>
          <w:lang w:val="zh-CN"/>
        </w:rPr>
        <w:t>m</w:t>
      </w:r>
      <w:r>
        <w:rPr>
          <w:lang w:val="zh-CN"/>
        </w:rPr>
        <w:t>。本项目改路工程均为等外路，全线不设置超高加宽。改路路面宽度与现状村道一致。</w:t>
      </w:r>
      <w:r>
        <w:rPr>
          <w:rFonts w:hint="eastAsia"/>
          <w:lang w:val="zh-CN"/>
        </w:rPr>
        <w:t>该路</w:t>
      </w:r>
      <w:r>
        <w:rPr>
          <w:lang w:val="zh-CN"/>
        </w:rPr>
        <w:t>路面结构采用20cm水泥砼+1cm沥青表处封层-15cm5%水泥稳定碎石基层+15cm级配碎石。</w:t>
      </w:r>
      <w:r>
        <w:t>改路工程详见</w:t>
      </w:r>
      <w:r>
        <w:fldChar w:fldCharType="begin"/>
      </w:r>
      <w:r>
        <w:instrText xml:space="preserve"> REF _Ref149644698 \r \h  \* MERGEFORMAT </w:instrText>
      </w:r>
      <w:r>
        <w:fldChar w:fldCharType="separate"/>
      </w:r>
      <w:r>
        <w:rPr>
          <w:rFonts w:hint="eastAsia"/>
        </w:rPr>
        <w:t>表3.3-7</w:t>
      </w:r>
      <w:r>
        <w:fldChar w:fldCharType="end"/>
      </w:r>
      <w:r>
        <w:t>。</w:t>
      </w:r>
    </w:p>
    <w:p>
      <w:pPr>
        <w:pStyle w:val="87"/>
        <w:spacing w:before="120"/>
        <w:ind w:left="480" w:firstLine="480"/>
      </w:pPr>
      <w:bookmarkStart w:id="266" w:name="_Ref149644698"/>
      <w:r>
        <w:t>改路工程位置及工程量一览表</w:t>
      </w:r>
      <w:bookmarkEnd w:id="266"/>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56"/>
        <w:gridCol w:w="1207"/>
        <w:gridCol w:w="1514"/>
        <w:gridCol w:w="1517"/>
        <w:gridCol w:w="1240"/>
        <w:gridCol w:w="1236"/>
        <w:gridCol w:w="697"/>
        <w:gridCol w:w="12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52" w:type="pct"/>
            <w:vMerge w:val="restart"/>
            <w:vAlign w:val="center"/>
          </w:tcPr>
          <w:p>
            <w:pPr>
              <w:pStyle w:val="105"/>
              <w:jc w:val="center"/>
            </w:pPr>
            <w:r>
              <w:t>序号</w:t>
            </w:r>
          </w:p>
        </w:tc>
        <w:tc>
          <w:tcPr>
            <w:tcW w:w="665" w:type="pct"/>
            <w:vMerge w:val="restart"/>
            <w:vAlign w:val="center"/>
          </w:tcPr>
          <w:p>
            <w:pPr>
              <w:pStyle w:val="105"/>
              <w:jc w:val="center"/>
            </w:pPr>
            <w:r>
              <w:rPr>
                <w:rFonts w:hint="eastAsia"/>
              </w:rPr>
              <w:t>工程</w:t>
            </w:r>
          </w:p>
        </w:tc>
        <w:tc>
          <w:tcPr>
            <w:tcW w:w="834" w:type="pct"/>
            <w:vMerge w:val="restart"/>
            <w:vAlign w:val="center"/>
          </w:tcPr>
          <w:p>
            <w:pPr>
              <w:pStyle w:val="105"/>
              <w:jc w:val="center"/>
            </w:pPr>
            <w:r>
              <w:rPr>
                <w:rFonts w:hint="eastAsia"/>
              </w:rPr>
              <w:t>起讫</w:t>
            </w:r>
          </w:p>
          <w:p>
            <w:pPr>
              <w:pStyle w:val="105"/>
              <w:jc w:val="center"/>
            </w:pPr>
            <w:r>
              <w:rPr>
                <w:rFonts w:hint="eastAsia"/>
              </w:rPr>
              <w:t>桩号</w:t>
            </w:r>
          </w:p>
        </w:tc>
        <w:tc>
          <w:tcPr>
            <w:tcW w:w="836" w:type="pct"/>
            <w:vMerge w:val="restart"/>
            <w:vAlign w:val="center"/>
          </w:tcPr>
          <w:p>
            <w:pPr>
              <w:pStyle w:val="105"/>
              <w:jc w:val="center"/>
            </w:pPr>
            <w:r>
              <w:t>对应主线</w:t>
            </w:r>
          </w:p>
          <w:p>
            <w:pPr>
              <w:pStyle w:val="105"/>
              <w:jc w:val="center"/>
            </w:pPr>
            <w:r>
              <w:t>中心桩号</w:t>
            </w:r>
          </w:p>
        </w:tc>
        <w:tc>
          <w:tcPr>
            <w:tcW w:w="682" w:type="pct"/>
            <w:vMerge w:val="restart"/>
            <w:vAlign w:val="center"/>
          </w:tcPr>
          <w:p>
            <w:pPr>
              <w:pStyle w:val="105"/>
              <w:jc w:val="center"/>
            </w:pPr>
            <w:r>
              <w:rPr>
                <w:rFonts w:hint="eastAsia"/>
              </w:rPr>
              <w:t>相对主</w:t>
            </w:r>
          </w:p>
          <w:p>
            <w:pPr>
              <w:pStyle w:val="105"/>
              <w:jc w:val="center"/>
            </w:pPr>
            <w:r>
              <w:rPr>
                <w:rFonts w:hint="eastAsia"/>
              </w:rPr>
              <w:t>线位置</w:t>
            </w:r>
          </w:p>
        </w:tc>
        <w:tc>
          <w:tcPr>
            <w:tcW w:w="681" w:type="pct"/>
            <w:vMerge w:val="restart"/>
            <w:vAlign w:val="center"/>
          </w:tcPr>
          <w:p>
            <w:pPr>
              <w:pStyle w:val="105"/>
              <w:jc w:val="center"/>
            </w:pPr>
            <w:r>
              <w:t>改路</w:t>
            </w:r>
          </w:p>
          <w:p>
            <w:pPr>
              <w:pStyle w:val="105"/>
              <w:jc w:val="center"/>
            </w:pPr>
            <w:r>
              <w:t>长度m</w:t>
            </w:r>
          </w:p>
        </w:tc>
        <w:tc>
          <w:tcPr>
            <w:tcW w:w="384" w:type="pct"/>
            <w:vMerge w:val="restart"/>
            <w:vAlign w:val="center"/>
          </w:tcPr>
          <w:p>
            <w:pPr>
              <w:pStyle w:val="105"/>
              <w:jc w:val="center"/>
            </w:pPr>
            <w:r>
              <w:t>路面</w:t>
            </w:r>
          </w:p>
          <w:p>
            <w:pPr>
              <w:pStyle w:val="105"/>
              <w:jc w:val="center"/>
            </w:pPr>
            <w:r>
              <w:t>宽度m</w:t>
            </w:r>
          </w:p>
        </w:tc>
        <w:tc>
          <w:tcPr>
            <w:tcW w:w="665" w:type="pct"/>
            <w:vMerge w:val="restart"/>
            <w:vAlign w:val="center"/>
          </w:tcPr>
          <w:p>
            <w:pPr>
              <w:pStyle w:val="105"/>
              <w:jc w:val="center"/>
            </w:pPr>
            <w:r>
              <w:rPr>
                <w:rFonts w:hint="eastAsia"/>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01" w:hRule="atLeast"/>
          <w:tblHeader/>
          <w:jc w:val="center"/>
        </w:trPr>
        <w:tc>
          <w:tcPr>
            <w:tcW w:w="252" w:type="pct"/>
            <w:vMerge w:val="continue"/>
            <w:vAlign w:val="center"/>
          </w:tcPr>
          <w:p>
            <w:pPr>
              <w:pStyle w:val="105"/>
              <w:jc w:val="center"/>
            </w:pPr>
          </w:p>
        </w:tc>
        <w:tc>
          <w:tcPr>
            <w:tcW w:w="665" w:type="pct"/>
            <w:vMerge w:val="continue"/>
            <w:vAlign w:val="center"/>
          </w:tcPr>
          <w:p>
            <w:pPr>
              <w:pStyle w:val="105"/>
              <w:jc w:val="center"/>
            </w:pPr>
          </w:p>
        </w:tc>
        <w:tc>
          <w:tcPr>
            <w:tcW w:w="834" w:type="pct"/>
            <w:vMerge w:val="continue"/>
            <w:vAlign w:val="center"/>
          </w:tcPr>
          <w:p>
            <w:pPr>
              <w:pStyle w:val="105"/>
              <w:jc w:val="center"/>
            </w:pPr>
          </w:p>
        </w:tc>
        <w:tc>
          <w:tcPr>
            <w:tcW w:w="836" w:type="pct"/>
            <w:vMerge w:val="continue"/>
            <w:vAlign w:val="center"/>
          </w:tcPr>
          <w:p>
            <w:pPr>
              <w:pStyle w:val="105"/>
              <w:jc w:val="center"/>
            </w:pPr>
          </w:p>
        </w:tc>
        <w:tc>
          <w:tcPr>
            <w:tcW w:w="682" w:type="pct"/>
            <w:vMerge w:val="continue"/>
            <w:vAlign w:val="center"/>
          </w:tcPr>
          <w:p>
            <w:pPr>
              <w:pStyle w:val="105"/>
              <w:jc w:val="center"/>
            </w:pPr>
          </w:p>
        </w:tc>
        <w:tc>
          <w:tcPr>
            <w:tcW w:w="681" w:type="pct"/>
            <w:vMerge w:val="continue"/>
            <w:vAlign w:val="center"/>
          </w:tcPr>
          <w:p>
            <w:pPr>
              <w:pStyle w:val="105"/>
              <w:jc w:val="center"/>
            </w:pPr>
          </w:p>
        </w:tc>
        <w:tc>
          <w:tcPr>
            <w:tcW w:w="384" w:type="pct"/>
            <w:vMerge w:val="continue"/>
            <w:vAlign w:val="center"/>
          </w:tcPr>
          <w:p>
            <w:pPr>
              <w:pStyle w:val="105"/>
              <w:jc w:val="center"/>
            </w:pPr>
          </w:p>
        </w:tc>
        <w:tc>
          <w:tcPr>
            <w:tcW w:w="665" w:type="pct"/>
            <w:vMerge w:val="continue"/>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52" w:type="pct"/>
            <w:vAlign w:val="center"/>
          </w:tcPr>
          <w:p>
            <w:pPr>
              <w:pStyle w:val="105"/>
              <w:jc w:val="center"/>
            </w:pPr>
            <w:r>
              <w:rPr>
                <w:rFonts w:hint="eastAsia"/>
              </w:rPr>
              <w:t>1</w:t>
            </w:r>
          </w:p>
        </w:tc>
        <w:tc>
          <w:tcPr>
            <w:tcW w:w="665" w:type="pct"/>
            <w:vAlign w:val="center"/>
          </w:tcPr>
          <w:p>
            <w:pPr>
              <w:pStyle w:val="105"/>
              <w:jc w:val="center"/>
            </w:pPr>
            <w:r>
              <w:rPr>
                <w:rFonts w:hint="eastAsia"/>
              </w:rPr>
              <w:t>G1改路</w:t>
            </w:r>
          </w:p>
        </w:tc>
        <w:tc>
          <w:tcPr>
            <w:tcW w:w="834" w:type="pct"/>
            <w:vAlign w:val="center"/>
          </w:tcPr>
          <w:p>
            <w:pPr>
              <w:pStyle w:val="105"/>
              <w:jc w:val="center"/>
              <w:rPr>
                <w:rFonts w:cs="Times New Roman"/>
              </w:rPr>
            </w:pPr>
            <w:r>
              <w:rPr>
                <w:rFonts w:cs="Times New Roman"/>
              </w:rPr>
              <w:t xml:space="preserve">G1K0+000 </w:t>
            </w:r>
            <w:r>
              <w:rPr>
                <w:rFonts w:hint="eastAsia" w:eastAsia="微软雅黑"/>
              </w:rPr>
              <w:t>~</w:t>
            </w:r>
            <w:r>
              <w:rPr>
                <w:rFonts w:cs="Times New Roman"/>
              </w:rPr>
              <w:t>G1K0+247</w:t>
            </w:r>
          </w:p>
        </w:tc>
        <w:tc>
          <w:tcPr>
            <w:tcW w:w="836" w:type="pct"/>
            <w:vAlign w:val="center"/>
          </w:tcPr>
          <w:p>
            <w:pPr>
              <w:pStyle w:val="105"/>
              <w:jc w:val="center"/>
            </w:pPr>
            <w:r>
              <w:rPr>
                <w:rFonts w:cs="Times New Roman"/>
              </w:rPr>
              <w:t>K0+500</w:t>
            </w:r>
          </w:p>
        </w:tc>
        <w:tc>
          <w:tcPr>
            <w:tcW w:w="682" w:type="pct"/>
            <w:vAlign w:val="center"/>
          </w:tcPr>
          <w:p>
            <w:pPr>
              <w:pStyle w:val="105"/>
              <w:jc w:val="center"/>
              <w:rPr>
                <w:rFonts w:hAnsi="宋体"/>
                <w:szCs w:val="24"/>
              </w:rPr>
            </w:pPr>
            <w:r>
              <w:rPr>
                <w:rFonts w:cs="Times New Roman"/>
              </w:rPr>
              <w:t>右侧</w:t>
            </w:r>
          </w:p>
        </w:tc>
        <w:tc>
          <w:tcPr>
            <w:tcW w:w="681" w:type="pct"/>
            <w:vAlign w:val="center"/>
          </w:tcPr>
          <w:p>
            <w:pPr>
              <w:pStyle w:val="105"/>
              <w:jc w:val="center"/>
            </w:pPr>
            <w:r>
              <w:rPr>
                <w:rFonts w:cs="Times New Roman"/>
              </w:rPr>
              <w:t>247</w:t>
            </w:r>
          </w:p>
        </w:tc>
        <w:tc>
          <w:tcPr>
            <w:tcW w:w="384" w:type="pct"/>
            <w:vAlign w:val="center"/>
          </w:tcPr>
          <w:p>
            <w:pPr>
              <w:pStyle w:val="105"/>
              <w:jc w:val="center"/>
            </w:pPr>
          </w:p>
        </w:tc>
        <w:tc>
          <w:tcPr>
            <w:tcW w:w="665"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52" w:type="pct"/>
            <w:vAlign w:val="center"/>
          </w:tcPr>
          <w:p>
            <w:pPr>
              <w:pStyle w:val="105"/>
              <w:jc w:val="center"/>
            </w:pPr>
            <w:r>
              <w:rPr>
                <w:rFonts w:hint="eastAsia"/>
              </w:rPr>
              <w:t>2</w:t>
            </w:r>
          </w:p>
        </w:tc>
        <w:tc>
          <w:tcPr>
            <w:tcW w:w="665" w:type="pct"/>
            <w:vAlign w:val="center"/>
          </w:tcPr>
          <w:p>
            <w:pPr>
              <w:pStyle w:val="105"/>
              <w:jc w:val="center"/>
            </w:pPr>
            <w:r>
              <w:rPr>
                <w:rFonts w:hint="eastAsia"/>
              </w:rPr>
              <w:t>G</w:t>
            </w:r>
            <w:r>
              <w:t>2</w:t>
            </w:r>
            <w:r>
              <w:rPr>
                <w:rFonts w:hint="eastAsia"/>
              </w:rPr>
              <w:t>改路</w:t>
            </w:r>
          </w:p>
        </w:tc>
        <w:tc>
          <w:tcPr>
            <w:tcW w:w="834" w:type="pct"/>
            <w:vAlign w:val="center"/>
          </w:tcPr>
          <w:p>
            <w:pPr>
              <w:pStyle w:val="105"/>
              <w:jc w:val="center"/>
              <w:rPr>
                <w:rFonts w:cs="Times New Roman"/>
              </w:rPr>
            </w:pPr>
            <w:r>
              <w:rPr>
                <w:rFonts w:cs="Times New Roman"/>
              </w:rPr>
              <w:t xml:space="preserve">G2K0+000 </w:t>
            </w:r>
            <w:r>
              <w:rPr>
                <w:rFonts w:hint="eastAsia" w:eastAsia="微软雅黑"/>
              </w:rPr>
              <w:t>~</w:t>
            </w:r>
            <w:r>
              <w:rPr>
                <w:rFonts w:cs="Times New Roman"/>
              </w:rPr>
              <w:t>G2K0+078</w:t>
            </w:r>
          </w:p>
        </w:tc>
        <w:tc>
          <w:tcPr>
            <w:tcW w:w="836" w:type="pct"/>
            <w:vAlign w:val="center"/>
          </w:tcPr>
          <w:p>
            <w:pPr>
              <w:pStyle w:val="105"/>
              <w:jc w:val="center"/>
            </w:pPr>
            <w:r>
              <w:rPr>
                <w:rFonts w:cs="Times New Roman"/>
              </w:rPr>
              <w:t>K0+782</w:t>
            </w:r>
          </w:p>
        </w:tc>
        <w:tc>
          <w:tcPr>
            <w:tcW w:w="682" w:type="pct"/>
            <w:vAlign w:val="center"/>
          </w:tcPr>
          <w:p>
            <w:pPr>
              <w:pStyle w:val="105"/>
              <w:jc w:val="center"/>
              <w:rPr>
                <w:rFonts w:hAnsi="宋体"/>
                <w:szCs w:val="24"/>
              </w:rPr>
            </w:pPr>
            <w:r>
              <w:rPr>
                <w:rFonts w:cs="Times New Roman"/>
              </w:rPr>
              <w:t>下穿</w:t>
            </w:r>
          </w:p>
        </w:tc>
        <w:tc>
          <w:tcPr>
            <w:tcW w:w="681" w:type="pct"/>
            <w:vAlign w:val="center"/>
          </w:tcPr>
          <w:p>
            <w:pPr>
              <w:pStyle w:val="105"/>
              <w:jc w:val="center"/>
              <w:rPr>
                <w:rFonts w:hAnsi="宋体"/>
                <w:szCs w:val="24"/>
              </w:rPr>
            </w:pPr>
            <w:r>
              <w:rPr>
                <w:rFonts w:cs="Times New Roman"/>
              </w:rPr>
              <w:t>78</w:t>
            </w:r>
          </w:p>
        </w:tc>
        <w:tc>
          <w:tcPr>
            <w:tcW w:w="384" w:type="pct"/>
            <w:vAlign w:val="center"/>
          </w:tcPr>
          <w:p>
            <w:pPr>
              <w:pStyle w:val="105"/>
              <w:jc w:val="center"/>
            </w:pPr>
            <w:r>
              <w:t>4.5</w:t>
            </w:r>
          </w:p>
        </w:tc>
        <w:tc>
          <w:tcPr>
            <w:tcW w:w="665" w:type="pct"/>
            <w:vAlign w:val="center"/>
          </w:tcPr>
          <w:p>
            <w:pPr>
              <w:pStyle w:val="105"/>
              <w:jc w:val="center"/>
              <w:rPr>
                <w:rFonts w:hAnsi="宋体"/>
                <w:szCs w:val="24"/>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52" w:type="pct"/>
            <w:vAlign w:val="center"/>
          </w:tcPr>
          <w:p>
            <w:pPr>
              <w:pStyle w:val="105"/>
              <w:jc w:val="center"/>
            </w:pPr>
            <w:r>
              <w:rPr>
                <w:rFonts w:hint="eastAsia"/>
              </w:rPr>
              <w:t>3</w:t>
            </w:r>
          </w:p>
        </w:tc>
        <w:tc>
          <w:tcPr>
            <w:tcW w:w="665" w:type="pct"/>
            <w:vAlign w:val="center"/>
          </w:tcPr>
          <w:p>
            <w:pPr>
              <w:pStyle w:val="105"/>
              <w:jc w:val="center"/>
            </w:pPr>
            <w:r>
              <w:rPr>
                <w:rFonts w:hint="eastAsia"/>
              </w:rPr>
              <w:t>G</w:t>
            </w:r>
            <w:r>
              <w:t>3</w:t>
            </w:r>
            <w:r>
              <w:rPr>
                <w:rFonts w:hint="eastAsia"/>
              </w:rPr>
              <w:t>改路</w:t>
            </w:r>
          </w:p>
        </w:tc>
        <w:tc>
          <w:tcPr>
            <w:tcW w:w="834" w:type="pct"/>
            <w:vAlign w:val="center"/>
          </w:tcPr>
          <w:p>
            <w:pPr>
              <w:pStyle w:val="105"/>
              <w:jc w:val="center"/>
              <w:rPr>
                <w:rFonts w:cs="Times New Roman"/>
              </w:rPr>
            </w:pPr>
            <w:r>
              <w:rPr>
                <w:rFonts w:cs="Times New Roman"/>
              </w:rPr>
              <w:t xml:space="preserve">G3K0+000 </w:t>
            </w:r>
            <w:r>
              <w:rPr>
                <w:rFonts w:hint="eastAsia" w:eastAsia="微软雅黑"/>
              </w:rPr>
              <w:t>~</w:t>
            </w:r>
            <w:r>
              <w:rPr>
                <w:rFonts w:cs="Times New Roman"/>
              </w:rPr>
              <w:t>G3K0+062</w:t>
            </w:r>
          </w:p>
        </w:tc>
        <w:tc>
          <w:tcPr>
            <w:tcW w:w="836" w:type="pct"/>
            <w:vAlign w:val="center"/>
          </w:tcPr>
          <w:p>
            <w:pPr>
              <w:pStyle w:val="105"/>
              <w:jc w:val="center"/>
            </w:pPr>
            <w:r>
              <w:rPr>
                <w:rFonts w:cs="Times New Roman"/>
              </w:rPr>
              <w:t>K0+077</w:t>
            </w:r>
          </w:p>
        </w:tc>
        <w:tc>
          <w:tcPr>
            <w:tcW w:w="682" w:type="pct"/>
            <w:vAlign w:val="center"/>
          </w:tcPr>
          <w:p>
            <w:pPr>
              <w:pStyle w:val="105"/>
              <w:jc w:val="center"/>
              <w:rPr>
                <w:rFonts w:hAnsi="宋体"/>
                <w:szCs w:val="24"/>
              </w:rPr>
            </w:pPr>
            <w:r>
              <w:rPr>
                <w:rFonts w:cs="Times New Roman"/>
              </w:rPr>
              <w:t>左侧</w:t>
            </w:r>
          </w:p>
        </w:tc>
        <w:tc>
          <w:tcPr>
            <w:tcW w:w="681" w:type="pct"/>
            <w:vAlign w:val="center"/>
          </w:tcPr>
          <w:p>
            <w:pPr>
              <w:pStyle w:val="105"/>
              <w:jc w:val="center"/>
              <w:rPr>
                <w:rFonts w:hAnsi="宋体"/>
                <w:szCs w:val="24"/>
              </w:rPr>
            </w:pPr>
            <w:r>
              <w:rPr>
                <w:rFonts w:cs="Times New Roman"/>
              </w:rPr>
              <w:t>62</w:t>
            </w:r>
          </w:p>
        </w:tc>
        <w:tc>
          <w:tcPr>
            <w:tcW w:w="384" w:type="pct"/>
            <w:vAlign w:val="center"/>
          </w:tcPr>
          <w:p>
            <w:pPr>
              <w:pStyle w:val="105"/>
              <w:jc w:val="center"/>
            </w:pPr>
            <w:r>
              <w:t>4.5</w:t>
            </w:r>
          </w:p>
        </w:tc>
        <w:tc>
          <w:tcPr>
            <w:tcW w:w="665" w:type="pct"/>
            <w:vAlign w:val="center"/>
          </w:tcPr>
          <w:p>
            <w:pPr>
              <w:pStyle w:val="105"/>
              <w:jc w:val="center"/>
              <w:rPr>
                <w:rFonts w:hAnsi="宋体"/>
                <w:szCs w:val="24"/>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52" w:type="pct"/>
            <w:vAlign w:val="center"/>
          </w:tcPr>
          <w:p>
            <w:pPr>
              <w:pStyle w:val="105"/>
              <w:jc w:val="center"/>
            </w:pPr>
            <w:r>
              <w:t>4</w:t>
            </w:r>
          </w:p>
        </w:tc>
        <w:tc>
          <w:tcPr>
            <w:tcW w:w="665" w:type="pct"/>
            <w:vAlign w:val="center"/>
          </w:tcPr>
          <w:p>
            <w:pPr>
              <w:pStyle w:val="105"/>
              <w:jc w:val="center"/>
            </w:pPr>
            <w:r>
              <w:rPr>
                <w:rFonts w:hint="eastAsia"/>
              </w:rPr>
              <w:t>G</w:t>
            </w:r>
            <w:r>
              <w:t>4</w:t>
            </w:r>
            <w:r>
              <w:rPr>
                <w:rFonts w:hint="eastAsia"/>
              </w:rPr>
              <w:t>改路</w:t>
            </w:r>
          </w:p>
        </w:tc>
        <w:tc>
          <w:tcPr>
            <w:tcW w:w="834" w:type="pct"/>
            <w:vAlign w:val="center"/>
          </w:tcPr>
          <w:p>
            <w:pPr>
              <w:pStyle w:val="105"/>
              <w:jc w:val="center"/>
              <w:rPr>
                <w:rFonts w:cs="Times New Roman"/>
              </w:rPr>
            </w:pPr>
            <w:r>
              <w:rPr>
                <w:rFonts w:cs="Times New Roman"/>
              </w:rPr>
              <w:t xml:space="preserve">G4K0+000 </w:t>
            </w:r>
            <w:r>
              <w:rPr>
                <w:rFonts w:hint="eastAsia" w:eastAsia="微软雅黑"/>
              </w:rPr>
              <w:t>~</w:t>
            </w:r>
            <w:r>
              <w:rPr>
                <w:rFonts w:cs="Times New Roman"/>
              </w:rPr>
              <w:t>G4K0+083</w:t>
            </w:r>
          </w:p>
        </w:tc>
        <w:tc>
          <w:tcPr>
            <w:tcW w:w="836" w:type="pct"/>
            <w:vAlign w:val="center"/>
          </w:tcPr>
          <w:p>
            <w:pPr>
              <w:pStyle w:val="105"/>
              <w:jc w:val="center"/>
            </w:pPr>
            <w:r>
              <w:rPr>
                <w:rFonts w:cs="Times New Roman"/>
              </w:rPr>
              <w:t>K0+000</w:t>
            </w:r>
          </w:p>
        </w:tc>
        <w:tc>
          <w:tcPr>
            <w:tcW w:w="682" w:type="pct"/>
            <w:vAlign w:val="center"/>
          </w:tcPr>
          <w:p>
            <w:pPr>
              <w:pStyle w:val="105"/>
              <w:jc w:val="center"/>
              <w:rPr>
                <w:rFonts w:hAnsi="宋体"/>
                <w:szCs w:val="24"/>
              </w:rPr>
            </w:pPr>
            <w:r>
              <w:rPr>
                <w:rFonts w:cs="Times New Roman"/>
              </w:rPr>
              <w:t>右侧</w:t>
            </w:r>
          </w:p>
        </w:tc>
        <w:tc>
          <w:tcPr>
            <w:tcW w:w="681" w:type="pct"/>
            <w:vAlign w:val="center"/>
          </w:tcPr>
          <w:p>
            <w:pPr>
              <w:pStyle w:val="105"/>
              <w:jc w:val="center"/>
              <w:rPr>
                <w:rFonts w:hAnsi="宋体"/>
                <w:szCs w:val="24"/>
              </w:rPr>
            </w:pPr>
            <w:r>
              <w:rPr>
                <w:rFonts w:cs="Times New Roman"/>
              </w:rPr>
              <w:t>105</w:t>
            </w:r>
          </w:p>
        </w:tc>
        <w:tc>
          <w:tcPr>
            <w:tcW w:w="384" w:type="pct"/>
            <w:vAlign w:val="center"/>
          </w:tcPr>
          <w:p>
            <w:pPr>
              <w:pStyle w:val="105"/>
              <w:jc w:val="center"/>
            </w:pPr>
            <w:r>
              <w:t>4.5</w:t>
            </w:r>
          </w:p>
        </w:tc>
        <w:tc>
          <w:tcPr>
            <w:tcW w:w="665" w:type="pct"/>
            <w:vAlign w:val="center"/>
          </w:tcPr>
          <w:p>
            <w:pPr>
              <w:pStyle w:val="105"/>
              <w:jc w:val="center"/>
              <w:rPr>
                <w:rFonts w:hAnsi="宋体"/>
                <w:szCs w:val="24"/>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52" w:type="pct"/>
            <w:vAlign w:val="center"/>
          </w:tcPr>
          <w:p>
            <w:pPr>
              <w:pStyle w:val="105"/>
              <w:jc w:val="center"/>
            </w:pPr>
            <w:r>
              <w:t>5</w:t>
            </w:r>
          </w:p>
        </w:tc>
        <w:tc>
          <w:tcPr>
            <w:tcW w:w="665" w:type="pct"/>
            <w:vAlign w:val="center"/>
          </w:tcPr>
          <w:p>
            <w:pPr>
              <w:pStyle w:val="105"/>
              <w:jc w:val="center"/>
            </w:pPr>
            <w:r>
              <w:rPr>
                <w:rFonts w:hint="eastAsia"/>
              </w:rPr>
              <w:t>G</w:t>
            </w:r>
            <w:r>
              <w:t>5</w:t>
            </w:r>
            <w:r>
              <w:rPr>
                <w:rFonts w:hint="eastAsia"/>
              </w:rPr>
              <w:t>改路</w:t>
            </w:r>
          </w:p>
        </w:tc>
        <w:tc>
          <w:tcPr>
            <w:tcW w:w="834" w:type="pct"/>
            <w:vAlign w:val="center"/>
          </w:tcPr>
          <w:p>
            <w:pPr>
              <w:pStyle w:val="105"/>
              <w:jc w:val="center"/>
              <w:rPr>
                <w:rFonts w:cs="Times New Roman"/>
              </w:rPr>
            </w:pPr>
            <w:r>
              <w:rPr>
                <w:rFonts w:cs="Times New Roman"/>
              </w:rPr>
              <w:t xml:space="preserve">G5K0+000 </w:t>
            </w:r>
            <w:r>
              <w:rPr>
                <w:rFonts w:hint="eastAsia" w:eastAsia="微软雅黑"/>
              </w:rPr>
              <w:t>~</w:t>
            </w:r>
            <w:r>
              <w:rPr>
                <w:rFonts w:cs="Times New Roman"/>
              </w:rPr>
              <w:t>G5K0+045</w:t>
            </w:r>
          </w:p>
        </w:tc>
        <w:tc>
          <w:tcPr>
            <w:tcW w:w="836" w:type="pct"/>
            <w:vAlign w:val="center"/>
          </w:tcPr>
          <w:p>
            <w:pPr>
              <w:pStyle w:val="105"/>
              <w:jc w:val="center"/>
            </w:pPr>
            <w:r>
              <w:rPr>
                <w:rFonts w:cs="Times New Roman"/>
              </w:rPr>
              <w:t>K0+000</w:t>
            </w:r>
          </w:p>
        </w:tc>
        <w:tc>
          <w:tcPr>
            <w:tcW w:w="682" w:type="pct"/>
            <w:vAlign w:val="center"/>
          </w:tcPr>
          <w:p>
            <w:pPr>
              <w:pStyle w:val="105"/>
              <w:jc w:val="center"/>
              <w:rPr>
                <w:rFonts w:hAnsi="宋体"/>
                <w:szCs w:val="24"/>
              </w:rPr>
            </w:pPr>
            <w:r>
              <w:rPr>
                <w:rFonts w:cs="Times New Roman"/>
              </w:rPr>
              <w:t>左侧</w:t>
            </w:r>
          </w:p>
        </w:tc>
        <w:tc>
          <w:tcPr>
            <w:tcW w:w="681" w:type="pct"/>
            <w:vAlign w:val="center"/>
          </w:tcPr>
          <w:p>
            <w:pPr>
              <w:pStyle w:val="105"/>
              <w:jc w:val="center"/>
            </w:pPr>
            <w:r>
              <w:rPr>
                <w:rFonts w:cs="Times New Roman"/>
              </w:rPr>
              <w:t>87</w:t>
            </w:r>
          </w:p>
        </w:tc>
        <w:tc>
          <w:tcPr>
            <w:tcW w:w="384" w:type="pct"/>
            <w:vAlign w:val="center"/>
          </w:tcPr>
          <w:p>
            <w:pPr>
              <w:pStyle w:val="105"/>
              <w:jc w:val="center"/>
            </w:pPr>
            <w:r>
              <w:t>4.5</w:t>
            </w:r>
          </w:p>
        </w:tc>
        <w:tc>
          <w:tcPr>
            <w:tcW w:w="665"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3270" w:type="pct"/>
            <w:gridSpan w:val="5"/>
            <w:vAlign w:val="center"/>
          </w:tcPr>
          <w:p>
            <w:pPr>
              <w:pStyle w:val="105"/>
              <w:jc w:val="center"/>
            </w:pPr>
            <w:r>
              <w:t>合计</w:t>
            </w:r>
          </w:p>
        </w:tc>
        <w:tc>
          <w:tcPr>
            <w:tcW w:w="681" w:type="pct"/>
            <w:vAlign w:val="center"/>
          </w:tcPr>
          <w:p>
            <w:pPr>
              <w:pStyle w:val="105"/>
              <w:jc w:val="center"/>
            </w:pPr>
            <w:r>
              <w:t>579</w:t>
            </w:r>
          </w:p>
        </w:tc>
        <w:tc>
          <w:tcPr>
            <w:tcW w:w="384" w:type="pct"/>
            <w:vAlign w:val="center"/>
          </w:tcPr>
          <w:p>
            <w:pPr>
              <w:pStyle w:val="105"/>
              <w:jc w:val="center"/>
            </w:pPr>
          </w:p>
        </w:tc>
        <w:tc>
          <w:tcPr>
            <w:tcW w:w="665" w:type="pct"/>
            <w:vAlign w:val="center"/>
          </w:tcPr>
          <w:p>
            <w:pPr>
              <w:pStyle w:val="105"/>
              <w:jc w:val="center"/>
            </w:pPr>
          </w:p>
        </w:tc>
      </w:tr>
      <w:bookmarkEnd w:id="265"/>
    </w:tbl>
    <w:p>
      <w:pPr>
        <w:pStyle w:val="120"/>
        <w:rPr>
          <w:color w:val="auto"/>
        </w:rPr>
      </w:pPr>
      <w:bookmarkStart w:id="267" w:name="2.3项目交通量预测"/>
      <w:bookmarkEnd w:id="267"/>
      <w:bookmarkStart w:id="268" w:name="_Hlk195520827"/>
      <w:r>
        <w:rPr>
          <w:rFonts w:hint="eastAsia"/>
          <w:color w:val="auto"/>
        </w:rPr>
        <w:t>改河、改渠</w:t>
      </w:r>
      <w:r>
        <w:rPr>
          <w:color w:val="auto"/>
        </w:rPr>
        <w:t>工程</w:t>
      </w:r>
    </w:p>
    <w:p>
      <w:pPr>
        <w:pStyle w:val="118"/>
        <w:rPr>
          <w:lang w:val="zh-CN"/>
        </w:rPr>
      </w:pPr>
      <w:r>
        <w:rPr>
          <w:rFonts w:hint="eastAsia"/>
          <w:lang w:val="zh-CN"/>
        </w:rPr>
        <w:t>改河工程</w:t>
      </w:r>
    </w:p>
    <w:p>
      <w:pPr>
        <w:ind w:firstLine="480"/>
        <w:rPr>
          <w:lang w:val="zh-CN"/>
        </w:rPr>
      </w:pPr>
      <w:r>
        <w:rPr>
          <w:lang w:val="zh-CN"/>
        </w:rPr>
        <w:t>本公路工程占用了部分原河道位置，考虑为了满足防洪排涝的要求，在大埔大桥桥下及涵洞进出口位置进行河段改造，减少新建桥桥墩及公路对河道的阻水影响。本项目改河工程有5处，共484.5</w:t>
      </w:r>
      <w:r>
        <w:rPr>
          <w:rFonts w:hint="eastAsia"/>
          <w:lang w:val="zh-CN"/>
        </w:rPr>
        <w:t>m</w:t>
      </w:r>
      <w:r>
        <w:rPr>
          <w:lang w:val="zh-CN"/>
        </w:rPr>
        <w:t>（含两岸护岸墙）。</w:t>
      </w:r>
    </w:p>
    <w:bookmarkEnd w:id="268"/>
    <w:p>
      <w:pPr>
        <w:ind w:firstLine="480"/>
        <w:rPr>
          <w:lang w:val="zh-CN"/>
        </w:rPr>
      </w:pPr>
      <w:r>
        <w:rPr>
          <w:rFonts w:hint="eastAsia"/>
          <w:lang w:val="zh-CN"/>
        </w:rPr>
        <w:t>（</w:t>
      </w:r>
      <w:r>
        <w:rPr>
          <w:lang w:val="zh-CN"/>
        </w:rPr>
        <w:t>1</w:t>
      </w:r>
      <w:r>
        <w:rPr>
          <w:rFonts w:hint="eastAsia"/>
          <w:lang w:val="zh-CN"/>
        </w:rPr>
        <w:t>）河道现状：</w:t>
      </w:r>
    </w:p>
    <w:p>
      <w:pPr>
        <w:ind w:firstLine="480"/>
        <w:rPr>
          <w:lang w:val="zh-CN"/>
        </w:rPr>
      </w:pPr>
      <w:r>
        <w:rPr>
          <w:rFonts w:hint="eastAsia"/>
          <w:lang w:val="zh-CN"/>
        </w:rPr>
        <w:t>改河1</w:t>
      </w:r>
      <w:r>
        <w:rPr>
          <w:lang w:val="zh-CN"/>
        </w:rPr>
        <w:t>~</w:t>
      </w:r>
      <w:r>
        <w:rPr>
          <w:rFonts w:hint="eastAsia"/>
          <w:lang w:val="zh-CN"/>
        </w:rPr>
        <w:t>改河</w:t>
      </w:r>
      <w:r>
        <w:rPr>
          <w:lang w:val="zh-CN"/>
        </w:rPr>
        <w:t>3</w:t>
      </w:r>
      <w:r>
        <w:rPr>
          <w:rFonts w:hint="eastAsia"/>
          <w:lang w:val="zh-CN"/>
        </w:rPr>
        <w:t>河道现状：所在区域属冲洪积阶地地貌，迳江干流于K1+540~K1+620 处自西北向东南斜下穿拟建道路，该处现状河道宽度为11~17m，现状河底高程为11.70m，两岸为天然岸坡，左岸现状地面高程15.73~16.13m，右岸地面高程15.64~16.22m。</w:t>
      </w:r>
    </w:p>
    <w:p>
      <w:pPr>
        <w:ind w:firstLine="480"/>
        <w:rPr>
          <w:lang w:val="zh-CN"/>
        </w:rPr>
      </w:pPr>
      <w:r>
        <w:rPr>
          <w:rFonts w:hint="eastAsia"/>
          <w:lang w:val="zh-CN"/>
        </w:rPr>
        <w:t>迳江大帽山支流于K1+760~K1+700 处自西向东下穿拟建道路，现状河宽约7~9m，现状河底高程为12.20m，两岸为天然岸坡，左岸现状地面高程14.69~18.12m，右岸地面高程14.60~17.86m。</w:t>
      </w:r>
    </w:p>
    <w:p>
      <w:pPr>
        <w:ind w:firstLine="480"/>
        <w:rPr>
          <w:lang w:val="zh-CN"/>
        </w:rPr>
      </w:pPr>
      <w:r>
        <w:rPr>
          <w:rFonts w:hint="eastAsia"/>
          <w:lang w:val="zh-CN"/>
        </w:rPr>
        <w:t>迳江大帽山支流于K1+860~K1+800 处自西南向东北下穿拟建道路，现状河宽约3~8m，现状河底高程为12.70m，两岸为天然岸坡，左岸现状地面高程15.29~19.85m，右岸地面高程15.20~17.59m。</w:t>
      </w:r>
    </w:p>
    <w:p>
      <w:pPr>
        <w:ind w:firstLine="480"/>
        <w:rPr>
          <w:lang w:val="zh-CN"/>
        </w:rPr>
      </w:pPr>
      <w:r>
        <w:rPr>
          <w:rFonts w:hint="eastAsia"/>
          <w:lang w:val="zh-CN"/>
        </w:rPr>
        <w:t>改河4：与大埔大桥跨越段为同一处，迳溪支流于K2+44</w:t>
      </w:r>
      <w:r>
        <w:rPr>
          <w:lang w:val="zh-CN"/>
        </w:rPr>
        <w:t>0</w:t>
      </w:r>
      <w:r>
        <w:rPr>
          <w:rFonts w:hint="eastAsia"/>
          <w:lang w:val="zh-CN"/>
        </w:rPr>
        <w:t>处自西北向东南斜下穿拟建桥梁，溪沟宽约</w:t>
      </w:r>
      <w:r>
        <w:rPr>
          <w:lang w:val="zh-CN"/>
        </w:rPr>
        <w:t>7~9</w:t>
      </w:r>
      <w:r>
        <w:rPr>
          <w:rFonts w:hint="eastAsia"/>
          <w:lang w:val="zh-CN"/>
        </w:rPr>
        <w:t>m，溪水面宽约3m，水深约0.5-1.0m，流速约0.5-1.0m/s，流量约1-2m</w:t>
      </w:r>
      <w:r>
        <w:rPr>
          <w:rFonts w:hint="eastAsia"/>
          <w:vertAlign w:val="superscript"/>
          <w:lang w:val="zh-CN"/>
        </w:rPr>
        <w:t>3</w:t>
      </w:r>
      <w:r>
        <w:rPr>
          <w:rFonts w:hint="eastAsia"/>
          <w:lang w:val="zh-CN"/>
        </w:rPr>
        <w:t>/s。现状河底高程为19m，两岸为天然岸坡，现状地面高程22.6m。</w:t>
      </w:r>
    </w:p>
    <w:p>
      <w:pPr>
        <w:ind w:firstLine="480"/>
        <w:rPr>
          <w:lang w:val="zh-CN"/>
        </w:rPr>
      </w:pPr>
      <w:r>
        <w:rPr>
          <w:rFonts w:hint="eastAsia"/>
          <w:lang w:val="zh-CN"/>
        </w:rPr>
        <w:t>改河</w:t>
      </w:r>
      <w:r>
        <w:rPr>
          <w:lang w:val="zh-CN"/>
        </w:rPr>
        <w:t>5</w:t>
      </w:r>
      <w:r>
        <w:rPr>
          <w:rFonts w:hint="eastAsia"/>
          <w:lang w:val="zh-CN"/>
        </w:rPr>
        <w:t>：联华支于K3+630~K3+650 处自西南向东北斜穿拟建道路，现状河宽约2m，现状河底高程为 34.00m，两岸为天然岸坡，左岸现状地面高程35.33~38.39m，右岸地面高程35.53~40.26m。</w:t>
      </w:r>
    </w:p>
    <w:p>
      <w:pPr>
        <w:ind w:firstLine="480"/>
        <w:rPr>
          <w:lang w:val="zh-CN"/>
        </w:rPr>
      </w:pPr>
      <w:r>
        <w:rPr>
          <w:rFonts w:hint="eastAsia"/>
          <w:lang w:val="zh-CN"/>
        </w:rPr>
        <w:t>（2）改河工程具体内容</w:t>
      </w:r>
    </w:p>
    <w:p>
      <w:pPr>
        <w:ind w:firstLine="480"/>
        <w:rPr>
          <w:lang w:val="zh-CN"/>
        </w:rPr>
      </w:pPr>
      <w:r>
        <w:rPr>
          <w:lang w:val="zh-CN"/>
        </w:rPr>
        <w:t>岸线布置</w:t>
      </w:r>
      <w:r>
        <w:rPr>
          <w:rFonts w:hint="eastAsia"/>
          <w:lang w:val="zh-CN"/>
        </w:rPr>
        <w:t>：</w:t>
      </w:r>
      <w:r>
        <w:rPr>
          <w:lang w:val="zh-CN"/>
        </w:rPr>
        <w:t>本次改河工程岸线总体上根据现状岸线及大埔大桥桥墩调整，调整后岸线走向与设计线位涵洞进出口及天然河道衔接。</w:t>
      </w:r>
    </w:p>
    <w:p>
      <w:pPr>
        <w:ind w:firstLine="480"/>
        <w:rPr>
          <w:lang w:val="zh-CN"/>
        </w:rPr>
      </w:pPr>
      <w:r>
        <w:rPr>
          <w:lang w:val="zh-CN"/>
        </w:rPr>
        <w:t>护岸形式</w:t>
      </w:r>
      <w:r>
        <w:rPr>
          <w:rFonts w:hint="eastAsia"/>
          <w:lang w:val="zh-CN"/>
        </w:rPr>
        <w:t>：</w:t>
      </w:r>
      <w:r>
        <w:rPr>
          <w:lang w:val="zh-CN"/>
        </w:rPr>
        <w:t>改河断面采用岸挡墙结构，并在进出口段或迎水面设</w:t>
      </w:r>
      <w:r>
        <w:rPr>
          <w:rFonts w:hint="eastAsia"/>
        </w:rPr>
        <w:t>护岸</w:t>
      </w:r>
      <w:r>
        <w:rPr>
          <w:lang w:val="zh-CN"/>
        </w:rPr>
        <w:t>，防止基底冲刷。</w:t>
      </w:r>
    </w:p>
    <w:p>
      <w:pPr>
        <w:ind w:firstLine="480"/>
        <w:rPr>
          <w:lang w:val="zh-CN"/>
        </w:rPr>
      </w:pPr>
      <w:r>
        <w:rPr>
          <w:rFonts w:hint="eastAsia"/>
          <w:lang w:val="zh-CN"/>
        </w:rPr>
        <w:t>施工防护：</w:t>
      </w:r>
      <w:r>
        <w:rPr>
          <w:lang w:val="zh-CN"/>
        </w:rPr>
        <w:t>施工时</w:t>
      </w:r>
      <w:r>
        <w:rPr>
          <w:rFonts w:hint="eastAsia"/>
          <w:lang w:val="zh-CN"/>
        </w:rPr>
        <w:t>安排</w:t>
      </w:r>
      <w:r>
        <w:rPr>
          <w:lang w:val="zh-CN"/>
        </w:rPr>
        <w:t>枯水期进行施工。采用纵向式围堰，基坑水泵抽排的方式导流。施工围堰采用草袋围堰方案，左右岸分段分期实施。堰顶高程为束窄后河床过流水位+0.5m安全超高。</w:t>
      </w:r>
    </w:p>
    <w:p>
      <w:pPr>
        <w:pStyle w:val="87"/>
        <w:spacing w:before="120"/>
        <w:rPr>
          <w:lang w:val="zh-CN"/>
        </w:rPr>
      </w:pPr>
      <w:r>
        <w:rPr>
          <w:rFonts w:hint="eastAsia"/>
          <w:snapToGrid w:val="0"/>
        </w:rPr>
        <w:t>改河工程一览表</w:t>
      </w:r>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763"/>
        <w:gridCol w:w="1016"/>
        <w:gridCol w:w="1741"/>
        <w:gridCol w:w="1027"/>
        <w:gridCol w:w="734"/>
        <w:gridCol w:w="2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Align w:val="center"/>
          </w:tcPr>
          <w:p>
            <w:pPr>
              <w:pStyle w:val="105"/>
              <w:ind w:left="-48" w:leftChars="-20" w:right="-48" w:rightChars="-20"/>
              <w:jc w:val="center"/>
              <w:rPr>
                <w:snapToGrid w:val="0"/>
                <w:sz w:val="18"/>
                <w:szCs w:val="22"/>
              </w:rPr>
            </w:pPr>
            <w:r>
              <w:rPr>
                <w:rFonts w:hint="eastAsia"/>
                <w:snapToGrid w:val="0"/>
                <w:sz w:val="18"/>
                <w:szCs w:val="22"/>
              </w:rPr>
              <w:t>序号</w:t>
            </w:r>
          </w:p>
        </w:tc>
        <w:tc>
          <w:tcPr>
            <w:tcW w:w="949" w:type="pct"/>
            <w:vAlign w:val="center"/>
          </w:tcPr>
          <w:p>
            <w:pPr>
              <w:pStyle w:val="105"/>
              <w:ind w:left="-48" w:leftChars="-20" w:right="-48" w:rightChars="-20"/>
              <w:jc w:val="center"/>
              <w:rPr>
                <w:snapToGrid w:val="0"/>
                <w:sz w:val="18"/>
                <w:szCs w:val="22"/>
              </w:rPr>
            </w:pPr>
            <w:r>
              <w:rPr>
                <w:rFonts w:hint="eastAsia"/>
                <w:snapToGrid w:val="0"/>
                <w:sz w:val="18"/>
                <w:szCs w:val="22"/>
              </w:rPr>
              <w:t>起讫桩号</w:t>
            </w: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改河位置</w:t>
            </w:r>
          </w:p>
        </w:tc>
        <w:tc>
          <w:tcPr>
            <w:tcW w:w="937" w:type="pct"/>
            <w:vAlign w:val="center"/>
          </w:tcPr>
          <w:p>
            <w:pPr>
              <w:pStyle w:val="105"/>
              <w:ind w:left="-48" w:leftChars="-20" w:right="-48" w:rightChars="-20"/>
              <w:jc w:val="center"/>
              <w:rPr>
                <w:snapToGrid w:val="0"/>
                <w:sz w:val="18"/>
                <w:szCs w:val="22"/>
              </w:rPr>
            </w:pPr>
            <w:r>
              <w:rPr>
                <w:rFonts w:hint="eastAsia"/>
                <w:snapToGrid w:val="0"/>
                <w:sz w:val="18"/>
                <w:szCs w:val="22"/>
              </w:rPr>
              <w:t>尺寸及说明</w:t>
            </w:r>
          </w:p>
        </w:tc>
        <w:tc>
          <w:tcPr>
            <w:tcW w:w="553" w:type="pct"/>
            <w:vAlign w:val="center"/>
          </w:tcPr>
          <w:p>
            <w:pPr>
              <w:pStyle w:val="105"/>
              <w:ind w:left="-48" w:leftChars="-20" w:right="-48" w:rightChars="-20"/>
              <w:jc w:val="center"/>
              <w:rPr>
                <w:snapToGrid w:val="0"/>
                <w:sz w:val="18"/>
                <w:szCs w:val="22"/>
              </w:rPr>
            </w:pPr>
            <w:r>
              <w:rPr>
                <w:rFonts w:hint="eastAsia"/>
                <w:snapToGrid w:val="0"/>
                <w:sz w:val="18"/>
                <w:szCs w:val="22"/>
              </w:rPr>
              <w:t>截面形式</w:t>
            </w:r>
          </w:p>
        </w:tc>
        <w:tc>
          <w:tcPr>
            <w:tcW w:w="395" w:type="pct"/>
            <w:vAlign w:val="center"/>
          </w:tcPr>
          <w:p>
            <w:pPr>
              <w:pStyle w:val="105"/>
              <w:ind w:left="-48" w:leftChars="-20" w:right="-48" w:rightChars="-20"/>
              <w:jc w:val="center"/>
              <w:rPr>
                <w:snapToGrid w:val="0"/>
                <w:sz w:val="18"/>
                <w:szCs w:val="22"/>
              </w:rPr>
            </w:pPr>
            <w:r>
              <w:rPr>
                <w:rFonts w:hint="eastAsia"/>
                <w:snapToGrid w:val="0"/>
                <w:sz w:val="18"/>
                <w:szCs w:val="22"/>
              </w:rPr>
              <w:t>长度（m）</w:t>
            </w:r>
          </w:p>
        </w:tc>
        <w:tc>
          <w:tcPr>
            <w:tcW w:w="1162" w:type="pct"/>
            <w:vAlign w:val="center"/>
          </w:tcPr>
          <w:p>
            <w:pPr>
              <w:pStyle w:val="105"/>
              <w:ind w:left="-48" w:leftChars="-20" w:right="-48" w:rightChars="-20"/>
              <w:jc w:val="center"/>
              <w:rPr>
                <w:snapToGrid w:val="0"/>
                <w:sz w:val="18"/>
                <w:szCs w:val="22"/>
              </w:rPr>
            </w:pPr>
            <w:r>
              <w:rPr>
                <w:rFonts w:hint="eastAsia"/>
                <w:snapToGrid w:val="0"/>
                <w:sz w:val="18"/>
                <w:szCs w:val="22"/>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Merge w:val="restart"/>
            <w:vAlign w:val="center"/>
          </w:tcPr>
          <w:p>
            <w:pPr>
              <w:pStyle w:val="105"/>
              <w:ind w:left="-48" w:leftChars="-20" w:right="-48" w:rightChars="-20"/>
              <w:jc w:val="center"/>
              <w:rPr>
                <w:snapToGrid w:val="0"/>
                <w:sz w:val="18"/>
                <w:szCs w:val="22"/>
              </w:rPr>
            </w:pPr>
            <w:r>
              <w:rPr>
                <w:rFonts w:hint="eastAsia"/>
                <w:snapToGrid w:val="0"/>
                <w:sz w:val="18"/>
                <w:szCs w:val="22"/>
              </w:rPr>
              <w:t>改河1</w:t>
            </w:r>
          </w:p>
        </w:tc>
        <w:tc>
          <w:tcPr>
            <w:tcW w:w="949" w:type="pct"/>
            <w:vAlign w:val="center"/>
          </w:tcPr>
          <w:p>
            <w:pPr>
              <w:pStyle w:val="105"/>
              <w:ind w:left="-48" w:leftChars="-20" w:right="-48" w:rightChars="-20"/>
              <w:jc w:val="center"/>
              <w:rPr>
                <w:snapToGrid w:val="0"/>
                <w:sz w:val="18"/>
                <w:szCs w:val="22"/>
              </w:rPr>
            </w:pPr>
            <w:r>
              <w:rPr>
                <w:snapToGrid w:val="0"/>
                <w:sz w:val="18"/>
                <w:szCs w:val="22"/>
              </w:rPr>
              <w:t>K1+440~K1+580</w:t>
            </w: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主线左侧</w:t>
            </w:r>
          </w:p>
        </w:tc>
        <w:tc>
          <w:tcPr>
            <w:tcW w:w="937" w:type="pct"/>
            <w:vAlign w:val="center"/>
          </w:tcPr>
          <w:p>
            <w:pPr>
              <w:pStyle w:val="105"/>
              <w:ind w:left="-48" w:leftChars="-20" w:right="-48" w:rightChars="-20"/>
              <w:jc w:val="center"/>
              <w:rPr>
                <w:snapToGrid w:val="0"/>
                <w:sz w:val="18"/>
                <w:szCs w:val="22"/>
              </w:rPr>
            </w:pPr>
            <w:r>
              <w:rPr>
                <w:rFonts w:hint="eastAsia"/>
                <w:snapToGrid w:val="0"/>
                <w:sz w:val="18"/>
                <w:szCs w:val="22"/>
              </w:rPr>
              <w:t>底宽</w:t>
            </w:r>
            <w:r>
              <w:rPr>
                <w:snapToGrid w:val="0"/>
                <w:sz w:val="18"/>
                <w:szCs w:val="22"/>
              </w:rPr>
              <w:t>35m</w:t>
            </w:r>
            <w:r>
              <w:rPr>
                <w:rFonts w:hint="eastAsia"/>
                <w:snapToGrid w:val="0"/>
                <w:sz w:val="18"/>
                <w:szCs w:val="22"/>
              </w:rPr>
              <w:t>，高</w:t>
            </w:r>
            <w:r>
              <w:rPr>
                <w:snapToGrid w:val="0"/>
                <w:sz w:val="18"/>
                <w:szCs w:val="22"/>
              </w:rPr>
              <w:t>4m</w:t>
            </w:r>
          </w:p>
        </w:tc>
        <w:tc>
          <w:tcPr>
            <w:tcW w:w="553" w:type="pct"/>
            <w:vAlign w:val="center"/>
          </w:tcPr>
          <w:p>
            <w:pPr>
              <w:pStyle w:val="105"/>
              <w:ind w:left="-48" w:leftChars="-20" w:right="-48" w:rightChars="-20"/>
              <w:jc w:val="center"/>
              <w:rPr>
                <w:snapToGrid w:val="0"/>
                <w:sz w:val="18"/>
                <w:szCs w:val="22"/>
              </w:rPr>
            </w:pPr>
            <w:r>
              <w:rPr>
                <w:snapToGrid w:val="0"/>
                <w:sz w:val="18"/>
                <w:szCs w:val="22"/>
              </w:rPr>
              <w:t>A</w:t>
            </w:r>
            <w:r>
              <w:rPr>
                <w:rFonts w:hint="eastAsia"/>
                <w:snapToGrid w:val="0"/>
                <w:sz w:val="18"/>
                <w:szCs w:val="22"/>
              </w:rPr>
              <w:t>型改渠</w:t>
            </w:r>
          </w:p>
        </w:tc>
        <w:tc>
          <w:tcPr>
            <w:tcW w:w="395" w:type="pct"/>
            <w:vAlign w:val="center"/>
          </w:tcPr>
          <w:p>
            <w:pPr>
              <w:pStyle w:val="105"/>
              <w:ind w:left="-48" w:leftChars="-20" w:right="-48" w:rightChars="-20"/>
              <w:jc w:val="center"/>
              <w:rPr>
                <w:snapToGrid w:val="0"/>
                <w:sz w:val="18"/>
                <w:szCs w:val="22"/>
              </w:rPr>
            </w:pPr>
            <w:r>
              <w:rPr>
                <w:snapToGrid w:val="0"/>
                <w:sz w:val="18"/>
                <w:szCs w:val="22"/>
              </w:rPr>
              <w:t>140. 0</w:t>
            </w:r>
          </w:p>
        </w:tc>
        <w:tc>
          <w:tcPr>
            <w:tcW w:w="1162" w:type="pct"/>
            <w:vAlign w:val="center"/>
          </w:tcPr>
          <w:p>
            <w:pPr>
              <w:pStyle w:val="105"/>
              <w:ind w:left="-48" w:leftChars="-20" w:right="-48" w:rightChars="-20"/>
              <w:jc w:val="center"/>
              <w:rPr>
                <w:snapToGrid w:val="0"/>
                <w:sz w:val="18"/>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Merge w:val="continue"/>
            <w:vAlign w:val="center"/>
          </w:tcPr>
          <w:p>
            <w:pPr>
              <w:pStyle w:val="105"/>
              <w:ind w:left="-48" w:leftChars="-20" w:right="-48" w:rightChars="-20"/>
              <w:jc w:val="center"/>
              <w:rPr>
                <w:snapToGrid w:val="0"/>
                <w:sz w:val="18"/>
                <w:szCs w:val="22"/>
              </w:rPr>
            </w:pPr>
          </w:p>
        </w:tc>
        <w:tc>
          <w:tcPr>
            <w:tcW w:w="949" w:type="pct"/>
            <w:vAlign w:val="center"/>
          </w:tcPr>
          <w:p>
            <w:pPr>
              <w:pStyle w:val="105"/>
              <w:ind w:left="-48" w:leftChars="-20" w:right="-48" w:rightChars="-20"/>
              <w:jc w:val="center"/>
              <w:rPr>
                <w:snapToGrid w:val="0"/>
                <w:sz w:val="18"/>
                <w:szCs w:val="22"/>
              </w:rPr>
            </w:pP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主线左侧</w:t>
            </w:r>
          </w:p>
        </w:tc>
        <w:tc>
          <w:tcPr>
            <w:tcW w:w="937" w:type="pct"/>
            <w:vAlign w:val="center"/>
          </w:tcPr>
          <w:p>
            <w:pPr>
              <w:pStyle w:val="105"/>
              <w:ind w:left="-48" w:leftChars="-20" w:right="-48" w:rightChars="-20"/>
              <w:jc w:val="center"/>
              <w:rPr>
                <w:snapToGrid w:val="0"/>
                <w:sz w:val="18"/>
                <w:szCs w:val="22"/>
              </w:rPr>
            </w:pPr>
          </w:p>
        </w:tc>
        <w:tc>
          <w:tcPr>
            <w:tcW w:w="553" w:type="pct"/>
            <w:vAlign w:val="center"/>
          </w:tcPr>
          <w:p>
            <w:pPr>
              <w:pStyle w:val="105"/>
              <w:ind w:left="-48" w:leftChars="-20" w:right="-48" w:rightChars="-20"/>
              <w:jc w:val="center"/>
              <w:rPr>
                <w:snapToGrid w:val="0"/>
                <w:sz w:val="18"/>
                <w:szCs w:val="22"/>
              </w:rPr>
            </w:pPr>
            <w:r>
              <w:rPr>
                <w:snapToGrid w:val="0"/>
                <w:sz w:val="18"/>
                <w:szCs w:val="22"/>
              </w:rPr>
              <w:t>F</w:t>
            </w:r>
            <w:r>
              <w:rPr>
                <w:rFonts w:hint="eastAsia"/>
                <w:snapToGrid w:val="0"/>
                <w:sz w:val="18"/>
                <w:szCs w:val="22"/>
              </w:rPr>
              <w:t>型</w:t>
            </w:r>
          </w:p>
        </w:tc>
        <w:tc>
          <w:tcPr>
            <w:tcW w:w="395" w:type="pct"/>
            <w:vAlign w:val="center"/>
          </w:tcPr>
          <w:p>
            <w:pPr>
              <w:pStyle w:val="105"/>
              <w:ind w:left="-48" w:leftChars="-20" w:right="-48" w:rightChars="-20"/>
              <w:jc w:val="center"/>
              <w:rPr>
                <w:snapToGrid w:val="0"/>
                <w:sz w:val="18"/>
                <w:szCs w:val="22"/>
              </w:rPr>
            </w:pPr>
            <w:r>
              <w:rPr>
                <w:snapToGrid w:val="0"/>
                <w:sz w:val="18"/>
                <w:szCs w:val="22"/>
              </w:rPr>
              <w:t>32. 0</w:t>
            </w:r>
          </w:p>
        </w:tc>
        <w:tc>
          <w:tcPr>
            <w:tcW w:w="1162" w:type="pct"/>
            <w:vAlign w:val="center"/>
          </w:tcPr>
          <w:p>
            <w:pPr>
              <w:pStyle w:val="105"/>
              <w:ind w:left="-48" w:leftChars="-20" w:right="-48" w:rightChars="-20"/>
              <w:jc w:val="center"/>
              <w:rPr>
                <w:snapToGrid w:val="0"/>
                <w:sz w:val="18"/>
                <w:szCs w:val="22"/>
              </w:rPr>
            </w:pPr>
            <w:r>
              <w:rPr>
                <w:snapToGrid w:val="0"/>
                <w:sz w:val="18"/>
                <w:szCs w:val="22"/>
              </w:rPr>
              <w:t>A</w:t>
            </w:r>
            <w:r>
              <w:rPr>
                <w:rFonts w:hint="eastAsia"/>
                <w:snapToGrid w:val="0"/>
                <w:sz w:val="18"/>
                <w:szCs w:val="22"/>
              </w:rPr>
              <w:t>型改渠出口</w:t>
            </w:r>
            <w:r>
              <w:rPr>
                <w:snapToGrid w:val="0"/>
                <w:sz w:val="18"/>
                <w:szCs w:val="22"/>
              </w:rPr>
              <w:t xml:space="preserve"> F</w:t>
            </w:r>
            <w:r>
              <w:rPr>
                <w:rFonts w:hint="eastAsia"/>
                <w:snapToGrid w:val="0"/>
                <w:sz w:val="18"/>
                <w:szCs w:val="22"/>
              </w:rPr>
              <w:t>型处理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Merge w:val="continue"/>
            <w:vAlign w:val="center"/>
          </w:tcPr>
          <w:p>
            <w:pPr>
              <w:pStyle w:val="105"/>
              <w:ind w:left="-48" w:leftChars="-20" w:right="-48" w:rightChars="-20"/>
              <w:jc w:val="center"/>
              <w:rPr>
                <w:snapToGrid w:val="0"/>
                <w:sz w:val="18"/>
                <w:szCs w:val="22"/>
              </w:rPr>
            </w:pPr>
          </w:p>
        </w:tc>
        <w:tc>
          <w:tcPr>
            <w:tcW w:w="949" w:type="pct"/>
            <w:vAlign w:val="center"/>
          </w:tcPr>
          <w:p>
            <w:pPr>
              <w:pStyle w:val="105"/>
              <w:ind w:left="-48" w:leftChars="-20" w:right="-48" w:rightChars="-20"/>
              <w:jc w:val="center"/>
              <w:rPr>
                <w:snapToGrid w:val="0"/>
                <w:sz w:val="18"/>
                <w:szCs w:val="22"/>
              </w:rPr>
            </w:pPr>
            <w:r>
              <w:rPr>
                <w:snapToGrid w:val="0"/>
                <w:sz w:val="18"/>
                <w:szCs w:val="22"/>
              </w:rPr>
              <w:t>K1+588~K1+666</w:t>
            </w: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主线右侧</w:t>
            </w:r>
          </w:p>
        </w:tc>
        <w:tc>
          <w:tcPr>
            <w:tcW w:w="937" w:type="pct"/>
            <w:vAlign w:val="center"/>
          </w:tcPr>
          <w:p>
            <w:pPr>
              <w:pStyle w:val="105"/>
              <w:ind w:left="-48" w:leftChars="-20" w:right="-48" w:rightChars="-20"/>
              <w:jc w:val="center"/>
              <w:rPr>
                <w:snapToGrid w:val="0"/>
                <w:sz w:val="18"/>
                <w:szCs w:val="22"/>
              </w:rPr>
            </w:pPr>
          </w:p>
        </w:tc>
        <w:tc>
          <w:tcPr>
            <w:tcW w:w="553" w:type="pct"/>
            <w:vAlign w:val="center"/>
          </w:tcPr>
          <w:p>
            <w:pPr>
              <w:pStyle w:val="105"/>
              <w:ind w:left="-48" w:leftChars="-20" w:right="-48" w:rightChars="-20"/>
              <w:jc w:val="center"/>
              <w:rPr>
                <w:snapToGrid w:val="0"/>
                <w:sz w:val="18"/>
                <w:szCs w:val="22"/>
              </w:rPr>
            </w:pPr>
            <w:r>
              <w:rPr>
                <w:snapToGrid w:val="0"/>
                <w:sz w:val="18"/>
                <w:szCs w:val="22"/>
              </w:rPr>
              <w:t>E</w:t>
            </w:r>
            <w:r>
              <w:rPr>
                <w:rFonts w:hint="eastAsia"/>
                <w:snapToGrid w:val="0"/>
                <w:sz w:val="18"/>
                <w:szCs w:val="22"/>
              </w:rPr>
              <w:t>型</w:t>
            </w:r>
          </w:p>
        </w:tc>
        <w:tc>
          <w:tcPr>
            <w:tcW w:w="395" w:type="pct"/>
            <w:vAlign w:val="center"/>
          </w:tcPr>
          <w:p>
            <w:pPr>
              <w:pStyle w:val="105"/>
              <w:ind w:left="-48" w:leftChars="-20" w:right="-48" w:rightChars="-20"/>
              <w:jc w:val="center"/>
              <w:rPr>
                <w:snapToGrid w:val="0"/>
                <w:sz w:val="18"/>
                <w:szCs w:val="22"/>
              </w:rPr>
            </w:pPr>
            <w:r>
              <w:rPr>
                <w:snapToGrid w:val="0"/>
                <w:sz w:val="18"/>
                <w:szCs w:val="22"/>
              </w:rPr>
              <w:t>80. 0</w:t>
            </w:r>
          </w:p>
        </w:tc>
        <w:tc>
          <w:tcPr>
            <w:tcW w:w="1162" w:type="pct"/>
            <w:vAlign w:val="center"/>
          </w:tcPr>
          <w:p>
            <w:pPr>
              <w:pStyle w:val="105"/>
              <w:ind w:left="-48" w:leftChars="-20" w:right="-48" w:rightChars="-20"/>
              <w:jc w:val="center"/>
              <w:rPr>
                <w:snapToGrid w:val="0"/>
                <w:sz w:val="18"/>
                <w:szCs w:val="22"/>
              </w:rPr>
            </w:pPr>
            <w:r>
              <w:rPr>
                <w:rFonts w:hint="eastAsia"/>
                <w:snapToGrid w:val="0"/>
                <w:sz w:val="18"/>
                <w:szCs w:val="22"/>
              </w:rPr>
              <w:t>利用天然沟</w:t>
            </w:r>
            <w:r>
              <w:rPr>
                <w:snapToGrid w:val="0"/>
                <w:sz w:val="18"/>
                <w:szCs w:val="22"/>
              </w:rPr>
              <w:t>E</w:t>
            </w:r>
            <w:r>
              <w:rPr>
                <w:rFonts w:hint="eastAsia"/>
                <w:snapToGrid w:val="0"/>
                <w:sz w:val="18"/>
                <w:szCs w:val="22"/>
              </w:rPr>
              <w:t>型处理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Merge w:val="continue"/>
            <w:vAlign w:val="center"/>
          </w:tcPr>
          <w:p>
            <w:pPr>
              <w:pStyle w:val="105"/>
              <w:ind w:left="-48" w:leftChars="-20" w:right="-48" w:rightChars="-20"/>
              <w:jc w:val="center"/>
              <w:rPr>
                <w:snapToGrid w:val="0"/>
                <w:sz w:val="18"/>
                <w:szCs w:val="22"/>
              </w:rPr>
            </w:pPr>
          </w:p>
        </w:tc>
        <w:tc>
          <w:tcPr>
            <w:tcW w:w="949" w:type="pct"/>
            <w:vAlign w:val="center"/>
          </w:tcPr>
          <w:p>
            <w:pPr>
              <w:pStyle w:val="105"/>
              <w:ind w:left="-48" w:leftChars="-20" w:right="-48" w:rightChars="-20"/>
              <w:jc w:val="center"/>
              <w:rPr>
                <w:snapToGrid w:val="0"/>
                <w:sz w:val="18"/>
                <w:szCs w:val="22"/>
              </w:rPr>
            </w:pPr>
            <w:r>
              <w:rPr>
                <w:snapToGrid w:val="0"/>
                <w:sz w:val="18"/>
                <w:szCs w:val="22"/>
              </w:rPr>
              <w:t>K1+540</w:t>
            </w:r>
            <w:r>
              <w:rPr>
                <w:rFonts w:hint="eastAsia"/>
                <w:snapToGrid w:val="0"/>
                <w:sz w:val="18"/>
                <w:szCs w:val="22"/>
              </w:rPr>
              <w:t>交叉口部位</w:t>
            </w: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主线右侧</w:t>
            </w:r>
          </w:p>
        </w:tc>
        <w:tc>
          <w:tcPr>
            <w:tcW w:w="937" w:type="pct"/>
            <w:vAlign w:val="center"/>
          </w:tcPr>
          <w:p>
            <w:pPr>
              <w:pStyle w:val="105"/>
              <w:ind w:left="-48" w:leftChars="-20" w:right="-48" w:rightChars="-20"/>
              <w:jc w:val="center"/>
              <w:rPr>
                <w:snapToGrid w:val="0"/>
                <w:sz w:val="18"/>
                <w:szCs w:val="22"/>
              </w:rPr>
            </w:pPr>
          </w:p>
        </w:tc>
        <w:tc>
          <w:tcPr>
            <w:tcW w:w="553" w:type="pct"/>
            <w:vAlign w:val="center"/>
          </w:tcPr>
          <w:p>
            <w:pPr>
              <w:pStyle w:val="105"/>
              <w:ind w:left="-48" w:leftChars="-20" w:right="-48" w:rightChars="-20"/>
              <w:jc w:val="center"/>
              <w:rPr>
                <w:snapToGrid w:val="0"/>
                <w:sz w:val="18"/>
                <w:szCs w:val="22"/>
              </w:rPr>
            </w:pPr>
            <w:r>
              <w:rPr>
                <w:snapToGrid w:val="0"/>
                <w:sz w:val="18"/>
                <w:szCs w:val="22"/>
              </w:rPr>
              <w:t>E</w:t>
            </w:r>
            <w:r>
              <w:rPr>
                <w:rFonts w:hint="eastAsia"/>
                <w:snapToGrid w:val="0"/>
                <w:sz w:val="18"/>
                <w:szCs w:val="22"/>
              </w:rPr>
              <w:t>型</w:t>
            </w:r>
          </w:p>
        </w:tc>
        <w:tc>
          <w:tcPr>
            <w:tcW w:w="395" w:type="pct"/>
            <w:vAlign w:val="center"/>
          </w:tcPr>
          <w:p>
            <w:pPr>
              <w:pStyle w:val="105"/>
              <w:ind w:left="-48" w:leftChars="-20" w:right="-48" w:rightChars="-20"/>
              <w:jc w:val="center"/>
              <w:rPr>
                <w:snapToGrid w:val="0"/>
                <w:sz w:val="18"/>
                <w:szCs w:val="22"/>
              </w:rPr>
            </w:pPr>
            <w:r>
              <w:rPr>
                <w:snapToGrid w:val="0"/>
                <w:sz w:val="18"/>
                <w:szCs w:val="22"/>
              </w:rPr>
              <w:t>25.0</w:t>
            </w:r>
          </w:p>
        </w:tc>
        <w:tc>
          <w:tcPr>
            <w:tcW w:w="1162" w:type="pct"/>
            <w:vAlign w:val="center"/>
          </w:tcPr>
          <w:p>
            <w:pPr>
              <w:pStyle w:val="105"/>
              <w:ind w:left="-48" w:leftChars="-20" w:right="-48" w:rightChars="-20"/>
              <w:jc w:val="center"/>
              <w:rPr>
                <w:snapToGrid w:val="0"/>
                <w:sz w:val="18"/>
                <w:szCs w:val="22"/>
              </w:rPr>
            </w:pPr>
            <w:r>
              <w:rPr>
                <w:rFonts w:hint="eastAsia"/>
                <w:snapToGrid w:val="0"/>
                <w:sz w:val="18"/>
                <w:szCs w:val="22"/>
              </w:rPr>
              <w:t>利用天然沟</w:t>
            </w:r>
            <w:r>
              <w:rPr>
                <w:snapToGrid w:val="0"/>
                <w:sz w:val="18"/>
                <w:szCs w:val="22"/>
              </w:rPr>
              <w:t>E</w:t>
            </w:r>
            <w:r>
              <w:rPr>
                <w:rFonts w:hint="eastAsia"/>
                <w:snapToGrid w:val="0"/>
                <w:sz w:val="18"/>
                <w:szCs w:val="22"/>
              </w:rPr>
              <w:t>型处理</w:t>
            </w:r>
            <w:r>
              <w:rPr>
                <w:snapToGrid w:val="0"/>
                <w:sz w:val="18"/>
                <w:szCs w:val="22"/>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Align w:val="center"/>
          </w:tcPr>
          <w:p>
            <w:pPr>
              <w:pStyle w:val="105"/>
              <w:ind w:left="-48" w:leftChars="-20" w:right="-48" w:rightChars="-20"/>
              <w:jc w:val="center"/>
              <w:rPr>
                <w:snapToGrid w:val="0"/>
                <w:sz w:val="18"/>
                <w:szCs w:val="22"/>
              </w:rPr>
            </w:pPr>
            <w:r>
              <w:rPr>
                <w:rFonts w:hint="eastAsia"/>
                <w:snapToGrid w:val="0"/>
                <w:sz w:val="18"/>
                <w:szCs w:val="22"/>
              </w:rPr>
              <w:t>改河2</w:t>
            </w:r>
          </w:p>
        </w:tc>
        <w:tc>
          <w:tcPr>
            <w:tcW w:w="949" w:type="pct"/>
            <w:vAlign w:val="center"/>
          </w:tcPr>
          <w:p>
            <w:pPr>
              <w:pStyle w:val="105"/>
              <w:ind w:left="-48" w:leftChars="-20" w:right="-48" w:rightChars="-20"/>
              <w:jc w:val="center"/>
              <w:rPr>
                <w:snapToGrid w:val="0"/>
                <w:sz w:val="18"/>
                <w:szCs w:val="22"/>
              </w:rPr>
            </w:pPr>
            <w:r>
              <w:rPr>
                <w:snapToGrid w:val="0"/>
                <w:sz w:val="18"/>
                <w:szCs w:val="22"/>
              </w:rPr>
              <w:t>K1+666~K1+712</w:t>
            </w: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主线右侧</w:t>
            </w:r>
          </w:p>
        </w:tc>
        <w:tc>
          <w:tcPr>
            <w:tcW w:w="937" w:type="pct"/>
            <w:vAlign w:val="center"/>
          </w:tcPr>
          <w:p>
            <w:pPr>
              <w:pStyle w:val="105"/>
              <w:ind w:left="-48" w:leftChars="-20" w:right="-48" w:rightChars="-20"/>
              <w:jc w:val="center"/>
              <w:rPr>
                <w:snapToGrid w:val="0"/>
                <w:sz w:val="18"/>
                <w:szCs w:val="22"/>
              </w:rPr>
            </w:pPr>
            <w:r>
              <w:rPr>
                <w:rFonts w:hint="eastAsia"/>
                <w:snapToGrid w:val="0"/>
                <w:sz w:val="18"/>
                <w:szCs w:val="22"/>
              </w:rPr>
              <w:t>底宽</w:t>
            </w:r>
            <w:r>
              <w:rPr>
                <w:snapToGrid w:val="0"/>
                <w:sz w:val="18"/>
                <w:szCs w:val="22"/>
              </w:rPr>
              <w:t>16m</w:t>
            </w:r>
            <w:r>
              <w:rPr>
                <w:rFonts w:hint="eastAsia"/>
                <w:snapToGrid w:val="0"/>
                <w:sz w:val="18"/>
                <w:szCs w:val="22"/>
              </w:rPr>
              <w:t>，高</w:t>
            </w:r>
            <w:r>
              <w:rPr>
                <w:snapToGrid w:val="0"/>
                <w:sz w:val="18"/>
                <w:szCs w:val="22"/>
              </w:rPr>
              <w:t>4m</w:t>
            </w:r>
          </w:p>
        </w:tc>
        <w:tc>
          <w:tcPr>
            <w:tcW w:w="553" w:type="pct"/>
            <w:vAlign w:val="center"/>
          </w:tcPr>
          <w:p>
            <w:pPr>
              <w:pStyle w:val="105"/>
              <w:ind w:left="-48" w:leftChars="-20" w:right="-48" w:rightChars="-20"/>
              <w:jc w:val="center"/>
              <w:rPr>
                <w:snapToGrid w:val="0"/>
                <w:sz w:val="18"/>
                <w:szCs w:val="22"/>
              </w:rPr>
            </w:pPr>
            <w:r>
              <w:rPr>
                <w:snapToGrid w:val="0"/>
                <w:sz w:val="18"/>
                <w:szCs w:val="22"/>
              </w:rPr>
              <w:t>B</w:t>
            </w:r>
            <w:r>
              <w:rPr>
                <w:rFonts w:hint="eastAsia"/>
                <w:snapToGrid w:val="0"/>
                <w:sz w:val="18"/>
                <w:szCs w:val="22"/>
              </w:rPr>
              <w:t>型改渠</w:t>
            </w:r>
          </w:p>
        </w:tc>
        <w:tc>
          <w:tcPr>
            <w:tcW w:w="395" w:type="pct"/>
            <w:vAlign w:val="center"/>
          </w:tcPr>
          <w:p>
            <w:pPr>
              <w:pStyle w:val="105"/>
              <w:ind w:left="-48" w:leftChars="-20" w:right="-48" w:rightChars="-20"/>
              <w:jc w:val="center"/>
              <w:rPr>
                <w:snapToGrid w:val="0"/>
                <w:sz w:val="18"/>
                <w:szCs w:val="22"/>
              </w:rPr>
            </w:pPr>
            <w:r>
              <w:rPr>
                <w:snapToGrid w:val="0"/>
                <w:sz w:val="18"/>
                <w:szCs w:val="22"/>
              </w:rPr>
              <w:t>46.0</w:t>
            </w:r>
          </w:p>
        </w:tc>
        <w:tc>
          <w:tcPr>
            <w:tcW w:w="1162" w:type="pct"/>
            <w:vAlign w:val="center"/>
          </w:tcPr>
          <w:p>
            <w:pPr>
              <w:pStyle w:val="105"/>
              <w:ind w:left="-48" w:leftChars="-20" w:right="-48" w:rightChars="-20"/>
              <w:jc w:val="center"/>
              <w:rPr>
                <w:snapToGrid w:val="0"/>
                <w:sz w:val="18"/>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Align w:val="center"/>
          </w:tcPr>
          <w:p>
            <w:pPr>
              <w:pStyle w:val="105"/>
              <w:ind w:left="-48" w:leftChars="-20" w:right="-48" w:rightChars="-20"/>
              <w:jc w:val="center"/>
              <w:rPr>
                <w:snapToGrid w:val="0"/>
                <w:sz w:val="18"/>
                <w:szCs w:val="22"/>
              </w:rPr>
            </w:pPr>
            <w:r>
              <w:rPr>
                <w:rFonts w:hint="eastAsia"/>
                <w:snapToGrid w:val="0"/>
                <w:sz w:val="18"/>
                <w:szCs w:val="22"/>
              </w:rPr>
              <w:t>改河3</w:t>
            </w:r>
          </w:p>
        </w:tc>
        <w:tc>
          <w:tcPr>
            <w:tcW w:w="949" w:type="pct"/>
            <w:vAlign w:val="center"/>
          </w:tcPr>
          <w:p>
            <w:pPr>
              <w:pStyle w:val="105"/>
              <w:ind w:left="-48" w:leftChars="-20" w:right="-48" w:rightChars="-20"/>
              <w:jc w:val="center"/>
              <w:rPr>
                <w:snapToGrid w:val="0"/>
                <w:sz w:val="18"/>
                <w:szCs w:val="22"/>
              </w:rPr>
            </w:pPr>
            <w:r>
              <w:rPr>
                <w:snapToGrid w:val="0"/>
                <w:sz w:val="18"/>
                <w:szCs w:val="22"/>
              </w:rPr>
              <w:t>K1+747~K1+815.5</w:t>
            </w: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主线右侧</w:t>
            </w:r>
          </w:p>
        </w:tc>
        <w:tc>
          <w:tcPr>
            <w:tcW w:w="937" w:type="pct"/>
            <w:vAlign w:val="center"/>
          </w:tcPr>
          <w:p>
            <w:pPr>
              <w:pStyle w:val="105"/>
              <w:ind w:left="-48" w:leftChars="-20" w:right="-48" w:rightChars="-20"/>
              <w:jc w:val="center"/>
              <w:rPr>
                <w:snapToGrid w:val="0"/>
                <w:sz w:val="18"/>
                <w:szCs w:val="22"/>
              </w:rPr>
            </w:pPr>
            <w:r>
              <w:rPr>
                <w:rFonts w:hint="eastAsia"/>
                <w:snapToGrid w:val="0"/>
                <w:sz w:val="18"/>
                <w:szCs w:val="22"/>
              </w:rPr>
              <w:t>底宽</w:t>
            </w:r>
            <w:r>
              <w:rPr>
                <w:snapToGrid w:val="0"/>
                <w:sz w:val="18"/>
                <w:szCs w:val="22"/>
              </w:rPr>
              <w:t>16m</w:t>
            </w:r>
            <w:r>
              <w:rPr>
                <w:rFonts w:hint="eastAsia"/>
                <w:snapToGrid w:val="0"/>
                <w:sz w:val="18"/>
                <w:szCs w:val="22"/>
              </w:rPr>
              <w:t>，高</w:t>
            </w:r>
            <w:r>
              <w:rPr>
                <w:snapToGrid w:val="0"/>
                <w:sz w:val="18"/>
                <w:szCs w:val="22"/>
              </w:rPr>
              <w:t>4m</w:t>
            </w:r>
          </w:p>
        </w:tc>
        <w:tc>
          <w:tcPr>
            <w:tcW w:w="553" w:type="pct"/>
            <w:vAlign w:val="center"/>
          </w:tcPr>
          <w:p>
            <w:pPr>
              <w:pStyle w:val="105"/>
              <w:ind w:left="-48" w:leftChars="-20" w:right="-48" w:rightChars="-20"/>
              <w:jc w:val="center"/>
              <w:rPr>
                <w:snapToGrid w:val="0"/>
                <w:sz w:val="18"/>
                <w:szCs w:val="22"/>
              </w:rPr>
            </w:pPr>
            <w:r>
              <w:rPr>
                <w:snapToGrid w:val="0"/>
                <w:sz w:val="18"/>
                <w:szCs w:val="22"/>
              </w:rPr>
              <w:t>B</w:t>
            </w:r>
            <w:r>
              <w:rPr>
                <w:rFonts w:hint="eastAsia"/>
                <w:snapToGrid w:val="0"/>
                <w:sz w:val="18"/>
                <w:szCs w:val="22"/>
              </w:rPr>
              <w:t>型改渠</w:t>
            </w:r>
          </w:p>
        </w:tc>
        <w:tc>
          <w:tcPr>
            <w:tcW w:w="395" w:type="pct"/>
            <w:vAlign w:val="center"/>
          </w:tcPr>
          <w:p>
            <w:pPr>
              <w:pStyle w:val="105"/>
              <w:ind w:left="-48" w:leftChars="-20" w:right="-48" w:rightChars="-20"/>
              <w:jc w:val="center"/>
              <w:rPr>
                <w:snapToGrid w:val="0"/>
                <w:sz w:val="18"/>
                <w:szCs w:val="22"/>
              </w:rPr>
            </w:pPr>
            <w:r>
              <w:rPr>
                <w:snapToGrid w:val="0"/>
                <w:sz w:val="18"/>
                <w:szCs w:val="22"/>
              </w:rPr>
              <w:t>68.5</w:t>
            </w:r>
          </w:p>
        </w:tc>
        <w:tc>
          <w:tcPr>
            <w:tcW w:w="1162" w:type="pct"/>
            <w:vAlign w:val="center"/>
          </w:tcPr>
          <w:p>
            <w:pPr>
              <w:pStyle w:val="105"/>
              <w:ind w:left="-48" w:leftChars="-20" w:right="-48" w:rightChars="-20"/>
              <w:jc w:val="center"/>
              <w:rPr>
                <w:snapToGrid w:val="0"/>
                <w:sz w:val="18"/>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Merge w:val="restart"/>
            <w:vAlign w:val="center"/>
          </w:tcPr>
          <w:p>
            <w:pPr>
              <w:pStyle w:val="105"/>
              <w:ind w:left="-48" w:leftChars="-20" w:right="-48" w:rightChars="-20"/>
              <w:jc w:val="center"/>
              <w:rPr>
                <w:snapToGrid w:val="0"/>
                <w:sz w:val="18"/>
                <w:szCs w:val="22"/>
              </w:rPr>
            </w:pPr>
            <w:r>
              <w:rPr>
                <w:rFonts w:hint="eastAsia"/>
                <w:snapToGrid w:val="0"/>
                <w:sz w:val="18"/>
                <w:szCs w:val="22"/>
              </w:rPr>
              <w:t>改河4</w:t>
            </w:r>
          </w:p>
        </w:tc>
        <w:tc>
          <w:tcPr>
            <w:tcW w:w="949" w:type="pct"/>
            <w:vAlign w:val="center"/>
          </w:tcPr>
          <w:p>
            <w:pPr>
              <w:pStyle w:val="105"/>
              <w:ind w:left="-48" w:leftChars="-20" w:right="-48" w:rightChars="-20"/>
              <w:jc w:val="center"/>
              <w:rPr>
                <w:snapToGrid w:val="0"/>
                <w:sz w:val="18"/>
                <w:szCs w:val="22"/>
              </w:rPr>
            </w:pPr>
            <w:r>
              <w:rPr>
                <w:snapToGrid w:val="0"/>
                <w:sz w:val="18"/>
                <w:szCs w:val="22"/>
              </w:rPr>
              <w:t>K2+420~K2+460</w:t>
            </w: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桥下改河</w:t>
            </w:r>
          </w:p>
        </w:tc>
        <w:tc>
          <w:tcPr>
            <w:tcW w:w="937" w:type="pct"/>
            <w:vAlign w:val="center"/>
          </w:tcPr>
          <w:p>
            <w:pPr>
              <w:pStyle w:val="105"/>
              <w:ind w:left="-48" w:leftChars="-20" w:right="-48" w:rightChars="-20"/>
              <w:jc w:val="center"/>
              <w:rPr>
                <w:snapToGrid w:val="0"/>
                <w:sz w:val="18"/>
                <w:szCs w:val="22"/>
              </w:rPr>
            </w:pPr>
            <w:r>
              <w:rPr>
                <w:rFonts w:hint="eastAsia"/>
                <w:snapToGrid w:val="0"/>
                <w:sz w:val="18"/>
                <w:szCs w:val="22"/>
              </w:rPr>
              <w:t>底宽</w:t>
            </w:r>
            <w:r>
              <w:rPr>
                <w:snapToGrid w:val="0"/>
                <w:sz w:val="18"/>
                <w:szCs w:val="22"/>
              </w:rPr>
              <w:t>12m</w:t>
            </w:r>
            <w:r>
              <w:rPr>
                <w:rFonts w:hint="eastAsia"/>
                <w:snapToGrid w:val="0"/>
                <w:sz w:val="18"/>
                <w:szCs w:val="22"/>
              </w:rPr>
              <w:t>，高</w:t>
            </w:r>
            <w:r>
              <w:rPr>
                <w:snapToGrid w:val="0"/>
                <w:sz w:val="18"/>
                <w:szCs w:val="22"/>
              </w:rPr>
              <w:t>3.5 m</w:t>
            </w:r>
          </w:p>
        </w:tc>
        <w:tc>
          <w:tcPr>
            <w:tcW w:w="553" w:type="pct"/>
            <w:vAlign w:val="center"/>
          </w:tcPr>
          <w:p>
            <w:pPr>
              <w:pStyle w:val="105"/>
              <w:ind w:left="-48" w:leftChars="-20" w:right="-48" w:rightChars="-20"/>
              <w:jc w:val="center"/>
              <w:rPr>
                <w:snapToGrid w:val="0"/>
                <w:sz w:val="18"/>
                <w:szCs w:val="22"/>
              </w:rPr>
            </w:pPr>
            <w:r>
              <w:rPr>
                <w:snapToGrid w:val="0"/>
                <w:sz w:val="18"/>
                <w:szCs w:val="22"/>
              </w:rPr>
              <w:t>D</w:t>
            </w:r>
            <w:r>
              <w:rPr>
                <w:rFonts w:hint="eastAsia"/>
                <w:snapToGrid w:val="0"/>
                <w:sz w:val="18"/>
                <w:szCs w:val="22"/>
              </w:rPr>
              <w:t>型改渠</w:t>
            </w:r>
          </w:p>
        </w:tc>
        <w:tc>
          <w:tcPr>
            <w:tcW w:w="395" w:type="pct"/>
            <w:vAlign w:val="center"/>
          </w:tcPr>
          <w:p>
            <w:pPr>
              <w:pStyle w:val="105"/>
              <w:ind w:left="-48" w:leftChars="-20" w:right="-48" w:rightChars="-20"/>
              <w:jc w:val="center"/>
              <w:rPr>
                <w:snapToGrid w:val="0"/>
                <w:sz w:val="18"/>
                <w:szCs w:val="22"/>
              </w:rPr>
            </w:pPr>
            <w:r>
              <w:rPr>
                <w:snapToGrid w:val="0"/>
                <w:sz w:val="18"/>
                <w:szCs w:val="22"/>
              </w:rPr>
              <w:t>130.0</w:t>
            </w:r>
          </w:p>
        </w:tc>
        <w:tc>
          <w:tcPr>
            <w:tcW w:w="1162" w:type="pct"/>
            <w:vAlign w:val="center"/>
          </w:tcPr>
          <w:p>
            <w:pPr>
              <w:pStyle w:val="105"/>
              <w:ind w:left="-48" w:leftChars="-20" w:right="-48" w:rightChars="-20"/>
              <w:jc w:val="center"/>
              <w:rPr>
                <w:snapToGrid w:val="0"/>
                <w:sz w:val="18"/>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Merge w:val="continue"/>
            <w:vAlign w:val="center"/>
          </w:tcPr>
          <w:p>
            <w:pPr>
              <w:pStyle w:val="105"/>
              <w:ind w:left="-48" w:leftChars="-20" w:right="-48" w:rightChars="-20"/>
              <w:jc w:val="center"/>
              <w:rPr>
                <w:snapToGrid w:val="0"/>
                <w:sz w:val="18"/>
                <w:szCs w:val="22"/>
              </w:rPr>
            </w:pPr>
          </w:p>
        </w:tc>
        <w:tc>
          <w:tcPr>
            <w:tcW w:w="949" w:type="pct"/>
            <w:vAlign w:val="center"/>
          </w:tcPr>
          <w:p>
            <w:pPr>
              <w:pStyle w:val="105"/>
              <w:ind w:left="-48" w:leftChars="-20" w:right="-48" w:rightChars="-20"/>
              <w:jc w:val="center"/>
              <w:rPr>
                <w:snapToGrid w:val="0"/>
                <w:sz w:val="18"/>
                <w:szCs w:val="22"/>
              </w:rPr>
            </w:pP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桥下改河</w:t>
            </w:r>
          </w:p>
        </w:tc>
        <w:tc>
          <w:tcPr>
            <w:tcW w:w="937" w:type="pct"/>
            <w:vAlign w:val="top"/>
          </w:tcPr>
          <w:p>
            <w:pPr>
              <w:pStyle w:val="105"/>
              <w:ind w:left="-48" w:leftChars="-20" w:right="-48" w:rightChars="-20"/>
              <w:jc w:val="center"/>
              <w:rPr>
                <w:snapToGrid w:val="0"/>
                <w:sz w:val="18"/>
                <w:szCs w:val="22"/>
              </w:rPr>
            </w:pPr>
          </w:p>
        </w:tc>
        <w:tc>
          <w:tcPr>
            <w:tcW w:w="553" w:type="pct"/>
            <w:vAlign w:val="center"/>
          </w:tcPr>
          <w:p>
            <w:pPr>
              <w:pStyle w:val="105"/>
              <w:ind w:left="-48" w:leftChars="-20" w:right="-48" w:rightChars="-20"/>
              <w:jc w:val="center"/>
              <w:rPr>
                <w:snapToGrid w:val="0"/>
                <w:sz w:val="18"/>
                <w:szCs w:val="22"/>
              </w:rPr>
            </w:pPr>
            <w:r>
              <w:rPr>
                <w:snapToGrid w:val="0"/>
                <w:sz w:val="18"/>
                <w:szCs w:val="22"/>
              </w:rPr>
              <w:t>F</w:t>
            </w:r>
            <w:r>
              <w:rPr>
                <w:rFonts w:hint="eastAsia"/>
                <w:snapToGrid w:val="0"/>
                <w:sz w:val="18"/>
                <w:szCs w:val="22"/>
              </w:rPr>
              <w:t>型</w:t>
            </w:r>
          </w:p>
        </w:tc>
        <w:tc>
          <w:tcPr>
            <w:tcW w:w="395" w:type="pct"/>
            <w:vAlign w:val="center"/>
          </w:tcPr>
          <w:p>
            <w:pPr>
              <w:pStyle w:val="105"/>
              <w:ind w:left="-48" w:leftChars="-20" w:right="-48" w:rightChars="-20"/>
              <w:jc w:val="center"/>
              <w:rPr>
                <w:snapToGrid w:val="0"/>
                <w:sz w:val="18"/>
                <w:szCs w:val="22"/>
              </w:rPr>
            </w:pPr>
            <w:r>
              <w:rPr>
                <w:snapToGrid w:val="0"/>
                <w:sz w:val="18"/>
                <w:szCs w:val="22"/>
              </w:rPr>
              <w:t>12.0</w:t>
            </w:r>
          </w:p>
        </w:tc>
        <w:tc>
          <w:tcPr>
            <w:tcW w:w="1162" w:type="pct"/>
            <w:vAlign w:val="center"/>
          </w:tcPr>
          <w:p>
            <w:pPr>
              <w:pStyle w:val="105"/>
              <w:ind w:left="-48" w:leftChars="-20" w:right="-48" w:rightChars="-20"/>
              <w:jc w:val="center"/>
              <w:rPr>
                <w:snapToGrid w:val="0"/>
                <w:sz w:val="18"/>
                <w:szCs w:val="22"/>
              </w:rPr>
            </w:pPr>
            <w:r>
              <w:rPr>
                <w:rFonts w:hint="eastAsia"/>
                <w:snapToGrid w:val="0"/>
                <w:sz w:val="18"/>
                <w:szCs w:val="22"/>
                <w:lang w:val="zh-TW" w:eastAsia="zh-TW"/>
              </w:rPr>
              <w:t>改河出口</w:t>
            </w:r>
            <w:r>
              <w:rPr>
                <w:snapToGrid w:val="0"/>
                <w:sz w:val="18"/>
                <w:szCs w:val="22"/>
              </w:rPr>
              <w:t>F</w:t>
            </w:r>
            <w:r>
              <w:rPr>
                <w:rFonts w:hint="eastAsia"/>
                <w:snapToGrid w:val="0"/>
                <w:sz w:val="18"/>
                <w:szCs w:val="22"/>
                <w:lang w:val="zh-TW" w:eastAsia="zh-TW"/>
              </w:rPr>
              <w:t>型处理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Merge w:val="continue"/>
            <w:vAlign w:val="center"/>
          </w:tcPr>
          <w:p>
            <w:pPr>
              <w:pStyle w:val="105"/>
              <w:ind w:left="-48" w:leftChars="-20" w:right="-48" w:rightChars="-20"/>
              <w:jc w:val="center"/>
              <w:rPr>
                <w:snapToGrid w:val="0"/>
                <w:sz w:val="18"/>
                <w:szCs w:val="22"/>
              </w:rPr>
            </w:pPr>
          </w:p>
        </w:tc>
        <w:tc>
          <w:tcPr>
            <w:tcW w:w="949" w:type="pct"/>
            <w:vAlign w:val="center"/>
          </w:tcPr>
          <w:p>
            <w:pPr>
              <w:pStyle w:val="105"/>
              <w:ind w:left="-48" w:leftChars="-20" w:right="-48" w:rightChars="-20"/>
              <w:jc w:val="center"/>
              <w:rPr>
                <w:snapToGrid w:val="0"/>
                <w:sz w:val="18"/>
                <w:szCs w:val="22"/>
              </w:rPr>
            </w:pP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桥下改河</w:t>
            </w:r>
          </w:p>
        </w:tc>
        <w:tc>
          <w:tcPr>
            <w:tcW w:w="937" w:type="pct"/>
            <w:vAlign w:val="top"/>
          </w:tcPr>
          <w:p>
            <w:pPr>
              <w:pStyle w:val="105"/>
              <w:ind w:left="-48" w:leftChars="-20" w:right="-48" w:rightChars="-20"/>
              <w:jc w:val="center"/>
              <w:rPr>
                <w:snapToGrid w:val="0"/>
                <w:sz w:val="18"/>
                <w:szCs w:val="22"/>
              </w:rPr>
            </w:pPr>
          </w:p>
        </w:tc>
        <w:tc>
          <w:tcPr>
            <w:tcW w:w="553" w:type="pct"/>
            <w:vAlign w:val="center"/>
          </w:tcPr>
          <w:p>
            <w:pPr>
              <w:pStyle w:val="105"/>
              <w:ind w:left="-48" w:leftChars="-20" w:right="-48" w:rightChars="-20"/>
              <w:jc w:val="center"/>
              <w:rPr>
                <w:snapToGrid w:val="0"/>
                <w:sz w:val="18"/>
                <w:szCs w:val="22"/>
              </w:rPr>
            </w:pPr>
            <w:r>
              <w:rPr>
                <w:snapToGrid w:val="0"/>
                <w:sz w:val="18"/>
                <w:szCs w:val="22"/>
              </w:rPr>
              <w:t>E</w:t>
            </w:r>
            <w:r>
              <w:rPr>
                <w:rFonts w:hint="eastAsia"/>
                <w:snapToGrid w:val="0"/>
                <w:sz w:val="18"/>
                <w:szCs w:val="22"/>
              </w:rPr>
              <w:t>型</w:t>
            </w:r>
          </w:p>
        </w:tc>
        <w:tc>
          <w:tcPr>
            <w:tcW w:w="395" w:type="pct"/>
            <w:vAlign w:val="center"/>
          </w:tcPr>
          <w:p>
            <w:pPr>
              <w:pStyle w:val="105"/>
              <w:ind w:left="-48" w:leftChars="-20" w:right="-48" w:rightChars="-20"/>
              <w:jc w:val="center"/>
              <w:rPr>
                <w:snapToGrid w:val="0"/>
                <w:sz w:val="18"/>
                <w:szCs w:val="22"/>
              </w:rPr>
            </w:pPr>
            <w:r>
              <w:rPr>
                <w:snapToGrid w:val="0"/>
                <w:sz w:val="18"/>
                <w:szCs w:val="22"/>
              </w:rPr>
              <w:t>32.0</w:t>
            </w:r>
          </w:p>
        </w:tc>
        <w:tc>
          <w:tcPr>
            <w:tcW w:w="1162" w:type="pct"/>
            <w:vAlign w:val="center"/>
          </w:tcPr>
          <w:p>
            <w:pPr>
              <w:pStyle w:val="105"/>
              <w:ind w:left="-48" w:leftChars="-20" w:right="-48" w:rightChars="-20"/>
              <w:jc w:val="center"/>
              <w:rPr>
                <w:snapToGrid w:val="0"/>
                <w:sz w:val="18"/>
                <w:szCs w:val="22"/>
              </w:rPr>
            </w:pPr>
            <w:r>
              <w:rPr>
                <w:rFonts w:hint="eastAsia" w:ascii="宋体"/>
                <w:snapToGrid w:val="0"/>
                <w:sz w:val="18"/>
                <w:szCs w:val="22"/>
              </w:rPr>
              <w:t>改河进口利用天然沟</w:t>
            </w:r>
            <w:r>
              <w:rPr>
                <w:rFonts w:ascii="Constantia" w:hAnsi="Constantia" w:cs="Constantia"/>
                <w:snapToGrid w:val="0"/>
                <w:sz w:val="18"/>
                <w:szCs w:val="22"/>
              </w:rPr>
              <w:t>E</w:t>
            </w:r>
            <w:r>
              <w:rPr>
                <w:rFonts w:hint="eastAsia" w:ascii="宋体"/>
                <w:snapToGrid w:val="0"/>
                <w:sz w:val="18"/>
                <w:szCs w:val="22"/>
              </w:rPr>
              <w:t>型处理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7" w:type="pct"/>
            <w:vAlign w:val="center"/>
          </w:tcPr>
          <w:p>
            <w:pPr>
              <w:pStyle w:val="105"/>
              <w:ind w:left="-48" w:leftChars="-20" w:right="-48" w:rightChars="-20"/>
              <w:jc w:val="center"/>
              <w:rPr>
                <w:snapToGrid w:val="0"/>
                <w:sz w:val="18"/>
                <w:szCs w:val="22"/>
              </w:rPr>
            </w:pPr>
            <w:r>
              <w:rPr>
                <w:rFonts w:hint="eastAsia"/>
                <w:snapToGrid w:val="0"/>
                <w:sz w:val="18"/>
                <w:szCs w:val="22"/>
              </w:rPr>
              <w:t>改河5</w:t>
            </w:r>
          </w:p>
        </w:tc>
        <w:tc>
          <w:tcPr>
            <w:tcW w:w="949" w:type="pct"/>
            <w:vAlign w:val="center"/>
          </w:tcPr>
          <w:p>
            <w:pPr>
              <w:pStyle w:val="105"/>
              <w:ind w:left="-48" w:leftChars="-20" w:right="-48" w:rightChars="-20"/>
              <w:jc w:val="center"/>
              <w:rPr>
                <w:snapToGrid w:val="0"/>
                <w:sz w:val="18"/>
                <w:szCs w:val="22"/>
              </w:rPr>
            </w:pPr>
            <w:r>
              <w:rPr>
                <w:snapToGrid w:val="0"/>
                <w:sz w:val="18"/>
                <w:szCs w:val="22"/>
              </w:rPr>
              <w:t>K3+620~K3+720</w:t>
            </w:r>
          </w:p>
        </w:tc>
        <w:tc>
          <w:tcPr>
            <w:tcW w:w="547" w:type="pct"/>
            <w:vAlign w:val="center"/>
          </w:tcPr>
          <w:p>
            <w:pPr>
              <w:pStyle w:val="105"/>
              <w:ind w:left="-48" w:leftChars="-20" w:right="-48" w:rightChars="-20"/>
              <w:jc w:val="center"/>
              <w:rPr>
                <w:snapToGrid w:val="0"/>
                <w:sz w:val="18"/>
                <w:szCs w:val="22"/>
              </w:rPr>
            </w:pPr>
            <w:r>
              <w:rPr>
                <w:rFonts w:hint="eastAsia"/>
                <w:snapToGrid w:val="0"/>
                <w:sz w:val="18"/>
                <w:szCs w:val="22"/>
              </w:rPr>
              <w:t>主线左、右侧</w:t>
            </w:r>
          </w:p>
        </w:tc>
        <w:tc>
          <w:tcPr>
            <w:tcW w:w="937" w:type="pct"/>
            <w:vAlign w:val="center"/>
          </w:tcPr>
          <w:p>
            <w:pPr>
              <w:pStyle w:val="105"/>
              <w:ind w:left="-48" w:leftChars="-20" w:right="-48" w:rightChars="-20"/>
              <w:jc w:val="center"/>
              <w:rPr>
                <w:snapToGrid w:val="0"/>
                <w:sz w:val="18"/>
                <w:szCs w:val="22"/>
              </w:rPr>
            </w:pPr>
            <w:r>
              <w:rPr>
                <w:rFonts w:hint="eastAsia" w:ascii="宋体"/>
                <w:snapToGrid w:val="0"/>
                <w:kern w:val="0"/>
                <w:sz w:val="18"/>
                <w:szCs w:val="22"/>
                <w:lang w:val="zh-TW" w:eastAsia="zh-TW"/>
              </w:rPr>
              <w:t>底宽</w:t>
            </w:r>
            <w:r>
              <w:rPr>
                <w:rFonts w:ascii="宋体"/>
                <w:snapToGrid w:val="0"/>
                <w:kern w:val="0"/>
                <w:sz w:val="18"/>
                <w:szCs w:val="22"/>
                <w:lang w:eastAsia="en-US"/>
              </w:rPr>
              <w:t>7</w:t>
            </w:r>
            <w:r>
              <w:rPr>
                <w:rFonts w:ascii="Constantia" w:hAnsi="Constantia" w:eastAsia="Times New Roman" w:cs="Constantia"/>
                <w:snapToGrid w:val="0"/>
                <w:kern w:val="0"/>
                <w:sz w:val="18"/>
                <w:szCs w:val="22"/>
                <w:lang w:eastAsia="en-US"/>
              </w:rPr>
              <w:t>m</w:t>
            </w:r>
            <w:r>
              <w:rPr>
                <w:rFonts w:hint="eastAsia"/>
                <w:snapToGrid w:val="0"/>
                <w:sz w:val="18"/>
                <w:szCs w:val="22"/>
              </w:rPr>
              <w:t>，高</w:t>
            </w:r>
            <w:r>
              <w:rPr>
                <w:snapToGrid w:val="0"/>
                <w:sz w:val="18"/>
                <w:szCs w:val="22"/>
              </w:rPr>
              <w:t>3.5 m</w:t>
            </w:r>
          </w:p>
        </w:tc>
        <w:tc>
          <w:tcPr>
            <w:tcW w:w="553" w:type="pct"/>
            <w:vAlign w:val="center"/>
          </w:tcPr>
          <w:p>
            <w:pPr>
              <w:pStyle w:val="105"/>
              <w:ind w:left="-48" w:leftChars="-20" w:right="-48" w:rightChars="-20"/>
              <w:jc w:val="center"/>
              <w:rPr>
                <w:snapToGrid w:val="0"/>
                <w:sz w:val="18"/>
                <w:szCs w:val="22"/>
              </w:rPr>
            </w:pPr>
            <w:r>
              <w:rPr>
                <w:rFonts w:ascii="Constantia" w:hAnsi="Constantia" w:eastAsia="Times New Roman" w:cs="Constantia"/>
                <w:snapToGrid w:val="0"/>
                <w:kern w:val="0"/>
                <w:sz w:val="18"/>
                <w:szCs w:val="22"/>
                <w:lang w:eastAsia="en-US"/>
              </w:rPr>
              <w:t>C</w:t>
            </w:r>
            <w:r>
              <w:rPr>
                <w:rFonts w:hint="eastAsia" w:ascii="宋体"/>
                <w:snapToGrid w:val="0"/>
                <w:kern w:val="0"/>
                <w:sz w:val="18"/>
                <w:szCs w:val="22"/>
                <w:lang w:val="zh-TW" w:eastAsia="zh-TW"/>
              </w:rPr>
              <w:t>型改渠</w:t>
            </w:r>
          </w:p>
        </w:tc>
        <w:tc>
          <w:tcPr>
            <w:tcW w:w="395" w:type="pct"/>
            <w:vAlign w:val="center"/>
          </w:tcPr>
          <w:p>
            <w:pPr>
              <w:pStyle w:val="105"/>
              <w:ind w:left="-48" w:leftChars="-20" w:right="-48" w:rightChars="-20"/>
              <w:jc w:val="center"/>
              <w:rPr>
                <w:snapToGrid w:val="0"/>
                <w:sz w:val="18"/>
                <w:szCs w:val="22"/>
              </w:rPr>
            </w:pPr>
            <w:r>
              <w:rPr>
                <w:snapToGrid w:val="0"/>
                <w:sz w:val="18"/>
                <w:szCs w:val="22"/>
              </w:rPr>
              <w:t>100.0</w:t>
            </w:r>
          </w:p>
        </w:tc>
        <w:tc>
          <w:tcPr>
            <w:tcW w:w="1162" w:type="pct"/>
            <w:vAlign w:val="center"/>
          </w:tcPr>
          <w:p>
            <w:pPr>
              <w:pStyle w:val="105"/>
              <w:ind w:left="-48" w:leftChars="-20" w:right="-48" w:rightChars="-20"/>
              <w:jc w:val="center"/>
              <w:rPr>
                <w:snapToGrid w:val="0"/>
                <w:sz w:val="18"/>
                <w:szCs w:val="22"/>
              </w:rPr>
            </w:pPr>
          </w:p>
        </w:tc>
      </w:tr>
    </w:tbl>
    <w:p>
      <w:pPr>
        <w:pStyle w:val="105"/>
        <w:spacing w:before="120" w:after="0"/>
        <w:ind w:left="-4" w:leftChars="-60" w:hanging="140" w:hangingChars="67"/>
        <w:jc w:val="center"/>
        <w:rPr>
          <w:rFonts w:hint="eastAsia" w:eastAsia="宋体"/>
          <w:lang w:eastAsia="zh-CN"/>
        </w:rPr>
      </w:pPr>
    </w:p>
    <w:p>
      <w:pPr>
        <w:pStyle w:val="105"/>
        <w:spacing w:before="0" w:after="0"/>
        <w:ind w:left="-2" w:leftChars="-59" w:hanging="140"/>
        <w:jc w:val="center"/>
        <w:rPr>
          <w:rFonts w:hint="eastAsia" w:eastAsia="宋体"/>
          <w:lang w:eastAsia="zh-CN"/>
        </w:rPr>
      </w:pPr>
      <w:r>
        <mc:AlternateContent>
          <mc:Choice Requires="wps">
            <w:drawing>
              <wp:anchor distT="0" distB="0" distL="114300" distR="114300" simplePos="0" relativeHeight="251678720" behindDoc="0" locked="0" layoutInCell="1" allowOverlap="1">
                <wp:simplePos x="0" y="0"/>
                <wp:positionH relativeFrom="column">
                  <wp:posOffset>1401445</wp:posOffset>
                </wp:positionH>
                <wp:positionV relativeFrom="paragraph">
                  <wp:posOffset>2298065</wp:posOffset>
                </wp:positionV>
                <wp:extent cx="407670" cy="178435"/>
                <wp:effectExtent l="457200" t="1181100" r="11430" b="12065"/>
                <wp:wrapNone/>
                <wp:docPr id="71" name="对话气泡: 圆角矩形 71"/>
                <wp:cNvGraphicFramePr/>
                <a:graphic xmlns:a="http://schemas.openxmlformats.org/drawingml/2006/main">
                  <a:graphicData uri="http://schemas.microsoft.com/office/word/2010/wordprocessingShape">
                    <wps:wsp>
                      <wps:cNvSpPr/>
                      <wps:spPr>
                        <a:xfrm>
                          <a:off x="0" y="0"/>
                          <a:ext cx="407670" cy="178435"/>
                        </a:xfrm>
                        <a:prstGeom prst="wedgeRoundRectCallout">
                          <a:avLst>
                            <a:gd name="adj1" fmla="val -155621"/>
                            <a:gd name="adj2" fmla="val -709021"/>
                            <a:gd name="adj3" fmla="val 16667"/>
                          </a:avLst>
                        </a:prstGeom>
                        <a:solidFill>
                          <a:schemeClr val="bg1">
                            <a:lumMod val="50000"/>
                            <a:alpha val="49804"/>
                          </a:scheme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jc w:val="center"/>
                              <w:rPr>
                                <w:b/>
                                <w:bCs/>
                                <w:color w:val="0000FF"/>
                                <w:sz w:val="18"/>
                                <w:szCs w:val="22"/>
                              </w:rPr>
                            </w:pPr>
                            <w:r>
                              <w:rPr>
                                <w:rFonts w:hint="eastAsia"/>
                                <w:b/>
                                <w:bCs/>
                                <w:color w:val="0000FF"/>
                                <w:sz w:val="16"/>
                                <w:szCs w:val="21"/>
                              </w:rPr>
                              <w:t>改河</w:t>
                            </w:r>
                            <w:r>
                              <w:rPr>
                                <w:b/>
                                <w:bCs/>
                                <w:color w:val="0000FF"/>
                                <w:sz w:val="16"/>
                                <w:szCs w:val="21"/>
                              </w:rPr>
                              <w:t>3</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71" o:spid="_x0000_s1026" o:spt="62" type="#_x0000_t62" style="position:absolute;left:0pt;margin-left:110.35pt;margin-top:180.95pt;height:14.05pt;width:32.1pt;z-index:251678720;v-text-anchor:middle;mso-width-relative:page;mso-height-relative:page;" fillcolor="#7F7F7F [1612]" filled="t" stroked="t" coordsize="21600,21600" o:gfxdata="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DAA5+raAAAACwEAAA8AAAAAAAAAAQAg&#10;AAAAIgAAAGRycy9kb3ducmV2LnhtbFBLAQIUABQAAAAIAIdO4kCuUell8AIAAMUFAAAOAAAAAAAA&#10;AAEAIAAAACkBAABkcnMvZTJvRG9jLnhtbFBLBQYAAAAABgAGAFkBAACLBgAAAAA=&#10;" adj="-22814,-142349,14400">
                <v:fill on="t" opacity="32639f" focussize="0,0"/>
                <v:stroke weight="0.5pt" color="#FF00FF [3204]" miterlimit="8" joinstyle="miter"/>
                <v:imagedata o:title=""/>
                <o:lock v:ext="edit" aspectratio="f"/>
                <v:textbox inset="0mm,0mm,0mm,0mm">
                  <w:txbxContent>
                    <w:p>
                      <w:pPr>
                        <w:pStyle w:val="105"/>
                        <w:spacing w:before="0" w:after="0"/>
                        <w:jc w:val="center"/>
                        <w:rPr>
                          <w:b/>
                          <w:bCs/>
                          <w:color w:val="0000FF"/>
                          <w:sz w:val="18"/>
                          <w:szCs w:val="22"/>
                        </w:rPr>
                      </w:pPr>
                      <w:r>
                        <w:rPr>
                          <w:rFonts w:hint="eastAsia"/>
                          <w:b/>
                          <w:bCs/>
                          <w:color w:val="0000FF"/>
                          <w:sz w:val="16"/>
                          <w:szCs w:val="21"/>
                        </w:rPr>
                        <w:t>改河</w:t>
                      </w:r>
                      <w:r>
                        <w:rPr>
                          <w:b/>
                          <w:bCs/>
                          <w:color w:val="0000FF"/>
                          <w:sz w:val="16"/>
                          <w:szCs w:val="21"/>
                        </w:rPr>
                        <w:t>3</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3893185</wp:posOffset>
                </wp:positionH>
                <wp:positionV relativeFrom="paragraph">
                  <wp:posOffset>2209800</wp:posOffset>
                </wp:positionV>
                <wp:extent cx="407670" cy="178435"/>
                <wp:effectExtent l="0" t="742950" r="373380" b="12065"/>
                <wp:wrapNone/>
                <wp:docPr id="64" name="对话气泡: 圆角矩形 64"/>
                <wp:cNvGraphicFramePr/>
                <a:graphic xmlns:a="http://schemas.openxmlformats.org/drawingml/2006/main">
                  <a:graphicData uri="http://schemas.microsoft.com/office/word/2010/wordprocessingShape">
                    <wps:wsp>
                      <wps:cNvSpPr/>
                      <wps:spPr>
                        <a:xfrm>
                          <a:off x="0" y="0"/>
                          <a:ext cx="407670" cy="178435"/>
                        </a:xfrm>
                        <a:prstGeom prst="wedgeRoundRectCallout">
                          <a:avLst>
                            <a:gd name="adj1" fmla="val 127914"/>
                            <a:gd name="adj2" fmla="val -456976"/>
                            <a:gd name="adj3" fmla="val 16667"/>
                          </a:avLst>
                        </a:prstGeom>
                        <a:solidFill>
                          <a:schemeClr val="bg1">
                            <a:lumMod val="50000"/>
                            <a:alpha val="49804"/>
                          </a:scheme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jc w:val="center"/>
                              <w:rPr>
                                <w:b/>
                                <w:bCs/>
                                <w:color w:val="0000FF"/>
                                <w:sz w:val="18"/>
                                <w:szCs w:val="22"/>
                              </w:rPr>
                            </w:pPr>
                            <w:r>
                              <w:rPr>
                                <w:rFonts w:hint="eastAsia"/>
                                <w:b/>
                                <w:bCs/>
                                <w:color w:val="0000FF"/>
                                <w:sz w:val="16"/>
                                <w:szCs w:val="21"/>
                              </w:rPr>
                              <w:t>改河1</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64" o:spid="_x0000_s1026" o:spt="62" type="#_x0000_t62" style="position:absolute;left:0pt;margin-left:306.55pt;margin-top:174pt;height:14.05pt;width:32.1pt;z-index:251676672;v-text-anchor:middle;mso-width-relative:page;mso-height-relative:page;" fillcolor="#7F7F7F [1612]" filled="t" stroked="t" coordsize="21600,21600" o:gfxdata="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YvCz1dgAAAALAQAADwAAAAAAAAAB&#10;ACAAAAAiAAAAZHJzL2Rvd25yZXYueG1sUEsBAhQAFAAAAAgAh07iQPjzAKT0AgAAxAUAAA4AAAAA&#10;AAAAAQAgAAAAJwEAAGRycy9lMm9Eb2MueG1sUEsFBgAAAAAGAAYAWQEAAI0GAAAAAA==&#10;" adj="38429,-87907,14400">
                <v:fill on="t" opacity="32639f" focussize="0,0"/>
                <v:stroke weight="0.5pt" color="#FF00FF [3204]" miterlimit="8" joinstyle="miter"/>
                <v:imagedata o:title=""/>
                <o:lock v:ext="edit" aspectratio="f"/>
                <v:textbox inset="0mm,0mm,0mm,0mm">
                  <w:txbxContent>
                    <w:p>
                      <w:pPr>
                        <w:pStyle w:val="105"/>
                        <w:spacing w:before="0" w:after="0"/>
                        <w:jc w:val="center"/>
                        <w:rPr>
                          <w:b/>
                          <w:bCs/>
                          <w:color w:val="0000FF"/>
                          <w:sz w:val="18"/>
                          <w:szCs w:val="22"/>
                        </w:rPr>
                      </w:pPr>
                      <w:r>
                        <w:rPr>
                          <w:rFonts w:hint="eastAsia"/>
                          <w:b/>
                          <w:bCs/>
                          <w:color w:val="0000FF"/>
                          <w:sz w:val="16"/>
                          <w:szCs w:val="21"/>
                        </w:rPr>
                        <w:t>改河1</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2215515</wp:posOffset>
                </wp:positionV>
                <wp:extent cx="407670" cy="178435"/>
                <wp:effectExtent l="400050" t="1295400" r="11430" b="12065"/>
                <wp:wrapNone/>
                <wp:docPr id="65" name="对话气泡: 圆角矩形 65"/>
                <wp:cNvGraphicFramePr/>
                <a:graphic xmlns:a="http://schemas.openxmlformats.org/drawingml/2006/main">
                  <a:graphicData uri="http://schemas.microsoft.com/office/word/2010/wordprocessingShape">
                    <wps:wsp>
                      <wps:cNvSpPr/>
                      <wps:spPr>
                        <a:xfrm>
                          <a:off x="0" y="0"/>
                          <a:ext cx="407670" cy="178435"/>
                        </a:xfrm>
                        <a:prstGeom prst="wedgeRoundRectCallout">
                          <a:avLst>
                            <a:gd name="adj1" fmla="val -143060"/>
                            <a:gd name="adj2" fmla="val -782815"/>
                            <a:gd name="adj3" fmla="val 16667"/>
                          </a:avLst>
                        </a:prstGeom>
                        <a:solidFill>
                          <a:schemeClr val="bg1">
                            <a:lumMod val="50000"/>
                            <a:alpha val="49804"/>
                          </a:scheme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jc w:val="center"/>
                              <w:rPr>
                                <w:b/>
                                <w:bCs/>
                                <w:color w:val="0000FF"/>
                                <w:sz w:val="18"/>
                                <w:szCs w:val="22"/>
                              </w:rPr>
                            </w:pPr>
                            <w:r>
                              <w:rPr>
                                <w:rFonts w:hint="eastAsia"/>
                                <w:b/>
                                <w:bCs/>
                                <w:color w:val="0000FF"/>
                                <w:sz w:val="16"/>
                                <w:szCs w:val="21"/>
                              </w:rPr>
                              <w:t>改河</w:t>
                            </w:r>
                            <w:r>
                              <w:rPr>
                                <w:b/>
                                <w:bCs/>
                                <w:color w:val="0000FF"/>
                                <w:sz w:val="16"/>
                                <w:szCs w:val="21"/>
                              </w:rPr>
                              <w:t>2</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65" o:spid="_x0000_s1026" o:spt="62" type="#_x0000_t62" style="position:absolute;left:0pt;margin-top:174.45pt;height:14.05pt;width:32.1pt;mso-position-horizontal:center;mso-position-horizontal-relative:margin;z-index:251677696;v-text-anchor:middle;mso-width-relative:page;mso-height-relative:page;" fillcolor="#7F7F7F [1612]" filled="t" stroked="t" coordsize="21600,21600" o:gfxdata="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1APAj9cAAAAHAQAADwAAAAAAAAABACAA&#10;AAAiAAAAZHJzL2Rvd25yZXYueG1sUEsBAhQAFAAAAAgAh07iQEqeEgDyAgAAxQUAAA4AAAAAAAAA&#10;AQAgAAAAJgEAAGRycy9lMm9Eb2MueG1sUEsFBgAAAAAGAAYAWQEAAIoGAAAAAA==&#10;" adj="-20101,-158288,14400">
                <v:fill on="t" opacity="32639f" focussize="0,0"/>
                <v:stroke weight="0.5pt" color="#FF00FF [3204]" miterlimit="8" joinstyle="miter"/>
                <v:imagedata o:title=""/>
                <o:lock v:ext="edit" aspectratio="f"/>
                <v:textbox inset="0mm,0mm,0mm,0mm">
                  <w:txbxContent>
                    <w:p>
                      <w:pPr>
                        <w:pStyle w:val="105"/>
                        <w:spacing w:before="0" w:after="0"/>
                        <w:jc w:val="center"/>
                        <w:rPr>
                          <w:b/>
                          <w:bCs/>
                          <w:color w:val="0000FF"/>
                          <w:sz w:val="18"/>
                          <w:szCs w:val="22"/>
                        </w:rPr>
                      </w:pPr>
                      <w:r>
                        <w:rPr>
                          <w:rFonts w:hint="eastAsia"/>
                          <w:b/>
                          <w:bCs/>
                          <w:color w:val="0000FF"/>
                          <w:sz w:val="16"/>
                          <w:szCs w:val="21"/>
                        </w:rPr>
                        <w:t>改河</w:t>
                      </w:r>
                      <w:r>
                        <w:rPr>
                          <w:b/>
                          <w:bCs/>
                          <w:color w:val="0000FF"/>
                          <w:sz w:val="16"/>
                          <w:szCs w:val="21"/>
                        </w:rPr>
                        <w:t>2</w:t>
                      </w:r>
                    </w:p>
                  </w:txbxContent>
                </v:textbox>
              </v:shape>
            </w:pict>
          </mc:Fallback>
        </mc:AlternateContent>
      </w:r>
    </w:p>
    <w:p>
      <w:pPr>
        <w:pStyle w:val="105"/>
        <w:spacing w:before="0" w:after="0"/>
        <w:jc w:val="center"/>
        <w:rPr>
          <w:rFonts w:hint="eastAsia" w:eastAsia="宋体"/>
          <w:lang w:eastAsia="zh-CN"/>
        </w:rPr>
      </w:pPr>
      <w:r>
        <w:rPr>
          <w:rFonts w:hint="eastAsia"/>
        </w:rPr>
        <w:t xml:space="preserve"> </w:t>
      </w:r>
    </w:p>
    <w:p>
      <w:pPr>
        <w:pStyle w:val="105"/>
        <w:rPr>
          <w:rFonts w:hint="eastAsia" w:eastAsia="宋体"/>
          <w:lang w:eastAsia="zh-CN"/>
        </w:rPr>
      </w:pPr>
      <w:r>
        <mc:AlternateContent>
          <mc:Choice Requires="wps">
            <w:drawing>
              <wp:anchor distT="0" distB="0" distL="114300" distR="114300" simplePos="0" relativeHeight="251680768" behindDoc="0" locked="0" layoutInCell="1" allowOverlap="1">
                <wp:simplePos x="0" y="0"/>
                <wp:positionH relativeFrom="column">
                  <wp:posOffset>4836795</wp:posOffset>
                </wp:positionH>
                <wp:positionV relativeFrom="paragraph">
                  <wp:posOffset>1642745</wp:posOffset>
                </wp:positionV>
                <wp:extent cx="407670" cy="178435"/>
                <wp:effectExtent l="304800" t="476250" r="11430" b="12065"/>
                <wp:wrapNone/>
                <wp:docPr id="99" name="对话气泡: 圆角矩形 99"/>
                <wp:cNvGraphicFramePr/>
                <a:graphic xmlns:a="http://schemas.openxmlformats.org/drawingml/2006/main">
                  <a:graphicData uri="http://schemas.microsoft.com/office/word/2010/wordprocessingShape">
                    <wps:wsp>
                      <wps:cNvSpPr/>
                      <wps:spPr>
                        <a:xfrm>
                          <a:off x="0" y="0"/>
                          <a:ext cx="407670" cy="178435"/>
                        </a:xfrm>
                        <a:prstGeom prst="wedgeRoundRectCallout">
                          <a:avLst>
                            <a:gd name="adj1" fmla="val -114350"/>
                            <a:gd name="adj2" fmla="val -299056"/>
                            <a:gd name="adj3" fmla="val 16667"/>
                          </a:avLst>
                        </a:prstGeom>
                        <a:solidFill>
                          <a:schemeClr val="bg1">
                            <a:lumMod val="50000"/>
                            <a:alpha val="49804"/>
                          </a:scheme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jc w:val="center"/>
                              <w:rPr>
                                <w:b/>
                                <w:bCs/>
                                <w:color w:val="0000FF"/>
                                <w:sz w:val="18"/>
                                <w:szCs w:val="22"/>
                              </w:rPr>
                            </w:pPr>
                            <w:r>
                              <w:rPr>
                                <w:rFonts w:hint="eastAsia"/>
                                <w:b/>
                                <w:bCs/>
                                <w:color w:val="0000FF"/>
                                <w:sz w:val="16"/>
                                <w:szCs w:val="21"/>
                              </w:rPr>
                              <w:t>改河</w:t>
                            </w:r>
                            <w:r>
                              <w:rPr>
                                <w:b/>
                                <w:bCs/>
                                <w:color w:val="0000FF"/>
                                <w:sz w:val="16"/>
                                <w:szCs w:val="21"/>
                              </w:rPr>
                              <w:t>5</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99" o:spid="_x0000_s1026" o:spt="62" type="#_x0000_t62" style="position:absolute;left:0pt;margin-left:380.85pt;margin-top:129.35pt;height:14.05pt;width:32.1pt;z-index:251680768;v-text-anchor:middle;mso-width-relative:page;mso-height-relative:page;" fillcolor="#7F7F7F [1612]" filled="t" stroked="t" coordsize="21600,21600" o:gfxdata="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DPMQw82AAAAAsBAAAPAAAAAAAAAAEAIAAA&#10;ACIAAABkcnMvZG93bnJldi54bWxQSwECFAAUAAAACACHTuJACE+uYvACAADFBQAADgAAAAAAAAAB&#10;ACAAAAAnAQAAZHJzL2Uyb0RvYy54bWxQSwUGAAAAAAYABgBZAQAAiQYAAAAA&#10;" adj="-13900,-53796,14400">
                <v:fill on="t" opacity="32639f" focussize="0,0"/>
                <v:stroke weight="0.5pt" color="#FF00FF [3204]" miterlimit="8" joinstyle="miter"/>
                <v:imagedata o:title=""/>
                <o:lock v:ext="edit" aspectratio="f"/>
                <v:textbox inset="0mm,0mm,0mm,0mm">
                  <w:txbxContent>
                    <w:p>
                      <w:pPr>
                        <w:pStyle w:val="105"/>
                        <w:spacing w:before="0" w:after="0"/>
                        <w:jc w:val="center"/>
                        <w:rPr>
                          <w:b/>
                          <w:bCs/>
                          <w:color w:val="0000FF"/>
                          <w:sz w:val="18"/>
                          <w:szCs w:val="22"/>
                        </w:rPr>
                      </w:pPr>
                      <w:r>
                        <w:rPr>
                          <w:rFonts w:hint="eastAsia"/>
                          <w:b/>
                          <w:bCs/>
                          <w:color w:val="0000FF"/>
                          <w:sz w:val="16"/>
                          <w:szCs w:val="21"/>
                        </w:rPr>
                        <w:t>改河</w:t>
                      </w:r>
                      <w:r>
                        <w:rPr>
                          <w:b/>
                          <w:bCs/>
                          <w:color w:val="0000FF"/>
                          <w:sz w:val="16"/>
                          <w:szCs w:val="21"/>
                        </w:rPr>
                        <w:t>5</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2271395</wp:posOffset>
                </wp:positionH>
                <wp:positionV relativeFrom="paragraph">
                  <wp:posOffset>1591945</wp:posOffset>
                </wp:positionV>
                <wp:extent cx="407670" cy="178435"/>
                <wp:effectExtent l="400050" t="723900" r="11430" b="12065"/>
                <wp:wrapNone/>
                <wp:docPr id="98" name="对话气泡: 圆角矩形 98"/>
                <wp:cNvGraphicFramePr/>
                <a:graphic xmlns:a="http://schemas.openxmlformats.org/drawingml/2006/main">
                  <a:graphicData uri="http://schemas.microsoft.com/office/word/2010/wordprocessingShape">
                    <wps:wsp>
                      <wps:cNvSpPr/>
                      <wps:spPr>
                        <a:xfrm>
                          <a:off x="0" y="0"/>
                          <a:ext cx="407670" cy="178435"/>
                        </a:xfrm>
                        <a:prstGeom prst="wedgeRoundRectCallout">
                          <a:avLst>
                            <a:gd name="adj1" fmla="val -141266"/>
                            <a:gd name="adj2" fmla="val -450743"/>
                            <a:gd name="adj3" fmla="val 16667"/>
                          </a:avLst>
                        </a:prstGeom>
                        <a:solidFill>
                          <a:schemeClr val="bg1">
                            <a:lumMod val="50000"/>
                            <a:alpha val="49804"/>
                          </a:scheme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jc w:val="center"/>
                              <w:rPr>
                                <w:b/>
                                <w:bCs/>
                                <w:color w:val="0000FF"/>
                                <w:sz w:val="18"/>
                                <w:szCs w:val="22"/>
                              </w:rPr>
                            </w:pPr>
                            <w:r>
                              <w:rPr>
                                <w:rFonts w:hint="eastAsia"/>
                                <w:b/>
                                <w:bCs/>
                                <w:color w:val="0000FF"/>
                                <w:sz w:val="16"/>
                                <w:szCs w:val="21"/>
                              </w:rPr>
                              <w:t>改河</w:t>
                            </w:r>
                            <w:r>
                              <w:rPr>
                                <w:b/>
                                <w:bCs/>
                                <w:color w:val="0000FF"/>
                                <w:sz w:val="16"/>
                                <w:szCs w:val="21"/>
                              </w:rPr>
                              <w:t>4</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98" o:spid="_x0000_s1026" o:spt="62" type="#_x0000_t62" style="position:absolute;left:0pt;margin-left:178.85pt;margin-top:125.35pt;height:14.05pt;width:32.1pt;z-index:251679744;v-text-anchor:middle;mso-width-relative:page;mso-height-relative:page;" fillcolor="#7F7F7F [1612]" filled="t" stroked="t" coordsize="21600,21600" o:gfxdata="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ITTGO3XAAAACwEAAA8AAAAAAAAAAQAgAAAA&#10;IgAAAGRycy9kb3ducmV2LnhtbFBLAQIUABQAAAAIAIdO4kCJNGij8AIAAMUFAAAOAAAAAAAAAAEA&#10;IAAAACYBAABkcnMvZTJvRG9jLnhtbFBLBQYAAAAABgAGAFkBAACIBgAAAAA=&#10;" adj="-19713,-86560,14400">
                <v:fill on="t" opacity="32639f" focussize="0,0"/>
                <v:stroke weight="0.5pt" color="#FF00FF [3204]" miterlimit="8" joinstyle="miter"/>
                <v:imagedata o:title=""/>
                <o:lock v:ext="edit" aspectratio="f"/>
                <v:textbox inset="0mm,0mm,0mm,0mm">
                  <w:txbxContent>
                    <w:p>
                      <w:pPr>
                        <w:pStyle w:val="105"/>
                        <w:spacing w:before="0" w:after="0"/>
                        <w:jc w:val="center"/>
                        <w:rPr>
                          <w:b/>
                          <w:bCs/>
                          <w:color w:val="0000FF"/>
                          <w:sz w:val="18"/>
                          <w:szCs w:val="22"/>
                        </w:rPr>
                      </w:pPr>
                      <w:r>
                        <w:rPr>
                          <w:rFonts w:hint="eastAsia"/>
                          <w:b/>
                          <w:bCs/>
                          <w:color w:val="0000FF"/>
                          <w:sz w:val="16"/>
                          <w:szCs w:val="21"/>
                        </w:rPr>
                        <w:t>改河</w:t>
                      </w:r>
                      <w:r>
                        <w:rPr>
                          <w:b/>
                          <w:bCs/>
                          <w:color w:val="0000FF"/>
                          <w:sz w:val="16"/>
                          <w:szCs w:val="21"/>
                        </w:rPr>
                        <w:t>4</w:t>
                      </w:r>
                    </w:p>
                  </w:txbxContent>
                </v:textbox>
              </v:shape>
            </w:pict>
          </mc:Fallback>
        </mc:AlternateContent>
      </w:r>
    </w:p>
    <w:p>
      <w:pPr>
        <w:pStyle w:val="122"/>
      </w:pPr>
      <w:r>
        <w:rPr>
          <w:rFonts w:hint="eastAsia"/>
        </w:rPr>
        <w:t>改河平面布置图</w:t>
      </w:r>
    </w:p>
    <w:p>
      <w:pPr>
        <w:pStyle w:val="118"/>
        <w:spacing w:before="240"/>
      </w:pPr>
      <w:bookmarkStart w:id="269" w:name="_Hlk195520847"/>
      <w:r>
        <w:rPr>
          <w:rFonts w:hint="eastAsia"/>
          <w:lang w:val="zh-CN"/>
        </w:rPr>
        <w:t>路基外</w:t>
      </w:r>
      <w:r>
        <w:rPr>
          <w:lang w:val="zh-CN"/>
        </w:rPr>
        <w:t>改</w:t>
      </w:r>
      <w:r>
        <w:rPr>
          <w:rFonts w:hint="eastAsia"/>
          <w:lang w:val="zh-CN"/>
        </w:rPr>
        <w:t>渠工程</w:t>
      </w:r>
    </w:p>
    <w:p>
      <w:pPr>
        <w:ind w:firstLine="480"/>
      </w:pPr>
      <w:r>
        <w:rPr>
          <w:rFonts w:cs="Times New Roman"/>
          <w:kern w:val="0"/>
          <w:szCs w:val="24"/>
          <w:lang w:val="zh-CN"/>
        </w:rPr>
        <w:t>因</w:t>
      </w:r>
      <w:r>
        <w:rPr>
          <w:rFonts w:hint="eastAsia" w:cs="Times New Roman"/>
          <w:kern w:val="0"/>
          <w:szCs w:val="24"/>
          <w:lang w:val="zh-CN"/>
        </w:rPr>
        <w:t>本项目</w:t>
      </w:r>
      <w:r>
        <w:rPr>
          <w:rFonts w:cs="Times New Roman"/>
          <w:kern w:val="0"/>
          <w:szCs w:val="24"/>
          <w:lang w:val="zh-CN"/>
        </w:rPr>
        <w:t>K0+360~K0+560右侧侵占现状东张福渠，同时现状福渠有1支渠横向交叉拟建旅游公路，位于拟建旅游公路上方，公路建设后将中断该支渠。为此，本项目对主项目道路所侵占东张福渠及其支渠进行改建</w:t>
      </w:r>
      <w:r>
        <w:rPr>
          <w:rFonts w:hint="eastAsia" w:cs="Times New Roman"/>
          <w:kern w:val="0"/>
          <w:szCs w:val="24"/>
          <w:lang w:val="zh-CN"/>
        </w:rPr>
        <w:t>。</w:t>
      </w:r>
    </w:p>
    <w:p>
      <w:pPr>
        <w:ind w:firstLine="482"/>
        <w:rPr>
          <w:b/>
          <w:bCs/>
        </w:rPr>
      </w:pPr>
      <w:r>
        <w:rPr>
          <w:rFonts w:hint="eastAsia"/>
          <w:b/>
          <w:bCs/>
        </w:rPr>
        <w:t>（1）</w:t>
      </w:r>
      <w:r>
        <w:rPr>
          <w:rFonts w:cs="Times New Roman"/>
          <w:b/>
          <w:bCs/>
          <w:kern w:val="0"/>
          <w:szCs w:val="24"/>
          <w:lang w:val="zh-CN"/>
        </w:rPr>
        <w:t>福渠</w:t>
      </w:r>
      <w:r>
        <w:rPr>
          <w:rFonts w:hint="eastAsia" w:cs="Times New Roman"/>
          <w:b/>
          <w:bCs/>
          <w:kern w:val="0"/>
          <w:szCs w:val="24"/>
          <w:lang w:val="zh-CN"/>
        </w:rPr>
        <w:t>简介</w:t>
      </w:r>
    </w:p>
    <w:p>
      <w:pPr>
        <w:ind w:firstLine="480"/>
        <w:rPr>
          <w:rFonts w:cs="Times New Roman"/>
          <w:kern w:val="0"/>
          <w:szCs w:val="24"/>
          <w:lang w:val="zh-CN"/>
        </w:rPr>
      </w:pPr>
      <w:r>
        <w:rPr>
          <w:rFonts w:cs="Times New Roman"/>
          <w:kern w:val="0"/>
          <w:szCs w:val="24"/>
          <w:lang w:val="zh-CN"/>
        </w:rPr>
        <w:t>福渠原名高干渠，渠道灌区依托东张水库。灌区范围内涉及7个街道和10个乡镇，设计灌溉面积30.3万亩，总人口123.7万人。灌区渠系建于1958年，主要由高干渠、低干渠、天宝渠、江阴西渠和43条支渠组成，总长度410.8km。</w:t>
      </w:r>
    </w:p>
    <w:p>
      <w:pPr>
        <w:ind w:firstLine="482"/>
      </w:pPr>
      <w:r>
        <w:rPr>
          <w:b/>
          <w:bCs/>
          <w:lang w:val="zh-CN"/>
        </w:rPr>
        <w:t>福渠改</w:t>
      </w:r>
      <w:r>
        <w:rPr>
          <w:rFonts w:hint="eastAsia"/>
          <w:b/>
          <w:bCs/>
          <w:lang w:val="zh-CN"/>
        </w:rPr>
        <w:t>渠段</w:t>
      </w:r>
      <w:r>
        <w:rPr>
          <w:lang w:val="zh-CN"/>
        </w:rPr>
        <w:t>工程区属残丘坡地地貌，原为山坡地，后因修建水利工程，开挖成沟渠，即本工程福渠，用以溉农田。渠</w:t>
      </w:r>
      <w:r>
        <w:rPr>
          <w:rFonts w:hint="eastAsia"/>
          <w:lang w:val="zh-CN"/>
        </w:rPr>
        <w:t>道自西往东流，</w:t>
      </w:r>
      <w:r>
        <w:rPr>
          <w:lang w:val="zh-CN"/>
        </w:rPr>
        <w:t>沟渠顶宽约15m，底宽约4.5m，现场水深为0.2-0.5m，流速约0.1-0.3m/s。沟渠北侧为自然斜坡，植被较发育，多为杂树和灌木丛。沟渠南侧为渠堤，堤坝高约3.5m，采用植草放坡支护，堤坝现状良好，未见崩塌、裂缝等不良地质现象。在拟建渡槽处现状为福渠支渠，渠首在渠堤处有一水闸，由水闸控制出水，向南流去。</w:t>
      </w:r>
    </w:p>
    <w:p>
      <w:pPr>
        <w:ind w:firstLine="482"/>
        <w:rPr>
          <w:b/>
          <w:bCs/>
        </w:rPr>
      </w:pPr>
      <w:r>
        <w:rPr>
          <w:rFonts w:hint="eastAsia"/>
          <w:b/>
          <w:bCs/>
        </w:rPr>
        <w:t>（2）</w:t>
      </w:r>
      <w:r>
        <w:rPr>
          <w:b/>
          <w:bCs/>
          <w:lang w:val="zh-CN"/>
        </w:rPr>
        <w:t>改</w:t>
      </w:r>
      <w:r>
        <w:rPr>
          <w:rFonts w:hint="eastAsia"/>
          <w:b/>
          <w:bCs/>
          <w:lang w:val="zh-CN"/>
        </w:rPr>
        <w:t>渠工程</w:t>
      </w:r>
    </w:p>
    <w:p>
      <w:pPr>
        <w:ind w:firstLine="480"/>
        <w:rPr>
          <w:lang w:val="zh-CN"/>
        </w:rPr>
      </w:pPr>
      <w:r>
        <w:rPr>
          <w:lang w:val="zh-CN"/>
        </w:rPr>
        <w:t>本工程东张福渠改线段位于渔溪镇上张村林泉，所在渠道下游起于福渠林泉支渠，上游至旅游公路所影响渠道范围，涉及东张福渠全长245m；</w:t>
      </w:r>
      <w:r>
        <w:rPr>
          <w:rFonts w:cs="Times New Roman"/>
          <w:kern w:val="0"/>
          <w:szCs w:val="24"/>
          <w:lang w:val="zh-CN"/>
        </w:rPr>
        <w:t>包含</w:t>
      </w:r>
      <w:r>
        <w:rPr>
          <w:rFonts w:hint="eastAsia" w:cs="Times New Roman"/>
          <w:kern w:val="0"/>
          <w:szCs w:val="24"/>
          <w:lang w:val="zh-CN"/>
        </w:rPr>
        <w:t>①</w:t>
      </w:r>
      <w:r>
        <w:rPr>
          <w:rFonts w:cs="Times New Roman"/>
          <w:kern w:val="0"/>
          <w:szCs w:val="24"/>
          <w:lang w:val="zh-CN"/>
        </w:rPr>
        <w:t>福渠干渠向山体内侧调整改线，主要采用混凝土明渠梯形断面</w:t>
      </w:r>
      <w:r>
        <w:rPr>
          <w:rFonts w:hint="eastAsia" w:cs="Times New Roman"/>
          <w:kern w:val="0"/>
          <w:szCs w:val="24"/>
          <w:lang w:val="zh-CN"/>
        </w:rPr>
        <w:t>形式</w:t>
      </w:r>
      <w:r>
        <w:rPr>
          <w:rFonts w:cs="Times New Roman"/>
          <w:kern w:val="0"/>
          <w:szCs w:val="24"/>
          <w:lang w:val="zh-CN"/>
        </w:rPr>
        <w:t>，长229m；</w:t>
      </w:r>
      <w:r>
        <w:rPr>
          <w:rFonts w:hint="eastAsia" w:cs="Times New Roman"/>
          <w:kern w:val="0"/>
          <w:szCs w:val="24"/>
          <w:lang w:val="zh-CN"/>
        </w:rPr>
        <w:t>②</w:t>
      </w:r>
      <w:r>
        <w:rPr>
          <w:rFonts w:cs="Times New Roman"/>
          <w:kern w:val="0"/>
          <w:szCs w:val="24"/>
          <w:lang w:val="zh-CN"/>
        </w:rPr>
        <w:t>福渠右岸现有道路恢复，采用混凝土路面，长245m</w:t>
      </w:r>
      <w:r>
        <w:rPr>
          <w:rFonts w:hint="eastAsia" w:cs="Times New Roman"/>
          <w:kern w:val="0"/>
          <w:szCs w:val="24"/>
          <w:lang w:val="zh-CN"/>
        </w:rPr>
        <w:t>（改路5）</w:t>
      </w:r>
      <w:r>
        <w:rPr>
          <w:rFonts w:cs="Times New Roman"/>
          <w:kern w:val="0"/>
          <w:szCs w:val="24"/>
          <w:lang w:val="zh-CN"/>
        </w:rPr>
        <w:t>；</w:t>
      </w:r>
      <w:r>
        <w:rPr>
          <w:rFonts w:hint="eastAsia" w:cs="Times New Roman"/>
          <w:kern w:val="0"/>
          <w:szCs w:val="24"/>
          <w:lang w:val="zh-CN"/>
        </w:rPr>
        <w:t>③</w:t>
      </w:r>
      <w:r>
        <w:rPr>
          <w:rFonts w:cs="Times New Roman"/>
          <w:kern w:val="0"/>
          <w:szCs w:val="24"/>
          <w:lang w:val="zh-CN"/>
        </w:rPr>
        <w:t>跨渠箱涵1座，净宽 6.0m，净高 3.5m；</w:t>
      </w:r>
      <w:r>
        <w:rPr>
          <w:rFonts w:hint="eastAsia" w:cs="Times New Roman"/>
          <w:kern w:val="0"/>
          <w:szCs w:val="24"/>
          <w:lang w:val="zh-CN"/>
        </w:rPr>
        <w:t>④</w:t>
      </w:r>
      <w:r>
        <w:rPr>
          <w:rFonts w:cs="Times New Roman"/>
          <w:kern w:val="0"/>
          <w:szCs w:val="24"/>
          <w:lang w:val="zh-CN"/>
        </w:rPr>
        <w:t>支渠渡槽1座，长35m，渡槽前后连接段共10m。</w:t>
      </w:r>
    </w:p>
    <w:bookmarkEnd w:id="269"/>
    <w:p>
      <w:pPr>
        <w:ind w:firstLine="480"/>
        <w:rPr>
          <w:lang w:val="zh-CN"/>
        </w:rPr>
      </w:pPr>
      <w:r>
        <w:rPr>
          <w:rFonts w:hint="eastAsia"/>
          <w:lang w:val="zh-CN"/>
        </w:rPr>
        <w:t>①</w:t>
      </w:r>
      <w:r>
        <w:rPr>
          <w:rFonts w:hint="eastAsia"/>
        </w:rPr>
        <w:t>福渠改造：</w:t>
      </w:r>
      <w:r>
        <w:t>本工程福渠干渠主要建筑物级别为3级，采用30年一遇设计洪水</w:t>
      </w:r>
      <w:r>
        <w:rPr>
          <w:rFonts w:hint="eastAsia"/>
        </w:rPr>
        <w:t>标准，本项目渠段设计流量20m</w:t>
      </w:r>
      <w:r>
        <w:rPr>
          <w:rFonts w:hint="eastAsia"/>
          <w:vertAlign w:val="superscript"/>
        </w:rPr>
        <w:t>3</w:t>
      </w:r>
      <w:r>
        <w:rPr>
          <w:rFonts w:hint="eastAsia"/>
        </w:rPr>
        <w:t>/s，工程等别为Ⅲ等，主要建筑物为3级，次要建筑物为4级，临时建筑物为5级。</w:t>
      </w:r>
    </w:p>
    <w:p>
      <w:pPr>
        <w:ind w:firstLine="480"/>
        <w:rPr>
          <w:lang w:val="zh-CN"/>
        </w:rPr>
      </w:pPr>
      <w:r>
        <w:rPr>
          <w:lang w:val="zh-CN"/>
        </w:rPr>
        <w:t>本次渠道改线设计，改线后基本保留原渠道断面尺寸。采用梯形断面，设计渠底宽4.5m，渠道深约3.5m，渠顶宽15m。设计渠底高程自下游往上为32.20~32.27m，内侧渠顶高程基本按开挖后的内侧原有地面高度确定，并保证垂直高度不小于3.5m；外侧渠顶高程以现状渠道前后渠顶高程（路面高程）确定，下游为36.5m，上游为35.80m，可满足渠深不小于3.5m。</w:t>
      </w:r>
    </w:p>
    <w:p>
      <w:pPr>
        <w:ind w:firstLine="480"/>
        <w:rPr>
          <w:lang w:val="zh-CN"/>
        </w:rPr>
      </w:pPr>
      <w:r>
        <w:rPr>
          <w:lang w:val="zh-CN"/>
        </w:rPr>
        <w:t>渠道主要断面结构如下：渠道两侧边坡最下层采用</w:t>
      </w:r>
      <w:r>
        <w:rPr>
          <w:rFonts w:hint="eastAsia"/>
          <w:lang w:val="zh-CN"/>
        </w:rPr>
        <w:t>黏性</w:t>
      </w:r>
      <w:r>
        <w:rPr>
          <w:lang w:val="zh-CN"/>
        </w:rPr>
        <w:t>土夯填厚300mm，上铺复合土工膜防渗（800g/m</w:t>
      </w:r>
      <w:r>
        <w:rPr>
          <w:vertAlign w:val="superscript"/>
          <w:lang w:val="zh-CN"/>
        </w:rPr>
        <w:t>2</w:t>
      </w:r>
      <w:r>
        <w:rPr>
          <w:lang w:val="zh-CN"/>
        </w:rPr>
        <w:t>），复合土工膜以上采用C20工混凝土贴面厚300mm；为方便施工，渠底最下层采用碎石垫层厚g300mm，上铺复合土工膜防渗（800g/m</w:t>
      </w:r>
      <w:r>
        <w:rPr>
          <w:vertAlign w:val="superscript"/>
          <w:lang w:val="zh-CN"/>
        </w:rPr>
        <w:t>2</w:t>
      </w:r>
      <w:r>
        <w:rPr>
          <w:lang w:val="zh-CN"/>
        </w:rPr>
        <w:t>），复合土工膜以上采用C20工混凝土贴面厚300mm。渠道混凝土渠底及渠壁上下各设置一层</w:t>
      </w:r>
      <w:r>
        <w:rPr>
          <w:rFonts w:hint="eastAsia"/>
          <w:lang w:val="zh-CN"/>
        </w:rPr>
        <w:t>φ</w:t>
      </w:r>
      <w:r>
        <w:rPr>
          <w:lang w:val="zh-CN"/>
        </w:rPr>
        <w:t>6@200钢筋网。</w:t>
      </w:r>
    </w:p>
    <w:p>
      <w:pPr>
        <w:pStyle w:val="105"/>
        <w:rPr>
          <w:rFonts w:hint="eastAsia" w:eastAsia="宋体"/>
          <w:lang w:val="zh-CN" w:eastAsia="zh-CN"/>
        </w:rPr>
      </w:pPr>
      <w:r>
        <mc:AlternateContent>
          <mc:Choice Requires="wps">
            <w:drawing>
              <wp:anchor distT="0" distB="0" distL="114300" distR="114300" simplePos="0" relativeHeight="251682816" behindDoc="0" locked="0" layoutInCell="1" allowOverlap="1">
                <wp:simplePos x="0" y="0"/>
                <wp:positionH relativeFrom="column">
                  <wp:posOffset>4284345</wp:posOffset>
                </wp:positionH>
                <wp:positionV relativeFrom="paragraph">
                  <wp:posOffset>3095625</wp:posOffset>
                </wp:positionV>
                <wp:extent cx="386080" cy="118110"/>
                <wp:effectExtent l="457200" t="381000" r="13970" b="15240"/>
                <wp:wrapNone/>
                <wp:docPr id="1747986755" name="对话气泡: 圆角矩形 1747986755"/>
                <wp:cNvGraphicFramePr/>
                <a:graphic xmlns:a="http://schemas.openxmlformats.org/drawingml/2006/main">
                  <a:graphicData uri="http://schemas.microsoft.com/office/word/2010/wordprocessingShape">
                    <wps:wsp>
                      <wps:cNvSpPr/>
                      <wps:spPr>
                        <a:xfrm>
                          <a:off x="0" y="0"/>
                          <a:ext cx="386080" cy="118110"/>
                        </a:xfrm>
                        <a:prstGeom prst="wedgeRoundRectCallout">
                          <a:avLst>
                            <a:gd name="adj1" fmla="val -158824"/>
                            <a:gd name="adj2" fmla="val -341554"/>
                            <a:gd name="adj3" fmla="val 16667"/>
                          </a:avLst>
                        </a:prstGeom>
                        <a:solidFill>
                          <a:schemeClr val="bg1"/>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rPr>
                                <w:color w:val="FF00FF"/>
                                <w:sz w:val="13"/>
                                <w:szCs w:val="18"/>
                              </w:rPr>
                            </w:pPr>
                            <w:r>
                              <w:rPr>
                                <w:rFonts w:hint="eastAsia"/>
                                <w:color w:val="FF00FF"/>
                                <w:sz w:val="13"/>
                                <w:szCs w:val="18"/>
                              </w:rPr>
                              <w:t>林泉支渠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747986755" o:spid="_x0000_s1026" o:spt="62" type="#_x0000_t62" style="position:absolute;left:0pt;margin-left:337.35pt;margin-top:243.75pt;height:9.3pt;width:30.4pt;z-index:251682816;v-text-anchor:middle;mso-width-relative:page;mso-height-relative:page;" fillcolor="#FFFFFF [3212]" filled="t" stroked="t" coordsize="21600,21600" o:gfxdata="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Cpc56LaAAAACwEAAA8AAAAAAAAAAQAgAAAAIgAAAGRycy9kb3ducmV2LnhtbFBLAQIU&#10;ABQAAAAIAIdO4kCCe2YA1QIAAJ0FAAAOAAAAAAAAAAEAIAAAACkBAABkcnMvZTJvRG9jLnhtbFBL&#10;BQYAAAAABgAGAFkBAABwBgAAAAA=&#10;" adj="-23506,-62976,14400">
                <v:fill on="t" focussize="0,0"/>
                <v:stroke weight="0.5pt" color="#FF00FF [3204]" miterlimit="8" joinstyle="miter"/>
                <v:imagedata o:title=""/>
                <o:lock v:ext="edit" aspectratio="f"/>
                <v:textbox inset="0mm,0mm,0mm,0mm">
                  <w:txbxContent>
                    <w:p>
                      <w:pPr>
                        <w:pStyle w:val="105"/>
                        <w:spacing w:before="0" w:after="0"/>
                        <w:rPr>
                          <w:color w:val="FF00FF"/>
                          <w:sz w:val="13"/>
                          <w:szCs w:val="18"/>
                        </w:rPr>
                      </w:pPr>
                      <w:r>
                        <w:rPr>
                          <w:rFonts w:hint="eastAsia"/>
                          <w:color w:val="FF00FF"/>
                          <w:sz w:val="13"/>
                          <w:szCs w:val="18"/>
                        </w:rPr>
                        <w:t>林泉支渠</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554990</wp:posOffset>
                </wp:positionH>
                <wp:positionV relativeFrom="paragraph">
                  <wp:posOffset>990600</wp:posOffset>
                </wp:positionV>
                <wp:extent cx="3222625" cy="852170"/>
                <wp:effectExtent l="19050" t="19050" r="16510" b="43180"/>
                <wp:wrapNone/>
                <wp:docPr id="1747986754" name="任意多边形: 形状 1747986754"/>
                <wp:cNvGraphicFramePr/>
                <a:graphic xmlns:a="http://schemas.openxmlformats.org/drawingml/2006/main">
                  <a:graphicData uri="http://schemas.microsoft.com/office/word/2010/wordprocessingShape">
                    <wps:wsp>
                      <wps:cNvSpPr/>
                      <wps:spPr>
                        <a:xfrm>
                          <a:off x="0" y="0"/>
                          <a:ext cx="3222345" cy="852221"/>
                        </a:xfrm>
                        <a:custGeom>
                          <a:avLst/>
                          <a:gdLst>
                            <a:gd name="connsiteX0" fmla="*/ 0 w 3222345"/>
                            <a:gd name="connsiteY0" fmla="*/ 120701 h 852221"/>
                            <a:gd name="connsiteX1" fmla="*/ 204825 w 3222345"/>
                            <a:gd name="connsiteY1" fmla="*/ 0 h 852221"/>
                            <a:gd name="connsiteX2" fmla="*/ 351129 w 3222345"/>
                            <a:gd name="connsiteY2" fmla="*/ 292608 h 852221"/>
                            <a:gd name="connsiteX3" fmla="*/ 555955 w 3222345"/>
                            <a:gd name="connsiteY3" fmla="*/ 504749 h 852221"/>
                            <a:gd name="connsiteX4" fmla="*/ 738835 w 3222345"/>
                            <a:gd name="connsiteY4" fmla="*/ 588874 h 852221"/>
                            <a:gd name="connsiteX5" fmla="*/ 976579 w 3222345"/>
                            <a:gd name="connsiteY5" fmla="*/ 632765 h 852221"/>
                            <a:gd name="connsiteX6" fmla="*/ 1210665 w 3222345"/>
                            <a:gd name="connsiteY6" fmla="*/ 614477 h 852221"/>
                            <a:gd name="connsiteX7" fmla="*/ 2417673 w 3222345"/>
                            <a:gd name="connsiteY7" fmla="*/ 442570 h 852221"/>
                            <a:gd name="connsiteX8" fmla="*/ 2918765 w 3222345"/>
                            <a:gd name="connsiteY8" fmla="*/ 362103 h 852221"/>
                            <a:gd name="connsiteX9" fmla="*/ 3134563 w 3222345"/>
                            <a:gd name="connsiteY9" fmla="*/ 270663 h 852221"/>
                            <a:gd name="connsiteX10" fmla="*/ 3222345 w 3222345"/>
                            <a:gd name="connsiteY10" fmla="*/ 449885 h 852221"/>
                            <a:gd name="connsiteX11" fmla="*/ 3163824 w 3222345"/>
                            <a:gd name="connsiteY11" fmla="*/ 479146 h 852221"/>
                            <a:gd name="connsiteX12" fmla="*/ 3097987 w 3222345"/>
                            <a:gd name="connsiteY12" fmla="*/ 530352 h 852221"/>
                            <a:gd name="connsiteX13" fmla="*/ 2944368 w 3222345"/>
                            <a:gd name="connsiteY13" fmla="*/ 581559 h 852221"/>
                            <a:gd name="connsiteX14" fmla="*/ 2600553 w 3222345"/>
                            <a:gd name="connsiteY14" fmla="*/ 640080 h 852221"/>
                            <a:gd name="connsiteX15" fmla="*/ 1920240 w 3222345"/>
                            <a:gd name="connsiteY15" fmla="*/ 731520 h 852221"/>
                            <a:gd name="connsiteX16" fmla="*/ 1627632 w 3222345"/>
                            <a:gd name="connsiteY16" fmla="*/ 779069 h 852221"/>
                            <a:gd name="connsiteX17" fmla="*/ 1049731 w 3222345"/>
                            <a:gd name="connsiteY17" fmla="*/ 852221 h 852221"/>
                            <a:gd name="connsiteX18" fmla="*/ 837590 w 3222345"/>
                            <a:gd name="connsiteY18" fmla="*/ 837591 h 852221"/>
                            <a:gd name="connsiteX19" fmla="*/ 691286 w 3222345"/>
                            <a:gd name="connsiteY19" fmla="*/ 808330 h 852221"/>
                            <a:gd name="connsiteX20" fmla="*/ 479145 w 3222345"/>
                            <a:gd name="connsiteY20" fmla="*/ 716890 h 852221"/>
                            <a:gd name="connsiteX21" fmla="*/ 391363 w 3222345"/>
                            <a:gd name="connsiteY21" fmla="*/ 654711 h 852221"/>
                            <a:gd name="connsiteX22" fmla="*/ 252374 w 3222345"/>
                            <a:gd name="connsiteY22" fmla="*/ 526695 h 852221"/>
                            <a:gd name="connsiteX23" fmla="*/ 193853 w 3222345"/>
                            <a:gd name="connsiteY23" fmla="*/ 442570 h 852221"/>
                            <a:gd name="connsiteX24" fmla="*/ 106070 w 3222345"/>
                            <a:gd name="connsiteY24" fmla="*/ 296266 h 852221"/>
                            <a:gd name="connsiteX25" fmla="*/ 0 w 3222345"/>
                            <a:gd name="connsiteY25" fmla="*/ 120701 h 852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22345" h="852221">
                              <a:moveTo>
                                <a:pt x="0" y="120701"/>
                              </a:moveTo>
                              <a:lnTo>
                                <a:pt x="204825" y="0"/>
                              </a:lnTo>
                              <a:lnTo>
                                <a:pt x="351129" y="292608"/>
                              </a:lnTo>
                              <a:lnTo>
                                <a:pt x="555955" y="504749"/>
                              </a:lnTo>
                              <a:lnTo>
                                <a:pt x="738835" y="588874"/>
                              </a:lnTo>
                              <a:lnTo>
                                <a:pt x="976579" y="632765"/>
                              </a:lnTo>
                              <a:lnTo>
                                <a:pt x="1210665" y="614477"/>
                              </a:lnTo>
                              <a:lnTo>
                                <a:pt x="2417673" y="442570"/>
                              </a:lnTo>
                              <a:lnTo>
                                <a:pt x="2918765" y="362103"/>
                              </a:lnTo>
                              <a:lnTo>
                                <a:pt x="3134563" y="270663"/>
                              </a:lnTo>
                              <a:lnTo>
                                <a:pt x="3222345" y="449885"/>
                              </a:lnTo>
                              <a:lnTo>
                                <a:pt x="3163824" y="479146"/>
                              </a:lnTo>
                              <a:lnTo>
                                <a:pt x="3097987" y="530352"/>
                              </a:lnTo>
                              <a:lnTo>
                                <a:pt x="2944368" y="581559"/>
                              </a:lnTo>
                              <a:lnTo>
                                <a:pt x="2600553" y="640080"/>
                              </a:lnTo>
                              <a:lnTo>
                                <a:pt x="1920240" y="731520"/>
                              </a:lnTo>
                              <a:lnTo>
                                <a:pt x="1627632" y="779069"/>
                              </a:lnTo>
                              <a:lnTo>
                                <a:pt x="1049731" y="852221"/>
                              </a:lnTo>
                              <a:lnTo>
                                <a:pt x="837590" y="837591"/>
                              </a:lnTo>
                              <a:lnTo>
                                <a:pt x="691286" y="808330"/>
                              </a:lnTo>
                              <a:lnTo>
                                <a:pt x="479145" y="716890"/>
                              </a:lnTo>
                              <a:lnTo>
                                <a:pt x="391363" y="654711"/>
                              </a:lnTo>
                              <a:lnTo>
                                <a:pt x="252374" y="526695"/>
                              </a:lnTo>
                              <a:lnTo>
                                <a:pt x="193853" y="442570"/>
                              </a:lnTo>
                              <a:lnTo>
                                <a:pt x="106070" y="296266"/>
                              </a:lnTo>
                              <a:lnTo>
                                <a:pt x="0" y="120701"/>
                              </a:lnTo>
                              <a:close/>
                            </a:path>
                          </a:pathLst>
                        </a:custGeom>
                        <a:solidFill>
                          <a:srgbClr val="FF0000">
                            <a:alpha val="3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747986754" o:spid="_x0000_s1026" o:spt="100" style="position:absolute;left:0pt;margin-left:43.7pt;margin-top:78pt;height:67.1pt;width:253.75pt;z-index:251681792;v-text-anchor:middle;mso-width-relative:page;mso-height-relative:page;" fillcolor="#FF0000" filled="t" stroked="t" coordsize="3222345,852221" o:gfxdata="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AAAAAZHJzL1BLAQIU&#10;ABQAAAAIAIdO4kArUXS72gAAAAoBAAAPAAAAAAAAAAEAIAAAACIAAABkcnMvZG93bnJldi54bWxQ&#10;SwECFAAUAAAACACHTuJAQp/BfqIGAABZGwAADgAAAAAAAAABACAAAAApAQAAZHJzL2Uyb0RvYy54&#10;bWxQSwUGAAAAAAYABgBZAQAAPQoAAAAA&#10;" path="m0,120701l204825,0,351129,292608,555955,504749,738835,588874,976579,632765,1210665,614477,2417673,442570,2918765,362103,3134563,270663,3222345,449885,3163824,479146,3097987,530352,2944368,581559,2600553,640080,1920240,731520,1627632,779069,1049731,852221,837590,837591,691286,808330,479145,716890,391363,654711,252374,526695,193853,442570,106070,296266,0,120701xe">
                <v:path o:connectlocs="0,120701;204825,0;351129,292608;555955,504749;738835,588874;976579,632765;1210665,614477;2417673,442570;2918765,362103;3134563,270663;3222345,449885;3163824,479146;3097987,530352;2944368,581559;2600553,640080;1920240,731520;1627632,779069;1049731,852221;837590,837591;691286,808330;479145,716890;391363,654711;252374,526695;193853,442570;106070,296266;0,120701" o:connectangles="0,0,0,0,0,0,0,0,0,0,0,0,0,0,0,0,0,0,0,0,0,0,0,0,0,0"/>
                <v:fill on="t" opacity="19660f" focussize="0,0"/>
                <v:stroke weight="0.5pt" color="#FF0000 [3204]"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1689735</wp:posOffset>
                </wp:positionH>
                <wp:positionV relativeFrom="paragraph">
                  <wp:posOffset>1673225</wp:posOffset>
                </wp:positionV>
                <wp:extent cx="165100" cy="45720"/>
                <wp:effectExtent l="0" t="38100" r="64135" b="50165"/>
                <wp:wrapNone/>
                <wp:docPr id="1622346483" name="直接箭头连接符 1622346483"/>
                <wp:cNvGraphicFramePr/>
                <a:graphic xmlns:a="http://schemas.openxmlformats.org/drawingml/2006/main">
                  <a:graphicData uri="http://schemas.microsoft.com/office/word/2010/wordprocessingShape">
                    <wps:wsp>
                      <wps:cNvCnPr/>
                      <wps:spPr>
                        <a:xfrm flipV="1">
                          <a:off x="0" y="0"/>
                          <a:ext cx="164942" cy="45719"/>
                        </a:xfrm>
                        <a:prstGeom prst="straightConnector1">
                          <a:avLst/>
                        </a:prstGeom>
                        <a:ln>
                          <a:solidFill>
                            <a:srgbClr val="00FF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3.05pt;margin-top:131.75pt;height:3.6pt;width:13pt;z-index:251675648;mso-width-relative:page;mso-height-relative:page;" filled="f" stroked="t" coordsize="21600,21600" o:gfxdata="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qJ9qtoAAAALAQAADwAAAAAAAAABACAAAAAiAAAAZHJzL2Rvd25yZXYueG1sUEsBAhQA&#10;FAAAAAgAh07iQJpuA88pAgAAEQQAAA4AAAAAAAAAAQAgAAAAKQEAAGRycy9lMm9Eb2MueG1sUEsF&#10;BgAAAAAGAAYAWQEAAMQFAAAAAA==&#10;">
                <v:fill on="f" focussize="0,0"/>
                <v:stroke weight="0.5pt" color="#00FF00 [3204]" miterlimit="8" joinstyle="miter" endarrow="block" endarrowwidth="narrow"/>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546735</wp:posOffset>
                </wp:positionH>
                <wp:positionV relativeFrom="paragraph">
                  <wp:posOffset>918210</wp:posOffset>
                </wp:positionV>
                <wp:extent cx="92075" cy="130810"/>
                <wp:effectExtent l="0" t="0" r="60960" b="60325"/>
                <wp:wrapNone/>
                <wp:docPr id="1622346481" name="直接箭头连接符 1622346481"/>
                <wp:cNvGraphicFramePr/>
                <a:graphic xmlns:a="http://schemas.openxmlformats.org/drawingml/2006/main">
                  <a:graphicData uri="http://schemas.microsoft.com/office/word/2010/wordprocessingShape">
                    <wps:wsp>
                      <wps:cNvCnPr/>
                      <wps:spPr>
                        <a:xfrm>
                          <a:off x="0" y="0"/>
                          <a:ext cx="91837" cy="130628"/>
                        </a:xfrm>
                        <a:prstGeom prst="straightConnector1">
                          <a:avLst/>
                        </a:prstGeom>
                        <a:ln>
                          <a:solidFill>
                            <a:srgbClr val="00FF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05pt;margin-top:72.3pt;height:10.3pt;width:7.25pt;z-index:251674624;mso-width-relative:page;mso-height-relative:page;" filled="f" stroked="t" coordsize="21600,21600" o:gfxdata="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nry&#10;I9kAAAAKAQAADwAAAAAAAAABACAAAAAiAAAAZHJzL2Rvd25yZXYueG1sUEsBAhQAFAAAAAgAh07i&#10;QENGGeohAgAABwQAAA4AAAAAAAAAAQAgAAAAKAEAAGRycy9lMm9Eb2MueG1sUEsFBgAAAAAGAAYA&#10;WQEAALsFAAAAAA==&#10;">
                <v:fill on="f" focussize="0,0"/>
                <v:stroke weight="0.5pt" color="#00FF00 [3204]" miterlimit="8" joinstyle="miter" endarrow="block" endarrowwidth="narrow"/>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1273175</wp:posOffset>
                </wp:positionH>
                <wp:positionV relativeFrom="paragraph">
                  <wp:posOffset>2025015</wp:posOffset>
                </wp:positionV>
                <wp:extent cx="1240155" cy="335280"/>
                <wp:effectExtent l="0" t="76200" r="0" b="83820"/>
                <wp:wrapNone/>
                <wp:docPr id="1622346480" name="矩形 1622346480"/>
                <wp:cNvGraphicFramePr/>
                <a:graphic xmlns:a="http://schemas.openxmlformats.org/drawingml/2006/main">
                  <a:graphicData uri="http://schemas.microsoft.com/office/word/2010/wordprocessingShape">
                    <wps:wsp>
                      <wps:cNvSpPr/>
                      <wps:spPr>
                        <a:xfrm rot="20999985">
                          <a:off x="0" y="0"/>
                          <a:ext cx="1240346" cy="335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FF0000"/>
                              </w:rPr>
                            </w:pPr>
                            <w:r>
                              <w:rPr>
                                <w:rFonts w:hint="eastAsia"/>
                                <w:b/>
                                <w:bCs/>
                                <w:color w:val="FF0000"/>
                              </w:rPr>
                              <w:t xml:space="preserve">主 </w:t>
                            </w:r>
                            <w:r>
                              <w:rPr>
                                <w:b/>
                                <w:bCs/>
                                <w:color w:val="FF0000"/>
                              </w:rPr>
                              <w:t xml:space="preserve">              </w:t>
                            </w:r>
                            <w:r>
                              <w:rPr>
                                <w:rFonts w:hint="eastAsia"/>
                                <w:b/>
                                <w:bCs/>
                                <w:color w:val="FF0000"/>
                              </w:rPr>
                              <w:t>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25pt;margin-top:159.45pt;height:26.4pt;width:97.65pt;rotation:-655376f;z-index:251673600;v-text-anchor:middle;mso-width-relative:page;mso-height-relative:page;" filled="f" stroked="f" coordsize="21600,21600" o:gfxdata="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T6pB2gAAAAsBAAAPAAAAAAAAAAEAIAAAACIAAABkcnMvZG93&#10;bnJldi54bWxQSwECFAAUAAAACACHTuJAm3ztaXACAADOBAAADgAAAAAAAAABACAAAAApAQAAZHJz&#10;L2Uyb0RvYy54bWxQSwUGAAAAAAYABgBZAQAACwYAAAAA&#10;">
                <v:fill on="f" focussize="0,0"/>
                <v:stroke on="f" weight="1pt" miterlimit="8" joinstyle="miter"/>
                <v:imagedata o:title=""/>
                <o:lock v:ext="edit" aspectratio="f"/>
                <v:textbox>
                  <w:txbxContent>
                    <w:p>
                      <w:pPr>
                        <w:ind w:firstLine="0" w:firstLineChars="0"/>
                        <w:rPr>
                          <w:b/>
                          <w:bCs/>
                          <w:color w:val="FF0000"/>
                        </w:rPr>
                      </w:pPr>
                      <w:r>
                        <w:rPr>
                          <w:rFonts w:hint="eastAsia"/>
                          <w:b/>
                          <w:bCs/>
                          <w:color w:val="FF0000"/>
                        </w:rPr>
                        <w:t xml:space="preserve">主 </w:t>
                      </w:r>
                      <w:r>
                        <w:rPr>
                          <w:b/>
                          <w:bCs/>
                          <w:color w:val="FF0000"/>
                        </w:rPr>
                        <w:t xml:space="preserve">              </w:t>
                      </w:r>
                      <w:r>
                        <w:rPr>
                          <w:rFonts w:hint="eastAsia"/>
                          <w:b/>
                          <w:bCs/>
                          <w:color w:val="FF0000"/>
                        </w:rPr>
                        <w:t>线</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4086225</wp:posOffset>
                </wp:positionH>
                <wp:positionV relativeFrom="paragraph">
                  <wp:posOffset>2153920</wp:posOffset>
                </wp:positionV>
                <wp:extent cx="205740" cy="118110"/>
                <wp:effectExtent l="495300" t="247650" r="22860" b="15240"/>
                <wp:wrapNone/>
                <wp:docPr id="1622346479" name="对话气泡: 圆角矩形 1622346479"/>
                <wp:cNvGraphicFramePr/>
                <a:graphic xmlns:a="http://schemas.openxmlformats.org/drawingml/2006/main">
                  <a:graphicData uri="http://schemas.microsoft.com/office/word/2010/wordprocessingShape">
                    <wps:wsp>
                      <wps:cNvSpPr/>
                      <wps:spPr>
                        <a:xfrm>
                          <a:off x="0" y="0"/>
                          <a:ext cx="205740" cy="118110"/>
                        </a:xfrm>
                        <a:prstGeom prst="wedgeRoundRectCallout">
                          <a:avLst>
                            <a:gd name="adj1" fmla="val -269137"/>
                            <a:gd name="adj2" fmla="val -227794"/>
                            <a:gd name="adj3" fmla="val 16667"/>
                          </a:avLst>
                        </a:prstGeom>
                        <a:solidFill>
                          <a:schemeClr val="bg1"/>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rPr>
                                <w:color w:val="FF00FF"/>
                                <w:sz w:val="13"/>
                                <w:szCs w:val="18"/>
                              </w:rPr>
                            </w:pPr>
                            <w:r>
                              <w:rPr>
                                <w:rFonts w:hint="eastAsia"/>
                                <w:color w:val="FF00FF"/>
                                <w:sz w:val="13"/>
                                <w:szCs w:val="18"/>
                              </w:rPr>
                              <w:t>渡槽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622346479" o:spid="_x0000_s1026" o:spt="62" type="#_x0000_t62" style="position:absolute;left:0pt;margin-left:321.75pt;margin-top:169.6pt;height:9.3pt;width:16.2pt;z-index:251672576;v-text-anchor:middle;mso-width-relative:page;mso-height-relative:page;" fillcolor="#FFFFFF [3212]" filled="t" stroked="t" coordsize="21600,21600" o:gfxdata="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GyYQg2gAAAAsBAAAPAAAAAAAAAAEAIAAAACIAAABkcnMvZG93bnJldi54bWxQSwEC&#10;FAAUAAAACACHTuJAwUmba9YCAACdBQAADgAAAAAAAAABACAAAAApAQAAZHJzL2Uyb0RvYy54bWxQ&#10;SwUGAAAAAAYABgBZAQAAcQYAAAAA&#10;" adj="-47334,-38404,14400">
                <v:fill on="t" focussize="0,0"/>
                <v:stroke weight="0.5pt" color="#FF00FF [3204]" miterlimit="8" joinstyle="miter"/>
                <v:imagedata o:title=""/>
                <o:lock v:ext="edit" aspectratio="f"/>
                <v:textbox inset="0mm,0mm,0mm,0mm">
                  <w:txbxContent>
                    <w:p>
                      <w:pPr>
                        <w:pStyle w:val="105"/>
                        <w:spacing w:before="0" w:after="0"/>
                        <w:rPr>
                          <w:color w:val="FF00FF"/>
                          <w:sz w:val="13"/>
                          <w:szCs w:val="18"/>
                        </w:rPr>
                      </w:pPr>
                      <w:r>
                        <w:rPr>
                          <w:rFonts w:hint="eastAsia"/>
                          <w:color w:val="FF00FF"/>
                          <w:sz w:val="13"/>
                          <w:szCs w:val="18"/>
                        </w:rPr>
                        <w:t>渡槽</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3597910</wp:posOffset>
                </wp:positionH>
                <wp:positionV relativeFrom="paragraph">
                  <wp:posOffset>1640840</wp:posOffset>
                </wp:positionV>
                <wp:extent cx="28575" cy="575945"/>
                <wp:effectExtent l="95250" t="19050" r="85725" b="14605"/>
                <wp:wrapNone/>
                <wp:docPr id="1622346474" name="矩形 1622346474"/>
                <wp:cNvGraphicFramePr/>
                <a:graphic xmlns:a="http://schemas.openxmlformats.org/drawingml/2006/main">
                  <a:graphicData uri="http://schemas.microsoft.com/office/word/2010/wordprocessingShape">
                    <wps:wsp>
                      <wps:cNvSpPr/>
                      <wps:spPr>
                        <a:xfrm rot="20736430">
                          <a:off x="0" y="0"/>
                          <a:ext cx="28800" cy="576000"/>
                        </a:xfrm>
                        <a:prstGeom prst="rect">
                          <a:avLst/>
                        </a:prstGeom>
                        <a:solidFill>
                          <a:srgbClr val="FF00FF">
                            <a:alpha val="40000"/>
                          </a:srgbClr>
                        </a:solidFill>
                        <a:ln w="3175">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3pt;margin-top:129.2pt;height:45.35pt;width:2.25pt;rotation:-943249f;z-index:251671552;v-text-anchor:middle;mso-width-relative:page;mso-height-relative:page;" fillcolor="#FF00FF" filled="t" stroked="t" coordsize="21600,21600" o:gfxdata="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smVetsA&#10;AAALAQAADwAAAAAAAAABACAAAAAiAAAAZHJzL2Rvd25yZXYueG1sUEsBAhQAFAAAAAgAh07iQGTA&#10;cZKOAgAAMwUAAA4AAAAAAAAAAQAgAAAAKgEAAGRycy9lMm9Eb2MueG1sUEsFBgAAAAAGAAYAWQEA&#10;ACoGAAAAAA==&#10;">
                <v:fill on="t" opacity="26214f" focussize="0,0"/>
                <v:stroke weight="0.25pt" color="#FF00FF [3204]" miterlimit="8" joinstyle="miter"/>
                <v:imagedata o:title=""/>
                <o:lock v:ext="edit" aspectratio="f"/>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3212465</wp:posOffset>
                </wp:positionH>
                <wp:positionV relativeFrom="paragraph">
                  <wp:posOffset>759460</wp:posOffset>
                </wp:positionV>
                <wp:extent cx="377190" cy="118110"/>
                <wp:effectExtent l="0" t="0" r="175260" b="510540"/>
                <wp:wrapNone/>
                <wp:docPr id="1622346455" name="对话气泡: 圆角矩形 1622346455"/>
                <wp:cNvGraphicFramePr/>
                <a:graphic xmlns:a="http://schemas.openxmlformats.org/drawingml/2006/main">
                  <a:graphicData uri="http://schemas.microsoft.com/office/word/2010/wordprocessingShape">
                    <wps:wsp>
                      <wps:cNvSpPr/>
                      <wps:spPr>
                        <a:xfrm>
                          <a:off x="0" y="0"/>
                          <a:ext cx="377190" cy="118110"/>
                        </a:xfrm>
                        <a:prstGeom prst="wedgeRoundRectCallout">
                          <a:avLst>
                            <a:gd name="adj1" fmla="val 79211"/>
                            <a:gd name="adj2" fmla="val 447756"/>
                            <a:gd name="adj3" fmla="val 16667"/>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rPr>
                                <w:color w:val="FF0000"/>
                                <w:sz w:val="13"/>
                                <w:szCs w:val="18"/>
                              </w:rPr>
                            </w:pPr>
                            <w:r>
                              <w:rPr>
                                <w:rFonts w:hint="eastAsia"/>
                                <w:color w:val="FF0000"/>
                                <w:sz w:val="13"/>
                                <w:szCs w:val="18"/>
                              </w:rPr>
                              <w:t>改渠终点</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622346455" o:spid="_x0000_s1026" o:spt="62" type="#_x0000_t62" style="position:absolute;left:0pt;margin-left:252.95pt;margin-top:59.8pt;height:9.3pt;width:29.7pt;z-index:251667456;v-text-anchor:middle;mso-width-relative:page;mso-height-relative:page;" fillcolor="#FFFFFF [3212]" filled="t" stroked="t" coordsize="21600,21600" o:gfxdata="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EAhslNoAAAALAQAADwAAAAAAAAABACAAAAAiAAAAZHJzL2Rvd25yZXYueG1sUEsBAhQAFAAA&#10;AAgAh07iQFmTLt3RAgAAmgUAAA4AAAAAAAAAAQAgAAAAKQEAAGRycy9lMm9Eb2MueG1sUEsFBgAA&#10;AAAGAAYAWQEAAGwGAAAAAA==&#10;" adj="27910,107515,14400">
                <v:fill on="t" focussize="0,0"/>
                <v:stroke weight="0.5pt" color="#FF0000 [3204]" miterlimit="8" joinstyle="miter"/>
                <v:imagedata o:title=""/>
                <o:lock v:ext="edit" aspectratio="f"/>
                <v:textbox inset="0mm,0mm,0mm,0mm">
                  <w:txbxContent>
                    <w:p>
                      <w:pPr>
                        <w:pStyle w:val="105"/>
                        <w:spacing w:before="0" w:after="0"/>
                        <w:rPr>
                          <w:color w:val="FF0000"/>
                          <w:sz w:val="13"/>
                          <w:szCs w:val="18"/>
                        </w:rPr>
                      </w:pPr>
                      <w:r>
                        <w:rPr>
                          <w:rFonts w:hint="eastAsia"/>
                          <w:color w:val="FF0000"/>
                          <w:sz w:val="13"/>
                          <w:szCs w:val="18"/>
                        </w:rPr>
                        <w:t>改渠终点</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2585085</wp:posOffset>
                </wp:positionH>
                <wp:positionV relativeFrom="paragraph">
                  <wp:posOffset>812165</wp:posOffset>
                </wp:positionV>
                <wp:extent cx="377190" cy="128905"/>
                <wp:effectExtent l="247650" t="0" r="22860" b="614045"/>
                <wp:wrapNone/>
                <wp:docPr id="1622346456" name="对话气泡: 圆角矩形 1622346456"/>
                <wp:cNvGraphicFramePr/>
                <a:graphic xmlns:a="http://schemas.openxmlformats.org/drawingml/2006/main">
                  <a:graphicData uri="http://schemas.microsoft.com/office/word/2010/wordprocessingShape">
                    <wps:wsp>
                      <wps:cNvSpPr/>
                      <wps:spPr>
                        <a:xfrm>
                          <a:off x="0" y="0"/>
                          <a:ext cx="377190" cy="128905"/>
                        </a:xfrm>
                        <a:prstGeom prst="wedgeRoundRectCallout">
                          <a:avLst>
                            <a:gd name="adj1" fmla="val -102164"/>
                            <a:gd name="adj2" fmla="val 460156"/>
                            <a:gd name="adj3" fmla="val 16667"/>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rPr>
                                <w:color w:val="FF0000"/>
                                <w:sz w:val="13"/>
                                <w:szCs w:val="18"/>
                              </w:rPr>
                            </w:pPr>
                            <w:r>
                              <w:rPr>
                                <w:rFonts w:hint="eastAsia"/>
                                <w:color w:val="FF0000"/>
                                <w:sz w:val="13"/>
                                <w:szCs w:val="18"/>
                              </w:rPr>
                              <w:t>跨渠箱涵</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622346456" o:spid="_x0000_s1026" o:spt="62" type="#_x0000_t62" style="position:absolute;left:0pt;margin-left:203.55pt;margin-top:63.95pt;height:10.15pt;width:29.7pt;z-index:251668480;v-text-anchor:middle;mso-width-relative:page;mso-height-relative:page;" fillcolor="#FFFFFF [3212]" filled="t" stroked="t" coordsize="21600,21600" o:gfxdata="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SbJwM2AAAAAsBAAAPAAAAAAAAAAEAIAAAACIAAABkcnMvZG93bnJldi54bWxQSwECFAAU&#10;AAAACACHTuJAZUXrztUCAACcBQAADgAAAAAAAAABACAAAAAnAQAAZHJzL2Uyb0RvYy54bWxQSwUG&#10;AAAAAAYABgBZAQAAbgYAAAAA&#10;" adj="-11267,110194,14400">
                <v:fill on="t" focussize="0,0"/>
                <v:stroke weight="0.5pt" color="#FF0000 [3204]" miterlimit="8" joinstyle="miter"/>
                <v:imagedata o:title=""/>
                <o:lock v:ext="edit" aspectratio="f"/>
                <v:textbox inset="0mm,0mm,0mm,0mm">
                  <w:txbxContent>
                    <w:p>
                      <w:pPr>
                        <w:pStyle w:val="105"/>
                        <w:spacing w:before="0" w:after="0"/>
                        <w:rPr>
                          <w:color w:val="FF0000"/>
                          <w:sz w:val="13"/>
                          <w:szCs w:val="18"/>
                        </w:rPr>
                      </w:pPr>
                      <w:r>
                        <w:rPr>
                          <w:rFonts w:hint="eastAsia"/>
                          <w:color w:val="FF0000"/>
                          <w:sz w:val="13"/>
                          <w:szCs w:val="18"/>
                        </w:rPr>
                        <w:t>跨渠箱涵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836295</wp:posOffset>
                </wp:positionH>
                <wp:positionV relativeFrom="paragraph">
                  <wp:posOffset>551180</wp:posOffset>
                </wp:positionV>
                <wp:extent cx="425450" cy="149860"/>
                <wp:effectExtent l="190500" t="0" r="12700" b="402590"/>
                <wp:wrapNone/>
                <wp:docPr id="1622346454" name="对话气泡: 圆角矩形 1622346454"/>
                <wp:cNvGraphicFramePr/>
                <a:graphic xmlns:a="http://schemas.openxmlformats.org/drawingml/2006/main">
                  <a:graphicData uri="http://schemas.microsoft.com/office/word/2010/wordprocessingShape">
                    <wps:wsp>
                      <wps:cNvSpPr/>
                      <wps:spPr>
                        <a:xfrm>
                          <a:off x="0" y="0"/>
                          <a:ext cx="425450" cy="149860"/>
                        </a:xfrm>
                        <a:prstGeom prst="wedgeRoundRectCallout">
                          <a:avLst>
                            <a:gd name="adj1" fmla="val -85889"/>
                            <a:gd name="adj2" fmla="val 264788"/>
                            <a:gd name="adj3" fmla="val 16667"/>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rPr>
                                <w:color w:val="FF0000"/>
                                <w:sz w:val="15"/>
                                <w:szCs w:val="20"/>
                              </w:rPr>
                            </w:pPr>
                            <w:r>
                              <w:rPr>
                                <w:rFonts w:hint="eastAsia"/>
                                <w:color w:val="FF0000"/>
                                <w:sz w:val="15"/>
                                <w:szCs w:val="20"/>
                              </w:rPr>
                              <w:t>改渠起点</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622346454" o:spid="_x0000_s1026" o:spt="62" type="#_x0000_t62" style="position:absolute;left:0pt;margin-left:65.85pt;margin-top:43.4pt;height:11.8pt;width:33.5pt;z-index:251666432;v-text-anchor:middle;mso-width-relative:page;mso-height-relative:page;" fillcolor="#FFFFFF [3212]" filled="t" stroked="t" coordsize="21600,21600" o:gfxdata="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nVtJQ2gAAAAoBAAAPAAAAAAAAAAEAIAAAACIAAABkcnMvZG93bnJldi54bWxQSwECFAAU&#10;AAAACACHTuJAQjFHcNMCAACbBQAADgAAAAAAAAABACAAAAApAQAAZHJzL2Uyb0RvYy54bWxQSwUG&#10;AAAAAAYABgBZAQAAbgYAAAAA&#10;" adj="-7752,67994,14400">
                <v:fill on="t" focussize="0,0"/>
                <v:stroke weight="0.5pt" color="#FF0000 [3204]" miterlimit="8" joinstyle="miter"/>
                <v:imagedata o:title=""/>
                <o:lock v:ext="edit" aspectratio="f"/>
                <v:textbox inset="0mm,0mm,0mm,0mm">
                  <w:txbxContent>
                    <w:p>
                      <w:pPr>
                        <w:pStyle w:val="105"/>
                        <w:spacing w:before="0" w:after="0"/>
                        <w:rPr>
                          <w:color w:val="FF0000"/>
                          <w:sz w:val="15"/>
                          <w:szCs w:val="20"/>
                        </w:rPr>
                      </w:pPr>
                      <w:r>
                        <w:rPr>
                          <w:rFonts w:hint="eastAsia"/>
                          <w:color w:val="FF0000"/>
                          <w:sz w:val="15"/>
                          <w:szCs w:val="20"/>
                        </w:rPr>
                        <w:t>改渠起点</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posOffset>306705</wp:posOffset>
                </wp:positionH>
                <wp:positionV relativeFrom="paragraph">
                  <wp:posOffset>1736725</wp:posOffset>
                </wp:positionV>
                <wp:extent cx="240030" cy="130810"/>
                <wp:effectExtent l="0" t="266700" r="255270" b="21590"/>
                <wp:wrapNone/>
                <wp:docPr id="1622346469" name="对话气泡: 圆角矩形 1622346469"/>
                <wp:cNvGraphicFramePr/>
                <a:graphic xmlns:a="http://schemas.openxmlformats.org/drawingml/2006/main">
                  <a:graphicData uri="http://schemas.microsoft.com/office/word/2010/wordprocessingShape">
                    <wps:wsp>
                      <wps:cNvSpPr/>
                      <wps:spPr>
                        <a:xfrm>
                          <a:off x="0" y="0"/>
                          <a:ext cx="240030" cy="130810"/>
                        </a:xfrm>
                        <a:prstGeom prst="wedgeRoundRectCallout">
                          <a:avLst>
                            <a:gd name="adj1" fmla="val 126199"/>
                            <a:gd name="adj2" fmla="val -221382"/>
                            <a:gd name="adj3" fmla="val 16667"/>
                          </a:avLst>
                        </a:prstGeom>
                        <a:solidFill>
                          <a:schemeClr val="bg1"/>
                        </a:solidFill>
                        <a:ln w="63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rPr>
                                <w:color w:val="0000FF"/>
                                <w:sz w:val="11"/>
                                <w:szCs w:val="16"/>
                              </w:rPr>
                            </w:pPr>
                            <w:r>
                              <w:rPr>
                                <w:rFonts w:hint="eastAsia"/>
                                <w:color w:val="0000FF"/>
                                <w:sz w:val="11"/>
                                <w:szCs w:val="16"/>
                              </w:rPr>
                              <w:t>改路5</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622346469" o:spid="_x0000_s1026" o:spt="62" type="#_x0000_t62" style="position:absolute;left:0pt;margin-left:24.15pt;margin-top:136.75pt;height:10.3pt;width:18.9pt;mso-position-horizontal-relative:margin;z-index:251670528;v-text-anchor:middle;mso-width-relative:page;mso-height-relative:page;" fillcolor="#FFFFFF [3212]" filled="t" stroked="t" coordsize="21600,21600" o:gfxdata="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mzC0Y1QAAAAkBAAAPAAAAAAAAAAEAIAAAACIAAABkcnMvZG93bnJldi54bWxQSwECFAAUAAAA&#10;CACHTuJAs+aBVNUCAACcBQAADgAAAAAAAAABACAAAAAkAQAAZHJzL2Uyb0RvYy54bWxQSwUGAAAA&#10;AAYABgBZAQAAawYAAAAA&#10;" adj="38059,-37019,14400">
                <v:fill on="t" focussize="0,0"/>
                <v:stroke weight="0.5pt" color="#0000FF [3204]" miterlimit="8" joinstyle="miter"/>
                <v:imagedata o:title=""/>
                <o:lock v:ext="edit" aspectratio="f"/>
                <v:textbox inset="0mm,0mm,0mm,0mm">
                  <w:txbxContent>
                    <w:p>
                      <w:pPr>
                        <w:pStyle w:val="105"/>
                        <w:spacing w:before="0" w:after="0"/>
                        <w:rPr>
                          <w:color w:val="0000FF"/>
                          <w:sz w:val="11"/>
                          <w:szCs w:val="16"/>
                        </w:rPr>
                      </w:pPr>
                      <w:r>
                        <w:rPr>
                          <w:rFonts w:hint="eastAsia"/>
                          <w:color w:val="0000FF"/>
                          <w:sz w:val="11"/>
                          <w:szCs w:val="16"/>
                        </w:rPr>
                        <w:t>改路5</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487045</wp:posOffset>
                </wp:positionH>
                <wp:positionV relativeFrom="paragraph">
                  <wp:posOffset>1126490</wp:posOffset>
                </wp:positionV>
                <wp:extent cx="3297555" cy="794385"/>
                <wp:effectExtent l="19050" t="19050" r="36830" b="44450"/>
                <wp:wrapNone/>
                <wp:docPr id="1622346457" name="任意多边形: 形状 1622346457"/>
                <wp:cNvGraphicFramePr/>
                <a:graphic xmlns:a="http://schemas.openxmlformats.org/drawingml/2006/main">
                  <a:graphicData uri="http://schemas.microsoft.com/office/word/2010/wordprocessingShape">
                    <wps:wsp>
                      <wps:cNvSpPr/>
                      <wps:spPr>
                        <a:xfrm>
                          <a:off x="0" y="0"/>
                          <a:ext cx="3297489" cy="794363"/>
                        </a:xfrm>
                        <a:custGeom>
                          <a:avLst/>
                          <a:gdLst>
                            <a:gd name="connsiteX0" fmla="*/ 52958 w 3297489"/>
                            <a:gd name="connsiteY0" fmla="*/ 0 h 794363"/>
                            <a:gd name="connsiteX1" fmla="*/ 187117 w 3297489"/>
                            <a:gd name="connsiteY1" fmla="*/ 236544 h 794363"/>
                            <a:gd name="connsiteX2" fmla="*/ 300093 w 3297489"/>
                            <a:gd name="connsiteY2" fmla="*/ 391886 h 794363"/>
                            <a:gd name="connsiteX3" fmla="*/ 416599 w 3297489"/>
                            <a:gd name="connsiteY3" fmla="*/ 504862 h 794363"/>
                            <a:gd name="connsiteX4" fmla="*/ 596655 w 3297489"/>
                            <a:gd name="connsiteY4" fmla="*/ 614308 h 794363"/>
                            <a:gd name="connsiteX5" fmla="*/ 815546 w 3297489"/>
                            <a:gd name="connsiteY5" fmla="*/ 699040 h 794363"/>
                            <a:gd name="connsiteX6" fmla="*/ 1080334 w 3297489"/>
                            <a:gd name="connsiteY6" fmla="*/ 741406 h 794363"/>
                            <a:gd name="connsiteX7" fmla="*/ 1532238 w 3297489"/>
                            <a:gd name="connsiteY7" fmla="*/ 674326 h 794363"/>
                            <a:gd name="connsiteX8" fmla="*/ 2930317 w 3297489"/>
                            <a:gd name="connsiteY8" fmla="*/ 480149 h 794363"/>
                            <a:gd name="connsiteX9" fmla="*/ 3177452 w 3297489"/>
                            <a:gd name="connsiteY9" fmla="*/ 402478 h 794363"/>
                            <a:gd name="connsiteX10" fmla="*/ 3255123 w 3297489"/>
                            <a:gd name="connsiteY10" fmla="*/ 342459 h 794363"/>
                            <a:gd name="connsiteX11" fmla="*/ 3297489 w 3297489"/>
                            <a:gd name="connsiteY11" fmla="*/ 391886 h 794363"/>
                            <a:gd name="connsiteX12" fmla="*/ 3202166 w 3297489"/>
                            <a:gd name="connsiteY12" fmla="*/ 466027 h 794363"/>
                            <a:gd name="connsiteX13" fmla="*/ 3018579 w 3297489"/>
                            <a:gd name="connsiteY13" fmla="*/ 518984 h 794363"/>
                            <a:gd name="connsiteX14" fmla="*/ 2704365 w 3297489"/>
                            <a:gd name="connsiteY14" fmla="*/ 582533 h 794363"/>
                            <a:gd name="connsiteX15" fmla="*/ 2376028 w 3297489"/>
                            <a:gd name="connsiteY15" fmla="*/ 617838 h 794363"/>
                            <a:gd name="connsiteX16" fmla="*/ 1246267 w 3297489"/>
                            <a:gd name="connsiteY16" fmla="*/ 780241 h 794363"/>
                            <a:gd name="connsiteX17" fmla="*/ 1020315 w 3297489"/>
                            <a:gd name="connsiteY17" fmla="*/ 794363 h 794363"/>
                            <a:gd name="connsiteX18" fmla="*/ 819077 w 3297489"/>
                            <a:gd name="connsiteY18" fmla="*/ 769650 h 794363"/>
                            <a:gd name="connsiteX19" fmla="*/ 635491 w 3297489"/>
                            <a:gd name="connsiteY19" fmla="*/ 709631 h 794363"/>
                            <a:gd name="connsiteX20" fmla="*/ 476618 w 3297489"/>
                            <a:gd name="connsiteY20" fmla="*/ 624899 h 794363"/>
                            <a:gd name="connsiteX21" fmla="*/ 331867 w 3297489"/>
                            <a:gd name="connsiteY21" fmla="*/ 490740 h 794363"/>
                            <a:gd name="connsiteX22" fmla="*/ 201239 w 3297489"/>
                            <a:gd name="connsiteY22" fmla="*/ 370703 h 794363"/>
                            <a:gd name="connsiteX23" fmla="*/ 151812 w 3297489"/>
                            <a:gd name="connsiteY23" fmla="*/ 285971 h 794363"/>
                            <a:gd name="connsiteX24" fmla="*/ 45897 w 3297489"/>
                            <a:gd name="connsiteY24" fmla="*/ 112976 h 794363"/>
                            <a:gd name="connsiteX25" fmla="*/ 0 w 3297489"/>
                            <a:gd name="connsiteY25" fmla="*/ 28244 h 794363"/>
                            <a:gd name="connsiteX26" fmla="*/ 52958 w 3297489"/>
                            <a:gd name="connsiteY26" fmla="*/ 0 h 794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297489" h="794363">
                              <a:moveTo>
                                <a:pt x="52958" y="0"/>
                              </a:moveTo>
                              <a:lnTo>
                                <a:pt x="187117" y="236544"/>
                              </a:lnTo>
                              <a:lnTo>
                                <a:pt x="300093" y="391886"/>
                              </a:lnTo>
                              <a:lnTo>
                                <a:pt x="416599" y="504862"/>
                              </a:lnTo>
                              <a:lnTo>
                                <a:pt x="596655" y="614308"/>
                              </a:lnTo>
                              <a:lnTo>
                                <a:pt x="815546" y="699040"/>
                              </a:lnTo>
                              <a:lnTo>
                                <a:pt x="1080334" y="741406"/>
                              </a:lnTo>
                              <a:lnTo>
                                <a:pt x="1532238" y="674326"/>
                              </a:lnTo>
                              <a:lnTo>
                                <a:pt x="2930317" y="480149"/>
                              </a:lnTo>
                              <a:lnTo>
                                <a:pt x="3177452" y="402478"/>
                              </a:lnTo>
                              <a:lnTo>
                                <a:pt x="3255123" y="342459"/>
                              </a:lnTo>
                              <a:lnTo>
                                <a:pt x="3297489" y="391886"/>
                              </a:lnTo>
                              <a:lnTo>
                                <a:pt x="3202166" y="466027"/>
                              </a:lnTo>
                              <a:lnTo>
                                <a:pt x="3018579" y="518984"/>
                              </a:lnTo>
                              <a:lnTo>
                                <a:pt x="2704365" y="582533"/>
                              </a:lnTo>
                              <a:lnTo>
                                <a:pt x="2376028" y="617838"/>
                              </a:lnTo>
                              <a:lnTo>
                                <a:pt x="1246267" y="780241"/>
                              </a:lnTo>
                              <a:lnTo>
                                <a:pt x="1020315" y="794363"/>
                              </a:lnTo>
                              <a:lnTo>
                                <a:pt x="819077" y="769650"/>
                              </a:lnTo>
                              <a:lnTo>
                                <a:pt x="635491" y="709631"/>
                              </a:lnTo>
                              <a:lnTo>
                                <a:pt x="476618" y="624899"/>
                              </a:lnTo>
                              <a:lnTo>
                                <a:pt x="331867" y="490740"/>
                              </a:lnTo>
                              <a:lnTo>
                                <a:pt x="201239" y="370703"/>
                              </a:lnTo>
                              <a:lnTo>
                                <a:pt x="151812" y="285971"/>
                              </a:lnTo>
                              <a:lnTo>
                                <a:pt x="45897" y="112976"/>
                              </a:lnTo>
                              <a:lnTo>
                                <a:pt x="0" y="28244"/>
                              </a:lnTo>
                              <a:lnTo>
                                <a:pt x="52958" y="0"/>
                              </a:lnTo>
                              <a:close/>
                            </a:path>
                          </a:pathLst>
                        </a:custGeom>
                        <a:solidFill>
                          <a:schemeClr val="accent1">
                            <a:alpha val="30000"/>
                          </a:schemeClr>
                        </a:solidFill>
                        <a:ln w="6350">
                          <a:solidFill>
                            <a:srgbClr val="0000FF">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622346457" o:spid="_x0000_s1026" o:spt="100" style="position:absolute;left:0pt;margin-left:38.35pt;margin-top:88.7pt;height:62.55pt;width:259.65pt;z-index:251669504;v-text-anchor:middle;mso-width-relative:page;mso-height-relative:page;" fillcolor="#4472C4 [3204]" filled="t" stroked="t" coordsize="3297489,794363" o:gfxdata="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CRWTkP2QAAAAoBAAAPAAAAAAAA&#10;AAEAIAAAACIAAABkcnMvZG93bnJldi54bWxQSwECFAAUAAAACACHTuJADr5LN74GAABIHAAADgAA&#10;AAAAAAABACAAAAAoAQAAZHJzL2Uyb0RvYy54bWxQSwUGAAAAAAYABgBZAQAAWAoAAAAA&#10;" path="m52958,0l187117,236544,300093,391886,416599,504862,596655,614308,815546,699040,1080334,741406,1532238,674326,2930317,480149,3177452,402478,3255123,342459,3297489,391886,3202166,466027,3018579,518984,2704365,582533,2376028,617838,1246267,780241,1020315,794363,819077,769650,635491,709631,476618,624899,331867,490740,201239,370703,151812,285971,45897,112976,0,28244,52958,0xe">
                <v:path o:connectlocs="52958,0;187117,236544;300093,391886;416599,504862;596655,614308;815546,699040;1080334,741406;1532238,674326;2930317,480149;3177452,402478;3255123,342459;3297489,391886;3202166,466027;3018579,518984;2704365,582533;2376028,617838;1246267,780241;1020315,794363;819077,769650;635491,709631;476618,624899;331867,490740;201239,370703;151812,285971;45897,112976;0,28244;52958,0" o:connectangles="0,0,0,0,0,0,0,0,0,0,0,0,0,0,0,0,0,0,0,0,0,0,0,0,0,0,0"/>
                <v:fill on="t" opacity="19660f" focussize="0,0"/>
                <v:stroke weight="0.5pt" color="#0000FF [3204]" opacity="32768f" miterlimit="8" joinstyle="miter"/>
                <v:imagedata o:title=""/>
                <o:lock v:ext="edit" aspectratio="f"/>
              </v:shape>
            </w:pict>
          </mc:Fallback>
        </mc:AlternateContent>
      </w:r>
    </w:p>
    <w:p>
      <w:pPr>
        <w:pStyle w:val="122"/>
        <w:rPr>
          <w:lang w:val="zh-CN"/>
        </w:rPr>
      </w:pPr>
      <w:r>
        <w:rPr>
          <w:rFonts w:hint="eastAsia"/>
          <w:lang w:val="zh-CN"/>
        </w:rPr>
        <w:t>改渠平面布置图</w:t>
      </w:r>
    </w:p>
    <w:p>
      <w:pPr>
        <w:pStyle w:val="105"/>
        <w:jc w:val="center"/>
        <w:rPr>
          <w:rFonts w:hint="eastAsia" w:eastAsia="宋体"/>
          <w:lang w:val="zh-CN" w:eastAsia="zh-CN"/>
        </w:rPr>
      </w:pPr>
    </w:p>
    <w:p>
      <w:pPr>
        <w:pStyle w:val="105"/>
        <w:jc w:val="center"/>
        <w:rPr>
          <w:rFonts w:hint="eastAsia" w:eastAsia="宋体"/>
          <w:lang w:val="zh-CN" w:eastAsia="zh-CN"/>
        </w:rPr>
      </w:pPr>
    </w:p>
    <w:p>
      <w:pPr>
        <w:pStyle w:val="122"/>
        <w:rPr>
          <w:lang w:val="zh-CN"/>
        </w:rPr>
      </w:pPr>
      <w:r>
        <w:rPr>
          <w:rFonts w:hint="eastAsia"/>
          <w:lang w:val="zh-CN"/>
        </w:rPr>
        <w:t>渠道断面图</w:t>
      </w:r>
    </w:p>
    <w:p>
      <w:pPr>
        <w:ind w:firstLine="480"/>
        <w:rPr>
          <w:lang w:val="zh-CN"/>
        </w:rPr>
      </w:pPr>
      <w:r>
        <w:rPr>
          <w:rFonts w:hint="eastAsia"/>
          <w:lang w:val="zh-CN"/>
        </w:rPr>
        <w:t>②渡槽：</w:t>
      </w:r>
    </w:p>
    <w:p>
      <w:pPr>
        <w:ind w:firstLine="480"/>
        <w:rPr>
          <w:lang w:val="zh-CN"/>
        </w:rPr>
      </w:pPr>
      <w:r>
        <w:rPr>
          <w:lang w:val="zh-CN"/>
        </w:rPr>
        <w:t>本工程渡槽位于东张福渠林泉支渠，支渠现状为土渠，梯形断面，渠道顶宽约1.6-2.5m，渠底高程约34.6-35.3m。渠首处为林泉进水闸，水闸闸门净宽约1.8m。因主项目万福寺旅游公路在该支渠处设计路面高程较低，仅26.4m，道路建成后将中断该支渠，需采用渡槽连接前后渠道。</w:t>
      </w:r>
    </w:p>
    <w:p>
      <w:pPr>
        <w:ind w:firstLine="480"/>
        <w:rPr>
          <w:lang w:val="zh-CN"/>
        </w:rPr>
      </w:pPr>
      <w:r>
        <w:rPr>
          <w:lang w:val="zh-CN"/>
        </w:rPr>
        <w:t>根据现场地形及万福寺道路及边坡设计断面，本渡槽总跨度约35m。因路面宽12m加上两侧排水沟，渡槽中间跨度最小为15m。因此设计渡槽采用3跨布置，中间跨长15m，两侧跨为10m。</w:t>
      </w:r>
      <w:r>
        <w:rPr>
          <w:rFonts w:cs="Times New Roman"/>
          <w:kern w:val="0"/>
          <w:szCs w:val="24"/>
          <w:lang w:val="zh-CN"/>
        </w:rPr>
        <w:t>拟定渡槽槽身为矩形断面，内部尺寸为1.8×1.3m。因现状支渠底高程约35.3m，渡槽下部公路路面高程26.4m，为满足渡槽下部过车净高不小于5.5m的要求，本次设计渡槽槽身荷载拟主要由渡槽两侧侧墙承担。渡槽两侧侧墙厚0.4m，底板厚0.3m，横撑梁0.2m×0.2m，间距 2m。</w:t>
      </w:r>
    </w:p>
    <w:p>
      <w:pPr>
        <w:pStyle w:val="105"/>
        <w:rPr>
          <w:rFonts w:hint="eastAsia" w:eastAsia="宋体"/>
          <w:lang w:val="zh-CN" w:eastAsia="zh-CN"/>
        </w:rPr>
      </w:pPr>
      <w:r>
        <mc:AlternateContent>
          <mc:Choice Requires="wps">
            <w:drawing>
              <wp:anchor distT="0" distB="0" distL="114300" distR="114300" simplePos="0" relativeHeight="251738112" behindDoc="0" locked="0" layoutInCell="1" allowOverlap="1">
                <wp:simplePos x="0" y="0"/>
                <wp:positionH relativeFrom="column">
                  <wp:posOffset>2663190</wp:posOffset>
                </wp:positionH>
                <wp:positionV relativeFrom="paragraph">
                  <wp:posOffset>1270000</wp:posOffset>
                </wp:positionV>
                <wp:extent cx="722630" cy="142875"/>
                <wp:effectExtent l="0" t="0" r="1270" b="9525"/>
                <wp:wrapNone/>
                <wp:docPr id="1622346493" name="对话气泡: 圆角矩形 1622346493"/>
                <wp:cNvGraphicFramePr/>
                <a:graphic xmlns:a="http://schemas.openxmlformats.org/drawingml/2006/main">
                  <a:graphicData uri="http://schemas.microsoft.com/office/word/2010/wordprocessingShape">
                    <wps:wsp>
                      <wps:cNvSpPr/>
                      <wps:spPr>
                        <a:xfrm>
                          <a:off x="0" y="0"/>
                          <a:ext cx="722630" cy="142875"/>
                        </a:xfrm>
                        <a:prstGeom prst="wedgeRoundRectCallout">
                          <a:avLst>
                            <a:gd name="adj1" fmla="val -23262"/>
                            <a:gd name="adj2" fmla="val -36134"/>
                            <a:gd name="adj3" fmla="val 16667"/>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rPr>
                                <w:b/>
                                <w:bCs/>
                                <w:color w:val="FF00FF"/>
                                <w:sz w:val="13"/>
                                <w:szCs w:val="18"/>
                              </w:rPr>
                            </w:pPr>
                            <w:r>
                              <w:rPr>
                                <w:rFonts w:hint="eastAsia"/>
                                <w:b/>
                                <w:bCs/>
                                <w:color w:val="FF00FF"/>
                                <w:sz w:val="13"/>
                                <w:szCs w:val="18"/>
                              </w:rPr>
                              <w:t>本项目公路路面</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622346493" o:spid="_x0000_s1026" o:spt="62" type="#_x0000_t62" style="position:absolute;left:0pt;margin-left:209.7pt;margin-top:100pt;height:11.25pt;width:56.9pt;z-index:251738112;v-text-anchor:middle;mso-width-relative:page;mso-height-relative:page;" filled="f" stroked="f" coordsize="21600,21600" o:gfxdata="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LDHB3toAAAALAQAADwAAAAAA&#10;AAABACAAAAAiAAAAZHJzL2Rvd25yZXYueG1sUEsBAhQAFAAAAAgAh07iQHyvfje8AgAASQUAAA4A&#10;AAAAAAAAAQAgAAAAKQEAAGRycy9lMm9Eb2MueG1sUEsFBgAAAAAGAAYAWQEAAFcGAAAAAA==&#10;" adj="5775,2995,14400">
                <v:fill on="f" focussize="0,0"/>
                <v:stroke on="f" weight="0.5pt" miterlimit="8" joinstyle="miter"/>
                <v:imagedata o:title=""/>
                <o:lock v:ext="edit" aspectratio="f"/>
                <v:textbox inset="0mm,0mm,0mm,0mm">
                  <w:txbxContent>
                    <w:p>
                      <w:pPr>
                        <w:pStyle w:val="105"/>
                        <w:spacing w:before="0" w:after="0"/>
                        <w:rPr>
                          <w:b/>
                          <w:bCs/>
                          <w:color w:val="FF00FF"/>
                          <w:sz w:val="13"/>
                          <w:szCs w:val="18"/>
                        </w:rPr>
                      </w:pPr>
                      <w:r>
                        <w:rPr>
                          <w:rFonts w:hint="eastAsia"/>
                          <w:b/>
                          <w:bCs/>
                          <w:color w:val="FF00FF"/>
                          <w:sz w:val="13"/>
                          <w:szCs w:val="18"/>
                        </w:rPr>
                        <w:t>本项目公路路面</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2560320</wp:posOffset>
                </wp:positionH>
                <wp:positionV relativeFrom="paragraph">
                  <wp:posOffset>615315</wp:posOffset>
                </wp:positionV>
                <wp:extent cx="222250" cy="142875"/>
                <wp:effectExtent l="0" t="0" r="6350" b="9525"/>
                <wp:wrapNone/>
                <wp:docPr id="1622346495" name="对话气泡: 圆角矩形 1622346495"/>
                <wp:cNvGraphicFramePr/>
                <a:graphic xmlns:a="http://schemas.openxmlformats.org/drawingml/2006/main">
                  <a:graphicData uri="http://schemas.microsoft.com/office/word/2010/wordprocessingShape">
                    <wps:wsp>
                      <wps:cNvSpPr/>
                      <wps:spPr>
                        <a:xfrm>
                          <a:off x="0" y="0"/>
                          <a:ext cx="222250" cy="142875"/>
                        </a:xfrm>
                        <a:prstGeom prst="wedgeRoundRectCallout">
                          <a:avLst>
                            <a:gd name="adj1" fmla="val -4861"/>
                            <a:gd name="adj2" fmla="val -29691"/>
                            <a:gd name="adj3" fmla="val 16667"/>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rPr>
                                <w:b/>
                                <w:bCs/>
                                <w:color w:val="FF00FF"/>
                                <w:sz w:val="13"/>
                                <w:szCs w:val="18"/>
                              </w:rPr>
                            </w:pPr>
                            <w:r>
                              <w:rPr>
                                <w:rFonts w:hint="eastAsia"/>
                                <w:b/>
                                <w:bCs/>
                                <w:color w:val="FF00FF"/>
                                <w:sz w:val="13"/>
                                <w:szCs w:val="18"/>
                              </w:rPr>
                              <w:t>渡槽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622346495" o:spid="_x0000_s1026" o:spt="62" type="#_x0000_t62" style="position:absolute;left:0pt;margin-left:201.6pt;margin-top:48.45pt;height:11.25pt;width:17.5pt;z-index:251740160;v-text-anchor:middle;mso-width-relative:page;mso-height-relative:page;" filled="f" stroked="f" coordsize="21600,21600" o:gfxdata="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6ogmd2QAAAAoBAAAPAAAAAAAAAAEA&#10;IAAAACIAAABkcnMvZG93bnJldi54bWxQSwECFAAUAAAACACHTuJA8PGa2rkCAABIBQAADgAAAAAA&#10;AAABACAAAAAoAQAAZHJzL2Uyb0RvYy54bWxQSwUGAAAAAAYABgBZAQAAUwYAAAAA&#10;" adj="9750,4387,14400">
                <v:fill on="f" focussize="0,0"/>
                <v:stroke on="f" weight="0.5pt" miterlimit="8" joinstyle="miter"/>
                <v:imagedata o:title=""/>
                <o:lock v:ext="edit" aspectratio="f"/>
                <v:textbox inset="0mm,0mm,0mm,0mm">
                  <w:txbxContent>
                    <w:p>
                      <w:pPr>
                        <w:pStyle w:val="105"/>
                        <w:spacing w:before="0" w:after="0"/>
                        <w:rPr>
                          <w:b/>
                          <w:bCs/>
                          <w:color w:val="FF00FF"/>
                          <w:sz w:val="13"/>
                          <w:szCs w:val="18"/>
                        </w:rPr>
                      </w:pPr>
                      <w:r>
                        <w:rPr>
                          <w:rFonts w:hint="eastAsia"/>
                          <w:b/>
                          <w:bCs/>
                          <w:color w:val="FF00FF"/>
                          <w:sz w:val="13"/>
                          <w:szCs w:val="18"/>
                        </w:rPr>
                        <w:t>渡槽</w:t>
                      </w: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523240</wp:posOffset>
                </wp:positionH>
                <wp:positionV relativeFrom="paragraph">
                  <wp:posOffset>608965</wp:posOffset>
                </wp:positionV>
                <wp:extent cx="4888230" cy="137795"/>
                <wp:effectExtent l="0" t="0" r="8255" b="0"/>
                <wp:wrapNone/>
                <wp:docPr id="1622346494" name="矩形 1622346494"/>
                <wp:cNvGraphicFramePr/>
                <a:graphic xmlns:a="http://schemas.openxmlformats.org/drawingml/2006/main">
                  <a:graphicData uri="http://schemas.microsoft.com/office/word/2010/wordprocessingShape">
                    <wps:wsp>
                      <wps:cNvSpPr/>
                      <wps:spPr>
                        <a:xfrm>
                          <a:off x="0" y="0"/>
                          <a:ext cx="4888051" cy="138080"/>
                        </a:xfrm>
                        <a:prstGeom prst="rect">
                          <a:avLst/>
                        </a:prstGeom>
                        <a:solidFill>
                          <a:srgbClr val="00B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2pt;margin-top:47.95pt;height:10.85pt;width:384.9pt;z-index:251739136;v-text-anchor:middle;mso-width-relative:page;mso-height-relative:page;" fillcolor="#00B050" filled="t" stroked="f" coordsize="21600,21600" o:gfxdata="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jgsc3YAAAACQEAAA8AAAAAAAAA&#10;AQAgAAAAIgAAAGRycy9kb3ducmV2LnhtbFBLAQIUABQAAAAIAIdO4kDUeJ+sgwIAAP4EAAAOAAAA&#10;AAAAAAEAIAAAACcBAABkcnMvZTJvRG9jLnhtbFBLBQYAAAAABgAGAFkBAAAcBgAAAAA=&#10;">
                <v:fill on="t" opacity="32768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2305685</wp:posOffset>
                </wp:positionH>
                <wp:positionV relativeFrom="paragraph">
                  <wp:posOffset>1395730</wp:posOffset>
                </wp:positionV>
                <wp:extent cx="1340485" cy="45720"/>
                <wp:effectExtent l="0" t="0" r="0" b="0"/>
                <wp:wrapNone/>
                <wp:docPr id="1622346492" name="矩形 1622346492"/>
                <wp:cNvGraphicFramePr/>
                <a:graphic xmlns:a="http://schemas.openxmlformats.org/drawingml/2006/main">
                  <a:graphicData uri="http://schemas.microsoft.com/office/word/2010/wordprocessingShape">
                    <wps:wsp>
                      <wps:cNvSpPr/>
                      <wps:spPr>
                        <a:xfrm>
                          <a:off x="0" y="0"/>
                          <a:ext cx="1340505" cy="45719"/>
                        </a:xfrm>
                        <a:prstGeom prst="rect">
                          <a:avLst/>
                        </a:pr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55pt;margin-top:109.9pt;height:3.6pt;width:105.55pt;z-index:251737088;v-text-anchor:middle;mso-width-relative:page;mso-height-relative:page;" fillcolor="#FF0000" filled="t" stroked="f" coordsize="21600,21600" o:gfxdata="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TVk9gAAAALAQAADwAAAAAAAAAB&#10;ACAAAAAiAAAAZHJzL2Rvd25yZXYueG1sUEsBAhQAFAAAAAgAh07iQJFLXQ2CAgAA/QQAAA4AAAAA&#10;AAAAAQAgAAAAJwEAAGRycy9lMm9Eb2MueG1sUEsFBgAAAAAGAAYAWQEAABsGAAAAAA==&#10;">
                <v:fill on="t" opacity="32768f" focussize="0,0"/>
                <v:stroke on="f" weight="1pt" miterlimit="8" joinstyle="miter"/>
                <v:imagedata o:title=""/>
                <o:lock v:ext="edit" aspectratio="f"/>
              </v:rect>
            </w:pict>
          </mc:Fallback>
        </mc:AlternateContent>
      </w:r>
    </w:p>
    <w:p>
      <w:pPr>
        <w:pStyle w:val="122"/>
      </w:pPr>
      <w:r>
        <w:rPr>
          <w:rFonts w:hint="eastAsia"/>
        </w:rPr>
        <w:t>渡槽平面纵断面图</w:t>
      </w:r>
    </w:p>
    <w:p>
      <w:pPr>
        <w:pStyle w:val="120"/>
        <w:rPr>
          <w:color w:val="auto"/>
        </w:rPr>
      </w:pPr>
      <w:r>
        <w:rPr>
          <w:color w:val="auto"/>
        </w:rPr>
        <w:t>交通工程</w:t>
      </w:r>
    </w:p>
    <w:p>
      <w:pPr>
        <w:ind w:firstLine="480"/>
        <w:rPr>
          <w:spacing w:val="1"/>
        </w:rPr>
      </w:pPr>
      <w:r>
        <w:rPr>
          <w:rFonts w:hint="eastAsia"/>
          <w:lang w:val="zh-CN"/>
        </w:rPr>
        <w:t>（1）</w:t>
      </w:r>
      <w:r>
        <w:rPr>
          <w:lang w:val="zh-CN"/>
        </w:rPr>
        <w:t>交通安全设施</w:t>
      </w:r>
      <w:r>
        <w:rPr>
          <w:rFonts w:hint="eastAsia"/>
          <w:lang w:val="zh-CN"/>
        </w:rPr>
        <w:t>：</w:t>
      </w:r>
      <w:r>
        <w:rPr>
          <w:lang w:val="zh-CN"/>
        </w:rPr>
        <w:t>本项目交通安全设施设计内容包括：交通标志、标线、护栏、隔离栅、视线诱导设施、里程牌及百米牌等。</w:t>
      </w:r>
    </w:p>
    <w:p>
      <w:pPr>
        <w:ind w:firstLine="482"/>
        <w:rPr>
          <w:lang w:val="zh-CN"/>
        </w:rPr>
      </w:pPr>
      <w:r>
        <w:rPr>
          <w:rFonts w:hint="eastAsia"/>
          <w:spacing w:val="1"/>
        </w:rPr>
        <w:t>（2）智慧交通：</w:t>
      </w:r>
      <w:r>
        <w:rPr>
          <w:lang w:val="zh-CN"/>
        </w:rPr>
        <w:t>本项目黄檗山万福寺旅游公路沿线小半径路段车辆行驶过程中容易因视距受限造成交通事故。针对小半径弯道路段的视距受限等需求，拟在黄檗山万福寺旅游公路小半径弯道路段设置弯道会车监测预警系统，即在小半径路段的两侧分别</w:t>
      </w:r>
      <w:r>
        <w:rPr>
          <w:rFonts w:hint="eastAsia"/>
          <w:lang w:val="zh-CN"/>
        </w:rPr>
        <w:t>加装</w:t>
      </w:r>
      <w:r>
        <w:rPr>
          <w:lang w:val="zh-CN"/>
        </w:rPr>
        <w:t>会车警示单元检测对向车辆并通过无线通知小半径路段后方的警示单元收到对向来车信息，保障弯道路段行车安全。</w:t>
      </w:r>
    </w:p>
    <w:p>
      <w:pPr>
        <w:ind w:firstLine="480"/>
        <w:rPr>
          <w:lang w:val="zh-CN"/>
        </w:rPr>
      </w:pPr>
      <w:r>
        <w:rPr>
          <w:rFonts w:hint="eastAsia"/>
          <w:lang w:val="zh-CN"/>
        </w:rPr>
        <w:t>（3）简易公交站台：6处，K</w:t>
      </w:r>
      <w:r>
        <w:rPr>
          <w:lang w:val="zh-CN"/>
        </w:rPr>
        <w:t>0+076</w:t>
      </w:r>
      <w:r>
        <w:rPr>
          <w:rFonts w:hint="eastAsia"/>
          <w:lang w:val="zh-CN"/>
        </w:rPr>
        <w:t>路左，K</w:t>
      </w:r>
      <w:r>
        <w:rPr>
          <w:lang w:val="zh-CN"/>
        </w:rPr>
        <w:t>0+190</w:t>
      </w:r>
      <w:r>
        <w:rPr>
          <w:rFonts w:hint="eastAsia"/>
          <w:lang w:val="zh-CN"/>
        </w:rPr>
        <w:t>路右；K</w:t>
      </w:r>
      <w:r>
        <w:rPr>
          <w:lang w:val="zh-CN"/>
        </w:rPr>
        <w:t>1+496</w:t>
      </w:r>
      <w:r>
        <w:rPr>
          <w:rFonts w:hint="eastAsia"/>
          <w:lang w:val="zh-CN"/>
        </w:rPr>
        <w:t>路右，K</w:t>
      </w:r>
      <w:r>
        <w:rPr>
          <w:lang w:val="zh-CN"/>
        </w:rPr>
        <w:t>1+629</w:t>
      </w:r>
      <w:r>
        <w:rPr>
          <w:rFonts w:hint="eastAsia"/>
          <w:lang w:val="zh-CN"/>
        </w:rPr>
        <w:t>路左，K</w:t>
      </w:r>
      <w:r>
        <w:rPr>
          <w:lang w:val="zh-CN"/>
        </w:rPr>
        <w:t>1+495</w:t>
      </w:r>
      <w:r>
        <w:rPr>
          <w:rFonts w:hint="eastAsia"/>
          <w:lang w:val="zh-CN"/>
        </w:rPr>
        <w:t>路右；K</w:t>
      </w:r>
      <w:r>
        <w:rPr>
          <w:lang w:val="zh-CN"/>
        </w:rPr>
        <w:t>3+200</w:t>
      </w:r>
      <w:r>
        <w:rPr>
          <w:rFonts w:hint="eastAsia"/>
          <w:lang w:val="zh-CN"/>
        </w:rPr>
        <w:t>路左，K</w:t>
      </w:r>
      <w:r>
        <w:rPr>
          <w:lang w:val="zh-CN"/>
        </w:rPr>
        <w:t>3+320</w:t>
      </w:r>
      <w:r>
        <w:rPr>
          <w:rFonts w:hint="eastAsia"/>
          <w:lang w:val="zh-CN"/>
        </w:rPr>
        <w:t>路右。</w:t>
      </w:r>
    </w:p>
    <w:p>
      <w:pPr>
        <w:pStyle w:val="120"/>
        <w:rPr>
          <w:color w:val="auto"/>
        </w:rPr>
      </w:pPr>
      <w:r>
        <w:rPr>
          <w:rFonts w:hint="eastAsia"/>
          <w:color w:val="auto"/>
        </w:rPr>
        <w:t>绿化工程</w:t>
      </w:r>
    </w:p>
    <w:p>
      <w:pPr>
        <w:ind w:firstLine="480"/>
      </w:pPr>
      <w:r>
        <w:rPr>
          <w:rFonts w:hint="eastAsia"/>
        </w:rPr>
        <w:t>沿线绿化布置形式力求简洁明快、经济实用，植物配置变化而统一，以线性种植为主要布置形式，采用的植物主要考虑耐贫瘠、耐修剪、易于养护的乡土植物品种。路线起点处设置景观节点，加强本项目的昭示性，沿线停车区设置景观节点，宣传文化特色的同时，突出旅游公路的道路氛围感。</w:t>
      </w:r>
    </w:p>
    <w:p>
      <w:pPr>
        <w:ind w:firstLine="480"/>
        <w:rPr>
          <w:rFonts w:cs="Times New Roman"/>
          <w:kern w:val="0"/>
          <w:szCs w:val="24"/>
          <w:lang w:val="zh-CN"/>
        </w:rPr>
      </w:pPr>
      <w:r>
        <w:rPr>
          <w:rFonts w:hint="eastAsia" w:cs="Times New Roman"/>
          <w:kern w:val="0"/>
          <w:szCs w:val="24"/>
          <w:lang w:val="zh-CN"/>
        </w:rPr>
        <w:t>本项目绿化</w:t>
      </w:r>
      <w:r>
        <w:rPr>
          <w:rFonts w:cs="Times New Roman"/>
          <w:kern w:val="0"/>
          <w:szCs w:val="24"/>
          <w:lang w:val="zh-CN"/>
        </w:rPr>
        <w:t>内容</w:t>
      </w:r>
      <w:r>
        <w:rPr>
          <w:rFonts w:hint="eastAsia" w:cs="Times New Roman"/>
          <w:kern w:val="0"/>
          <w:szCs w:val="24"/>
          <w:lang w:val="zh-CN"/>
        </w:rPr>
        <w:t>包含</w:t>
      </w:r>
      <w:r>
        <w:rPr>
          <w:rFonts w:cs="Times New Roman"/>
          <w:kern w:val="0"/>
          <w:szCs w:val="24"/>
          <w:lang w:val="zh-CN"/>
        </w:rPr>
        <w:t>路堤边坡、路堑碎落台绿化设计。路堤边坡选用品种：夹竹桃</w:t>
      </w:r>
      <w:r>
        <w:rPr>
          <w:rFonts w:hint="eastAsia" w:cs="Times New Roman"/>
          <w:kern w:val="0"/>
          <w:szCs w:val="24"/>
          <w:lang w:val="zh-CN"/>
        </w:rPr>
        <w:t>、菩提</w:t>
      </w:r>
      <w:r>
        <w:rPr>
          <w:rFonts w:cs="Times New Roman"/>
          <w:kern w:val="0"/>
          <w:szCs w:val="24"/>
          <w:lang w:val="zh-CN"/>
        </w:rPr>
        <w:t>；路堑碎落台选用品种：梅花、四季桂</w:t>
      </w:r>
      <w:r>
        <w:rPr>
          <w:rFonts w:hint="eastAsia" w:cs="Times New Roman"/>
          <w:kern w:val="0"/>
          <w:szCs w:val="24"/>
          <w:lang w:val="zh-CN"/>
        </w:rPr>
        <w:t>、爬山虎</w:t>
      </w:r>
      <w:r>
        <w:rPr>
          <w:rFonts w:cs="Times New Roman"/>
          <w:kern w:val="0"/>
          <w:szCs w:val="24"/>
          <w:lang w:val="zh-CN"/>
        </w:rPr>
        <w:t>。</w:t>
      </w:r>
    </w:p>
    <w:p>
      <w:pPr>
        <w:pStyle w:val="120"/>
        <w:rPr>
          <w:color w:val="auto"/>
          <w:lang w:val="zh-CN"/>
        </w:rPr>
      </w:pPr>
      <w:bookmarkStart w:id="270" w:name="OLE_LINK136"/>
      <w:r>
        <w:rPr>
          <w:rFonts w:hint="eastAsia"/>
          <w:color w:val="auto"/>
          <w:lang w:val="zh-CN"/>
        </w:rPr>
        <w:t>上跨沈海高速</w:t>
      </w:r>
      <w:bookmarkEnd w:id="270"/>
      <w:r>
        <w:rPr>
          <w:rFonts w:hint="eastAsia"/>
          <w:color w:val="auto"/>
          <w:lang w:val="zh-CN"/>
        </w:rPr>
        <w:t>、下穿高铁衔接关系</w:t>
      </w:r>
    </w:p>
    <w:p>
      <w:pPr>
        <w:ind w:firstLine="480"/>
        <w:rPr>
          <w:lang w:val="zh-CN"/>
        </w:rPr>
      </w:pPr>
      <w:r>
        <w:rPr>
          <w:rFonts w:hint="eastAsia"/>
          <w:lang w:val="zh-CN"/>
        </w:rPr>
        <w:t>（</w:t>
      </w:r>
      <w:r>
        <w:rPr>
          <w:lang w:val="zh-CN"/>
        </w:rPr>
        <w:t>1</w:t>
      </w:r>
      <w:r>
        <w:rPr>
          <w:rFonts w:hint="eastAsia"/>
          <w:lang w:val="zh-CN"/>
        </w:rPr>
        <w:t>）下穿高铁</w:t>
      </w:r>
    </w:p>
    <w:p>
      <w:pPr>
        <w:ind w:firstLine="480"/>
        <w:rPr>
          <w:rFonts w:cs="Times New Roman"/>
          <w:lang w:val="zh-CN"/>
        </w:rPr>
      </w:pPr>
      <w:r>
        <w:t>本项目</w:t>
      </w:r>
      <w:r>
        <w:rPr>
          <w:rFonts w:hint="eastAsia"/>
        </w:rPr>
        <w:t>在</w:t>
      </w:r>
      <w:r>
        <w:t>桩号K1+324.8-K1+389.8</w:t>
      </w:r>
      <w:r>
        <w:rPr>
          <w:rFonts w:cs="Times New Roman"/>
          <w:lang w:val="zh-CN"/>
        </w:rPr>
        <w:t>处下穿福厦高铁，交叉角度68°57′46″，</w:t>
      </w:r>
      <w:r>
        <w:rPr>
          <w:rFonts w:hint="eastAsia" w:cs="Times New Roman"/>
          <w:lang w:val="zh-CN"/>
        </w:rPr>
        <w:t>其中该段工程2022年单独立项设计，该段由铁四院设计， 2022年取得可行性研究报告暨初步设计批复：《关于G324国道至黄檗文化旅游园区旅游公路</w:t>
      </w:r>
      <w:bookmarkStart w:id="271" w:name="OLE_LINK140"/>
      <w:r>
        <w:rPr>
          <w:rFonts w:hint="eastAsia" w:cs="Times New Roman"/>
          <w:lang w:val="zh-CN"/>
        </w:rPr>
        <w:t>下穿福厦高铁段项目</w:t>
      </w:r>
      <w:bookmarkEnd w:id="271"/>
      <w:r>
        <w:rPr>
          <w:rFonts w:hint="eastAsia" w:cs="Times New Roman"/>
          <w:lang w:val="zh-CN"/>
        </w:rPr>
        <w:t>可行性研究报告暨初步设计的批复》（融发改审批〔2022〕202号），项目编码：2203-350181-04-01-304528，2022年委托我公司编制该项目环评，2023年取得报告表批复，批文号：榕融环评〔2023〕102号。</w:t>
      </w:r>
    </w:p>
    <w:p>
      <w:pPr>
        <w:ind w:firstLine="480"/>
        <w:rPr>
          <w:rFonts w:cs="Times New Roman"/>
          <w:kern w:val="0"/>
          <w:szCs w:val="24"/>
          <w:lang w:val="zh-CN"/>
        </w:rPr>
      </w:pPr>
      <w:r>
        <w:rPr>
          <w:rFonts w:hint="eastAsia" w:cs="Times New Roman"/>
          <w:kern w:val="0"/>
          <w:szCs w:val="24"/>
          <w:lang w:val="zh-CN"/>
        </w:rPr>
        <w:t>（</w:t>
      </w:r>
      <w:r>
        <w:rPr>
          <w:rFonts w:cs="Times New Roman"/>
          <w:kern w:val="0"/>
          <w:szCs w:val="24"/>
          <w:lang w:val="zh-CN"/>
        </w:rPr>
        <w:t>2</w:t>
      </w:r>
      <w:r>
        <w:rPr>
          <w:rFonts w:hint="eastAsia" w:cs="Times New Roman"/>
          <w:kern w:val="0"/>
          <w:szCs w:val="24"/>
          <w:lang w:val="zh-CN"/>
        </w:rPr>
        <w:t>）</w:t>
      </w:r>
      <w:r>
        <w:rPr>
          <w:rFonts w:hint="eastAsia"/>
          <w:lang w:val="zh-CN"/>
        </w:rPr>
        <w:t>上跨高速：</w:t>
      </w:r>
    </w:p>
    <w:p>
      <w:pPr>
        <w:ind w:firstLine="480"/>
        <w:rPr>
          <w:rFonts w:cs="Times New Roman"/>
          <w:kern w:val="0"/>
          <w:szCs w:val="24"/>
          <w:lang w:val="zh-CN"/>
        </w:rPr>
      </w:pPr>
      <w:r>
        <w:t>本项目</w:t>
      </w:r>
      <w:r>
        <w:rPr>
          <w:rFonts w:hint="eastAsia"/>
        </w:rPr>
        <w:t>在</w:t>
      </w:r>
      <w:r>
        <w:rPr>
          <w:lang w:val="zh-CN"/>
        </w:rPr>
        <w:t>K2+220.5处</w:t>
      </w:r>
      <w:r>
        <w:rPr>
          <w:rFonts w:hint="eastAsia"/>
          <w:lang w:val="zh-CN"/>
        </w:rPr>
        <w:t>上跨沈海高速</w:t>
      </w:r>
      <w:r>
        <w:rPr>
          <w:lang w:val="zh-CN"/>
        </w:rPr>
        <w:t>，交叉角度88° 24' 2″</w:t>
      </w:r>
      <w:r>
        <w:rPr>
          <w:rFonts w:hint="eastAsia"/>
          <w:lang w:val="zh-CN"/>
        </w:rPr>
        <w:t>。</w:t>
      </w:r>
      <w:r>
        <w:rPr>
          <w:lang w:val="zh-CN"/>
        </w:rPr>
        <w:t>2024年9月24日，</w:t>
      </w:r>
      <w:r>
        <w:rPr>
          <w:rFonts w:hint="eastAsia"/>
          <w:lang w:val="zh-CN"/>
        </w:rPr>
        <w:t>福建省高速公路集团有限公司</w:t>
      </w:r>
      <w:r>
        <w:rPr>
          <w:rFonts w:hint="eastAsia"/>
        </w:rPr>
        <w:t>组织</w:t>
      </w:r>
      <w:r>
        <w:t>召开黄檗山万福寺旅游公路涉及沈海高速公路设计方案审查会议。经专家组认真审阅，设计文件符合相关标准、规范要求，方案可行。</w:t>
      </w:r>
      <w:r>
        <w:rPr>
          <w:rFonts w:hint="eastAsia"/>
        </w:rPr>
        <w:t>建设方案已获福建省高速公路集团有限公司</w:t>
      </w:r>
      <w:r>
        <w:t>的</w:t>
      </w:r>
      <w:r>
        <w:rPr>
          <w:rFonts w:hint="eastAsia"/>
        </w:rPr>
        <w:t>同意</w:t>
      </w:r>
      <w:r>
        <w:t>意见</w:t>
      </w:r>
      <w:r>
        <w:rPr>
          <w:rFonts w:hint="eastAsia"/>
        </w:rPr>
        <w:t>（见附件13）</w:t>
      </w:r>
      <w:r>
        <w:t>。</w:t>
      </w:r>
    </w:p>
    <w:p>
      <w:pPr>
        <w:pStyle w:val="116"/>
      </w:pPr>
      <w:bookmarkStart w:id="272" w:name="_Toc204676234"/>
      <w:r>
        <w:rPr>
          <w:rFonts w:hint="eastAsia"/>
        </w:rPr>
        <w:t>下穿福厦高铁段落建设情况回顾调查</w:t>
      </w:r>
      <w:bookmarkEnd w:id="272"/>
    </w:p>
    <w:p>
      <w:pPr>
        <w:ind w:firstLine="480"/>
        <w:rPr>
          <w:rFonts w:cs="Times New Roman"/>
          <w:kern w:val="0"/>
          <w:szCs w:val="24"/>
          <w:lang w:val="zh-CN"/>
        </w:rPr>
      </w:pPr>
      <w:r>
        <w:rPr>
          <w:rFonts w:hint="eastAsia"/>
        </w:rPr>
        <w:t>根据《</w:t>
      </w:r>
      <w:r>
        <w:rPr>
          <w:lang w:val="zh-CN"/>
        </w:rPr>
        <w:t>福清市十八届政府第6次常务会议纪要</w:t>
      </w:r>
      <w:r>
        <w:rPr>
          <w:rFonts w:hint="eastAsia"/>
        </w:rPr>
        <w:t>》（</w:t>
      </w:r>
      <w:r>
        <w:rPr>
          <w:lang w:val="zh-CN"/>
        </w:rPr>
        <w:t>〔2022〕11号</w:t>
      </w:r>
      <w:r>
        <w:rPr>
          <w:rFonts w:hint="eastAsia"/>
        </w:rPr>
        <w:t>）四：</w:t>
      </w:r>
      <w:r>
        <w:rPr>
          <w:lang w:val="zh-CN"/>
        </w:rPr>
        <w:t>为进一步扩大黄檗文化影响力，完善黄檗文化旅游园区交通配套设施，会议原则同意渔溪镇提出并经陈克才副市长专题会议研究同意的意见，具体如下：1.鉴于G324 国道至黄檗文化旅游园区旅游公路下穿福</w:t>
      </w:r>
      <w:r>
        <w:rPr>
          <w:rFonts w:cs="Times New Roman"/>
          <w:kern w:val="0"/>
          <w:szCs w:val="24"/>
          <w:lang w:val="zh-CN"/>
        </w:rPr>
        <w:t>厦高铁段项目未涉及基本农田和生态林等敏感因素，为避免后期建设与福厦高铁运营干扰，降低工程费用，同意市交通局与渔溪镇提出的建设方案、即先行启动G324 国道至黄檗文化旅游园区旅游公路下穿福厦高铁段项目建设。2.由市交投集团作为G324国道全黄檗文化旅游园区旅游公路下穿福厦高铁段项目业主，尽快启动该项目建设相关工作。由市自然资源和规划局配合市交投集团办理项目涉及用林、用地等前期报批手续。该项目征地拆迁经费由渔溪镇负责，其余相关建设资金由市财政统筹安排。3.由市交通局负责，将G324国道至黄檗文化旅游园区旅游公路作为旅游专用路纳入全市交通路网，积极争取省</w:t>
      </w:r>
      <w:r>
        <w:rPr>
          <w:rFonts w:hint="eastAsia" w:cs="Times New Roman"/>
          <w:kern w:val="0"/>
          <w:szCs w:val="24"/>
          <w:lang w:val="zh-CN"/>
        </w:rPr>
        <w:t>交通运输厅</w:t>
      </w:r>
      <w:r>
        <w:rPr>
          <w:rFonts w:cs="Times New Roman"/>
          <w:kern w:val="0"/>
          <w:szCs w:val="24"/>
          <w:lang w:val="zh-CN"/>
        </w:rPr>
        <w:t>等上级专项补助。待条件成熟时，由市交投集团作为建设业主单位，</w:t>
      </w:r>
      <w:r>
        <w:rPr>
          <w:rFonts w:cs="Times New Roman"/>
          <w:b/>
          <w:bCs/>
          <w:kern w:val="0"/>
          <w:szCs w:val="24"/>
          <w:lang w:val="zh-CN"/>
        </w:rPr>
        <w:t>适时启动整体道路建设</w:t>
      </w:r>
      <w:r>
        <w:rPr>
          <w:rFonts w:cs="Times New Roman"/>
          <w:kern w:val="0"/>
          <w:szCs w:val="24"/>
          <w:lang w:val="zh-CN"/>
        </w:rPr>
        <w:t>。</w:t>
      </w:r>
    </w:p>
    <w:p>
      <w:pPr>
        <w:ind w:firstLine="480"/>
      </w:pPr>
      <w:r>
        <w:rPr>
          <w:rFonts w:hint="eastAsia"/>
          <w:lang w:val="zh-CN"/>
        </w:rPr>
        <w:t>据以上背景，</w:t>
      </w:r>
      <w:r>
        <w:rPr>
          <w:rFonts w:hint="eastAsia"/>
        </w:rPr>
        <w:t>G324国道至黄檗文化旅游园区旅游公路下穿福厦高铁段项目于2</w:t>
      </w:r>
      <w:r>
        <w:t>022</w:t>
      </w:r>
      <w:r>
        <w:rPr>
          <w:rFonts w:hint="eastAsia"/>
        </w:rPr>
        <w:t>年编制可研并单独立项，2</w:t>
      </w:r>
      <w:r>
        <w:t>022</w:t>
      </w:r>
      <w:r>
        <w:rPr>
          <w:rFonts w:hint="eastAsia"/>
        </w:rPr>
        <w:t>年4月1</w:t>
      </w:r>
      <w:r>
        <w:t>4</w:t>
      </w:r>
      <w:r>
        <w:rPr>
          <w:rFonts w:hint="eastAsia"/>
        </w:rPr>
        <w:t>日福清市发展和改革局出具《</w:t>
      </w:r>
      <w:r>
        <w:rPr>
          <w:rFonts w:cs="Times New Roman"/>
          <w:kern w:val="0"/>
          <w:szCs w:val="24"/>
          <w:lang w:val="zh-CN"/>
        </w:rPr>
        <w:t>关于 G324 国道至黄檗文化旅游园区旅游公路下穿福厦高铁段项目可行性研究报告暨初步设计的批复</w:t>
      </w:r>
      <w:r>
        <w:rPr>
          <w:rFonts w:hint="eastAsia"/>
        </w:rPr>
        <w:t>》（</w:t>
      </w:r>
      <w:r>
        <w:rPr>
          <w:rFonts w:cs="Times New Roman"/>
          <w:kern w:val="0"/>
          <w:szCs w:val="24"/>
          <w:lang w:val="zh-CN"/>
        </w:rPr>
        <w:t>融发改审批</w:t>
      </w:r>
      <w:r>
        <w:rPr>
          <w:rFonts w:hint="eastAsia" w:cs="Times New Roman"/>
          <w:kern w:val="0"/>
          <w:szCs w:val="24"/>
          <w:lang w:val="zh-CN"/>
        </w:rPr>
        <w:t>〔2022〕202号</w:t>
      </w:r>
      <w:r>
        <w:rPr>
          <w:rFonts w:hint="eastAsia"/>
        </w:rPr>
        <w:t>），</w:t>
      </w:r>
      <w:r>
        <w:t>项目编码：2203-350181-04-01-304528，</w:t>
      </w:r>
      <w:r>
        <w:rPr>
          <w:rFonts w:hint="eastAsia"/>
        </w:rPr>
        <w:t>该项目建设内容和建设规模：项目起点位于福厦高铁泾江大桥东侧340 m，终点至福厦高铁泾江大桥西侧80 m，全长420m（其中桩板桥桥长65米），路基宽度8.5m（其中下穿铁路段路基宽度17.5米），路面宽度16m。公路等级为三级公路，双向两车道，设计行车速度40km/h，沥青混凝土路面。项目于202</w:t>
      </w:r>
      <w:r>
        <w:t>2</w:t>
      </w:r>
      <w:r>
        <w:rPr>
          <w:rFonts w:hint="eastAsia"/>
        </w:rPr>
        <w:t>年委托我公司编制《G324国道至黄檗文化旅游园区旅游公路下穿福厦高铁段项目环境影响报告表》，并于2</w:t>
      </w:r>
      <w:r>
        <w:t>023</w:t>
      </w:r>
      <w:r>
        <w:rPr>
          <w:rFonts w:hint="eastAsia"/>
        </w:rPr>
        <w:t>年1</w:t>
      </w:r>
      <w:r>
        <w:t>1</w:t>
      </w:r>
      <w:r>
        <w:rPr>
          <w:rFonts w:hint="eastAsia"/>
        </w:rPr>
        <w:t>月通过福州市福清生态环境局审批，批文号：</w:t>
      </w:r>
      <w:r>
        <w:rPr>
          <w:rFonts w:cs="Times New Roman"/>
          <w:kern w:val="0"/>
          <w:szCs w:val="24"/>
          <w:lang w:val="zh-CN"/>
        </w:rPr>
        <w:t>榕融环评〔2023〕102 号</w:t>
      </w:r>
      <w:r>
        <w:rPr>
          <w:rFonts w:hint="eastAsia" w:cs="Times New Roman"/>
          <w:kern w:val="0"/>
          <w:szCs w:val="24"/>
          <w:lang w:val="zh-CN"/>
        </w:rPr>
        <w:t>。</w:t>
      </w:r>
    </w:p>
    <w:p>
      <w:pPr>
        <w:ind w:firstLine="480"/>
        <w:rPr>
          <w:rFonts w:cs="Times New Roman"/>
          <w:kern w:val="0"/>
          <w:szCs w:val="24"/>
          <w:lang w:val="zh-CN"/>
        </w:rPr>
      </w:pPr>
      <w:r>
        <w:rPr>
          <w:rFonts w:hint="eastAsia"/>
        </w:rPr>
        <w:t>根据现场调查及回顾调查，该工程于2</w:t>
      </w:r>
      <w:r>
        <w:t>023</w:t>
      </w:r>
      <w:r>
        <w:rPr>
          <w:rFonts w:hint="eastAsia"/>
        </w:rPr>
        <w:t>年6月1</w:t>
      </w:r>
      <w:r>
        <w:t>6</w:t>
      </w:r>
      <w:r>
        <w:rPr>
          <w:rFonts w:hint="eastAsia"/>
        </w:rPr>
        <w:t>日完工，总投资1</w:t>
      </w:r>
      <w:r>
        <w:t>971.08</w:t>
      </w:r>
      <w:r>
        <w:rPr>
          <w:rFonts w:hint="eastAsia"/>
        </w:rPr>
        <w:t>万元。实际完成情况：</w:t>
      </w:r>
      <w:r>
        <w:t>K1+324.8~K1+389.8段（65m</w:t>
      </w:r>
      <w:r>
        <w:rPr>
          <w:rFonts w:hint="eastAsia"/>
        </w:rPr>
        <w:t>的桩板桥</w:t>
      </w:r>
      <w:r>
        <w:t>）已完成施工</w:t>
      </w:r>
      <w:r>
        <w:rPr>
          <w:rFonts w:hint="eastAsia"/>
        </w:rPr>
        <w:t>，</w:t>
      </w:r>
      <w:r>
        <w:t>K1+030~K1+324.8段</w:t>
      </w:r>
      <w:r>
        <w:rPr>
          <w:rFonts w:hint="eastAsia"/>
        </w:rPr>
        <w:t>已完成路基及边坡</w:t>
      </w:r>
      <w:r>
        <w:t>防护工程</w:t>
      </w:r>
      <w:r>
        <w:rPr>
          <w:rFonts w:hint="eastAsia"/>
        </w:rPr>
        <w:t>，路面未完成。已建</w:t>
      </w:r>
      <w:r>
        <w:rPr>
          <w:rFonts w:cs="Times New Roman"/>
          <w:kern w:val="0"/>
          <w:szCs w:val="24"/>
          <w:lang w:val="zh-CN"/>
        </w:rPr>
        <w:t>下穿铁路段的路基宽度为17.5m，采用双向</w:t>
      </w:r>
      <w:r>
        <w:rPr>
          <w:rFonts w:hint="eastAsia" w:cs="Times New Roman"/>
          <w:kern w:val="0"/>
          <w:szCs w:val="24"/>
          <w:lang w:val="zh-CN"/>
        </w:rPr>
        <w:t>四车</w:t>
      </w:r>
      <w:r>
        <w:rPr>
          <w:rFonts w:cs="Times New Roman"/>
          <w:kern w:val="0"/>
          <w:szCs w:val="24"/>
          <w:lang w:val="zh-CN"/>
        </w:rPr>
        <w:t>道布置</w:t>
      </w:r>
      <w:r>
        <w:rPr>
          <w:rFonts w:hint="eastAsia" w:cs="Times New Roman"/>
          <w:kern w:val="0"/>
          <w:szCs w:val="24"/>
          <w:lang w:val="zh-CN"/>
        </w:rPr>
        <w:t>（含远期预留两车道）</w:t>
      </w:r>
      <w:r>
        <w:rPr>
          <w:rFonts w:cs="Times New Roman"/>
          <w:kern w:val="0"/>
          <w:szCs w:val="24"/>
          <w:lang w:val="zh-CN"/>
        </w:rPr>
        <w:t>，与福厦高铁交叉位置的中心里程为K1+483.61（铁路交叉在建里程为DK48+862.31），采用桩板结构从7#、8#桥墩之间下穿铁路，交叉角度为69。铁路梁底标高为45.285m，路面中线设计标高为15.776m，净高约29.5m。路基结构最外侧边缘距离铁路桥墩的最小距离为3.2m。基底设置钻孔灌注桩，间距横向6.0m，纵向5.0m，桩径1.0m，桩长13m，设计单桩承载力不小于1912KN；桩顶设置C35钢筋混凝土板梁，厚0.8m，基底浇筑0.1m厚C15垫层。车行道两侧设置HA防撞护栏。</w:t>
      </w:r>
    </w:p>
    <w:p>
      <w:pPr>
        <w:ind w:firstLine="480"/>
      </w:pPr>
      <w:r>
        <w:rPr>
          <w:rFonts w:hint="eastAsia" w:cs="Times New Roman"/>
          <w:kern w:val="0"/>
          <w:szCs w:val="24"/>
          <w:lang w:val="zh-CN"/>
        </w:rPr>
        <w:t>由于</w:t>
      </w:r>
      <w:r>
        <w:rPr>
          <w:rFonts w:hint="eastAsia"/>
        </w:rPr>
        <w:t>下穿福厦高铁段项目是本项目提前实施的一段，现状前后均为断头路（未通车），故该工程未开展竣工环保验收调查。</w:t>
      </w:r>
    </w:p>
    <w:p>
      <w:pPr>
        <w:ind w:firstLine="480"/>
        <w:rPr>
          <w:rFonts w:hint="eastAsia" w:eastAsia="宋体"/>
          <w:lang w:eastAsia="zh-CN"/>
        </w:rPr>
      </w:pPr>
    </w:p>
    <w:p>
      <w:pPr>
        <w:pStyle w:val="122"/>
      </w:pPr>
      <w:r>
        <w:rPr>
          <w:rFonts w:hint="eastAsia"/>
        </w:rPr>
        <w:t>横断面图</w:t>
      </w:r>
    </w:p>
    <w:p>
      <w:pPr>
        <w:pStyle w:val="105"/>
        <w:rPr>
          <w:rFonts w:hint="eastAsia" w:eastAsia="宋体"/>
          <w:lang w:eastAsia="zh-CN"/>
        </w:rPr>
      </w:pPr>
    </w:p>
    <w:p>
      <w:pPr>
        <w:pStyle w:val="122"/>
      </w:pPr>
      <w:r>
        <w:rPr>
          <w:rFonts w:hint="eastAsia"/>
        </w:rPr>
        <w:t>下穿福厦高铁段项目建设情况航拍图</w:t>
      </w:r>
    </w:p>
    <w:p>
      <w:pPr>
        <w:pStyle w:val="105"/>
        <w:ind w:right="-422" w:rightChars="-176"/>
        <w:rPr>
          <w:rFonts w:hint="eastAsia" w:eastAsia="宋体"/>
          <w:lang w:eastAsia="zh-CN"/>
        </w:rPr>
      </w:pPr>
      <w:r>
        <w:rPr>
          <w:rFonts w:hint="eastAsia"/>
        </w:rPr>
        <w:t xml:space="preserve"> </w:t>
      </w:r>
    </w:p>
    <w:p>
      <w:pPr>
        <w:ind w:leftChars="-59" w:hanging="141" w:hangingChars="59"/>
        <w:rPr>
          <w:rFonts w:hint="eastAsia" w:eastAsia="宋体"/>
          <w:lang w:eastAsia="zh-CN"/>
        </w:rPr>
      </w:pPr>
      <w:r>
        <w:rPr>
          <w:rFonts w:hint="eastAsia"/>
        </w:rPr>
        <w:t xml:space="preserve"> </w:t>
      </w:r>
    </w:p>
    <w:p>
      <w:pPr>
        <w:pStyle w:val="122"/>
      </w:pPr>
      <w:r>
        <w:rPr>
          <w:rFonts w:hint="eastAsia"/>
        </w:rPr>
        <w:t>现状照片</w:t>
      </w:r>
    </w:p>
    <w:p>
      <w:pPr>
        <w:pStyle w:val="116"/>
      </w:pPr>
      <w:bookmarkStart w:id="273" w:name="_Toc30942"/>
      <w:bookmarkStart w:id="274" w:name="_Toc204676235"/>
      <w:bookmarkStart w:id="275" w:name="_Toc159405462"/>
      <w:r>
        <w:t>占地与拆迁情况</w:t>
      </w:r>
      <w:bookmarkEnd w:id="273"/>
      <w:bookmarkEnd w:id="274"/>
      <w:bookmarkEnd w:id="275"/>
    </w:p>
    <w:p>
      <w:pPr>
        <w:pStyle w:val="120"/>
        <w:rPr>
          <w:color w:val="auto"/>
        </w:rPr>
      </w:pPr>
      <w:bookmarkStart w:id="276" w:name="2.5.1项目占地"/>
      <w:bookmarkEnd w:id="276"/>
      <w:r>
        <w:rPr>
          <w:color w:val="auto"/>
        </w:rPr>
        <w:t>项目占地</w:t>
      </w:r>
    </w:p>
    <w:p>
      <w:pPr>
        <w:ind w:firstLine="466"/>
        <w:rPr>
          <w:spacing w:val="-7"/>
        </w:rPr>
      </w:pPr>
      <w:r>
        <w:rPr>
          <w:rFonts w:hint="eastAsia"/>
          <w:spacing w:val="-7"/>
        </w:rPr>
        <w:t>（1）主体工程征占地说明</w:t>
      </w:r>
    </w:p>
    <w:p>
      <w:pPr>
        <w:ind w:firstLine="466"/>
        <w:rPr>
          <w:spacing w:val="-7"/>
        </w:rPr>
      </w:pPr>
      <w:bookmarkStart w:id="277" w:name="_Hlk198561865"/>
      <w:r>
        <w:rPr>
          <w:rFonts w:hint="eastAsia"/>
          <w:spacing w:val="-7"/>
        </w:rPr>
        <w:t>202</w:t>
      </w:r>
      <w:r>
        <w:rPr>
          <w:spacing w:val="-7"/>
        </w:rPr>
        <w:t>4</w:t>
      </w:r>
      <w:r>
        <w:rPr>
          <w:rFonts w:hint="eastAsia"/>
          <w:spacing w:val="-7"/>
        </w:rPr>
        <w:t>年</w:t>
      </w:r>
      <w:r>
        <w:rPr>
          <w:spacing w:val="-7"/>
        </w:rPr>
        <w:t>3</w:t>
      </w:r>
      <w:r>
        <w:rPr>
          <w:rFonts w:hint="eastAsia"/>
          <w:spacing w:val="-7"/>
        </w:rPr>
        <w:t>月 19  日，福清市自然资源局出具了《建设项目用地预审和选址意见书》</w:t>
      </w:r>
      <w:r>
        <w:rPr>
          <w:rFonts w:hint="eastAsia"/>
        </w:rPr>
        <w:t>（用字第</w:t>
      </w:r>
      <w:r>
        <w:rPr>
          <w:rFonts w:cs="Times New Roman"/>
          <w:kern w:val="0"/>
          <w:szCs w:val="24"/>
          <w:lang w:val="zh-CN"/>
        </w:rPr>
        <w:t>350181202400085</w:t>
      </w:r>
      <w:r>
        <w:rPr>
          <w:rFonts w:hint="eastAsia"/>
        </w:rPr>
        <w:t>号）</w:t>
      </w:r>
      <w:r>
        <w:rPr>
          <w:rFonts w:hint="eastAsia"/>
          <w:spacing w:val="-7"/>
        </w:rPr>
        <w:t>，项目选址面积</w:t>
      </w:r>
      <w:bookmarkStart w:id="278" w:name="OLE_LINK133"/>
      <w:r>
        <w:rPr>
          <w:rFonts w:hint="eastAsia"/>
          <w:spacing w:val="-7"/>
        </w:rPr>
        <w:t xml:space="preserve"> </w:t>
      </w:r>
      <w:r>
        <w:rPr>
          <w:spacing w:val="-7"/>
        </w:rPr>
        <w:t>1</w:t>
      </w:r>
      <w:r>
        <w:rPr>
          <w:rFonts w:hint="eastAsia"/>
          <w:spacing w:val="-7"/>
        </w:rPr>
        <w:t>4.</w:t>
      </w:r>
      <w:r>
        <w:rPr>
          <w:spacing w:val="-7"/>
        </w:rPr>
        <w:t>6617</w:t>
      </w:r>
      <w:r>
        <w:rPr>
          <w:rFonts w:hint="eastAsia"/>
          <w:spacing w:val="-7"/>
        </w:rPr>
        <w:t>hm</w:t>
      </w:r>
      <w:r>
        <w:rPr>
          <w:spacing w:val="-7"/>
          <w:vertAlign w:val="superscript"/>
        </w:rPr>
        <w:t>2</w:t>
      </w:r>
      <w:bookmarkEnd w:id="278"/>
      <w:r>
        <w:rPr>
          <w:rFonts w:hint="eastAsia"/>
          <w:spacing w:val="-7"/>
        </w:rPr>
        <w:t>。用地使用类型</w:t>
      </w:r>
      <w:r>
        <w:rPr>
          <w:spacing w:val="-7"/>
        </w:rPr>
        <w:t xml:space="preserve"> </w:t>
      </w:r>
      <w:r>
        <w:rPr>
          <w:rFonts w:hint="eastAsia"/>
          <w:spacing w:val="-7"/>
        </w:rPr>
        <w:t>：1</w:t>
      </w:r>
      <w:r>
        <w:rPr>
          <w:spacing w:val="-7"/>
        </w:rPr>
        <w:t>202</w:t>
      </w:r>
      <w:r>
        <w:rPr>
          <w:rFonts w:hint="eastAsia"/>
          <w:spacing w:val="-7"/>
        </w:rPr>
        <w:t>公路用地。</w:t>
      </w:r>
      <w:bookmarkEnd w:id="277"/>
    </w:p>
    <w:p>
      <w:pPr>
        <w:ind w:firstLine="466"/>
        <w:rPr>
          <w:spacing w:val="-7"/>
        </w:rPr>
      </w:pPr>
      <w:r>
        <w:rPr>
          <w:rFonts w:hint="eastAsia"/>
          <w:spacing w:val="-7"/>
        </w:rPr>
        <w:t>202</w:t>
      </w:r>
      <w:r>
        <w:rPr>
          <w:spacing w:val="-7"/>
        </w:rPr>
        <w:t>4</w:t>
      </w:r>
      <w:r>
        <w:rPr>
          <w:rFonts w:hint="eastAsia"/>
          <w:spacing w:val="-7"/>
        </w:rPr>
        <w:t xml:space="preserve">年 </w:t>
      </w:r>
      <w:r>
        <w:rPr>
          <w:spacing w:val="-7"/>
        </w:rPr>
        <w:t>9</w:t>
      </w:r>
      <w:r>
        <w:rPr>
          <w:rFonts w:hint="eastAsia"/>
          <w:spacing w:val="-7"/>
        </w:rPr>
        <w:t xml:space="preserve"> 月 30  日，福建省林业局出具了《使用林地审核同意书》，该项目建设涉及林地面积为3</w:t>
      </w:r>
      <w:r>
        <w:rPr>
          <w:spacing w:val="-7"/>
        </w:rPr>
        <w:t>.8155</w:t>
      </w:r>
      <w:r>
        <w:rPr>
          <w:rFonts w:hint="eastAsia"/>
          <w:spacing w:val="-7"/>
        </w:rPr>
        <w:t xml:space="preserve"> h</w:t>
      </w:r>
      <w:bookmarkStart w:id="279" w:name="OLE_LINK965"/>
      <w:r>
        <w:rPr>
          <w:rFonts w:hint="eastAsia"/>
          <w:spacing w:val="-7"/>
        </w:rPr>
        <w:t>m</w:t>
      </w:r>
      <w:r>
        <w:rPr>
          <w:spacing w:val="-7"/>
          <w:vertAlign w:val="superscript"/>
        </w:rPr>
        <w:t>2</w:t>
      </w:r>
      <w:r>
        <w:rPr>
          <w:rFonts w:hint="eastAsia"/>
          <w:spacing w:val="-7"/>
        </w:rPr>
        <w:t>，</w:t>
      </w:r>
      <w:bookmarkEnd w:id="279"/>
      <w:r>
        <w:rPr>
          <w:rFonts w:hint="eastAsia"/>
          <w:spacing w:val="-7"/>
        </w:rPr>
        <w:t>其中涉及</w:t>
      </w:r>
      <w:r>
        <w:rPr>
          <w:rFonts w:hint="eastAsia"/>
          <w:spacing w:val="-7"/>
          <w:lang w:eastAsia="zh-CN"/>
        </w:rPr>
        <w:t>二级</w:t>
      </w:r>
      <w:r>
        <w:rPr>
          <w:rFonts w:hint="eastAsia"/>
          <w:spacing w:val="-7"/>
        </w:rPr>
        <w:t>公益林为0</w:t>
      </w:r>
      <w:r>
        <w:rPr>
          <w:spacing w:val="-7"/>
        </w:rPr>
        <w:t>.5538</w:t>
      </w:r>
      <w:r>
        <w:rPr>
          <w:rFonts w:hint="eastAsia"/>
          <w:spacing w:val="-7"/>
        </w:rPr>
        <w:t xml:space="preserve"> hm</w:t>
      </w:r>
      <w:r>
        <w:rPr>
          <w:spacing w:val="-7"/>
          <w:vertAlign w:val="superscript"/>
        </w:rPr>
        <w:t>2</w:t>
      </w:r>
      <w:r>
        <w:rPr>
          <w:rFonts w:hint="eastAsia"/>
          <w:spacing w:val="-7"/>
        </w:rPr>
        <w:t>。</w:t>
      </w:r>
    </w:p>
    <w:p>
      <w:pPr>
        <w:ind w:firstLine="466"/>
        <w:rPr>
          <w:spacing w:val="-7"/>
        </w:rPr>
      </w:pPr>
      <w:r>
        <w:rPr>
          <w:rFonts w:hint="eastAsia"/>
          <w:spacing w:val="-7"/>
        </w:rPr>
        <w:t>2</w:t>
      </w:r>
      <w:r>
        <w:rPr>
          <w:spacing w:val="-7"/>
        </w:rPr>
        <w:t>025</w:t>
      </w:r>
      <w:r>
        <w:rPr>
          <w:rFonts w:hint="eastAsia"/>
          <w:spacing w:val="-7"/>
        </w:rPr>
        <w:t>年</w:t>
      </w:r>
      <w:r>
        <w:rPr>
          <w:spacing w:val="-7"/>
        </w:rPr>
        <w:t>1</w:t>
      </w:r>
      <w:r>
        <w:rPr>
          <w:rFonts w:hint="eastAsia"/>
          <w:spacing w:val="-7"/>
        </w:rPr>
        <w:t>月</w:t>
      </w:r>
      <w:r>
        <w:rPr>
          <w:spacing w:val="-7"/>
        </w:rPr>
        <w:t>6</w:t>
      </w:r>
      <w:r>
        <w:rPr>
          <w:rFonts w:hint="eastAsia"/>
          <w:spacing w:val="-7"/>
        </w:rPr>
        <w:t>日，</w:t>
      </w:r>
      <w:r>
        <w:rPr>
          <w:rFonts w:cs="Times New Roman"/>
          <w:kern w:val="0"/>
          <w:szCs w:val="24"/>
          <w:lang w:val="zh-CN"/>
        </w:rPr>
        <w:t>福建省人民政府</w:t>
      </w:r>
      <w:r>
        <w:rPr>
          <w:rFonts w:hint="eastAsia" w:cs="Times New Roman"/>
          <w:kern w:val="0"/>
          <w:szCs w:val="24"/>
          <w:lang w:val="zh-CN"/>
        </w:rPr>
        <w:t>批复了</w:t>
      </w:r>
      <w:r>
        <w:rPr>
          <w:rFonts w:cs="Times New Roman"/>
          <w:kern w:val="0"/>
          <w:szCs w:val="24"/>
          <w:lang w:val="zh-CN"/>
        </w:rPr>
        <w:t>黄檗山万福寺旅游公路工程建设农用地转用和土地征收</w:t>
      </w:r>
      <w:r>
        <w:rPr>
          <w:rFonts w:hint="eastAsia" w:cs="Times New Roman"/>
          <w:kern w:val="0"/>
          <w:szCs w:val="24"/>
          <w:lang w:val="zh-CN"/>
        </w:rPr>
        <w:t>（</w:t>
      </w:r>
      <w:r>
        <w:rPr>
          <w:rFonts w:cs="Times New Roman"/>
          <w:kern w:val="0"/>
          <w:szCs w:val="24"/>
          <w:lang w:val="zh-CN"/>
        </w:rPr>
        <w:t>闽政地〔2025〕8号</w:t>
      </w:r>
      <w:r>
        <w:rPr>
          <w:rFonts w:hint="eastAsia" w:cs="Times New Roman"/>
          <w:kern w:val="0"/>
          <w:szCs w:val="24"/>
          <w:lang w:val="zh-CN"/>
        </w:rPr>
        <w:t>），2</w:t>
      </w:r>
      <w:r>
        <w:rPr>
          <w:rFonts w:cs="Times New Roman"/>
          <w:kern w:val="0"/>
          <w:szCs w:val="24"/>
          <w:lang w:val="zh-CN"/>
        </w:rPr>
        <w:t>025</w:t>
      </w:r>
      <w:r>
        <w:rPr>
          <w:rFonts w:hint="eastAsia" w:cs="Times New Roman"/>
          <w:kern w:val="0"/>
          <w:szCs w:val="24"/>
          <w:lang w:val="zh-CN"/>
        </w:rPr>
        <w:t>年7月2</w:t>
      </w:r>
      <w:r>
        <w:rPr>
          <w:rFonts w:cs="Times New Roman"/>
          <w:kern w:val="0"/>
          <w:szCs w:val="24"/>
          <w:lang w:val="zh-CN"/>
        </w:rPr>
        <w:t>4</w:t>
      </w:r>
      <w:r>
        <w:rPr>
          <w:rFonts w:hint="eastAsia" w:cs="Times New Roman"/>
          <w:kern w:val="0"/>
          <w:szCs w:val="24"/>
          <w:lang w:val="zh-CN"/>
        </w:rPr>
        <w:t>日，项目取得了《</w:t>
      </w:r>
      <w:r>
        <w:rPr>
          <w:rFonts w:cs="Times New Roman"/>
          <w:kern w:val="0"/>
          <w:szCs w:val="24"/>
          <w:lang w:val="zh-CN"/>
        </w:rPr>
        <w:t>建设</w:t>
      </w:r>
      <w:bookmarkStart w:id="280" w:name="OLE_LINK966"/>
      <w:r>
        <w:rPr>
          <w:rFonts w:cs="Times New Roman"/>
          <w:kern w:val="0"/>
          <w:szCs w:val="24"/>
          <w:lang w:val="zh-CN"/>
        </w:rPr>
        <w:t>用地规划许可证</w:t>
      </w:r>
      <w:bookmarkEnd w:id="280"/>
      <w:r>
        <w:rPr>
          <w:rFonts w:hint="eastAsia" w:cs="Times New Roman"/>
          <w:kern w:val="0"/>
          <w:szCs w:val="24"/>
          <w:lang w:val="zh-CN"/>
        </w:rPr>
        <w:t>》（</w:t>
      </w:r>
      <w:r>
        <w:rPr>
          <w:rFonts w:cs="Times New Roman"/>
          <w:kern w:val="0"/>
          <w:szCs w:val="24"/>
          <w:lang w:val="zh-CN"/>
        </w:rPr>
        <w:t>地字第350181202500103号</w:t>
      </w:r>
      <w:r>
        <w:rPr>
          <w:rFonts w:hint="eastAsia" w:cs="Times New Roman"/>
          <w:kern w:val="0"/>
          <w:szCs w:val="24"/>
          <w:lang w:val="zh-CN"/>
        </w:rPr>
        <w:t>），</w:t>
      </w:r>
      <w:r>
        <w:rPr>
          <w:rFonts w:ascii="Segoe UI" w:hAnsi="Segoe UI" w:cs="Segoe UI"/>
          <w:shd w:val="clear" w:color="auto" w:fill="FFFFFF"/>
        </w:rPr>
        <w:t>核准</w:t>
      </w:r>
      <w:r>
        <w:rPr>
          <w:rFonts w:hint="eastAsia" w:cs="Times New Roman"/>
          <w:kern w:val="0"/>
          <w:szCs w:val="24"/>
          <w:lang w:val="zh-CN"/>
        </w:rPr>
        <w:t>用地面积为1</w:t>
      </w:r>
      <w:r>
        <w:rPr>
          <w:rFonts w:cs="Times New Roman"/>
          <w:kern w:val="0"/>
          <w:szCs w:val="24"/>
          <w:lang w:val="zh-CN"/>
        </w:rPr>
        <w:t>3.8540</w:t>
      </w:r>
      <w:r>
        <w:rPr>
          <w:rFonts w:hint="eastAsia"/>
          <w:spacing w:val="-7"/>
        </w:rPr>
        <w:t>hm</w:t>
      </w:r>
      <w:r>
        <w:rPr>
          <w:spacing w:val="-7"/>
          <w:vertAlign w:val="superscript"/>
        </w:rPr>
        <w:t>2</w:t>
      </w:r>
      <w:r>
        <w:rPr>
          <w:rFonts w:hint="eastAsia"/>
          <w:spacing w:val="-7"/>
        </w:rPr>
        <w:t>。</w:t>
      </w:r>
    </w:p>
    <w:p>
      <w:pPr>
        <w:ind w:firstLine="466"/>
        <w:rPr>
          <w:rFonts w:ascii="仿宋" w:hAnsi="仿宋" w:eastAsia="仿宋"/>
          <w:spacing w:val="-7"/>
        </w:rPr>
      </w:pPr>
      <w:r>
        <w:rPr>
          <w:rFonts w:hint="eastAsia" w:ascii="仿宋" w:hAnsi="仿宋" w:eastAsia="仿宋"/>
          <w:spacing w:val="-7"/>
        </w:rPr>
        <w:t>特别说明：</w:t>
      </w:r>
    </w:p>
    <w:p>
      <w:pPr>
        <w:ind w:firstLine="480"/>
        <w:rPr>
          <w:rFonts w:eastAsia="楷体" w:cs="Times New Roman"/>
        </w:rPr>
      </w:pPr>
      <w:r>
        <w:rPr>
          <w:rFonts w:eastAsia="楷体" w:cs="Times New Roman"/>
        </w:rPr>
        <w:t>用地面积差异原因：</w:t>
      </w:r>
      <w:r>
        <w:rPr>
          <w:rFonts w:eastAsia="楷体" w:cs="Times New Roman"/>
          <w:shd w:val="clear" w:color="auto" w:fill="FFFFFF"/>
        </w:rPr>
        <w:t>建设用地规划许可证》面积（13.8540</w:t>
      </w:r>
      <w:r>
        <w:rPr>
          <w:rFonts w:hint="eastAsia" w:eastAsia="楷体" w:cs="Times New Roman"/>
          <w:spacing w:val="-7"/>
        </w:rPr>
        <w:t>h</w:t>
      </w:r>
      <w:r>
        <w:rPr>
          <w:rFonts w:eastAsia="楷体" w:cs="Times New Roman"/>
          <w:spacing w:val="-7"/>
        </w:rPr>
        <w:t>m</w:t>
      </w:r>
      <w:r>
        <w:rPr>
          <w:rFonts w:eastAsia="楷体" w:cs="Times New Roman"/>
          <w:spacing w:val="-7"/>
          <w:vertAlign w:val="superscript"/>
        </w:rPr>
        <w:t>2</w:t>
      </w:r>
      <w:r>
        <w:rPr>
          <w:rFonts w:eastAsia="楷体" w:cs="Times New Roman"/>
          <w:shd w:val="clear" w:color="auto" w:fill="FFFFFF"/>
        </w:rPr>
        <w:t>）与选址意见书面积（14.6617</w:t>
      </w:r>
      <w:r>
        <w:rPr>
          <w:rFonts w:hint="eastAsia" w:eastAsia="楷体" w:cs="Times New Roman"/>
          <w:spacing w:val="-7"/>
        </w:rPr>
        <w:t>h</w:t>
      </w:r>
      <w:r>
        <w:rPr>
          <w:rFonts w:eastAsia="楷体" w:cs="Times New Roman"/>
          <w:spacing w:val="-7"/>
        </w:rPr>
        <w:t>m</w:t>
      </w:r>
      <w:r>
        <w:rPr>
          <w:rFonts w:eastAsia="楷体" w:cs="Times New Roman"/>
          <w:spacing w:val="-7"/>
          <w:vertAlign w:val="superscript"/>
        </w:rPr>
        <w:t>2</w:t>
      </w:r>
      <w:r>
        <w:rPr>
          <w:rFonts w:eastAsia="楷体" w:cs="Times New Roman"/>
          <w:shd w:val="clear" w:color="auto" w:fill="FFFFFF"/>
        </w:rPr>
        <w:t>）存在差异，主要是自然资源局部门对以下两部分用地已通过审批的用地进行核减：</w:t>
      </w:r>
      <w:r>
        <w:rPr>
          <w:rFonts w:hint="eastAsia" w:ascii="宋体" w:hAnsi="宋体"/>
        </w:rPr>
        <w:t>①</w:t>
      </w:r>
      <w:r>
        <w:rPr>
          <w:rFonts w:eastAsia="楷体" w:cs="Times New Roman"/>
        </w:rPr>
        <w:t>下穿高铁段已建工程：该部分2022年单独立项设计并完成环评，2023年取得福清市生态环境局批复（榕融环评〔2023〕102号）；</w:t>
      </w:r>
      <w:r>
        <w:rPr>
          <w:rFonts w:hint="eastAsia" w:ascii="宋体" w:hAnsi="宋体"/>
        </w:rPr>
        <w:t>②</w:t>
      </w:r>
      <w:r>
        <w:rPr>
          <w:rFonts w:eastAsia="楷体" w:cs="Times New Roman"/>
        </w:rPr>
        <w:t>上跨沈海高速段：建设方案已获福建省高速公路集团有限公司</w:t>
      </w:r>
      <w:r>
        <w:rPr>
          <w:rFonts w:hint="eastAsia" w:eastAsia="楷体" w:cs="Times New Roman"/>
        </w:rPr>
        <w:t>的</w:t>
      </w:r>
      <w:r>
        <w:rPr>
          <w:rFonts w:eastAsia="楷体" w:cs="Times New Roman"/>
        </w:rPr>
        <w:t>同意</w:t>
      </w:r>
      <w:r>
        <w:rPr>
          <w:rFonts w:hint="eastAsia" w:eastAsia="楷体" w:cs="Times New Roman"/>
        </w:rPr>
        <w:t>意见</w:t>
      </w:r>
      <w:r>
        <w:rPr>
          <w:rFonts w:eastAsia="楷体" w:cs="Times New Roman"/>
        </w:rPr>
        <w:t>（见附件13）。</w:t>
      </w:r>
      <w:r>
        <w:rPr>
          <w:rFonts w:eastAsia="楷体" w:cs="Times New Roman"/>
          <w:spacing w:val="-7"/>
        </w:rPr>
        <w:t>因此核减后用规证面积为</w:t>
      </w:r>
      <w:r>
        <w:rPr>
          <w:rFonts w:eastAsia="楷体" w:cs="Times New Roman"/>
          <w:kern w:val="0"/>
          <w:szCs w:val="24"/>
          <w:lang w:val="zh-CN"/>
        </w:rPr>
        <w:t>13.8540</w:t>
      </w:r>
      <w:r>
        <w:rPr>
          <w:rFonts w:hint="eastAsia" w:eastAsia="楷体" w:cs="Times New Roman"/>
          <w:spacing w:val="-7"/>
        </w:rPr>
        <w:t>h</w:t>
      </w:r>
      <w:r>
        <w:rPr>
          <w:rFonts w:eastAsia="楷体" w:cs="Times New Roman"/>
          <w:spacing w:val="-7"/>
        </w:rPr>
        <w:t>m</w:t>
      </w:r>
      <w:r>
        <w:rPr>
          <w:rFonts w:eastAsia="楷体" w:cs="Times New Roman"/>
          <w:spacing w:val="-7"/>
          <w:vertAlign w:val="superscript"/>
        </w:rPr>
        <w:t>2</w:t>
      </w:r>
      <w:r>
        <w:rPr>
          <w:rFonts w:eastAsia="楷体" w:cs="Times New Roman"/>
          <w:spacing w:val="-7"/>
        </w:rPr>
        <w:t>。</w:t>
      </w:r>
    </w:p>
    <w:p>
      <w:pPr>
        <w:ind w:firstLine="480"/>
        <w:rPr>
          <w:rFonts w:eastAsia="楷体" w:cs="Times New Roman"/>
          <w:spacing w:val="-7"/>
        </w:rPr>
      </w:pPr>
      <w:r>
        <w:rPr>
          <w:rFonts w:eastAsia="楷体" w:cs="Times New Roman"/>
        </w:rPr>
        <w:t>评价范围一致性：</w:t>
      </w:r>
      <w:r>
        <w:rPr>
          <w:rFonts w:eastAsia="楷体" w:cs="Times New Roman"/>
          <w:spacing w:val="-7"/>
        </w:rPr>
        <w:t>本次评价从项目连续性考虑，以选址意见书面积进行评价（即包含下穿高铁段已建部分工程用地和上跨沈海高速段用地，该部分用地已是交通设施用地）。</w:t>
      </w:r>
    </w:p>
    <w:p>
      <w:pPr>
        <w:ind w:firstLine="466"/>
        <w:rPr>
          <w:spacing w:val="-7"/>
        </w:rPr>
      </w:pPr>
      <w:r>
        <w:rPr>
          <w:rFonts w:hint="eastAsia"/>
          <w:spacing w:val="-7"/>
        </w:rPr>
        <w:t>（2）项目总征占地情况</w:t>
      </w:r>
    </w:p>
    <w:p>
      <w:pPr>
        <w:ind w:firstLine="466"/>
      </w:pPr>
      <w:r>
        <w:rPr>
          <w:rFonts w:hint="eastAsia"/>
          <w:spacing w:val="-7"/>
        </w:rPr>
        <w:t xml:space="preserve">本项目总占地面积 </w:t>
      </w:r>
      <w:r>
        <w:rPr>
          <w:spacing w:val="-7"/>
        </w:rPr>
        <w:t>15.3517</w:t>
      </w:r>
      <w:r>
        <w:rPr>
          <w:rFonts w:hint="eastAsia"/>
          <w:spacing w:val="-7"/>
        </w:rPr>
        <w:t>hm</w:t>
      </w:r>
      <w:r>
        <w:rPr>
          <w:rFonts w:hint="eastAsia"/>
          <w:spacing w:val="-7"/>
          <w:vertAlign w:val="superscript"/>
        </w:rPr>
        <w:t>2</w:t>
      </w:r>
      <w:r>
        <w:rPr>
          <w:rFonts w:hint="eastAsia"/>
          <w:spacing w:val="-7"/>
        </w:rPr>
        <w:t>，其中</w:t>
      </w:r>
      <w:bookmarkStart w:id="281" w:name="_Hlk198561852"/>
      <w:r>
        <w:rPr>
          <w:rFonts w:hint="eastAsia"/>
          <w:spacing w:val="-7"/>
        </w:rPr>
        <w:t xml:space="preserve">永久占地 </w:t>
      </w:r>
      <w:r>
        <w:rPr>
          <w:spacing w:val="-7"/>
        </w:rPr>
        <w:t>1</w:t>
      </w:r>
      <w:r>
        <w:rPr>
          <w:rFonts w:hint="eastAsia"/>
          <w:spacing w:val="-7"/>
        </w:rPr>
        <w:t>4.</w:t>
      </w:r>
      <w:r>
        <w:rPr>
          <w:spacing w:val="-7"/>
        </w:rPr>
        <w:t>6617</w:t>
      </w:r>
      <w:r>
        <w:rPr>
          <w:rFonts w:hint="eastAsia"/>
          <w:spacing w:val="-7"/>
        </w:rPr>
        <w:t>hm</w:t>
      </w:r>
      <w:r>
        <w:rPr>
          <w:rFonts w:hint="eastAsia"/>
          <w:spacing w:val="-7"/>
          <w:vertAlign w:val="superscript"/>
        </w:rPr>
        <w:t>2</w:t>
      </w:r>
      <w:r>
        <w:rPr>
          <w:rFonts w:hint="eastAsia"/>
          <w:spacing w:val="-7"/>
        </w:rPr>
        <w:t xml:space="preserve"> ，</w:t>
      </w:r>
      <w:bookmarkEnd w:id="281"/>
      <w:r>
        <w:rPr>
          <w:rFonts w:hint="eastAsia"/>
          <w:spacing w:val="-7"/>
        </w:rPr>
        <w:t>临时占地 新增</w:t>
      </w:r>
      <w:r>
        <w:rPr>
          <w:spacing w:val="-7"/>
        </w:rPr>
        <w:t>0.69</w:t>
      </w:r>
      <w:r>
        <w:rPr>
          <w:rFonts w:hint="eastAsia"/>
          <w:spacing w:val="-7"/>
        </w:rPr>
        <w:t>hm</w:t>
      </w:r>
      <w:r>
        <w:rPr>
          <w:rFonts w:hint="eastAsia"/>
          <w:spacing w:val="-7"/>
          <w:vertAlign w:val="superscript"/>
        </w:rPr>
        <w:t>2</w:t>
      </w:r>
      <w:r>
        <w:rPr>
          <w:rFonts w:hint="eastAsia"/>
          <w:spacing w:val="-7"/>
        </w:rPr>
        <w:t>。</w:t>
      </w:r>
      <w:r>
        <w:rPr>
          <w:lang w:val="zh-CN"/>
        </w:rPr>
        <w:t>项目</w:t>
      </w:r>
      <w:r>
        <w:rPr>
          <w:rFonts w:hint="eastAsia"/>
          <w:lang w:val="zh-CN"/>
        </w:rPr>
        <w:t>用地明细</w:t>
      </w:r>
      <w:r>
        <w:rPr>
          <w:spacing w:val="-2"/>
        </w:rPr>
        <w:t>详见</w:t>
      </w:r>
      <w:r>
        <w:rPr>
          <w:spacing w:val="-2"/>
        </w:rPr>
        <w:fldChar w:fldCharType="begin"/>
      </w:r>
      <w:r>
        <w:rPr>
          <w:spacing w:val="-2"/>
        </w:rPr>
        <w:instrText xml:space="preserve"> REF _Ref156332391 \r \h  \* MERGEFORMAT </w:instrText>
      </w:r>
      <w:r>
        <w:rPr>
          <w:spacing w:val="-2"/>
        </w:rPr>
        <w:fldChar w:fldCharType="separate"/>
      </w:r>
      <w:r>
        <w:rPr>
          <w:rFonts w:hint="eastAsia"/>
          <w:spacing w:val="-2"/>
        </w:rPr>
        <w:t>表3.5-1</w:t>
      </w:r>
      <w:r>
        <w:rPr>
          <w:spacing w:val="-2"/>
        </w:rPr>
        <w:fldChar w:fldCharType="end"/>
      </w:r>
      <w:r>
        <w:t>。</w:t>
      </w:r>
    </w:p>
    <w:p>
      <w:pPr>
        <w:ind w:firstLine="480"/>
      </w:pPr>
    </w:p>
    <w:p>
      <w:pPr>
        <w:ind w:firstLine="480"/>
      </w:pPr>
    </w:p>
    <w:p>
      <w:pPr>
        <w:ind w:firstLine="480"/>
      </w:pPr>
    </w:p>
    <w:p>
      <w:pPr>
        <w:ind w:firstLine="480"/>
      </w:pPr>
    </w:p>
    <w:p>
      <w:pPr>
        <w:ind w:firstLine="480"/>
        <w:rPr>
          <w:rFonts w:hint="eastAsia"/>
        </w:rPr>
      </w:pPr>
    </w:p>
    <w:p>
      <w:pPr>
        <w:pStyle w:val="87"/>
        <w:spacing w:before="120"/>
      </w:pPr>
      <w:bookmarkStart w:id="282" w:name="_Ref156332391"/>
      <w:r>
        <w:t>项目占地</w:t>
      </w:r>
      <w:bookmarkEnd w:id="282"/>
      <w:r>
        <w:rPr>
          <w:rFonts w:hint="eastAsia"/>
        </w:rPr>
        <w:t>情况表</w:t>
      </w:r>
    </w:p>
    <w:tbl>
      <w:tblPr>
        <w:tblStyle w:val="24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02"/>
        <w:gridCol w:w="958"/>
        <w:gridCol w:w="1172"/>
        <w:gridCol w:w="877"/>
        <w:gridCol w:w="877"/>
        <w:gridCol w:w="799"/>
        <w:gridCol w:w="588"/>
        <w:gridCol w:w="788"/>
        <w:gridCol w:w="824"/>
        <w:gridCol w:w="824"/>
        <w:gridCol w:w="9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0" w:hRule="atLeast"/>
          <w:tblHeader/>
          <w:jc w:val="center"/>
        </w:trPr>
        <w:tc>
          <w:tcPr>
            <w:tcW w:w="222" w:type="pct"/>
            <w:vMerge w:val="restart"/>
            <w:vAlign w:val="center"/>
          </w:tcPr>
          <w:p>
            <w:pPr>
              <w:pStyle w:val="105"/>
              <w:jc w:val="center"/>
            </w:pPr>
            <w:r>
              <w:t>序 号</w:t>
            </w:r>
          </w:p>
        </w:tc>
        <w:tc>
          <w:tcPr>
            <w:tcW w:w="528" w:type="pct"/>
            <w:vMerge w:val="restart"/>
            <w:vAlign w:val="center"/>
          </w:tcPr>
          <w:p>
            <w:pPr>
              <w:pStyle w:val="105"/>
              <w:jc w:val="center"/>
            </w:pPr>
            <w:r>
              <w:t>项目</w:t>
            </w:r>
          </w:p>
        </w:tc>
        <w:tc>
          <w:tcPr>
            <w:tcW w:w="646" w:type="pct"/>
            <w:vMerge w:val="restart"/>
            <w:vAlign w:val="center"/>
          </w:tcPr>
          <w:p>
            <w:pPr>
              <w:pStyle w:val="105"/>
              <w:jc w:val="center"/>
            </w:pPr>
            <w:r>
              <w:t>小计</w:t>
            </w:r>
          </w:p>
        </w:tc>
        <w:tc>
          <w:tcPr>
            <w:tcW w:w="3071" w:type="pct"/>
            <w:gridSpan w:val="7"/>
            <w:vAlign w:val="center"/>
          </w:tcPr>
          <w:p>
            <w:pPr>
              <w:pStyle w:val="105"/>
              <w:jc w:val="center"/>
            </w:pPr>
            <w:r>
              <w:t>项目占地类型及面积 (hm</w:t>
            </w:r>
            <w:r>
              <w:rPr>
                <w:vertAlign w:val="superscript"/>
              </w:rPr>
              <w:t xml:space="preserve">2 </w:t>
            </w:r>
            <w:r>
              <w:t>)</w:t>
            </w:r>
          </w:p>
        </w:tc>
        <w:tc>
          <w:tcPr>
            <w:tcW w:w="532" w:type="pct"/>
            <w:vMerge w:val="restart"/>
            <w:vAlign w:val="center"/>
          </w:tcPr>
          <w:p>
            <w:pPr>
              <w:pStyle w:val="105"/>
              <w:jc w:val="center"/>
            </w:pPr>
            <w: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5" w:hRule="atLeast"/>
          <w:tblHeader/>
          <w:jc w:val="center"/>
        </w:trPr>
        <w:tc>
          <w:tcPr>
            <w:tcW w:w="222" w:type="pct"/>
            <w:vMerge w:val="continue"/>
            <w:vAlign w:val="center"/>
          </w:tcPr>
          <w:p>
            <w:pPr>
              <w:pStyle w:val="105"/>
              <w:jc w:val="center"/>
            </w:pPr>
          </w:p>
        </w:tc>
        <w:tc>
          <w:tcPr>
            <w:tcW w:w="528" w:type="pct"/>
            <w:vMerge w:val="continue"/>
            <w:vAlign w:val="center"/>
          </w:tcPr>
          <w:p>
            <w:pPr>
              <w:pStyle w:val="105"/>
              <w:jc w:val="center"/>
            </w:pPr>
          </w:p>
        </w:tc>
        <w:tc>
          <w:tcPr>
            <w:tcW w:w="646" w:type="pct"/>
            <w:vMerge w:val="continue"/>
            <w:vAlign w:val="center"/>
          </w:tcPr>
          <w:p>
            <w:pPr>
              <w:pStyle w:val="105"/>
              <w:jc w:val="center"/>
            </w:pPr>
          </w:p>
        </w:tc>
        <w:tc>
          <w:tcPr>
            <w:tcW w:w="483" w:type="pct"/>
            <w:vAlign w:val="center"/>
          </w:tcPr>
          <w:p>
            <w:pPr>
              <w:pStyle w:val="105"/>
              <w:jc w:val="center"/>
            </w:pPr>
            <w:r>
              <w:t>耕地</w:t>
            </w:r>
          </w:p>
        </w:tc>
        <w:tc>
          <w:tcPr>
            <w:tcW w:w="483" w:type="pct"/>
            <w:vAlign w:val="center"/>
          </w:tcPr>
          <w:p>
            <w:pPr>
              <w:pStyle w:val="105"/>
              <w:jc w:val="center"/>
            </w:pPr>
            <w:r>
              <w:t>园地</w:t>
            </w:r>
          </w:p>
        </w:tc>
        <w:tc>
          <w:tcPr>
            <w:tcW w:w="440" w:type="pct"/>
            <w:vAlign w:val="center"/>
          </w:tcPr>
          <w:p>
            <w:pPr>
              <w:pStyle w:val="105"/>
              <w:jc w:val="center"/>
            </w:pPr>
            <w:r>
              <w:t>林地</w:t>
            </w:r>
          </w:p>
        </w:tc>
        <w:tc>
          <w:tcPr>
            <w:tcW w:w="324" w:type="pct"/>
            <w:vAlign w:val="center"/>
          </w:tcPr>
          <w:p>
            <w:pPr>
              <w:pStyle w:val="105"/>
              <w:jc w:val="center"/>
            </w:pPr>
            <w:r>
              <w:rPr>
                <w:rFonts w:hint="eastAsia"/>
              </w:rPr>
              <w:t>草地</w:t>
            </w:r>
          </w:p>
        </w:tc>
        <w:tc>
          <w:tcPr>
            <w:tcW w:w="434" w:type="pct"/>
            <w:vAlign w:val="center"/>
          </w:tcPr>
          <w:p>
            <w:pPr>
              <w:pStyle w:val="105"/>
              <w:jc w:val="center"/>
            </w:pPr>
            <w:r>
              <w:rPr>
                <w:rFonts w:hint="eastAsia"/>
              </w:rPr>
              <w:t>其他农用地</w:t>
            </w:r>
          </w:p>
        </w:tc>
        <w:tc>
          <w:tcPr>
            <w:tcW w:w="454" w:type="pct"/>
            <w:vAlign w:val="center"/>
          </w:tcPr>
          <w:p>
            <w:pPr>
              <w:pStyle w:val="105"/>
              <w:jc w:val="center"/>
            </w:pPr>
            <w:r>
              <w:rPr>
                <w:rFonts w:hint="eastAsia"/>
              </w:rPr>
              <w:t>建设用地</w:t>
            </w:r>
          </w:p>
        </w:tc>
        <w:tc>
          <w:tcPr>
            <w:tcW w:w="454" w:type="pct"/>
            <w:vAlign w:val="center"/>
          </w:tcPr>
          <w:p>
            <w:pPr>
              <w:pStyle w:val="105"/>
              <w:jc w:val="center"/>
            </w:pPr>
            <w:r>
              <w:rPr>
                <w:rFonts w:hint="eastAsia"/>
              </w:rPr>
              <w:t>未利用地</w:t>
            </w:r>
          </w:p>
        </w:tc>
        <w:tc>
          <w:tcPr>
            <w:tcW w:w="532" w:type="pct"/>
            <w:vMerge w:val="continue"/>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22" w:type="pct"/>
            <w:vAlign w:val="center"/>
          </w:tcPr>
          <w:p>
            <w:pPr>
              <w:pStyle w:val="105"/>
              <w:jc w:val="center"/>
            </w:pPr>
            <w:r>
              <w:t>1</w:t>
            </w:r>
          </w:p>
        </w:tc>
        <w:tc>
          <w:tcPr>
            <w:tcW w:w="528" w:type="pct"/>
            <w:vAlign w:val="center"/>
          </w:tcPr>
          <w:p>
            <w:pPr>
              <w:pStyle w:val="105"/>
              <w:jc w:val="center"/>
            </w:pPr>
            <w:r>
              <w:rPr>
                <w:rFonts w:hint="eastAsia"/>
              </w:rPr>
              <w:t>公路工程</w:t>
            </w:r>
          </w:p>
        </w:tc>
        <w:tc>
          <w:tcPr>
            <w:tcW w:w="646" w:type="pct"/>
            <w:vAlign w:val="center"/>
          </w:tcPr>
          <w:p>
            <w:pPr>
              <w:pStyle w:val="105"/>
              <w:jc w:val="center"/>
            </w:pPr>
            <w:r>
              <w:rPr>
                <w:rFonts w:cs="Times New Roman"/>
                <w:szCs w:val="21"/>
              </w:rPr>
              <w:t>14.6617</w:t>
            </w:r>
          </w:p>
        </w:tc>
        <w:tc>
          <w:tcPr>
            <w:tcW w:w="483" w:type="pct"/>
            <w:vAlign w:val="center"/>
          </w:tcPr>
          <w:p>
            <w:pPr>
              <w:pStyle w:val="105"/>
              <w:jc w:val="center"/>
            </w:pPr>
            <w:r>
              <w:rPr>
                <w:rFonts w:hint="eastAsia"/>
              </w:rPr>
              <w:t>4</w:t>
            </w:r>
            <w:r>
              <w:t>.424</w:t>
            </w:r>
          </w:p>
        </w:tc>
        <w:tc>
          <w:tcPr>
            <w:tcW w:w="483" w:type="pct"/>
            <w:vAlign w:val="center"/>
          </w:tcPr>
          <w:p>
            <w:pPr>
              <w:pStyle w:val="105"/>
              <w:jc w:val="center"/>
            </w:pPr>
            <w:r>
              <w:rPr>
                <w:rFonts w:hint="eastAsia"/>
              </w:rPr>
              <w:t>2</w:t>
            </w:r>
            <w:r>
              <w:t>.6056</w:t>
            </w:r>
          </w:p>
        </w:tc>
        <w:tc>
          <w:tcPr>
            <w:tcW w:w="440" w:type="pct"/>
            <w:vAlign w:val="center"/>
          </w:tcPr>
          <w:p>
            <w:pPr>
              <w:pStyle w:val="105"/>
              <w:jc w:val="center"/>
            </w:pPr>
            <w:r>
              <w:rPr>
                <w:rFonts w:hint="eastAsia"/>
              </w:rPr>
              <w:t>4</w:t>
            </w:r>
            <w:r>
              <w:t>.487</w:t>
            </w:r>
          </w:p>
        </w:tc>
        <w:tc>
          <w:tcPr>
            <w:tcW w:w="324" w:type="pct"/>
            <w:vAlign w:val="center"/>
          </w:tcPr>
          <w:p>
            <w:pPr>
              <w:pStyle w:val="105"/>
              <w:jc w:val="center"/>
            </w:pPr>
            <w:r>
              <w:rPr>
                <w:rFonts w:hint="eastAsia"/>
              </w:rPr>
              <w:t>0</w:t>
            </w:r>
            <w:r>
              <w:t>.5844</w:t>
            </w:r>
          </w:p>
        </w:tc>
        <w:tc>
          <w:tcPr>
            <w:tcW w:w="434" w:type="pct"/>
            <w:vAlign w:val="center"/>
          </w:tcPr>
          <w:p>
            <w:pPr>
              <w:pStyle w:val="105"/>
              <w:jc w:val="center"/>
            </w:pPr>
            <w:r>
              <w:rPr>
                <w:rFonts w:hint="eastAsia"/>
              </w:rPr>
              <w:t>1</w:t>
            </w:r>
            <w:r>
              <w:t>.052</w:t>
            </w:r>
          </w:p>
        </w:tc>
        <w:tc>
          <w:tcPr>
            <w:tcW w:w="454" w:type="pct"/>
            <w:vAlign w:val="center"/>
          </w:tcPr>
          <w:p>
            <w:pPr>
              <w:pStyle w:val="105"/>
              <w:jc w:val="center"/>
            </w:pPr>
            <w:r>
              <w:rPr>
                <w:rFonts w:hint="eastAsia"/>
              </w:rPr>
              <w:t>0</w:t>
            </w:r>
            <w:r>
              <w:t>.6581</w:t>
            </w:r>
          </w:p>
        </w:tc>
        <w:tc>
          <w:tcPr>
            <w:tcW w:w="454" w:type="pct"/>
            <w:vAlign w:val="center"/>
          </w:tcPr>
          <w:p>
            <w:pPr>
              <w:pStyle w:val="105"/>
              <w:jc w:val="center"/>
            </w:pPr>
            <w:r>
              <w:rPr>
                <w:rFonts w:hint="eastAsia"/>
              </w:rPr>
              <w:t>0</w:t>
            </w:r>
            <w:r>
              <w:t>.8507</w:t>
            </w:r>
          </w:p>
        </w:tc>
        <w:tc>
          <w:tcPr>
            <w:tcW w:w="532" w:type="pct"/>
            <w:vAlign w:val="center"/>
          </w:tcPr>
          <w:p>
            <w:pPr>
              <w:pStyle w:val="105"/>
              <w:jc w:val="center"/>
            </w:pPr>
            <w:r>
              <w:t>永久占地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5" w:hRule="atLeast"/>
          <w:tblHeader/>
          <w:jc w:val="center"/>
        </w:trPr>
        <w:tc>
          <w:tcPr>
            <w:tcW w:w="222" w:type="pct"/>
            <w:vAlign w:val="center"/>
          </w:tcPr>
          <w:p>
            <w:pPr>
              <w:pStyle w:val="105"/>
              <w:jc w:val="center"/>
            </w:pPr>
            <w:r>
              <w:t>2</w:t>
            </w:r>
          </w:p>
        </w:tc>
        <w:tc>
          <w:tcPr>
            <w:tcW w:w="528" w:type="pct"/>
            <w:vAlign w:val="center"/>
          </w:tcPr>
          <w:p>
            <w:pPr>
              <w:pStyle w:val="105"/>
              <w:jc w:val="center"/>
            </w:pPr>
            <w:r>
              <w:t>施工场地</w:t>
            </w:r>
          </w:p>
        </w:tc>
        <w:tc>
          <w:tcPr>
            <w:tcW w:w="646" w:type="pct"/>
            <w:vAlign w:val="center"/>
          </w:tcPr>
          <w:p>
            <w:pPr>
              <w:pStyle w:val="105"/>
              <w:jc w:val="center"/>
            </w:pPr>
            <w:r>
              <w:t>0.69</w:t>
            </w:r>
          </w:p>
        </w:tc>
        <w:tc>
          <w:tcPr>
            <w:tcW w:w="483" w:type="pct"/>
            <w:vAlign w:val="center"/>
          </w:tcPr>
          <w:p>
            <w:pPr>
              <w:pStyle w:val="105"/>
              <w:jc w:val="center"/>
            </w:pPr>
          </w:p>
        </w:tc>
        <w:tc>
          <w:tcPr>
            <w:tcW w:w="483" w:type="pct"/>
            <w:vAlign w:val="center"/>
          </w:tcPr>
          <w:p>
            <w:pPr>
              <w:pStyle w:val="105"/>
              <w:jc w:val="center"/>
            </w:pPr>
            <w:r>
              <w:rPr>
                <w:rFonts w:hint="eastAsia"/>
              </w:rPr>
              <w:t>0</w:t>
            </w:r>
            <w:r>
              <w:t>.12</w:t>
            </w:r>
          </w:p>
        </w:tc>
        <w:tc>
          <w:tcPr>
            <w:tcW w:w="440" w:type="pct"/>
            <w:vAlign w:val="center"/>
          </w:tcPr>
          <w:p>
            <w:pPr>
              <w:pStyle w:val="105"/>
              <w:jc w:val="center"/>
            </w:pPr>
          </w:p>
        </w:tc>
        <w:tc>
          <w:tcPr>
            <w:tcW w:w="324" w:type="pct"/>
            <w:vAlign w:val="center"/>
          </w:tcPr>
          <w:p>
            <w:pPr>
              <w:pStyle w:val="105"/>
              <w:jc w:val="center"/>
            </w:pPr>
            <w:r>
              <w:rPr>
                <w:rFonts w:hint="eastAsia"/>
              </w:rPr>
              <w:t>0</w:t>
            </w:r>
            <w:r>
              <w:t>.57</w:t>
            </w:r>
          </w:p>
        </w:tc>
        <w:tc>
          <w:tcPr>
            <w:tcW w:w="434" w:type="pct"/>
            <w:vAlign w:val="center"/>
          </w:tcPr>
          <w:p>
            <w:pPr>
              <w:pStyle w:val="105"/>
              <w:jc w:val="center"/>
            </w:pPr>
          </w:p>
        </w:tc>
        <w:tc>
          <w:tcPr>
            <w:tcW w:w="454" w:type="pct"/>
            <w:vAlign w:val="center"/>
          </w:tcPr>
          <w:p>
            <w:pPr>
              <w:pStyle w:val="105"/>
              <w:jc w:val="center"/>
            </w:pPr>
          </w:p>
        </w:tc>
        <w:tc>
          <w:tcPr>
            <w:tcW w:w="454" w:type="pct"/>
            <w:vAlign w:val="center"/>
          </w:tcPr>
          <w:p>
            <w:pPr>
              <w:pStyle w:val="105"/>
              <w:jc w:val="center"/>
            </w:pPr>
          </w:p>
        </w:tc>
        <w:tc>
          <w:tcPr>
            <w:tcW w:w="532" w:type="pct"/>
            <w:vAlign w:val="center"/>
          </w:tcPr>
          <w:p>
            <w:pPr>
              <w:pStyle w:val="105"/>
              <w:jc w:val="center"/>
            </w:pPr>
            <w:r>
              <w:t>临时占地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22" w:type="pct"/>
            <w:vAlign w:val="center"/>
          </w:tcPr>
          <w:p>
            <w:pPr>
              <w:pStyle w:val="105"/>
              <w:jc w:val="center"/>
            </w:pPr>
            <w:r>
              <w:t>3</w:t>
            </w:r>
          </w:p>
        </w:tc>
        <w:tc>
          <w:tcPr>
            <w:tcW w:w="528" w:type="pct"/>
            <w:vAlign w:val="center"/>
          </w:tcPr>
          <w:p>
            <w:pPr>
              <w:pStyle w:val="105"/>
              <w:jc w:val="center"/>
            </w:pPr>
            <w:r>
              <w:t>表土临时堆场</w:t>
            </w:r>
          </w:p>
        </w:tc>
        <w:tc>
          <w:tcPr>
            <w:tcW w:w="646" w:type="pct"/>
            <w:vAlign w:val="center"/>
          </w:tcPr>
          <w:p>
            <w:pPr>
              <w:pStyle w:val="105"/>
              <w:jc w:val="center"/>
            </w:pPr>
            <w:r>
              <w:rPr>
                <w:rFonts w:hint="eastAsia"/>
              </w:rPr>
              <w:t>（0</w:t>
            </w:r>
            <w:r>
              <w:t>.94</w:t>
            </w:r>
            <w:r>
              <w:rPr>
                <w:rFonts w:hint="eastAsia"/>
              </w:rPr>
              <w:t>）</w:t>
            </w:r>
          </w:p>
        </w:tc>
        <w:tc>
          <w:tcPr>
            <w:tcW w:w="483" w:type="pct"/>
            <w:vAlign w:val="center"/>
          </w:tcPr>
          <w:p>
            <w:pPr>
              <w:pStyle w:val="105"/>
              <w:jc w:val="center"/>
            </w:pPr>
            <w:r>
              <w:t>（0.32）</w:t>
            </w:r>
          </w:p>
        </w:tc>
        <w:tc>
          <w:tcPr>
            <w:tcW w:w="483" w:type="pct"/>
            <w:vAlign w:val="center"/>
          </w:tcPr>
          <w:p>
            <w:pPr>
              <w:pStyle w:val="105"/>
              <w:jc w:val="center"/>
            </w:pPr>
            <w:r>
              <w:rPr>
                <w:rFonts w:hint="eastAsia"/>
              </w:rPr>
              <w:t>（0</w:t>
            </w:r>
            <w:r>
              <w:t>.30</w:t>
            </w:r>
            <w:r>
              <w:rPr>
                <w:rFonts w:hint="eastAsia"/>
              </w:rPr>
              <w:t>）</w:t>
            </w:r>
          </w:p>
        </w:tc>
        <w:tc>
          <w:tcPr>
            <w:tcW w:w="440" w:type="pct"/>
            <w:vAlign w:val="center"/>
          </w:tcPr>
          <w:p>
            <w:pPr>
              <w:pStyle w:val="105"/>
              <w:jc w:val="center"/>
            </w:pPr>
            <w:r>
              <w:t>（0.32）</w:t>
            </w:r>
          </w:p>
        </w:tc>
        <w:tc>
          <w:tcPr>
            <w:tcW w:w="324" w:type="pct"/>
            <w:vAlign w:val="center"/>
          </w:tcPr>
          <w:p>
            <w:pPr>
              <w:pStyle w:val="105"/>
              <w:jc w:val="center"/>
            </w:pPr>
          </w:p>
        </w:tc>
        <w:tc>
          <w:tcPr>
            <w:tcW w:w="434" w:type="pct"/>
            <w:vAlign w:val="center"/>
          </w:tcPr>
          <w:p>
            <w:pPr>
              <w:pStyle w:val="105"/>
              <w:jc w:val="center"/>
            </w:pPr>
          </w:p>
        </w:tc>
        <w:tc>
          <w:tcPr>
            <w:tcW w:w="454" w:type="pct"/>
            <w:vAlign w:val="center"/>
          </w:tcPr>
          <w:p>
            <w:pPr>
              <w:pStyle w:val="105"/>
              <w:jc w:val="center"/>
            </w:pPr>
          </w:p>
        </w:tc>
        <w:tc>
          <w:tcPr>
            <w:tcW w:w="454" w:type="pct"/>
            <w:vAlign w:val="center"/>
          </w:tcPr>
          <w:p>
            <w:pPr>
              <w:pStyle w:val="105"/>
              <w:jc w:val="center"/>
            </w:pPr>
          </w:p>
        </w:tc>
        <w:tc>
          <w:tcPr>
            <w:tcW w:w="532" w:type="pct"/>
            <w:vAlign w:val="center"/>
          </w:tcPr>
          <w:p>
            <w:pPr>
              <w:pStyle w:val="105"/>
              <w:jc w:val="center"/>
            </w:pPr>
            <w:r>
              <w:t>临时占地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5" w:hRule="atLeast"/>
          <w:tblHeader/>
          <w:jc w:val="center"/>
        </w:trPr>
        <w:tc>
          <w:tcPr>
            <w:tcW w:w="750" w:type="pct"/>
            <w:gridSpan w:val="2"/>
            <w:vAlign w:val="center"/>
          </w:tcPr>
          <w:p>
            <w:pPr>
              <w:pStyle w:val="105"/>
              <w:jc w:val="center"/>
            </w:pPr>
            <w:r>
              <w:t>合计</w:t>
            </w:r>
          </w:p>
        </w:tc>
        <w:tc>
          <w:tcPr>
            <w:tcW w:w="646" w:type="pct"/>
            <w:vAlign w:val="center"/>
          </w:tcPr>
          <w:p>
            <w:pPr>
              <w:pStyle w:val="105"/>
              <w:jc w:val="center"/>
            </w:pPr>
            <w:r>
              <w:rPr>
                <w:rFonts w:cs="Times New Roman"/>
                <w:szCs w:val="21"/>
              </w:rPr>
              <w:t>15.3517</w:t>
            </w:r>
          </w:p>
        </w:tc>
        <w:tc>
          <w:tcPr>
            <w:tcW w:w="483" w:type="pct"/>
            <w:vAlign w:val="center"/>
          </w:tcPr>
          <w:p>
            <w:pPr>
              <w:pStyle w:val="105"/>
              <w:jc w:val="center"/>
            </w:pPr>
            <w:r>
              <w:rPr>
                <w:rFonts w:cs="Times New Roman"/>
                <w:szCs w:val="21"/>
              </w:rPr>
              <w:t>4.424</w:t>
            </w:r>
          </w:p>
        </w:tc>
        <w:tc>
          <w:tcPr>
            <w:tcW w:w="483" w:type="pct"/>
            <w:vAlign w:val="center"/>
          </w:tcPr>
          <w:p>
            <w:pPr>
              <w:pStyle w:val="105"/>
              <w:jc w:val="center"/>
            </w:pPr>
            <w:r>
              <w:rPr>
                <w:rFonts w:cs="Times New Roman"/>
                <w:szCs w:val="21"/>
              </w:rPr>
              <w:t>2.7256</w:t>
            </w:r>
          </w:p>
        </w:tc>
        <w:tc>
          <w:tcPr>
            <w:tcW w:w="440" w:type="pct"/>
            <w:vAlign w:val="center"/>
          </w:tcPr>
          <w:p>
            <w:pPr>
              <w:pStyle w:val="105"/>
              <w:jc w:val="center"/>
            </w:pPr>
            <w:r>
              <w:rPr>
                <w:rFonts w:cs="Times New Roman"/>
                <w:szCs w:val="21"/>
              </w:rPr>
              <w:t>4.487</w:t>
            </w:r>
          </w:p>
        </w:tc>
        <w:tc>
          <w:tcPr>
            <w:tcW w:w="324" w:type="pct"/>
            <w:vAlign w:val="center"/>
          </w:tcPr>
          <w:p>
            <w:pPr>
              <w:pStyle w:val="105"/>
              <w:jc w:val="center"/>
              <w:rPr>
                <w:rFonts w:cs="Times New Roman"/>
                <w:szCs w:val="21"/>
              </w:rPr>
            </w:pPr>
            <w:r>
              <w:rPr>
                <w:rFonts w:cs="Times New Roman"/>
                <w:szCs w:val="21"/>
              </w:rPr>
              <w:t>1.1544</w:t>
            </w:r>
          </w:p>
        </w:tc>
        <w:tc>
          <w:tcPr>
            <w:tcW w:w="434" w:type="pct"/>
            <w:vAlign w:val="center"/>
          </w:tcPr>
          <w:p>
            <w:pPr>
              <w:pStyle w:val="105"/>
              <w:jc w:val="center"/>
              <w:rPr>
                <w:rFonts w:cs="Times New Roman"/>
                <w:szCs w:val="21"/>
              </w:rPr>
            </w:pPr>
            <w:r>
              <w:rPr>
                <w:rFonts w:cs="Times New Roman"/>
                <w:szCs w:val="21"/>
              </w:rPr>
              <w:t>1.052</w:t>
            </w:r>
          </w:p>
        </w:tc>
        <w:tc>
          <w:tcPr>
            <w:tcW w:w="454" w:type="pct"/>
            <w:vAlign w:val="center"/>
          </w:tcPr>
          <w:p>
            <w:pPr>
              <w:pStyle w:val="105"/>
              <w:jc w:val="center"/>
            </w:pPr>
            <w:r>
              <w:rPr>
                <w:rFonts w:cs="Times New Roman"/>
                <w:szCs w:val="21"/>
              </w:rPr>
              <w:t>0.6581</w:t>
            </w:r>
          </w:p>
        </w:tc>
        <w:tc>
          <w:tcPr>
            <w:tcW w:w="454" w:type="pct"/>
            <w:vAlign w:val="center"/>
          </w:tcPr>
          <w:p>
            <w:pPr>
              <w:pStyle w:val="105"/>
              <w:jc w:val="center"/>
            </w:pPr>
            <w:r>
              <w:rPr>
                <w:rFonts w:cs="Times New Roman"/>
                <w:szCs w:val="21"/>
              </w:rPr>
              <w:t>0.8507</w:t>
            </w:r>
          </w:p>
        </w:tc>
        <w:tc>
          <w:tcPr>
            <w:tcW w:w="532"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5000" w:type="pct"/>
            <w:gridSpan w:val="11"/>
            <w:vAlign w:val="center"/>
          </w:tcPr>
          <w:p>
            <w:pPr>
              <w:pStyle w:val="105"/>
              <w:jc w:val="left"/>
            </w:pPr>
            <w:r>
              <w:rPr>
                <w:rFonts w:hint="eastAsia"/>
                <w:sz w:val="18"/>
                <w:szCs w:val="18"/>
              </w:rPr>
              <w:t xml:space="preserve"> 注：①本项目自然资源用地预审意见中林地面积（</w:t>
            </w:r>
            <w:r>
              <w:rPr>
                <w:sz w:val="18"/>
                <w:szCs w:val="18"/>
              </w:rPr>
              <w:t>4.487hm</w:t>
            </w:r>
            <w:r>
              <w:rPr>
                <w:sz w:val="18"/>
                <w:szCs w:val="18"/>
                <w:vertAlign w:val="superscript"/>
              </w:rPr>
              <w:t>2</w:t>
            </w:r>
            <w:r>
              <w:rPr>
                <w:rFonts w:hint="eastAsia"/>
                <w:sz w:val="18"/>
                <w:szCs w:val="18"/>
              </w:rPr>
              <w:t>）与林地审核意见中林地面积（</w:t>
            </w:r>
            <w:r>
              <w:rPr>
                <w:sz w:val="18"/>
                <w:szCs w:val="18"/>
              </w:rPr>
              <w:t>3.8155 hm</w:t>
            </w:r>
            <w:r>
              <w:rPr>
                <w:sz w:val="18"/>
                <w:szCs w:val="18"/>
                <w:vertAlign w:val="superscript"/>
              </w:rPr>
              <w:t>2</w:t>
            </w:r>
            <w:r>
              <w:rPr>
                <w:rFonts w:hint="eastAsia"/>
                <w:sz w:val="18"/>
                <w:szCs w:val="18"/>
              </w:rPr>
              <w:t>）不一致，且相差较大，本次评价以自然资源用地预审意见为主（三调数据）。②（）内表示位于永久占地红线范围内，不涉及重复征地</w:t>
            </w:r>
          </w:p>
        </w:tc>
      </w:tr>
    </w:tbl>
    <w:p>
      <w:pPr>
        <w:pStyle w:val="120"/>
        <w:rPr>
          <w:color w:val="auto"/>
        </w:rPr>
      </w:pPr>
      <w:r>
        <w:rPr>
          <w:color w:val="auto"/>
        </w:rPr>
        <w:t>拆迁情况</w:t>
      </w:r>
    </w:p>
    <w:p>
      <w:pPr>
        <w:ind w:firstLine="476"/>
        <w:rPr>
          <w:spacing w:val="-2"/>
        </w:rPr>
      </w:pPr>
      <w:r>
        <w:rPr>
          <w:rFonts w:hint="eastAsia"/>
          <w:spacing w:val="-2"/>
        </w:rPr>
        <w:t xml:space="preserve">项目共拆迁房屋 2474.98 </w:t>
      </w:r>
      <w:r>
        <w:rPr>
          <w:rFonts w:eastAsia="Times New Roman"/>
          <w:lang w:val="zh-CN"/>
        </w:rPr>
        <w:t>m</w:t>
      </w:r>
      <w:r>
        <w:rPr>
          <w:rFonts w:eastAsia="Times New Roman"/>
          <w:vertAlign w:val="superscript"/>
          <w:lang w:val="zh-CN"/>
        </w:rPr>
        <w:t>2</w:t>
      </w:r>
      <w:r>
        <w:rPr>
          <w:rFonts w:hint="eastAsia"/>
          <w:lang w:val="zh-CN"/>
        </w:rPr>
        <w:t>，</w:t>
      </w:r>
      <w:r>
        <w:rPr>
          <w:rFonts w:hint="eastAsia"/>
          <w:spacing w:val="-2"/>
        </w:rPr>
        <w:t xml:space="preserve">其中砖砼房 2269.42 </w:t>
      </w:r>
      <w:r>
        <w:rPr>
          <w:rFonts w:eastAsia="Times New Roman"/>
          <w:lang w:val="zh-CN"/>
        </w:rPr>
        <w:t>m</w:t>
      </w:r>
      <w:r>
        <w:rPr>
          <w:rFonts w:eastAsia="Times New Roman"/>
          <w:vertAlign w:val="superscript"/>
          <w:lang w:val="zh-CN"/>
        </w:rPr>
        <w:t>2</w:t>
      </w:r>
      <w:r>
        <w:rPr>
          <w:rFonts w:hint="eastAsia"/>
          <w:spacing w:val="-2"/>
        </w:rPr>
        <w:t xml:space="preserve">、厕所猪圈 39.56 </w:t>
      </w:r>
      <w:r>
        <w:rPr>
          <w:rFonts w:eastAsia="Times New Roman"/>
          <w:lang w:val="zh-CN"/>
        </w:rPr>
        <w:t>m</w:t>
      </w:r>
      <w:r>
        <w:rPr>
          <w:rFonts w:eastAsia="Times New Roman"/>
          <w:vertAlign w:val="superscript"/>
          <w:lang w:val="zh-CN"/>
        </w:rPr>
        <w:t>2</w:t>
      </w:r>
      <w:r>
        <w:rPr>
          <w:rFonts w:hint="eastAsia"/>
          <w:spacing w:val="-2"/>
        </w:rPr>
        <w:t xml:space="preserve">，简房 166 </w:t>
      </w:r>
      <w:r>
        <w:rPr>
          <w:rFonts w:eastAsia="Times New Roman"/>
          <w:lang w:val="zh-CN"/>
        </w:rPr>
        <w:t>m</w:t>
      </w:r>
      <w:r>
        <w:rPr>
          <w:rFonts w:eastAsia="Times New Roman"/>
          <w:vertAlign w:val="superscript"/>
          <w:lang w:val="zh-CN"/>
        </w:rPr>
        <w:t>2</w:t>
      </w:r>
      <w:r>
        <w:rPr>
          <w:rFonts w:hint="eastAsia"/>
          <w:spacing w:val="-2"/>
        </w:rPr>
        <w:t>，鳗鱼场 2 座。征迁10kV 电力杆线 1.4 km/3 根；征迁 0.4kV 低压线 5.1 km/10 根。征迁电讯线 5.8 km/15根。迁移变压器 2 处。</w:t>
      </w:r>
      <w:r>
        <w:rPr>
          <w:rFonts w:hint="eastAsia"/>
          <w:lang w:val="zh-CN"/>
        </w:rPr>
        <w:t>拆迁采取货币补偿的方式，不需要安置。</w:t>
      </w:r>
      <w:r>
        <w:rPr>
          <w:spacing w:val="-2"/>
        </w:rPr>
        <w:t>拆迁安置费用由建设单位统一交给地方政府，由地方政府解决拆迁问题。</w:t>
      </w:r>
    </w:p>
    <w:p>
      <w:pPr>
        <w:pStyle w:val="116"/>
        <w:rPr>
          <w:spacing w:val="1"/>
          <w:szCs w:val="24"/>
        </w:rPr>
      </w:pPr>
      <w:bookmarkStart w:id="283" w:name="_Toc204676236"/>
      <w:bookmarkStart w:id="284" w:name="_Toc159405463"/>
      <w:r>
        <w:t>工程土石方平衡</w:t>
      </w:r>
      <w:bookmarkEnd w:id="283"/>
      <w:bookmarkEnd w:id="284"/>
      <w:bookmarkStart w:id="285" w:name="2.4.1土石方平衡"/>
      <w:bookmarkEnd w:id="285"/>
    </w:p>
    <w:p>
      <w:pPr>
        <w:pStyle w:val="118"/>
        <w:numPr>
          <w:ilvl w:val="0"/>
          <w:numId w:val="0"/>
        </w:numPr>
      </w:pPr>
      <w:r>
        <w:t>（1）工程土石方平衡</w:t>
      </w:r>
    </w:p>
    <w:p>
      <w:pPr>
        <w:ind w:firstLine="480"/>
      </w:pPr>
      <w:r>
        <w:rPr>
          <w:rFonts w:hint="eastAsia"/>
        </w:rPr>
        <w:t>本项目土石方主要产生于路基工程、拆迁工程、换填工程、涵洞工程、边坡工程、桥梁基础工程、场地平整工程、路面平整工程、表土剥离及覆土工程等方面。</w:t>
      </w:r>
    </w:p>
    <w:p>
      <w:pPr>
        <w:ind w:firstLine="480"/>
      </w:pPr>
      <w:r>
        <w:rPr>
          <w:rFonts w:hint="eastAsia"/>
        </w:rPr>
        <w:t>①土石方平衡：</w:t>
      </w:r>
      <w:r>
        <w:t>根据</w:t>
      </w:r>
      <w:r>
        <w:rPr>
          <w:rFonts w:hint="eastAsia"/>
        </w:rPr>
        <w:t>项目水土保持方案结合施工图设计核算，本项目土石方挖填总量63.61万m³，其中挖方总量40.22万m³（含表土1.80万m³），填方总量23.39万m³（含覆土1.80万m³）；余方16.</w:t>
      </w:r>
      <w:r>
        <w:t>8</w:t>
      </w:r>
      <w:r>
        <w:rPr>
          <w:rFonts w:hint="eastAsia"/>
        </w:rPr>
        <w:t>3万m³（其中土方</w:t>
      </w:r>
      <w:r>
        <w:t>4.62</w:t>
      </w:r>
      <w:r>
        <w:rPr>
          <w:rFonts w:hint="eastAsia"/>
        </w:rPr>
        <w:t>万m³，石方</w:t>
      </w:r>
      <w:r>
        <w:t>11.41</w:t>
      </w:r>
      <w:r>
        <w:rPr>
          <w:rFonts w:hint="eastAsia"/>
        </w:rPr>
        <w:t>万m³），其中石方</w:t>
      </w:r>
      <w:r>
        <w:t>6.88</w:t>
      </w:r>
      <w:r>
        <w:rPr>
          <w:rFonts w:hint="eastAsia"/>
        </w:rPr>
        <w:t>万m³本工程利用，作为截（排）水沟、沉沙池、挡墙等附属设施的原材料利用；剩余弃方（9</w:t>
      </w:r>
      <w:r>
        <w:t>.95</w:t>
      </w:r>
      <w:r>
        <w:rPr>
          <w:rFonts w:hint="eastAsia"/>
        </w:rPr>
        <w:t>万m³）拟运往福清市城市管理委员会批准的余方指定堆放点进行综合利用。</w:t>
      </w:r>
    </w:p>
    <w:p>
      <w:pPr>
        <w:ind w:firstLine="474"/>
      </w:pPr>
      <w:r>
        <w:rPr>
          <w:rFonts w:hint="eastAsia"/>
          <w:spacing w:val="-3"/>
        </w:rPr>
        <w:t>②</w:t>
      </w:r>
      <w:r>
        <w:rPr>
          <w:rFonts w:hint="eastAsia"/>
        </w:rPr>
        <w:t>余（弃）方去向说明：本项目建设过程中共产生余方16.</w:t>
      </w:r>
      <w:r>
        <w:t>8</w:t>
      </w:r>
      <w:r>
        <w:rPr>
          <w:rFonts w:hint="eastAsia"/>
        </w:rPr>
        <w:t>3万m³（其中土方</w:t>
      </w:r>
      <w:r>
        <w:t>4.62</w:t>
      </w:r>
      <w:r>
        <w:rPr>
          <w:rFonts w:hint="eastAsia"/>
        </w:rPr>
        <w:t>万m³，石方</w:t>
      </w:r>
      <w:r>
        <w:t>12.21</w:t>
      </w:r>
      <w:r>
        <w:rPr>
          <w:rFonts w:hint="eastAsia"/>
        </w:rPr>
        <w:t>万m³）。</w:t>
      </w:r>
      <w:r>
        <w:rPr>
          <w:rFonts w:hint="eastAsia"/>
          <w:spacing w:val="-3"/>
        </w:rPr>
        <w:t>余方中可利用石方</w:t>
      </w:r>
      <w:r>
        <w:t>6.88</w:t>
      </w:r>
      <w:r>
        <w:rPr>
          <w:rFonts w:hint="eastAsia"/>
          <w:spacing w:val="-3"/>
        </w:rPr>
        <w:t>万m</w:t>
      </w:r>
      <w:r>
        <w:rPr>
          <w:rFonts w:hint="eastAsia"/>
          <w:spacing w:val="-3"/>
          <w:vertAlign w:val="superscript"/>
        </w:rPr>
        <w:t>3</w:t>
      </w:r>
      <w:r>
        <w:rPr>
          <w:rFonts w:hint="eastAsia"/>
          <w:spacing w:val="-3"/>
        </w:rPr>
        <w:t>，用于本项目综合利用，剩余弃方</w:t>
      </w:r>
      <w:r>
        <w:rPr>
          <w:rFonts w:hint="eastAsia"/>
        </w:rPr>
        <w:t>9</w:t>
      </w:r>
      <w:r>
        <w:t>.95</w:t>
      </w:r>
      <w:r>
        <w:rPr>
          <w:rFonts w:hint="eastAsia"/>
        </w:rPr>
        <w:t>万m³。</w:t>
      </w:r>
    </w:p>
    <w:p>
      <w:pPr>
        <w:ind w:firstLine="480"/>
      </w:pPr>
      <w:r>
        <w:rPr>
          <w:rFonts w:hint="eastAsia"/>
        </w:rPr>
        <w:t>根据福清市《研究建筑渣土消纳运输规范化管理有关问题会议纪要》福清市人民政府专题会议纪要〔2019〕260号文件要求，由行政服务中心牵头负责建筑渣土资源供需信息平台的开发建设（</w:t>
      </w:r>
      <w:bookmarkStart w:id="286" w:name="_Hlk197459253"/>
      <w:r>
        <w:rPr>
          <w:rFonts w:cs="Times New Roman"/>
          <w:kern w:val="0"/>
          <w:szCs w:val="24"/>
          <w:lang w:val="zh-CN"/>
        </w:rPr>
        <w:t>福清市建筑垃圾资源信息平台</w:t>
      </w:r>
      <w:bookmarkEnd w:id="286"/>
      <w:r>
        <w:t>http://jzlj.fqggzy.com:8801/home</w:t>
      </w:r>
      <w:r>
        <w:rPr>
          <w:rFonts w:hint="eastAsia"/>
        </w:rPr>
        <w:t>），福清市域内所有建设项目的渣土供需信息、渣土资源调配等均通过该平台统一处理。辖区内建设项目根据建设实际情况，梳理汇总渣土资源供需情况及具体项目清单、弃土量、需土量，并实时报送至市行政服务中心，由市行政服务中心汇总并及时在该信息平台公开发布，并由行政服务中心负责受理渣土运输备案和审批工作。目前建设单位已在平台上完成注册，将根据平台要求完成</w:t>
      </w:r>
      <w:r>
        <w:rPr>
          <w:rFonts w:hint="eastAsia"/>
          <w:spacing w:val="-3"/>
        </w:rPr>
        <w:t>弃方</w:t>
      </w:r>
      <w:r>
        <w:rPr>
          <w:rFonts w:hint="eastAsia"/>
        </w:rPr>
        <w:t>9</w:t>
      </w:r>
      <w:r>
        <w:t>.95</w:t>
      </w:r>
      <w:r>
        <w:rPr>
          <w:rFonts w:hint="eastAsia"/>
        </w:rPr>
        <w:t>万m³，届时余方外运也将向福清市行政服务中心备案并根据规定的路线和余方接纳点，按照规定路线由指定的渣土运输公司承担余方外运工作。</w:t>
      </w:r>
    </w:p>
    <w:p>
      <w:pPr>
        <w:ind w:firstLine="480"/>
      </w:pPr>
      <w:r>
        <w:t>全线土石方量一览表见</w:t>
      </w:r>
      <w:r>
        <w:fldChar w:fldCharType="begin"/>
      </w:r>
      <w:r>
        <w:instrText xml:space="preserve"> REF _Ref193623722 \r \h </w:instrText>
      </w:r>
      <w:r>
        <w:fldChar w:fldCharType="separate"/>
      </w:r>
      <w:r>
        <w:rPr>
          <w:rFonts w:hint="eastAsia"/>
        </w:rPr>
        <w:t>表3.6-1</w:t>
      </w:r>
      <w:r>
        <w:fldChar w:fldCharType="end"/>
      </w:r>
      <w:r>
        <w:t>，土石方平衡见</w:t>
      </w:r>
      <w:r>
        <w:fldChar w:fldCharType="begin"/>
      </w:r>
      <w:r>
        <w:instrText xml:space="preserve"> REF _Ref193623729 \r \h </w:instrText>
      </w:r>
      <w:r>
        <w:fldChar w:fldCharType="separate"/>
      </w:r>
      <w:r>
        <w:rPr>
          <w:rFonts w:hint="eastAsia"/>
        </w:rPr>
        <w:t>图3.6-1</w:t>
      </w:r>
      <w:r>
        <w:fldChar w:fldCharType="end"/>
      </w:r>
      <w:r>
        <w:t>。</w:t>
      </w:r>
    </w:p>
    <w:p>
      <w:pPr>
        <w:ind w:firstLine="480"/>
        <w:sectPr>
          <w:pgSz w:w="11910" w:h="16840"/>
          <w:pgMar w:top="1418" w:right="1418" w:bottom="1418" w:left="1418" w:header="851" w:footer="851" w:gutter="0"/>
          <w:cols w:space="720" w:num="1"/>
        </w:sectPr>
      </w:pPr>
    </w:p>
    <w:p>
      <w:pPr>
        <w:pStyle w:val="87"/>
        <w:spacing w:before="120"/>
      </w:pPr>
      <w:bookmarkStart w:id="287" w:name="_Ref193623722"/>
      <w:r>
        <w:t>全线土石方量一览表</w:t>
      </w:r>
      <w:r>
        <w:rPr>
          <w:rFonts w:hint="eastAsia"/>
        </w:rPr>
        <w:t xml:space="preserve"> </w:t>
      </w:r>
      <w:r>
        <w:t xml:space="preserve">  </w:t>
      </w:r>
      <w:r>
        <w:rPr>
          <w:rFonts w:hint="eastAsia"/>
        </w:rPr>
        <w:t>单位：</w:t>
      </w:r>
      <w:r>
        <w:t>万m</w:t>
      </w:r>
      <w:r>
        <w:rPr>
          <w:vertAlign w:val="superscript"/>
        </w:rPr>
        <w:t>3</w:t>
      </w:r>
      <w:bookmarkEnd w:id="287"/>
    </w:p>
    <w:tbl>
      <w:tblPr>
        <w:tblStyle w:val="39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624"/>
        <w:gridCol w:w="867"/>
        <w:gridCol w:w="509"/>
        <w:gridCol w:w="2345"/>
        <w:gridCol w:w="834"/>
        <w:gridCol w:w="819"/>
        <w:gridCol w:w="852"/>
        <w:gridCol w:w="819"/>
        <w:gridCol w:w="1009"/>
        <w:gridCol w:w="698"/>
        <w:gridCol w:w="819"/>
        <w:gridCol w:w="609"/>
        <w:gridCol w:w="745"/>
        <w:gridCol w:w="1050"/>
        <w:gridCol w:w="695"/>
        <w:gridCol w:w="819"/>
        <w:gridCol w:w="6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Merge w:val="restart"/>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spacing w:before="0" w:after="0"/>
              <w:ind w:left="-48" w:leftChars="-20" w:right="-48" w:rightChars="-20"/>
              <w:jc w:val="center"/>
              <w:rPr>
                <w:rFonts w:eastAsia="New York"/>
                <w:sz w:val="18"/>
                <w:szCs w:val="18"/>
              </w:rPr>
            </w:pPr>
            <w:r>
              <w:rPr>
                <w:rFonts w:hint="eastAsia" w:ascii="宋体" w:hAnsi="宋体" w:eastAsia="宋体"/>
                <w:sz w:val="18"/>
                <w:szCs w:val="18"/>
              </w:rPr>
              <w:t>序号</w:t>
            </w:r>
          </w:p>
        </w:tc>
        <w:tc>
          <w:tcPr>
            <w:tcW w:w="1258" w:type="pct"/>
            <w:gridSpan w:val="3"/>
            <w:vMerge w:val="restart"/>
            <w:tcBorders>
              <w:top w:val="single" w:color="auto" w:sz="12" w:space="0"/>
              <w:bottom w:val="nil"/>
              <w:right w:val="single" w:color="auto" w:sz="6" w:space="0"/>
              <w:insideH w:val="nil"/>
              <w:insideV w:val="single" w:sz="6" w:space="0"/>
              <w:tl2br w:val="nil"/>
              <w:tr2bl w:val="nil"/>
            </w:tcBorders>
            <w:vAlign w:val="center"/>
          </w:tcPr>
          <w:p>
            <w:pPr>
              <w:pStyle w:val="105"/>
              <w:widowControl w:val="0"/>
              <w:spacing w:before="0" w:after="0"/>
              <w:ind w:left="-48" w:leftChars="-20" w:right="-48" w:rightChars="-20"/>
              <w:jc w:val="center"/>
              <w:rPr>
                <w:rFonts w:eastAsia="New York"/>
                <w:sz w:val="18"/>
                <w:szCs w:val="18"/>
              </w:rPr>
            </w:pPr>
            <w:r>
              <w:rPr>
                <w:rFonts w:hint="eastAsia" w:ascii="宋体" w:hAnsi="宋体" w:eastAsia="宋体"/>
                <w:spacing w:val="-3"/>
                <w:sz w:val="18"/>
                <w:szCs w:val="18"/>
              </w:rPr>
              <w:t>项目</w:t>
            </w:r>
          </w:p>
        </w:tc>
        <w:tc>
          <w:tcPr>
            <w:tcW w:w="847" w:type="pct"/>
            <w:gridSpan w:val="3"/>
            <w:tcBorders>
              <w:top w:val="single" w:color="auto" w:sz="12" w:space="0"/>
              <w:bottom w:val="nil"/>
              <w:right w:val="single" w:color="auto" w:sz="6" w:space="0"/>
              <w:insideH w:val="nil"/>
              <w:insideV w:val="single" w:sz="6" w:space="0"/>
              <w:tl2br w:val="nil"/>
              <w:tr2bl w:val="nil"/>
            </w:tcBorders>
            <w:vAlign w:val="center"/>
          </w:tcPr>
          <w:p>
            <w:pPr>
              <w:pStyle w:val="105"/>
              <w:widowControl w:val="0"/>
              <w:spacing w:before="0" w:after="0"/>
              <w:ind w:left="-48" w:leftChars="-20" w:right="-48" w:rightChars="-20"/>
              <w:jc w:val="center"/>
              <w:rPr>
                <w:rFonts w:eastAsia="New York"/>
                <w:sz w:val="18"/>
                <w:szCs w:val="18"/>
              </w:rPr>
            </w:pPr>
            <w:r>
              <w:rPr>
                <w:rFonts w:hint="eastAsia" w:ascii="宋体" w:hAnsi="宋体" w:eastAsia="宋体"/>
                <w:sz w:val="18"/>
                <w:szCs w:val="18"/>
              </w:rPr>
              <w:t>挖方</w:t>
            </w:r>
          </w:p>
        </w:tc>
        <w:tc>
          <w:tcPr>
            <w:tcW w:w="854" w:type="pct"/>
            <w:gridSpan w:val="3"/>
            <w:tcBorders>
              <w:top w:val="single" w:color="auto" w:sz="12" w:space="0"/>
              <w:bottom w:val="nil"/>
              <w:right w:val="single" w:color="auto" w:sz="6" w:space="0"/>
              <w:insideH w:val="nil"/>
              <w:insideV w:val="single" w:sz="6" w:space="0"/>
              <w:tl2br w:val="nil"/>
              <w:tr2bl w:val="nil"/>
            </w:tcBorders>
            <w:vAlign w:val="center"/>
          </w:tcPr>
          <w:p>
            <w:pPr>
              <w:pStyle w:val="105"/>
              <w:widowControl w:val="0"/>
              <w:spacing w:before="0" w:after="0"/>
              <w:ind w:left="-48" w:leftChars="-20" w:right="-48" w:rightChars="-20"/>
              <w:jc w:val="center"/>
              <w:rPr>
                <w:rFonts w:eastAsia="New York"/>
                <w:sz w:val="18"/>
                <w:szCs w:val="18"/>
              </w:rPr>
            </w:pPr>
            <w:r>
              <w:rPr>
                <w:rFonts w:hint="eastAsia" w:ascii="宋体" w:hAnsi="宋体" w:eastAsia="宋体"/>
                <w:sz w:val="18"/>
                <w:szCs w:val="18"/>
              </w:rPr>
              <w:t>填方</w:t>
            </w:r>
          </w:p>
        </w:tc>
        <w:tc>
          <w:tcPr>
            <w:tcW w:w="483" w:type="pct"/>
            <w:gridSpan w:val="2"/>
            <w:tcBorders>
              <w:top w:val="single" w:color="auto" w:sz="12" w:space="0"/>
              <w:bottom w:val="nil"/>
              <w:right w:val="single" w:color="auto" w:sz="6" w:space="0"/>
              <w:insideH w:val="nil"/>
              <w:insideV w:val="single" w:sz="6" w:space="0"/>
              <w:tl2br w:val="nil"/>
              <w:tr2bl w:val="nil"/>
            </w:tcBorders>
            <w:vAlign w:val="center"/>
          </w:tcPr>
          <w:p>
            <w:pPr>
              <w:pStyle w:val="105"/>
              <w:widowControl w:val="0"/>
              <w:spacing w:before="0" w:after="0"/>
              <w:ind w:left="-48" w:leftChars="-20" w:right="-48" w:rightChars="-20"/>
              <w:jc w:val="center"/>
              <w:rPr>
                <w:rFonts w:eastAsia="New York"/>
                <w:sz w:val="18"/>
                <w:szCs w:val="18"/>
              </w:rPr>
            </w:pPr>
            <w:r>
              <w:rPr>
                <w:rFonts w:hint="eastAsia" w:ascii="宋体" w:hAnsi="宋体" w:eastAsia="宋体"/>
                <w:sz w:val="18"/>
                <w:szCs w:val="18"/>
              </w:rPr>
              <w:t>调入</w:t>
            </w:r>
          </w:p>
        </w:tc>
        <w:tc>
          <w:tcPr>
            <w:tcW w:w="607" w:type="pct"/>
            <w:gridSpan w:val="2"/>
            <w:tcBorders>
              <w:top w:val="single" w:color="auto" w:sz="12" w:space="0"/>
              <w:bottom w:val="nil"/>
              <w:right w:val="single" w:color="auto" w:sz="6" w:space="0"/>
              <w:insideH w:val="nil"/>
              <w:insideV w:val="single" w:sz="6" w:space="0"/>
              <w:tl2br w:val="nil"/>
              <w:tr2bl w:val="nil"/>
            </w:tcBorders>
            <w:vAlign w:val="center"/>
          </w:tcPr>
          <w:p>
            <w:pPr>
              <w:pStyle w:val="105"/>
              <w:widowControl w:val="0"/>
              <w:spacing w:before="0" w:after="0"/>
              <w:ind w:left="-48" w:leftChars="-20" w:right="-48" w:rightChars="-20"/>
              <w:jc w:val="center"/>
              <w:rPr>
                <w:rFonts w:eastAsia="New York"/>
                <w:sz w:val="18"/>
                <w:szCs w:val="18"/>
              </w:rPr>
            </w:pPr>
            <w:r>
              <w:rPr>
                <w:rFonts w:hint="eastAsia" w:ascii="宋体" w:hAnsi="宋体" w:eastAsia="宋体"/>
                <w:sz w:val="18"/>
                <w:szCs w:val="18"/>
              </w:rPr>
              <w:t>调出</w:t>
            </w:r>
          </w:p>
        </w:tc>
        <w:tc>
          <w:tcPr>
            <w:tcW w:w="740" w:type="pct"/>
            <w:gridSpan w:val="3"/>
            <w:tcBorders>
              <w:top w:val="single" w:color="auto" w:sz="12" w:space="0"/>
              <w:bottom w:val="nil"/>
              <w:right w:val="nil"/>
              <w:insideH w:val="nil"/>
              <w:insideV w:val="single" w:sz="6" w:space="0"/>
              <w:tl2br w:val="nil"/>
              <w:tr2bl w:val="nil"/>
            </w:tcBorders>
            <w:vAlign w:val="center"/>
          </w:tcPr>
          <w:p>
            <w:pPr>
              <w:pStyle w:val="105"/>
              <w:widowControl w:val="0"/>
              <w:spacing w:before="0" w:after="0"/>
              <w:ind w:left="-48" w:leftChars="-20" w:right="-48" w:rightChars="-20"/>
              <w:jc w:val="center"/>
              <w:rPr>
                <w:rFonts w:eastAsia="New York"/>
                <w:sz w:val="18"/>
                <w:szCs w:val="18"/>
              </w:rPr>
            </w:pPr>
            <w:r>
              <w:rPr>
                <w:rFonts w:hint="eastAsia" w:ascii="宋体" w:hAnsi="宋体" w:eastAsia="宋体"/>
                <w:sz w:val="18"/>
                <w:szCs w:val="18"/>
              </w:rPr>
              <w:t>余（弃）方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Merge w:val="continue"/>
            <w:tcBorders>
              <w:top w:val="single" w:color="auto" w:sz="12" w:space="0"/>
            </w:tcBorders>
            <w:vAlign w:val="center"/>
          </w:tcPr>
          <w:p>
            <w:pPr>
              <w:pStyle w:val="105"/>
              <w:widowControl w:val="0"/>
              <w:spacing w:before="0" w:after="0"/>
              <w:ind w:left="-48" w:leftChars="-20" w:right="-48" w:rightChars="-20"/>
              <w:jc w:val="center"/>
              <w:rPr>
                <w:sz w:val="18"/>
                <w:szCs w:val="18"/>
              </w:rPr>
            </w:pPr>
          </w:p>
        </w:tc>
        <w:tc>
          <w:tcPr>
            <w:tcW w:w="1258" w:type="pct"/>
            <w:gridSpan w:val="3"/>
            <w:vMerge w:val="continue"/>
            <w:tcBorders>
              <w:top w:val="single" w:color="auto" w:sz="12" w:space="0"/>
            </w:tcBorders>
            <w:vAlign w:val="center"/>
          </w:tcPr>
          <w:p>
            <w:pPr>
              <w:pStyle w:val="105"/>
              <w:widowControl w:val="0"/>
              <w:spacing w:before="0" w:after="0"/>
              <w:ind w:left="-48" w:leftChars="-20" w:right="-48" w:rightChars="-20"/>
              <w:jc w:val="center"/>
              <w:rPr>
                <w:sz w:val="18"/>
                <w:szCs w:val="18"/>
              </w:rPr>
            </w:pPr>
          </w:p>
        </w:tc>
        <w:tc>
          <w:tcPr>
            <w:tcW w:w="282"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2"/>
                <w:sz w:val="18"/>
                <w:szCs w:val="18"/>
              </w:rPr>
              <w:t>小计</w:t>
            </w:r>
          </w:p>
        </w:tc>
        <w:tc>
          <w:tcPr>
            <w:tcW w:w="277"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3"/>
                <w:sz w:val="18"/>
                <w:szCs w:val="18"/>
              </w:rPr>
              <w:t>土方</w:t>
            </w:r>
          </w:p>
        </w:tc>
        <w:tc>
          <w:tcPr>
            <w:tcW w:w="288"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4"/>
                <w:sz w:val="18"/>
                <w:szCs w:val="18"/>
              </w:rPr>
              <w:t>石方</w:t>
            </w:r>
          </w:p>
        </w:tc>
        <w:tc>
          <w:tcPr>
            <w:tcW w:w="277"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2"/>
                <w:sz w:val="18"/>
                <w:szCs w:val="18"/>
              </w:rPr>
              <w:t>小计</w:t>
            </w:r>
          </w:p>
        </w:tc>
        <w:tc>
          <w:tcPr>
            <w:tcW w:w="341"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3"/>
                <w:sz w:val="18"/>
                <w:szCs w:val="18"/>
              </w:rPr>
              <w:t>土方</w:t>
            </w:r>
          </w:p>
        </w:tc>
        <w:tc>
          <w:tcPr>
            <w:tcW w:w="236"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z w:val="18"/>
                <w:szCs w:val="18"/>
              </w:rPr>
              <w:t>石方</w:t>
            </w:r>
          </w:p>
        </w:tc>
        <w:tc>
          <w:tcPr>
            <w:tcW w:w="277"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3"/>
                <w:sz w:val="18"/>
                <w:szCs w:val="18"/>
              </w:rPr>
              <w:t>数量</w:t>
            </w:r>
          </w:p>
        </w:tc>
        <w:tc>
          <w:tcPr>
            <w:tcW w:w="206"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z w:val="18"/>
                <w:szCs w:val="18"/>
              </w:rPr>
              <w:t>来源</w:t>
            </w:r>
          </w:p>
        </w:tc>
        <w:tc>
          <w:tcPr>
            <w:tcW w:w="252"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3"/>
                <w:sz w:val="18"/>
                <w:szCs w:val="18"/>
              </w:rPr>
              <w:t>数量</w:t>
            </w:r>
          </w:p>
        </w:tc>
        <w:tc>
          <w:tcPr>
            <w:tcW w:w="355"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4"/>
                <w:sz w:val="18"/>
                <w:szCs w:val="18"/>
              </w:rPr>
              <w:t>去向</w:t>
            </w:r>
          </w:p>
        </w:tc>
        <w:tc>
          <w:tcPr>
            <w:tcW w:w="235"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1"/>
                <w:sz w:val="18"/>
                <w:szCs w:val="18"/>
              </w:rPr>
              <w:t>土方</w:t>
            </w:r>
          </w:p>
        </w:tc>
        <w:tc>
          <w:tcPr>
            <w:tcW w:w="277"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pacing w:val="-8"/>
                <w:sz w:val="18"/>
                <w:szCs w:val="18"/>
              </w:rPr>
              <w:t>石方</w:t>
            </w:r>
          </w:p>
        </w:tc>
        <w:tc>
          <w:tcPr>
            <w:tcW w:w="228" w:type="pct"/>
            <w:tcBorders>
              <w:top w:val="single" w:color="auto" w:sz="12" w:space="0"/>
            </w:tcBorders>
            <w:vAlign w:val="center"/>
          </w:tcPr>
          <w:p>
            <w:pPr>
              <w:pStyle w:val="105"/>
              <w:widowControl w:val="0"/>
              <w:spacing w:before="0" w:after="0"/>
              <w:ind w:left="-48" w:leftChars="-20" w:right="-48" w:rightChars="-20"/>
              <w:jc w:val="center"/>
              <w:rPr>
                <w:sz w:val="18"/>
                <w:szCs w:val="18"/>
              </w:rPr>
            </w:pPr>
            <w:r>
              <w:rPr>
                <w:rFonts w:hint="eastAsia" w:ascii="宋体" w:hAnsi="宋体"/>
                <w:sz w:val="18"/>
                <w:szCs w:val="18"/>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A</w:t>
            </w:r>
          </w:p>
        </w:tc>
        <w:tc>
          <w:tcPr>
            <w:tcW w:w="293" w:type="pct"/>
            <w:vMerge w:val="restart"/>
            <w:vAlign w:val="center"/>
          </w:tcPr>
          <w:p>
            <w:pPr>
              <w:pStyle w:val="105"/>
              <w:widowControl w:val="0"/>
              <w:spacing w:before="0" w:after="0"/>
              <w:ind w:left="-48" w:leftChars="-20" w:right="-48" w:rightChars="-20"/>
              <w:jc w:val="center"/>
              <w:rPr>
                <w:sz w:val="18"/>
                <w:szCs w:val="18"/>
              </w:rPr>
            </w:pPr>
            <w:r>
              <w:rPr>
                <w:spacing w:val="-3"/>
                <w:sz w:val="18"/>
                <w:szCs w:val="18"/>
              </w:rPr>
              <w:t>路基工程</w:t>
            </w:r>
            <w:r>
              <w:rPr>
                <w:sz w:val="18"/>
                <w:szCs w:val="18"/>
              </w:rPr>
              <w:t>区</w:t>
            </w:r>
          </w:p>
        </w:tc>
        <w:tc>
          <w:tcPr>
            <w:tcW w:w="172" w:type="pct"/>
            <w:vMerge w:val="restart"/>
            <w:vAlign w:val="center"/>
          </w:tcPr>
          <w:p>
            <w:pPr>
              <w:pStyle w:val="105"/>
              <w:widowControl w:val="0"/>
              <w:spacing w:before="0" w:after="0"/>
              <w:ind w:left="-48" w:leftChars="-20" w:right="-48" w:rightChars="-20"/>
              <w:jc w:val="center"/>
              <w:rPr>
                <w:sz w:val="18"/>
                <w:szCs w:val="18"/>
              </w:rPr>
            </w:pPr>
            <w:r>
              <w:rPr>
                <w:spacing w:val="-15"/>
                <w:sz w:val="18"/>
                <w:szCs w:val="18"/>
              </w:rPr>
              <w:t>路基工程</w:t>
            </w:r>
          </w:p>
        </w:tc>
        <w:tc>
          <w:tcPr>
            <w:tcW w:w="793"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K0+000~K1+000</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26.89</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17.88</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2"/>
                <w:sz w:val="18"/>
                <w:szCs w:val="18"/>
              </w:rPr>
              <w:t>9.01</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1.96</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1.96</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15.23</w:t>
            </w:r>
          </w:p>
        </w:tc>
        <w:tc>
          <w:tcPr>
            <w:tcW w:w="35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BCDGJ</w:t>
            </w: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0.80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2"/>
                <w:sz w:val="18"/>
                <w:szCs w:val="18"/>
              </w:rPr>
              <w:t>8.90</w:t>
            </w: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B</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172" w:type="pct"/>
            <w:vMerge w:val="continue"/>
            <w:vAlign w:val="center"/>
          </w:tcPr>
          <w:p>
            <w:pPr>
              <w:pStyle w:val="105"/>
              <w:widowControl w:val="0"/>
              <w:spacing w:before="0" w:after="0"/>
              <w:ind w:left="-48" w:leftChars="-20" w:right="-48" w:rightChars="-20"/>
              <w:jc w:val="center"/>
              <w:rPr>
                <w:sz w:val="18"/>
                <w:szCs w:val="18"/>
              </w:rPr>
            </w:pPr>
          </w:p>
        </w:tc>
        <w:tc>
          <w:tcPr>
            <w:tcW w:w="793"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K1+000~K2+000</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0.51</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0.51</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2"/>
                <w:sz w:val="18"/>
                <w:szCs w:val="18"/>
              </w:rPr>
              <w:t>3.26</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2"/>
                <w:sz w:val="18"/>
                <w:szCs w:val="18"/>
              </w:rPr>
              <w:t>3.26</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2.76</w:t>
            </w:r>
          </w:p>
        </w:tc>
        <w:tc>
          <w:tcPr>
            <w:tcW w:w="20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A</w:t>
            </w: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C</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172" w:type="pct"/>
            <w:vMerge w:val="continue"/>
            <w:vAlign w:val="center"/>
          </w:tcPr>
          <w:p>
            <w:pPr>
              <w:pStyle w:val="105"/>
              <w:widowControl w:val="0"/>
              <w:spacing w:before="0" w:after="0"/>
              <w:ind w:left="-48" w:leftChars="-20" w:right="-48" w:rightChars="-20"/>
              <w:jc w:val="center"/>
              <w:rPr>
                <w:sz w:val="18"/>
                <w:szCs w:val="18"/>
              </w:rPr>
            </w:pPr>
          </w:p>
        </w:tc>
        <w:tc>
          <w:tcPr>
            <w:tcW w:w="793"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K2+000~K3+000</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0.03</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0.03</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10.86</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10.86</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10.82</w:t>
            </w:r>
          </w:p>
        </w:tc>
        <w:tc>
          <w:tcPr>
            <w:tcW w:w="20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A</w:t>
            </w: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D</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172" w:type="pct"/>
            <w:vMerge w:val="continue"/>
            <w:vAlign w:val="center"/>
          </w:tcPr>
          <w:p>
            <w:pPr>
              <w:pStyle w:val="105"/>
              <w:widowControl w:val="0"/>
              <w:spacing w:before="0" w:after="0"/>
              <w:ind w:left="-48" w:leftChars="-20" w:right="-48" w:rightChars="-20"/>
              <w:jc w:val="center"/>
              <w:rPr>
                <w:sz w:val="18"/>
                <w:szCs w:val="18"/>
              </w:rPr>
            </w:pPr>
          </w:p>
        </w:tc>
        <w:tc>
          <w:tcPr>
            <w:tcW w:w="793"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K3+000~K4+000</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1.74</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1.74</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1.83</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1.83</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0.09</w:t>
            </w:r>
          </w:p>
        </w:tc>
        <w:tc>
          <w:tcPr>
            <w:tcW w:w="20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A</w:t>
            </w: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E</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172" w:type="pct"/>
            <w:vMerge w:val="continue"/>
            <w:vAlign w:val="center"/>
          </w:tcPr>
          <w:p>
            <w:pPr>
              <w:pStyle w:val="105"/>
              <w:widowControl w:val="0"/>
              <w:spacing w:before="0" w:after="0"/>
              <w:ind w:left="-48" w:leftChars="-20" w:right="-48" w:rightChars="-20"/>
              <w:jc w:val="center"/>
              <w:rPr>
                <w:sz w:val="18"/>
                <w:szCs w:val="18"/>
              </w:rPr>
            </w:pPr>
          </w:p>
        </w:tc>
        <w:tc>
          <w:tcPr>
            <w:tcW w:w="793"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K4+000~K5+000</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2"/>
                <w:sz w:val="18"/>
                <w:szCs w:val="18"/>
              </w:rPr>
              <w:t>6.28</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2"/>
                <w:sz w:val="18"/>
                <w:szCs w:val="18"/>
              </w:rPr>
              <w:t>3.32</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2.97</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1.07</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1.07</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2.24</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2.97</w:t>
            </w: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F</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172" w:type="pct"/>
            <w:vMerge w:val="continue"/>
            <w:vAlign w:val="center"/>
          </w:tcPr>
          <w:p>
            <w:pPr>
              <w:pStyle w:val="105"/>
              <w:widowControl w:val="0"/>
              <w:spacing w:before="0" w:after="0"/>
              <w:ind w:left="-48" w:leftChars="-20" w:right="-48" w:rightChars="-20"/>
              <w:jc w:val="center"/>
              <w:rPr>
                <w:sz w:val="18"/>
                <w:szCs w:val="18"/>
              </w:rPr>
            </w:pPr>
          </w:p>
        </w:tc>
        <w:tc>
          <w:tcPr>
            <w:tcW w:w="793"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K5+000~K5+000</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0.13</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0.12</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0.01</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0.12</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0.12</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0.01</w:t>
            </w: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G</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172" w:type="pct"/>
            <w:vMerge w:val="continue"/>
            <w:vAlign w:val="center"/>
          </w:tcPr>
          <w:p>
            <w:pPr>
              <w:pStyle w:val="105"/>
              <w:widowControl w:val="0"/>
              <w:spacing w:before="0" w:after="0"/>
              <w:ind w:left="-48" w:leftChars="-20" w:right="-48" w:rightChars="-20"/>
              <w:jc w:val="center"/>
              <w:rPr>
                <w:sz w:val="18"/>
                <w:szCs w:val="18"/>
              </w:rPr>
            </w:pPr>
          </w:p>
        </w:tc>
        <w:tc>
          <w:tcPr>
            <w:tcW w:w="793"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LK0+000~LK0+090</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0.01</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0.01</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0.46</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0.46</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0.45</w:t>
            </w:r>
          </w:p>
        </w:tc>
        <w:tc>
          <w:tcPr>
            <w:tcW w:w="20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A</w:t>
            </w: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H</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172" w:type="pct"/>
            <w:vMerge w:val="continue"/>
            <w:vAlign w:val="center"/>
          </w:tcPr>
          <w:p>
            <w:pPr>
              <w:pStyle w:val="105"/>
              <w:widowControl w:val="0"/>
              <w:spacing w:before="0" w:after="0"/>
              <w:ind w:left="-48" w:leftChars="-20" w:right="-48" w:rightChars="-20"/>
              <w:jc w:val="center"/>
              <w:rPr>
                <w:sz w:val="18"/>
                <w:szCs w:val="18"/>
              </w:rPr>
            </w:pPr>
          </w:p>
        </w:tc>
        <w:tc>
          <w:tcPr>
            <w:tcW w:w="793" w:type="pct"/>
            <w:vAlign w:val="center"/>
          </w:tcPr>
          <w:p>
            <w:pPr>
              <w:pStyle w:val="105"/>
              <w:widowControl w:val="0"/>
              <w:spacing w:before="0" w:after="0"/>
              <w:ind w:left="-48" w:leftChars="-20" w:right="-48" w:rightChars="-20"/>
              <w:jc w:val="center"/>
              <w:rPr>
                <w:sz w:val="18"/>
                <w:szCs w:val="18"/>
              </w:rPr>
            </w:pPr>
            <w:r>
              <w:rPr>
                <w:spacing w:val="-2"/>
                <w:sz w:val="18"/>
                <w:szCs w:val="18"/>
              </w:rPr>
              <w:t>小计</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35.59</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23.61</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11.98</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19.56</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19.56</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14.12</w:t>
            </w: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15.23</w:t>
            </w: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2"/>
                <w:sz w:val="18"/>
                <w:szCs w:val="18"/>
              </w:rPr>
              <w:t>3.04</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11.98</w:t>
            </w: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I</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pacing w:val="-2"/>
                <w:sz w:val="18"/>
                <w:szCs w:val="18"/>
              </w:rPr>
              <w:t>拆迁工程</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0.29</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0.29</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0.29</w:t>
            </w: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J</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pacing w:val="-2"/>
                <w:sz w:val="18"/>
                <w:szCs w:val="18"/>
              </w:rPr>
              <w:t>换填工程</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1.11</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1.11</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1.11</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1.11</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1.11</w:t>
            </w:r>
          </w:p>
        </w:tc>
        <w:tc>
          <w:tcPr>
            <w:tcW w:w="20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A</w:t>
            </w: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1.11</w:t>
            </w: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K</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pacing w:val="-3"/>
                <w:sz w:val="18"/>
                <w:szCs w:val="18"/>
              </w:rPr>
              <w:t>涵洞工程</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2"/>
                <w:sz w:val="18"/>
                <w:szCs w:val="18"/>
              </w:rPr>
              <w:t>0.56</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0.56</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0.30</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0.30</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0.26</w:t>
            </w: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L</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pacing w:val="-1"/>
                <w:sz w:val="18"/>
                <w:szCs w:val="18"/>
              </w:rPr>
              <w:t>表土剥离工程</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0.90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0.90</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0.07</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0.07</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0.83</w:t>
            </w:r>
          </w:p>
        </w:tc>
        <w:tc>
          <w:tcPr>
            <w:tcW w:w="35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2"/>
                <w:sz w:val="18"/>
                <w:szCs w:val="18"/>
              </w:rPr>
              <w:t>O/</w:t>
            </w:r>
            <w:r>
              <w:rPr>
                <w:sz w:val="18"/>
                <w:szCs w:val="18"/>
              </w:rPr>
              <w:t xml:space="preserve"> X</w:t>
            </w: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M</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pacing w:val="-2"/>
                <w:sz w:val="18"/>
                <w:szCs w:val="18"/>
              </w:rPr>
              <w:t>小计</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38.45</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26.18</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12.27</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21.04</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21.04</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15.23</w:t>
            </w: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4"/>
                <w:sz w:val="18"/>
                <w:szCs w:val="18"/>
              </w:rPr>
              <w:t>16.06</w:t>
            </w: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4.41</w:t>
            </w:r>
          </w:p>
        </w:tc>
        <w:tc>
          <w:tcPr>
            <w:tcW w:w="277" w:type="pct"/>
            <w:vAlign w:val="center"/>
          </w:tcPr>
          <w:p>
            <w:pPr>
              <w:widowControl/>
              <w:adjustRightInd/>
              <w:spacing w:line="240" w:lineRule="auto"/>
              <w:ind w:firstLine="0" w:firstLineChars="0"/>
              <w:jc w:val="center"/>
              <w:rPr>
                <w:rFonts w:eastAsia="Times New Roman" w:cs="Times New Roman"/>
                <w:sz w:val="18"/>
                <w:szCs w:val="18"/>
              </w:rPr>
            </w:pPr>
            <w:r>
              <w:rPr>
                <w:rFonts w:eastAsia="等线" w:cs="Times New Roman"/>
                <w:sz w:val="18"/>
                <w:szCs w:val="18"/>
              </w:rPr>
              <w:t>12.17</w:t>
            </w: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3"/>
                <w:sz w:val="18"/>
                <w:szCs w:val="18"/>
              </w:rPr>
              <w:t>N</w:t>
            </w:r>
          </w:p>
        </w:tc>
        <w:tc>
          <w:tcPr>
            <w:tcW w:w="293" w:type="pct"/>
            <w:vMerge w:val="restart"/>
            <w:vAlign w:val="center"/>
          </w:tcPr>
          <w:p>
            <w:pPr>
              <w:pStyle w:val="105"/>
              <w:widowControl w:val="0"/>
              <w:spacing w:before="0" w:after="0"/>
              <w:ind w:left="-48" w:leftChars="-20" w:right="-48" w:rightChars="-20"/>
              <w:jc w:val="center"/>
              <w:rPr>
                <w:sz w:val="18"/>
                <w:szCs w:val="18"/>
              </w:rPr>
            </w:pPr>
            <w:r>
              <w:rPr>
                <w:spacing w:val="-2"/>
                <w:sz w:val="18"/>
                <w:szCs w:val="18"/>
              </w:rPr>
              <w:t>边坡</w:t>
            </w:r>
            <w:r>
              <w:rPr>
                <w:spacing w:val="-7"/>
                <w:sz w:val="18"/>
                <w:szCs w:val="18"/>
              </w:rPr>
              <w:t>防护</w:t>
            </w:r>
            <w:r>
              <w:rPr>
                <w:spacing w:val="-3"/>
                <w:sz w:val="18"/>
                <w:szCs w:val="18"/>
              </w:rPr>
              <w:t>工程</w:t>
            </w:r>
            <w:r>
              <w:rPr>
                <w:sz w:val="18"/>
                <w:szCs w:val="18"/>
              </w:rPr>
              <w:t>区</w:t>
            </w:r>
          </w:p>
        </w:tc>
        <w:tc>
          <w:tcPr>
            <w:tcW w:w="965" w:type="pct"/>
            <w:gridSpan w:val="2"/>
            <w:vAlign w:val="center"/>
          </w:tcPr>
          <w:p>
            <w:pPr>
              <w:pStyle w:val="105"/>
              <w:widowControl w:val="0"/>
              <w:spacing w:before="0" w:after="0"/>
              <w:ind w:left="-48" w:leftChars="-20" w:right="-48" w:rightChars="-20"/>
              <w:jc w:val="center"/>
              <w:rPr>
                <w:sz w:val="18"/>
                <w:szCs w:val="18"/>
              </w:rPr>
            </w:pPr>
            <w:r>
              <w:rPr>
                <w:spacing w:val="-2"/>
                <w:sz w:val="18"/>
                <w:szCs w:val="18"/>
              </w:rPr>
              <w:t>边坡工程</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0.42</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0.42</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0.42</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0.42</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O</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pacing w:val="-1"/>
                <w:sz w:val="18"/>
                <w:szCs w:val="18"/>
              </w:rPr>
              <w:t>表土剥离及覆土工程</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0.40</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1.22</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1.22</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0.82</w:t>
            </w:r>
          </w:p>
        </w:tc>
        <w:tc>
          <w:tcPr>
            <w:tcW w:w="20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L</w:t>
            </w: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P</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pacing w:val="-2"/>
                <w:sz w:val="18"/>
                <w:szCs w:val="18"/>
              </w:rPr>
              <w:t>小计</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0.82</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0.82</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1.64</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5"/>
                <w:sz w:val="18"/>
                <w:szCs w:val="18"/>
              </w:rPr>
              <w:t>1.64</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0.82</w:t>
            </w: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z w:val="18"/>
                <w:szCs w:val="18"/>
              </w:rPr>
              <w:t>Q</w:t>
            </w:r>
          </w:p>
        </w:tc>
        <w:tc>
          <w:tcPr>
            <w:tcW w:w="293" w:type="pct"/>
            <w:vMerge w:val="restart"/>
            <w:vAlign w:val="center"/>
          </w:tcPr>
          <w:p>
            <w:pPr>
              <w:pStyle w:val="105"/>
              <w:widowControl w:val="0"/>
              <w:spacing w:before="0" w:after="0"/>
              <w:ind w:left="-48" w:leftChars="-20" w:right="-48" w:rightChars="-20"/>
              <w:jc w:val="center"/>
              <w:rPr>
                <w:sz w:val="18"/>
                <w:szCs w:val="18"/>
              </w:rPr>
            </w:pPr>
            <w:r>
              <w:rPr>
                <w:spacing w:val="-1"/>
                <w:sz w:val="18"/>
                <w:szCs w:val="18"/>
              </w:rPr>
              <w:t>桥梁</w:t>
            </w:r>
          </w:p>
          <w:p>
            <w:pPr>
              <w:pStyle w:val="105"/>
              <w:widowControl w:val="0"/>
              <w:spacing w:before="0" w:after="0"/>
              <w:ind w:left="-48" w:leftChars="-20" w:right="-48" w:rightChars="-20"/>
              <w:jc w:val="center"/>
              <w:rPr>
                <w:sz w:val="18"/>
                <w:szCs w:val="18"/>
              </w:rPr>
            </w:pPr>
            <w:r>
              <w:rPr>
                <w:rFonts w:hint="eastAsia" w:ascii="宋体" w:hAnsi="宋体"/>
                <w:sz w:val="18"/>
                <w:szCs w:val="18"/>
              </w:rPr>
              <w:t>工程区</w:t>
            </w:r>
          </w:p>
        </w:tc>
        <w:tc>
          <w:tcPr>
            <w:tcW w:w="965" w:type="pct"/>
            <w:gridSpan w:val="2"/>
            <w:vAlign w:val="center"/>
          </w:tcPr>
          <w:p>
            <w:pPr>
              <w:pStyle w:val="105"/>
              <w:widowControl w:val="0"/>
              <w:spacing w:before="0" w:after="0"/>
              <w:ind w:left="-48" w:leftChars="-20" w:right="-48" w:rightChars="-20"/>
              <w:jc w:val="center"/>
              <w:rPr>
                <w:sz w:val="18"/>
                <w:szCs w:val="18"/>
              </w:rPr>
            </w:pPr>
            <w:r>
              <w:rPr>
                <w:spacing w:val="-1"/>
                <w:sz w:val="18"/>
                <w:szCs w:val="18"/>
              </w:rPr>
              <w:t>桥梁基础工程</w:t>
            </w:r>
          </w:p>
        </w:tc>
        <w:tc>
          <w:tcPr>
            <w:tcW w:w="282"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0.40</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0.36</w:t>
            </w:r>
          </w:p>
        </w:tc>
        <w:tc>
          <w:tcPr>
            <w:tcW w:w="288"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0.04</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0.15</w:t>
            </w:r>
          </w:p>
        </w:tc>
        <w:tc>
          <w:tcPr>
            <w:tcW w:w="341"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0.15</w:t>
            </w:r>
          </w:p>
        </w:tc>
        <w:tc>
          <w:tcPr>
            <w:tcW w:w="236"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0.21</w:t>
            </w:r>
          </w:p>
        </w:tc>
        <w:tc>
          <w:tcPr>
            <w:tcW w:w="277" w:type="pct"/>
            <w:vAlign w:val="center"/>
          </w:tcPr>
          <w:p>
            <w:pPr>
              <w:pStyle w:val="105"/>
              <w:widowControl w:val="0"/>
              <w:spacing w:before="0" w:after="0"/>
              <w:ind w:left="-48" w:leftChars="-20" w:right="-48" w:rightChars="-20"/>
              <w:jc w:val="center"/>
              <w:rPr>
                <w:rFonts w:eastAsia="Times New Roman" w:cs="Times New Roman"/>
                <w:sz w:val="18"/>
                <w:szCs w:val="18"/>
              </w:rPr>
            </w:pPr>
            <w:r>
              <w:rPr>
                <w:rFonts w:eastAsia="Times New Roman" w:cs="Times New Roman"/>
                <w:spacing w:val="-1"/>
                <w:sz w:val="18"/>
                <w:szCs w:val="18"/>
              </w:rPr>
              <w:t>0.04</w:t>
            </w: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sz w:val="18"/>
                <w:szCs w:val="18"/>
              </w:rPr>
            </w:pPr>
            <w:r>
              <w:rPr>
                <w:sz w:val="18"/>
                <w:szCs w:val="18"/>
              </w:rPr>
              <w:t>R</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rFonts w:hint="eastAsia" w:ascii="宋体" w:hAnsi="宋体"/>
                <w:sz w:val="18"/>
                <w:szCs w:val="18"/>
              </w:rPr>
              <w:t>表土剥离及覆土工程</w:t>
            </w:r>
          </w:p>
        </w:tc>
        <w:tc>
          <w:tcPr>
            <w:tcW w:w="282" w:type="pct"/>
            <w:vAlign w:val="center"/>
          </w:tcPr>
          <w:p>
            <w:pPr>
              <w:pStyle w:val="105"/>
              <w:widowControl w:val="0"/>
              <w:spacing w:before="0" w:after="0"/>
              <w:ind w:left="-48" w:leftChars="-20" w:right="-48" w:rightChars="-20"/>
              <w:jc w:val="center"/>
              <w:rPr>
                <w:sz w:val="18"/>
                <w:szCs w:val="18"/>
              </w:rPr>
            </w:pPr>
            <w:r>
              <w:rPr>
                <w:sz w:val="18"/>
                <w:szCs w:val="18"/>
              </w:rPr>
              <w:t>0.20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0.20</w:t>
            </w:r>
          </w:p>
        </w:tc>
        <w:tc>
          <w:tcPr>
            <w:tcW w:w="288"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341"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36"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r>
              <w:rPr>
                <w:sz w:val="18"/>
                <w:szCs w:val="18"/>
              </w:rPr>
              <w:t>0.20</w:t>
            </w:r>
          </w:p>
        </w:tc>
        <w:tc>
          <w:tcPr>
            <w:tcW w:w="355" w:type="pct"/>
            <w:vAlign w:val="center"/>
          </w:tcPr>
          <w:p>
            <w:pPr>
              <w:pStyle w:val="105"/>
              <w:widowControl w:val="0"/>
              <w:spacing w:before="0" w:after="0"/>
              <w:ind w:left="-48" w:leftChars="-20" w:right="-48" w:rightChars="-20"/>
              <w:jc w:val="center"/>
              <w:rPr>
                <w:sz w:val="18"/>
                <w:szCs w:val="18"/>
              </w:rPr>
            </w:pPr>
            <w:r>
              <w:rPr>
                <w:sz w:val="18"/>
                <w:szCs w:val="18"/>
              </w:rPr>
              <w:t>U/ X</w:t>
            </w: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sz w:val="18"/>
                <w:szCs w:val="18"/>
              </w:rPr>
            </w:pPr>
            <w:r>
              <w:rPr>
                <w:sz w:val="18"/>
                <w:szCs w:val="18"/>
              </w:rPr>
              <w:t>S</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z w:val="18"/>
                <w:szCs w:val="18"/>
              </w:rPr>
              <w:t>小计</w:t>
            </w:r>
          </w:p>
        </w:tc>
        <w:tc>
          <w:tcPr>
            <w:tcW w:w="282" w:type="pct"/>
            <w:vAlign w:val="center"/>
          </w:tcPr>
          <w:p>
            <w:pPr>
              <w:pStyle w:val="105"/>
              <w:widowControl w:val="0"/>
              <w:spacing w:before="0" w:after="0"/>
              <w:ind w:left="-48" w:leftChars="-20" w:right="-48" w:rightChars="-20"/>
              <w:jc w:val="center"/>
              <w:rPr>
                <w:sz w:val="18"/>
                <w:szCs w:val="18"/>
              </w:rPr>
            </w:pPr>
            <w:r>
              <w:rPr>
                <w:sz w:val="18"/>
                <w:szCs w:val="18"/>
              </w:rPr>
              <w:t>0.56</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0.52</w:t>
            </w:r>
          </w:p>
        </w:tc>
        <w:tc>
          <w:tcPr>
            <w:tcW w:w="288" w:type="pct"/>
            <w:vAlign w:val="center"/>
          </w:tcPr>
          <w:p>
            <w:pPr>
              <w:pStyle w:val="105"/>
              <w:widowControl w:val="0"/>
              <w:spacing w:before="0" w:after="0"/>
              <w:ind w:left="-48" w:leftChars="-20" w:right="-48" w:rightChars="-20"/>
              <w:jc w:val="center"/>
              <w:rPr>
                <w:sz w:val="18"/>
                <w:szCs w:val="18"/>
              </w:rPr>
            </w:pPr>
            <w:r>
              <w:rPr>
                <w:sz w:val="18"/>
                <w:szCs w:val="18"/>
              </w:rPr>
              <w:t>0.04</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0.15</w:t>
            </w:r>
          </w:p>
        </w:tc>
        <w:tc>
          <w:tcPr>
            <w:tcW w:w="341" w:type="pct"/>
            <w:vAlign w:val="center"/>
          </w:tcPr>
          <w:p>
            <w:pPr>
              <w:pStyle w:val="105"/>
              <w:widowControl w:val="0"/>
              <w:spacing w:before="0" w:after="0"/>
              <w:ind w:left="-48" w:leftChars="-20" w:right="-48" w:rightChars="-20"/>
              <w:jc w:val="center"/>
              <w:rPr>
                <w:sz w:val="18"/>
                <w:szCs w:val="18"/>
              </w:rPr>
            </w:pPr>
            <w:r>
              <w:rPr>
                <w:sz w:val="18"/>
                <w:szCs w:val="18"/>
              </w:rPr>
              <w:t>0.15</w:t>
            </w:r>
          </w:p>
        </w:tc>
        <w:tc>
          <w:tcPr>
            <w:tcW w:w="236"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r>
              <w:rPr>
                <w:sz w:val="18"/>
                <w:szCs w:val="18"/>
              </w:rPr>
              <w:t>0.16</w:t>
            </w: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r>
              <w:rPr>
                <w:sz w:val="18"/>
                <w:szCs w:val="18"/>
              </w:rPr>
              <w:t>0.21</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0.04</w:t>
            </w: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sz w:val="18"/>
                <w:szCs w:val="18"/>
              </w:rPr>
            </w:pPr>
            <w:r>
              <w:rPr>
                <w:sz w:val="18"/>
                <w:szCs w:val="18"/>
              </w:rPr>
              <w:t>T</w:t>
            </w:r>
          </w:p>
        </w:tc>
        <w:tc>
          <w:tcPr>
            <w:tcW w:w="293" w:type="pct"/>
            <w:vMerge w:val="restart"/>
            <w:vAlign w:val="center"/>
          </w:tcPr>
          <w:p>
            <w:pPr>
              <w:pStyle w:val="105"/>
              <w:widowControl w:val="0"/>
              <w:spacing w:before="0" w:after="0"/>
              <w:ind w:left="-48" w:leftChars="-20" w:right="-48" w:rightChars="-20"/>
              <w:jc w:val="center"/>
              <w:rPr>
                <w:sz w:val="18"/>
                <w:szCs w:val="18"/>
              </w:rPr>
            </w:pPr>
            <w:r>
              <w:rPr>
                <w:sz w:val="18"/>
                <w:szCs w:val="18"/>
              </w:rPr>
              <w:t>施工场地区</w:t>
            </w:r>
          </w:p>
        </w:tc>
        <w:tc>
          <w:tcPr>
            <w:tcW w:w="965" w:type="pct"/>
            <w:gridSpan w:val="2"/>
            <w:vAlign w:val="center"/>
          </w:tcPr>
          <w:p>
            <w:pPr>
              <w:pStyle w:val="105"/>
              <w:widowControl w:val="0"/>
              <w:spacing w:before="0" w:after="0"/>
              <w:ind w:left="-48" w:leftChars="-20" w:right="-48" w:rightChars="-20"/>
              <w:jc w:val="center"/>
              <w:rPr>
                <w:sz w:val="18"/>
                <w:szCs w:val="18"/>
              </w:rPr>
            </w:pPr>
            <w:r>
              <w:rPr>
                <w:sz w:val="18"/>
                <w:szCs w:val="18"/>
              </w:rPr>
              <w:t>场地平整工程</w:t>
            </w:r>
          </w:p>
        </w:tc>
        <w:tc>
          <w:tcPr>
            <w:tcW w:w="282" w:type="pct"/>
            <w:vAlign w:val="center"/>
          </w:tcPr>
          <w:p>
            <w:pPr>
              <w:pStyle w:val="105"/>
              <w:widowControl w:val="0"/>
              <w:spacing w:before="0" w:after="0"/>
              <w:ind w:left="-48" w:leftChars="-20" w:right="-48" w:rightChars="-20"/>
              <w:jc w:val="center"/>
              <w:rPr>
                <w:sz w:val="18"/>
                <w:szCs w:val="18"/>
              </w:rPr>
            </w:pPr>
            <w:r>
              <w:rPr>
                <w:sz w:val="18"/>
                <w:szCs w:val="18"/>
              </w:rPr>
              <w:t>0.02</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0.02</w:t>
            </w:r>
          </w:p>
        </w:tc>
        <w:tc>
          <w:tcPr>
            <w:tcW w:w="288"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0.02</w:t>
            </w:r>
          </w:p>
        </w:tc>
        <w:tc>
          <w:tcPr>
            <w:tcW w:w="341" w:type="pct"/>
            <w:vAlign w:val="center"/>
          </w:tcPr>
          <w:p>
            <w:pPr>
              <w:pStyle w:val="105"/>
              <w:widowControl w:val="0"/>
              <w:spacing w:before="0" w:after="0"/>
              <w:ind w:left="-48" w:leftChars="-20" w:right="-48" w:rightChars="-20"/>
              <w:jc w:val="center"/>
              <w:rPr>
                <w:sz w:val="18"/>
                <w:szCs w:val="18"/>
              </w:rPr>
            </w:pPr>
            <w:r>
              <w:rPr>
                <w:sz w:val="18"/>
                <w:szCs w:val="18"/>
              </w:rPr>
              <w:t>0.02</w:t>
            </w:r>
          </w:p>
        </w:tc>
        <w:tc>
          <w:tcPr>
            <w:tcW w:w="236"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sz w:val="18"/>
                <w:szCs w:val="18"/>
              </w:rPr>
            </w:pPr>
            <w:r>
              <w:rPr>
                <w:sz w:val="18"/>
                <w:szCs w:val="18"/>
              </w:rPr>
              <w:t>U</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z w:val="18"/>
                <w:szCs w:val="18"/>
              </w:rPr>
              <w:t>表土剥离及覆土工程</w:t>
            </w:r>
          </w:p>
        </w:tc>
        <w:tc>
          <w:tcPr>
            <w:tcW w:w="282" w:type="pct"/>
            <w:vAlign w:val="center"/>
          </w:tcPr>
          <w:p>
            <w:pPr>
              <w:pStyle w:val="105"/>
              <w:widowControl w:val="0"/>
              <w:spacing w:before="0" w:after="0"/>
              <w:ind w:left="-48" w:leftChars="-20" w:right="-48" w:rightChars="-20"/>
              <w:jc w:val="center"/>
              <w:rPr>
                <w:sz w:val="18"/>
                <w:szCs w:val="18"/>
              </w:rPr>
            </w:pPr>
            <w:r>
              <w:rPr>
                <w:sz w:val="18"/>
                <w:szCs w:val="18"/>
              </w:rPr>
              <w:t>0.12</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0.12</w:t>
            </w:r>
          </w:p>
        </w:tc>
        <w:tc>
          <w:tcPr>
            <w:tcW w:w="288"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0.19</w:t>
            </w:r>
          </w:p>
        </w:tc>
        <w:tc>
          <w:tcPr>
            <w:tcW w:w="341" w:type="pct"/>
            <w:vAlign w:val="center"/>
          </w:tcPr>
          <w:p>
            <w:pPr>
              <w:pStyle w:val="105"/>
              <w:widowControl w:val="0"/>
              <w:spacing w:before="0" w:after="0"/>
              <w:ind w:left="-48" w:leftChars="-20" w:right="-48" w:rightChars="-20"/>
              <w:jc w:val="center"/>
              <w:rPr>
                <w:sz w:val="18"/>
                <w:szCs w:val="18"/>
              </w:rPr>
            </w:pPr>
            <w:r>
              <w:rPr>
                <w:sz w:val="18"/>
                <w:szCs w:val="18"/>
              </w:rPr>
              <w:t>0.19</w:t>
            </w:r>
          </w:p>
        </w:tc>
        <w:tc>
          <w:tcPr>
            <w:tcW w:w="236"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0.07</w:t>
            </w:r>
          </w:p>
        </w:tc>
        <w:tc>
          <w:tcPr>
            <w:tcW w:w="206" w:type="pct"/>
            <w:vAlign w:val="center"/>
          </w:tcPr>
          <w:p>
            <w:pPr>
              <w:pStyle w:val="105"/>
              <w:widowControl w:val="0"/>
              <w:spacing w:before="0" w:after="0"/>
              <w:ind w:left="-48" w:leftChars="-20" w:right="-48" w:rightChars="-20"/>
              <w:jc w:val="center"/>
              <w:rPr>
                <w:sz w:val="18"/>
                <w:szCs w:val="18"/>
              </w:rPr>
            </w:pPr>
            <w:r>
              <w:rPr>
                <w:sz w:val="18"/>
                <w:szCs w:val="18"/>
              </w:rPr>
              <w:t>R</w:t>
            </w: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sz w:val="18"/>
                <w:szCs w:val="18"/>
              </w:rPr>
            </w:pPr>
            <w:r>
              <w:rPr>
                <w:sz w:val="18"/>
                <w:szCs w:val="18"/>
              </w:rPr>
              <w:t>V</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z w:val="18"/>
                <w:szCs w:val="18"/>
              </w:rPr>
              <w:t>小计</w:t>
            </w:r>
          </w:p>
        </w:tc>
        <w:tc>
          <w:tcPr>
            <w:tcW w:w="282" w:type="pct"/>
            <w:vAlign w:val="center"/>
          </w:tcPr>
          <w:p>
            <w:pPr>
              <w:pStyle w:val="105"/>
              <w:widowControl w:val="0"/>
              <w:spacing w:before="0" w:after="0"/>
              <w:ind w:left="-48" w:leftChars="-20" w:right="-48" w:rightChars="-20"/>
              <w:jc w:val="center"/>
              <w:rPr>
                <w:sz w:val="18"/>
                <w:szCs w:val="18"/>
              </w:rPr>
            </w:pPr>
            <w:r>
              <w:rPr>
                <w:sz w:val="18"/>
                <w:szCs w:val="18"/>
              </w:rPr>
              <w:t>0.14</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0.14</w:t>
            </w:r>
          </w:p>
        </w:tc>
        <w:tc>
          <w:tcPr>
            <w:tcW w:w="288"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0.21</w:t>
            </w:r>
          </w:p>
        </w:tc>
        <w:tc>
          <w:tcPr>
            <w:tcW w:w="341" w:type="pct"/>
            <w:vAlign w:val="center"/>
          </w:tcPr>
          <w:p>
            <w:pPr>
              <w:pStyle w:val="105"/>
              <w:widowControl w:val="0"/>
              <w:spacing w:before="0" w:after="0"/>
              <w:ind w:left="-48" w:leftChars="-20" w:right="-48" w:rightChars="-20"/>
              <w:jc w:val="center"/>
              <w:rPr>
                <w:sz w:val="18"/>
                <w:szCs w:val="18"/>
              </w:rPr>
            </w:pPr>
            <w:r>
              <w:rPr>
                <w:sz w:val="18"/>
                <w:szCs w:val="18"/>
              </w:rPr>
              <w:t>0.21</w:t>
            </w:r>
          </w:p>
        </w:tc>
        <w:tc>
          <w:tcPr>
            <w:tcW w:w="236"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0.07</w:t>
            </w: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sz w:val="18"/>
                <w:szCs w:val="18"/>
              </w:rPr>
            </w:pPr>
            <w:r>
              <w:rPr>
                <w:sz w:val="18"/>
                <w:szCs w:val="18"/>
              </w:rPr>
              <w:t>W</w:t>
            </w:r>
          </w:p>
        </w:tc>
        <w:tc>
          <w:tcPr>
            <w:tcW w:w="293" w:type="pct"/>
            <w:vMerge w:val="restart"/>
            <w:vAlign w:val="center"/>
          </w:tcPr>
          <w:p>
            <w:pPr>
              <w:pStyle w:val="105"/>
              <w:widowControl w:val="0"/>
              <w:spacing w:before="0" w:after="0"/>
              <w:ind w:left="-48" w:leftChars="-20" w:right="-48" w:rightChars="-20"/>
              <w:jc w:val="center"/>
              <w:rPr>
                <w:sz w:val="18"/>
                <w:szCs w:val="18"/>
              </w:rPr>
            </w:pPr>
            <w:r>
              <w:rPr>
                <w:sz w:val="18"/>
                <w:szCs w:val="18"/>
              </w:rPr>
              <w:t>表土临时堆场区</w:t>
            </w:r>
          </w:p>
        </w:tc>
        <w:tc>
          <w:tcPr>
            <w:tcW w:w="965" w:type="pct"/>
            <w:gridSpan w:val="2"/>
            <w:vAlign w:val="center"/>
          </w:tcPr>
          <w:p>
            <w:pPr>
              <w:pStyle w:val="105"/>
              <w:widowControl w:val="0"/>
              <w:spacing w:before="0" w:after="0"/>
              <w:ind w:left="-48" w:leftChars="-20" w:right="-48" w:rightChars="-20"/>
              <w:jc w:val="center"/>
              <w:rPr>
                <w:sz w:val="18"/>
                <w:szCs w:val="18"/>
              </w:rPr>
            </w:pPr>
            <w:r>
              <w:rPr>
                <w:sz w:val="18"/>
                <w:szCs w:val="18"/>
              </w:rPr>
              <w:t>场地平整工程</w:t>
            </w:r>
          </w:p>
        </w:tc>
        <w:tc>
          <w:tcPr>
            <w:tcW w:w="282" w:type="pct"/>
            <w:vAlign w:val="center"/>
          </w:tcPr>
          <w:p>
            <w:pPr>
              <w:pStyle w:val="105"/>
              <w:widowControl w:val="0"/>
              <w:spacing w:before="0" w:after="0"/>
              <w:ind w:left="-48" w:leftChars="-20" w:right="-48" w:rightChars="-20"/>
              <w:jc w:val="center"/>
              <w:rPr>
                <w:sz w:val="18"/>
                <w:szCs w:val="18"/>
              </w:rPr>
            </w:pPr>
            <w:r>
              <w:rPr>
                <w:sz w:val="18"/>
                <w:szCs w:val="18"/>
              </w:rPr>
              <w:t>0.01</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0.01</w:t>
            </w:r>
          </w:p>
        </w:tc>
        <w:tc>
          <w:tcPr>
            <w:tcW w:w="288"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0.01</w:t>
            </w:r>
          </w:p>
        </w:tc>
        <w:tc>
          <w:tcPr>
            <w:tcW w:w="341" w:type="pct"/>
            <w:vAlign w:val="center"/>
          </w:tcPr>
          <w:p>
            <w:pPr>
              <w:pStyle w:val="105"/>
              <w:widowControl w:val="0"/>
              <w:spacing w:before="0" w:after="0"/>
              <w:ind w:left="-48" w:leftChars="-20" w:right="-48" w:rightChars="-20"/>
              <w:jc w:val="center"/>
              <w:rPr>
                <w:sz w:val="18"/>
                <w:szCs w:val="18"/>
              </w:rPr>
            </w:pPr>
            <w:r>
              <w:rPr>
                <w:sz w:val="18"/>
                <w:szCs w:val="18"/>
              </w:rPr>
              <w:t>0.01</w:t>
            </w:r>
          </w:p>
        </w:tc>
        <w:tc>
          <w:tcPr>
            <w:tcW w:w="236"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sz w:val="18"/>
                <w:szCs w:val="18"/>
              </w:rPr>
            </w:pPr>
            <w:r>
              <w:rPr>
                <w:sz w:val="18"/>
                <w:szCs w:val="18"/>
              </w:rPr>
              <w:t>X</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z w:val="18"/>
                <w:szCs w:val="18"/>
              </w:rPr>
              <w:t>覆土工程</w:t>
            </w:r>
          </w:p>
        </w:tc>
        <w:tc>
          <w:tcPr>
            <w:tcW w:w="282" w:type="pct"/>
            <w:vAlign w:val="center"/>
          </w:tcPr>
          <w:p>
            <w:pPr>
              <w:pStyle w:val="105"/>
              <w:widowControl w:val="0"/>
              <w:spacing w:before="0" w:after="0"/>
              <w:ind w:left="-48" w:leftChars="-20" w:right="-48" w:rightChars="-20"/>
              <w:jc w:val="center"/>
              <w:rPr>
                <w:sz w:val="18"/>
                <w:szCs w:val="18"/>
              </w:rPr>
            </w:pPr>
            <w:r>
              <w:rPr>
                <w:sz w:val="18"/>
                <w:szCs w:val="18"/>
              </w:rPr>
              <w:t>0.18</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0.18</w:t>
            </w:r>
          </w:p>
        </w:tc>
        <w:tc>
          <w:tcPr>
            <w:tcW w:w="288"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0.19</w:t>
            </w:r>
          </w:p>
        </w:tc>
        <w:tc>
          <w:tcPr>
            <w:tcW w:w="341" w:type="pct"/>
            <w:vAlign w:val="center"/>
          </w:tcPr>
          <w:p>
            <w:pPr>
              <w:pStyle w:val="105"/>
              <w:widowControl w:val="0"/>
              <w:spacing w:before="0" w:after="0"/>
              <w:ind w:left="-48" w:leftChars="-20" w:right="-48" w:rightChars="-20"/>
              <w:jc w:val="center"/>
              <w:rPr>
                <w:sz w:val="18"/>
                <w:szCs w:val="18"/>
              </w:rPr>
            </w:pPr>
            <w:r>
              <w:rPr>
                <w:sz w:val="18"/>
                <w:szCs w:val="18"/>
              </w:rPr>
              <w:t>0.19</w:t>
            </w:r>
          </w:p>
        </w:tc>
        <w:tc>
          <w:tcPr>
            <w:tcW w:w="236"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0.01</w:t>
            </w:r>
          </w:p>
        </w:tc>
        <w:tc>
          <w:tcPr>
            <w:tcW w:w="206" w:type="pct"/>
            <w:vAlign w:val="center"/>
          </w:tcPr>
          <w:p>
            <w:pPr>
              <w:pStyle w:val="105"/>
              <w:widowControl w:val="0"/>
              <w:spacing w:before="0" w:after="0"/>
              <w:ind w:left="-48" w:leftChars="-20" w:right="-48" w:rightChars="-20"/>
              <w:jc w:val="center"/>
              <w:rPr>
                <w:sz w:val="18"/>
                <w:szCs w:val="18"/>
              </w:rPr>
            </w:pPr>
            <w:r>
              <w:rPr>
                <w:sz w:val="18"/>
                <w:szCs w:val="18"/>
              </w:rPr>
              <w:t>L</w:t>
            </w: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sz w:val="18"/>
                <w:szCs w:val="18"/>
              </w:rPr>
            </w:pPr>
            <w:r>
              <w:rPr>
                <w:sz w:val="18"/>
                <w:szCs w:val="18"/>
              </w:rPr>
              <w:t>Y</w:t>
            </w:r>
          </w:p>
        </w:tc>
        <w:tc>
          <w:tcPr>
            <w:tcW w:w="293" w:type="pct"/>
            <w:vMerge w:val="continue"/>
            <w:vAlign w:val="center"/>
          </w:tcPr>
          <w:p>
            <w:pPr>
              <w:pStyle w:val="105"/>
              <w:widowControl w:val="0"/>
              <w:spacing w:before="0" w:after="0"/>
              <w:ind w:left="-48" w:leftChars="-20" w:right="-48" w:rightChars="-20"/>
              <w:jc w:val="center"/>
              <w:rPr>
                <w:sz w:val="18"/>
                <w:szCs w:val="18"/>
              </w:rPr>
            </w:pPr>
          </w:p>
        </w:tc>
        <w:tc>
          <w:tcPr>
            <w:tcW w:w="965" w:type="pct"/>
            <w:gridSpan w:val="2"/>
            <w:vAlign w:val="center"/>
          </w:tcPr>
          <w:p>
            <w:pPr>
              <w:pStyle w:val="105"/>
              <w:widowControl w:val="0"/>
              <w:spacing w:before="0" w:after="0"/>
              <w:ind w:left="-48" w:leftChars="-20" w:right="-48" w:rightChars="-20"/>
              <w:jc w:val="center"/>
              <w:rPr>
                <w:sz w:val="18"/>
                <w:szCs w:val="18"/>
              </w:rPr>
            </w:pPr>
            <w:r>
              <w:rPr>
                <w:sz w:val="18"/>
                <w:szCs w:val="18"/>
              </w:rPr>
              <w:t>小计</w:t>
            </w:r>
          </w:p>
        </w:tc>
        <w:tc>
          <w:tcPr>
            <w:tcW w:w="282" w:type="pct"/>
            <w:vAlign w:val="center"/>
          </w:tcPr>
          <w:p>
            <w:pPr>
              <w:pStyle w:val="105"/>
              <w:widowControl w:val="0"/>
              <w:spacing w:before="0" w:after="0"/>
              <w:ind w:left="-48" w:leftChars="-20" w:right="-48" w:rightChars="-20"/>
              <w:jc w:val="center"/>
              <w:rPr>
                <w:sz w:val="18"/>
                <w:szCs w:val="18"/>
              </w:rPr>
            </w:pPr>
            <w:r>
              <w:rPr>
                <w:sz w:val="18"/>
                <w:szCs w:val="18"/>
              </w:rPr>
              <w:t>0.19</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0.19</w:t>
            </w:r>
          </w:p>
        </w:tc>
        <w:tc>
          <w:tcPr>
            <w:tcW w:w="288"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0.20</w:t>
            </w:r>
          </w:p>
        </w:tc>
        <w:tc>
          <w:tcPr>
            <w:tcW w:w="341" w:type="pct"/>
            <w:vAlign w:val="center"/>
          </w:tcPr>
          <w:p>
            <w:pPr>
              <w:pStyle w:val="105"/>
              <w:widowControl w:val="0"/>
              <w:spacing w:before="0" w:after="0"/>
              <w:ind w:left="-48" w:leftChars="-20" w:right="-48" w:rightChars="-20"/>
              <w:jc w:val="center"/>
              <w:rPr>
                <w:sz w:val="18"/>
                <w:szCs w:val="18"/>
              </w:rPr>
            </w:pPr>
            <w:r>
              <w:rPr>
                <w:sz w:val="18"/>
                <w:szCs w:val="18"/>
              </w:rPr>
              <w:t>0.20</w:t>
            </w:r>
          </w:p>
        </w:tc>
        <w:tc>
          <w:tcPr>
            <w:tcW w:w="236"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0.01</w:t>
            </w: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p>
        </w:tc>
        <w:tc>
          <w:tcPr>
            <w:tcW w:w="277" w:type="pct"/>
            <w:vAlign w:val="center"/>
          </w:tcPr>
          <w:p>
            <w:pPr>
              <w:pStyle w:val="105"/>
              <w:widowControl w:val="0"/>
              <w:spacing w:before="0" w:after="0"/>
              <w:ind w:left="-48" w:leftChars="-20" w:right="-48" w:rightChars="-20"/>
              <w:jc w:val="center"/>
              <w:rPr>
                <w:sz w:val="18"/>
                <w:szCs w:val="18"/>
              </w:rPr>
            </w:pPr>
          </w:p>
        </w:tc>
        <w:tc>
          <w:tcPr>
            <w:tcW w:w="228" w:type="pct"/>
            <w:vAlign w:val="center"/>
          </w:tcPr>
          <w:p>
            <w:pPr>
              <w:pStyle w:val="105"/>
              <w:widowControl w:val="0"/>
              <w:spacing w:before="0" w:after="0"/>
              <w:ind w:left="-48" w:leftChars="-20" w:right="-48"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211" w:type="pct"/>
            <w:vAlign w:val="center"/>
          </w:tcPr>
          <w:p>
            <w:pPr>
              <w:pStyle w:val="105"/>
              <w:widowControl w:val="0"/>
              <w:spacing w:before="0" w:after="0"/>
              <w:ind w:left="-48" w:leftChars="-20" w:right="-48" w:rightChars="-20"/>
              <w:jc w:val="center"/>
              <w:rPr>
                <w:sz w:val="18"/>
                <w:szCs w:val="18"/>
              </w:rPr>
            </w:pPr>
            <w:r>
              <w:rPr>
                <w:sz w:val="18"/>
                <w:szCs w:val="18"/>
              </w:rPr>
              <w:t>W</w:t>
            </w:r>
          </w:p>
        </w:tc>
        <w:tc>
          <w:tcPr>
            <w:tcW w:w="1258" w:type="pct"/>
            <w:gridSpan w:val="3"/>
            <w:vAlign w:val="center"/>
          </w:tcPr>
          <w:p>
            <w:pPr>
              <w:pStyle w:val="105"/>
              <w:widowControl w:val="0"/>
              <w:spacing w:before="0" w:after="0"/>
              <w:ind w:left="-48" w:leftChars="-20" w:right="-48" w:rightChars="-20"/>
              <w:jc w:val="center"/>
              <w:rPr>
                <w:sz w:val="18"/>
                <w:szCs w:val="18"/>
              </w:rPr>
            </w:pPr>
            <w:r>
              <w:rPr>
                <w:sz w:val="18"/>
                <w:szCs w:val="18"/>
              </w:rPr>
              <w:t>合计</w:t>
            </w:r>
          </w:p>
        </w:tc>
        <w:tc>
          <w:tcPr>
            <w:tcW w:w="282" w:type="pct"/>
            <w:vAlign w:val="center"/>
          </w:tcPr>
          <w:p>
            <w:pPr>
              <w:pStyle w:val="105"/>
              <w:widowControl w:val="0"/>
              <w:spacing w:before="0" w:after="0"/>
              <w:ind w:left="-48" w:leftChars="-20" w:right="-48" w:rightChars="-20"/>
              <w:jc w:val="center"/>
              <w:rPr>
                <w:sz w:val="18"/>
                <w:szCs w:val="18"/>
              </w:rPr>
            </w:pPr>
            <w:r>
              <w:rPr>
                <w:sz w:val="18"/>
                <w:szCs w:val="18"/>
              </w:rPr>
              <w:t>40.22</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27.91</w:t>
            </w:r>
          </w:p>
        </w:tc>
        <w:tc>
          <w:tcPr>
            <w:tcW w:w="288" w:type="pct"/>
            <w:vAlign w:val="center"/>
          </w:tcPr>
          <w:p>
            <w:pPr>
              <w:pStyle w:val="105"/>
              <w:widowControl w:val="0"/>
              <w:spacing w:before="0" w:after="0"/>
              <w:ind w:left="-48" w:leftChars="-20" w:right="-48" w:rightChars="-20"/>
              <w:jc w:val="center"/>
              <w:rPr>
                <w:sz w:val="18"/>
                <w:szCs w:val="18"/>
              </w:rPr>
            </w:pPr>
            <w:r>
              <w:rPr>
                <w:sz w:val="18"/>
                <w:szCs w:val="18"/>
              </w:rPr>
              <w:t>12.31</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23.39</w:t>
            </w:r>
          </w:p>
        </w:tc>
        <w:tc>
          <w:tcPr>
            <w:tcW w:w="341" w:type="pct"/>
            <w:vAlign w:val="center"/>
          </w:tcPr>
          <w:p>
            <w:pPr>
              <w:pStyle w:val="105"/>
              <w:widowControl w:val="0"/>
              <w:spacing w:before="0" w:after="0"/>
              <w:ind w:left="-48" w:leftChars="-20" w:right="-48" w:rightChars="-20"/>
              <w:jc w:val="center"/>
              <w:rPr>
                <w:sz w:val="18"/>
                <w:szCs w:val="18"/>
              </w:rPr>
            </w:pPr>
            <w:r>
              <w:rPr>
                <w:sz w:val="18"/>
                <w:szCs w:val="18"/>
              </w:rPr>
              <w:t>23.39</w:t>
            </w:r>
          </w:p>
        </w:tc>
        <w:tc>
          <w:tcPr>
            <w:tcW w:w="236" w:type="pct"/>
            <w:vAlign w:val="center"/>
          </w:tcPr>
          <w:p>
            <w:pPr>
              <w:pStyle w:val="105"/>
              <w:widowControl w:val="0"/>
              <w:spacing w:before="0" w:after="0"/>
              <w:ind w:left="-48" w:leftChars="-20" w:right="-48" w:rightChars="-20"/>
              <w:jc w:val="center"/>
              <w:rPr>
                <w:sz w:val="18"/>
                <w:szCs w:val="18"/>
              </w:rPr>
            </w:pPr>
            <w:r>
              <w:rPr>
                <w:sz w:val="18"/>
                <w:szCs w:val="18"/>
              </w:rPr>
              <w:t>0.00</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16.22</w:t>
            </w:r>
          </w:p>
        </w:tc>
        <w:tc>
          <w:tcPr>
            <w:tcW w:w="206" w:type="pct"/>
            <w:vAlign w:val="center"/>
          </w:tcPr>
          <w:p>
            <w:pPr>
              <w:pStyle w:val="105"/>
              <w:widowControl w:val="0"/>
              <w:spacing w:before="0" w:after="0"/>
              <w:ind w:left="-48" w:leftChars="-20" w:right="-48" w:rightChars="-20"/>
              <w:jc w:val="center"/>
              <w:rPr>
                <w:sz w:val="18"/>
                <w:szCs w:val="18"/>
              </w:rPr>
            </w:pPr>
          </w:p>
        </w:tc>
        <w:tc>
          <w:tcPr>
            <w:tcW w:w="252" w:type="pct"/>
            <w:vAlign w:val="center"/>
          </w:tcPr>
          <w:p>
            <w:pPr>
              <w:pStyle w:val="105"/>
              <w:widowControl w:val="0"/>
              <w:spacing w:before="0" w:after="0"/>
              <w:ind w:left="-48" w:leftChars="-20" w:right="-48" w:rightChars="-20"/>
              <w:jc w:val="center"/>
              <w:rPr>
                <w:sz w:val="18"/>
                <w:szCs w:val="18"/>
              </w:rPr>
            </w:pPr>
            <w:r>
              <w:rPr>
                <w:sz w:val="18"/>
                <w:szCs w:val="18"/>
              </w:rPr>
              <w:t>16.22</w:t>
            </w:r>
          </w:p>
        </w:tc>
        <w:tc>
          <w:tcPr>
            <w:tcW w:w="355" w:type="pct"/>
            <w:vAlign w:val="center"/>
          </w:tcPr>
          <w:p>
            <w:pPr>
              <w:pStyle w:val="105"/>
              <w:widowControl w:val="0"/>
              <w:spacing w:before="0" w:after="0"/>
              <w:ind w:left="-48" w:leftChars="-20" w:right="-48" w:rightChars="-20"/>
              <w:jc w:val="center"/>
              <w:rPr>
                <w:sz w:val="18"/>
                <w:szCs w:val="18"/>
              </w:rPr>
            </w:pPr>
          </w:p>
        </w:tc>
        <w:tc>
          <w:tcPr>
            <w:tcW w:w="235" w:type="pct"/>
            <w:vAlign w:val="center"/>
          </w:tcPr>
          <w:p>
            <w:pPr>
              <w:pStyle w:val="105"/>
              <w:widowControl w:val="0"/>
              <w:spacing w:before="0" w:after="0"/>
              <w:ind w:left="-48" w:leftChars="-20" w:right="-48" w:rightChars="-20"/>
              <w:jc w:val="center"/>
              <w:rPr>
                <w:sz w:val="18"/>
                <w:szCs w:val="18"/>
              </w:rPr>
            </w:pPr>
            <w:r>
              <w:rPr>
                <w:sz w:val="18"/>
                <w:szCs w:val="18"/>
              </w:rPr>
              <w:t>4.62</w:t>
            </w:r>
          </w:p>
        </w:tc>
        <w:tc>
          <w:tcPr>
            <w:tcW w:w="277" w:type="pct"/>
            <w:vAlign w:val="center"/>
          </w:tcPr>
          <w:p>
            <w:pPr>
              <w:pStyle w:val="105"/>
              <w:widowControl w:val="0"/>
              <w:spacing w:before="0" w:after="0"/>
              <w:ind w:left="-48" w:leftChars="-20" w:right="-48" w:rightChars="-20"/>
              <w:jc w:val="center"/>
              <w:rPr>
                <w:sz w:val="18"/>
                <w:szCs w:val="18"/>
              </w:rPr>
            </w:pPr>
            <w:r>
              <w:rPr>
                <w:sz w:val="18"/>
                <w:szCs w:val="18"/>
              </w:rPr>
              <w:t>12.21</w:t>
            </w:r>
          </w:p>
        </w:tc>
        <w:tc>
          <w:tcPr>
            <w:tcW w:w="228" w:type="pct"/>
            <w:vAlign w:val="center"/>
          </w:tcPr>
          <w:p>
            <w:pPr>
              <w:pStyle w:val="105"/>
              <w:widowControl w:val="0"/>
              <w:spacing w:before="0" w:after="0"/>
              <w:ind w:left="-48" w:leftChars="-20" w:right="-48" w:rightChars="-20"/>
              <w:jc w:val="center"/>
              <w:rPr>
                <w:sz w:val="18"/>
                <w:szCs w:val="18"/>
              </w:rPr>
            </w:pPr>
          </w:p>
        </w:tc>
      </w:tr>
    </w:tbl>
    <w:p>
      <w:pPr>
        <w:ind w:firstLine="480"/>
      </w:pPr>
    </w:p>
    <w:p>
      <w:pPr>
        <w:ind w:firstLine="480"/>
        <w:sectPr>
          <w:pgSz w:w="16840" w:h="11910" w:orient="landscape"/>
          <w:pgMar w:top="1134" w:right="1134" w:bottom="1134" w:left="1134" w:header="851" w:footer="851" w:gutter="0"/>
          <w:cols w:space="720" w:num="1"/>
          <w:docGrid w:linePitch="326" w:charSpace="0"/>
        </w:sectPr>
      </w:pPr>
    </w:p>
    <w:p>
      <w:pPr>
        <w:pStyle w:val="105"/>
        <w:rPr>
          <w:rFonts w:hint="eastAsia" w:eastAsia="宋体" w:cs="Times New Roman"/>
          <w:sz w:val="10"/>
          <w:lang w:eastAsia="zh-CN"/>
        </w:rPr>
      </w:pPr>
    </w:p>
    <w:p>
      <w:pPr>
        <w:pStyle w:val="122"/>
      </w:pPr>
      <w:bookmarkStart w:id="288" w:name="_Ref193623729"/>
      <w:r>
        <w:t>项目土石方流向图</w:t>
      </w:r>
      <w:r>
        <w:rPr>
          <w:rFonts w:hint="eastAsia"/>
        </w:rPr>
        <w:t xml:space="preserve"> </w:t>
      </w:r>
      <w:r>
        <w:t xml:space="preserve">   单位：万m</w:t>
      </w:r>
      <w:r>
        <w:rPr>
          <w:vertAlign w:val="superscript"/>
        </w:rPr>
        <w:t>3</w:t>
      </w:r>
      <w:r>
        <w:t>（自然方）</w:t>
      </w:r>
      <w:bookmarkEnd w:id="288"/>
    </w:p>
    <w:p>
      <w:pPr>
        <w:pStyle w:val="118"/>
        <w:numPr>
          <w:ilvl w:val="0"/>
          <w:numId w:val="0"/>
        </w:numPr>
      </w:pPr>
      <w:r>
        <w:rPr>
          <w:rFonts w:hint="eastAsia"/>
        </w:rPr>
        <w:t>（2）</w:t>
      </w:r>
      <w:r>
        <w:t>表土方平衡</w:t>
      </w:r>
    </w:p>
    <w:p>
      <w:pPr>
        <w:ind w:firstLine="480"/>
        <w:rPr>
          <w:spacing w:val="1"/>
          <w:szCs w:val="24"/>
        </w:rPr>
      </w:pPr>
      <w:r>
        <w:rPr>
          <w:rFonts w:hint="eastAsia"/>
        </w:rPr>
        <w:t>表土属于珍贵资源，本项目占用了耕地、林地、园地、草地，因林地土层较薄，土壤贫瘠，根据项目水土保持方案：项目拟对耕地、园地、草地进行表土剥离。经统计，剥离厚度10~20cm，经计算，剥离表土总量1.80 万m³，剥离的表土临时堆放于表土临时堆场，用于后期覆土，覆土量1.80 万m³，覆土厚度为20~40cm。</w:t>
      </w:r>
      <w:r>
        <w:rPr>
          <w:spacing w:val="-1"/>
        </w:rPr>
        <w:t>项目表土内部平衡</w:t>
      </w:r>
      <w:r>
        <w:rPr>
          <w:rFonts w:hint="eastAsia"/>
          <w:spacing w:val="-1"/>
        </w:rPr>
        <w:t>，</w:t>
      </w:r>
      <w:r>
        <w:rPr>
          <w:spacing w:val="1"/>
          <w:szCs w:val="24"/>
        </w:rPr>
        <w:t>项目表土方平衡详见表3.4-2。</w:t>
      </w:r>
    </w:p>
    <w:p>
      <w:pPr>
        <w:pStyle w:val="87"/>
        <w:spacing w:before="120"/>
      </w:pPr>
      <w:r>
        <w:t>项目表土方平衡</w:t>
      </w:r>
      <w:r>
        <w:rPr>
          <w:spacing w:val="-10"/>
        </w:rPr>
        <w:t>表</w:t>
      </w:r>
      <w:r>
        <w:tab/>
      </w:r>
      <w:r>
        <w:t xml:space="preserve">   单位：万m</w:t>
      </w:r>
      <w:r>
        <w:rPr>
          <w:vertAlign w:val="superscript"/>
        </w:rPr>
        <w:t>3</w:t>
      </w:r>
    </w:p>
    <w:tbl>
      <w:tblPr>
        <w:tblStyle w:val="399"/>
        <w:tblW w:w="929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108" w:type="dxa"/>
          <w:bottom w:w="28" w:type="dxa"/>
          <w:right w:w="108" w:type="dxa"/>
        </w:tblCellMar>
      </w:tblPr>
      <w:tblGrid>
        <w:gridCol w:w="403"/>
        <w:gridCol w:w="1700"/>
        <w:gridCol w:w="847"/>
        <w:gridCol w:w="708"/>
        <w:gridCol w:w="705"/>
        <w:gridCol w:w="849"/>
        <w:gridCol w:w="708"/>
        <w:gridCol w:w="905"/>
        <w:gridCol w:w="621"/>
        <w:gridCol w:w="619"/>
        <w:gridCol w:w="619"/>
        <w:gridCol w:w="6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03" w:type="dxa"/>
            <w:vMerge w:val="restart"/>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18"/>
              </w:rPr>
            </w:pPr>
            <w:bookmarkStart w:id="289" w:name="_Hlk187768295"/>
            <w:r>
              <w:rPr>
                <w:rFonts w:hint="eastAsia" w:ascii="宋体" w:hAnsi="宋体" w:eastAsia="宋体"/>
                <w:sz w:val="18"/>
                <w:szCs w:val="18"/>
              </w:rPr>
              <w:t>序号</w:t>
            </w:r>
          </w:p>
        </w:tc>
        <w:tc>
          <w:tcPr>
            <w:tcW w:w="1700" w:type="dxa"/>
            <w:vMerge w:val="restar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18"/>
              </w:rPr>
            </w:pPr>
            <w:r>
              <w:rPr>
                <w:rFonts w:hint="eastAsia" w:ascii="宋体" w:hAnsi="宋体" w:eastAsia="宋体"/>
                <w:spacing w:val="-3"/>
                <w:sz w:val="18"/>
                <w:szCs w:val="18"/>
              </w:rPr>
              <w:t>项目</w:t>
            </w:r>
          </w:p>
        </w:tc>
        <w:tc>
          <w:tcPr>
            <w:tcW w:w="847" w:type="dxa"/>
            <w:vMerge w:val="restar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18"/>
              </w:rPr>
            </w:pPr>
            <w:r>
              <w:rPr>
                <w:rFonts w:hint="eastAsia" w:ascii="宋体" w:hAnsi="宋体" w:eastAsia="宋体"/>
                <w:spacing w:val="-1"/>
                <w:sz w:val="18"/>
                <w:szCs w:val="18"/>
              </w:rPr>
              <w:t>表土剥</w:t>
            </w:r>
            <w:r>
              <w:rPr>
                <w:rFonts w:hint="eastAsia" w:ascii="宋体" w:hAnsi="宋体" w:eastAsia="宋体"/>
                <w:sz w:val="18"/>
                <w:szCs w:val="18"/>
              </w:rPr>
              <w:t>离</w:t>
            </w:r>
          </w:p>
        </w:tc>
        <w:tc>
          <w:tcPr>
            <w:tcW w:w="708" w:type="dxa"/>
            <w:vMerge w:val="restar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18"/>
              </w:rPr>
            </w:pPr>
            <w:r>
              <w:rPr>
                <w:rFonts w:hint="eastAsia" w:ascii="宋体" w:hAnsi="宋体" w:eastAsia="宋体"/>
                <w:spacing w:val="-2"/>
                <w:sz w:val="18"/>
                <w:szCs w:val="18"/>
              </w:rPr>
              <w:t>覆土</w:t>
            </w:r>
          </w:p>
        </w:tc>
        <w:tc>
          <w:tcPr>
            <w:tcW w:w="1554" w:type="dxa"/>
            <w:gridSpan w:val="2"/>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18"/>
              </w:rPr>
            </w:pPr>
            <w:r>
              <w:rPr>
                <w:rFonts w:hint="eastAsia" w:ascii="宋体" w:hAnsi="宋体" w:eastAsia="宋体"/>
                <w:spacing w:val="-2"/>
                <w:sz w:val="18"/>
                <w:szCs w:val="18"/>
              </w:rPr>
              <w:t>调入</w:t>
            </w:r>
          </w:p>
        </w:tc>
        <w:tc>
          <w:tcPr>
            <w:tcW w:w="1613" w:type="dxa"/>
            <w:gridSpan w:val="2"/>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18"/>
              </w:rPr>
            </w:pPr>
            <w:r>
              <w:rPr>
                <w:rFonts w:hint="eastAsia" w:ascii="宋体" w:hAnsi="宋体" w:eastAsia="宋体"/>
                <w:spacing w:val="-2"/>
                <w:sz w:val="18"/>
                <w:szCs w:val="18"/>
              </w:rPr>
              <w:t>调出</w:t>
            </w:r>
          </w:p>
        </w:tc>
        <w:tc>
          <w:tcPr>
            <w:tcW w:w="1240" w:type="dxa"/>
            <w:gridSpan w:val="2"/>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18"/>
              </w:rPr>
            </w:pPr>
            <w:r>
              <w:rPr>
                <w:rFonts w:hint="eastAsia" w:ascii="宋体" w:hAnsi="宋体" w:eastAsia="宋体"/>
                <w:spacing w:val="-1"/>
                <w:sz w:val="18"/>
                <w:szCs w:val="18"/>
              </w:rPr>
              <w:t>借方</w:t>
            </w:r>
          </w:p>
        </w:tc>
        <w:tc>
          <w:tcPr>
            <w:tcW w:w="1229" w:type="dxa"/>
            <w:gridSpan w:val="2"/>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sz w:val="18"/>
                <w:szCs w:val="18"/>
              </w:rPr>
            </w:pPr>
            <w:r>
              <w:rPr>
                <w:rFonts w:hint="eastAsia" w:ascii="宋体" w:hAnsi="宋体" w:eastAsia="宋体"/>
                <w:spacing w:val="-10"/>
                <w:sz w:val="18"/>
                <w:szCs w:val="18"/>
              </w:rPr>
              <w:t>余（弃）方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03" w:type="dxa"/>
            <w:vMerge w:val="continue"/>
            <w:vAlign w:val="center"/>
          </w:tcPr>
          <w:p>
            <w:pPr>
              <w:pStyle w:val="105"/>
              <w:widowControl w:val="0"/>
              <w:jc w:val="center"/>
              <w:rPr>
                <w:sz w:val="18"/>
                <w:szCs w:val="18"/>
              </w:rPr>
            </w:pPr>
          </w:p>
        </w:tc>
        <w:tc>
          <w:tcPr>
            <w:tcW w:w="1700" w:type="dxa"/>
            <w:vMerge w:val="continue"/>
            <w:vAlign w:val="center"/>
          </w:tcPr>
          <w:p>
            <w:pPr>
              <w:pStyle w:val="105"/>
              <w:widowControl w:val="0"/>
              <w:jc w:val="center"/>
              <w:rPr>
                <w:sz w:val="18"/>
                <w:szCs w:val="18"/>
              </w:rPr>
            </w:pPr>
          </w:p>
        </w:tc>
        <w:tc>
          <w:tcPr>
            <w:tcW w:w="847" w:type="dxa"/>
            <w:vMerge w:val="continue"/>
            <w:vAlign w:val="center"/>
          </w:tcPr>
          <w:p>
            <w:pPr>
              <w:pStyle w:val="105"/>
              <w:widowControl w:val="0"/>
              <w:jc w:val="center"/>
              <w:rPr>
                <w:sz w:val="18"/>
                <w:szCs w:val="18"/>
              </w:rPr>
            </w:pPr>
          </w:p>
        </w:tc>
        <w:tc>
          <w:tcPr>
            <w:tcW w:w="708" w:type="dxa"/>
            <w:vMerge w:val="continue"/>
            <w:vAlign w:val="center"/>
          </w:tcPr>
          <w:p>
            <w:pPr>
              <w:pStyle w:val="105"/>
              <w:widowControl w:val="0"/>
              <w:jc w:val="center"/>
              <w:rPr>
                <w:sz w:val="18"/>
                <w:szCs w:val="18"/>
              </w:rPr>
            </w:pPr>
          </w:p>
        </w:tc>
        <w:tc>
          <w:tcPr>
            <w:tcW w:w="705" w:type="dxa"/>
            <w:vAlign w:val="center"/>
          </w:tcPr>
          <w:p>
            <w:pPr>
              <w:pStyle w:val="105"/>
              <w:widowControl w:val="0"/>
              <w:jc w:val="center"/>
              <w:rPr>
                <w:sz w:val="18"/>
                <w:szCs w:val="18"/>
              </w:rPr>
            </w:pPr>
            <w:r>
              <w:rPr>
                <w:spacing w:val="-3"/>
                <w:sz w:val="18"/>
                <w:szCs w:val="18"/>
              </w:rPr>
              <w:t>数量</w:t>
            </w:r>
          </w:p>
        </w:tc>
        <w:tc>
          <w:tcPr>
            <w:tcW w:w="849" w:type="dxa"/>
            <w:vAlign w:val="center"/>
          </w:tcPr>
          <w:p>
            <w:pPr>
              <w:pStyle w:val="105"/>
              <w:widowControl w:val="0"/>
              <w:jc w:val="center"/>
              <w:rPr>
                <w:sz w:val="18"/>
                <w:szCs w:val="18"/>
              </w:rPr>
            </w:pPr>
            <w:r>
              <w:rPr>
                <w:spacing w:val="-3"/>
                <w:sz w:val="18"/>
                <w:szCs w:val="18"/>
              </w:rPr>
              <w:t>来源</w:t>
            </w:r>
          </w:p>
        </w:tc>
        <w:tc>
          <w:tcPr>
            <w:tcW w:w="708" w:type="dxa"/>
            <w:vAlign w:val="center"/>
          </w:tcPr>
          <w:p>
            <w:pPr>
              <w:pStyle w:val="105"/>
              <w:widowControl w:val="0"/>
              <w:jc w:val="center"/>
              <w:rPr>
                <w:sz w:val="18"/>
                <w:szCs w:val="18"/>
              </w:rPr>
            </w:pPr>
            <w:r>
              <w:rPr>
                <w:spacing w:val="-3"/>
                <w:sz w:val="18"/>
                <w:szCs w:val="18"/>
              </w:rPr>
              <w:t>数量</w:t>
            </w:r>
          </w:p>
        </w:tc>
        <w:tc>
          <w:tcPr>
            <w:tcW w:w="905" w:type="dxa"/>
            <w:vAlign w:val="center"/>
          </w:tcPr>
          <w:p>
            <w:pPr>
              <w:pStyle w:val="105"/>
              <w:widowControl w:val="0"/>
              <w:jc w:val="center"/>
              <w:rPr>
                <w:sz w:val="18"/>
                <w:szCs w:val="18"/>
              </w:rPr>
            </w:pPr>
            <w:r>
              <w:rPr>
                <w:spacing w:val="-4"/>
                <w:sz w:val="18"/>
                <w:szCs w:val="18"/>
              </w:rPr>
              <w:t>去向</w:t>
            </w:r>
          </w:p>
        </w:tc>
        <w:tc>
          <w:tcPr>
            <w:tcW w:w="621" w:type="dxa"/>
            <w:vAlign w:val="center"/>
          </w:tcPr>
          <w:p>
            <w:pPr>
              <w:pStyle w:val="105"/>
              <w:widowControl w:val="0"/>
              <w:jc w:val="center"/>
              <w:rPr>
                <w:sz w:val="18"/>
                <w:szCs w:val="18"/>
              </w:rPr>
            </w:pPr>
            <w:r>
              <w:rPr>
                <w:sz w:val="18"/>
                <w:szCs w:val="18"/>
              </w:rPr>
              <w:t>数量</w:t>
            </w:r>
          </w:p>
        </w:tc>
        <w:tc>
          <w:tcPr>
            <w:tcW w:w="619" w:type="dxa"/>
            <w:vAlign w:val="center"/>
          </w:tcPr>
          <w:p>
            <w:pPr>
              <w:pStyle w:val="105"/>
              <w:widowControl w:val="0"/>
              <w:jc w:val="center"/>
              <w:rPr>
                <w:sz w:val="18"/>
                <w:szCs w:val="18"/>
              </w:rPr>
            </w:pPr>
            <w:r>
              <w:rPr>
                <w:sz w:val="18"/>
                <w:szCs w:val="18"/>
              </w:rPr>
              <w:t>来源</w:t>
            </w:r>
          </w:p>
        </w:tc>
        <w:tc>
          <w:tcPr>
            <w:tcW w:w="619" w:type="dxa"/>
            <w:vAlign w:val="center"/>
          </w:tcPr>
          <w:p>
            <w:pPr>
              <w:pStyle w:val="105"/>
              <w:widowControl w:val="0"/>
              <w:jc w:val="center"/>
              <w:rPr>
                <w:sz w:val="18"/>
                <w:szCs w:val="18"/>
              </w:rPr>
            </w:pPr>
            <w:r>
              <w:rPr>
                <w:sz w:val="18"/>
                <w:szCs w:val="18"/>
              </w:rPr>
              <w:t>数量</w:t>
            </w:r>
          </w:p>
        </w:tc>
        <w:tc>
          <w:tcPr>
            <w:tcW w:w="610" w:type="dxa"/>
            <w:vAlign w:val="center"/>
          </w:tcPr>
          <w:p>
            <w:pPr>
              <w:pStyle w:val="105"/>
              <w:widowControl w:val="0"/>
              <w:jc w:val="center"/>
              <w:rPr>
                <w:sz w:val="18"/>
                <w:szCs w:val="18"/>
              </w:rPr>
            </w:pPr>
            <w:r>
              <w:rPr>
                <w:sz w:val="18"/>
                <w:szCs w:val="18"/>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03" w:type="dxa"/>
            <w:vAlign w:val="center"/>
          </w:tcPr>
          <w:p>
            <w:pPr>
              <w:pStyle w:val="105"/>
              <w:widowControl w:val="0"/>
              <w:jc w:val="center"/>
              <w:rPr>
                <w:rFonts w:eastAsia="Times New Roman" w:cs="Times New Roman"/>
                <w:sz w:val="18"/>
                <w:szCs w:val="18"/>
              </w:rPr>
            </w:pPr>
            <w:r>
              <w:rPr>
                <w:rFonts w:eastAsia="Times New Roman" w:cs="Times New Roman"/>
                <w:sz w:val="18"/>
                <w:szCs w:val="18"/>
              </w:rPr>
              <w:t>A</w:t>
            </w:r>
          </w:p>
        </w:tc>
        <w:tc>
          <w:tcPr>
            <w:tcW w:w="1700" w:type="dxa"/>
            <w:vAlign w:val="center"/>
          </w:tcPr>
          <w:p>
            <w:pPr>
              <w:pStyle w:val="105"/>
              <w:widowControl w:val="0"/>
              <w:jc w:val="center"/>
              <w:rPr>
                <w:sz w:val="18"/>
                <w:szCs w:val="18"/>
              </w:rPr>
            </w:pPr>
            <w:r>
              <w:rPr>
                <w:spacing w:val="-2"/>
                <w:sz w:val="18"/>
                <w:szCs w:val="18"/>
              </w:rPr>
              <w:t>路基工程区</w:t>
            </w:r>
          </w:p>
        </w:tc>
        <w:tc>
          <w:tcPr>
            <w:tcW w:w="847"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0.90</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0.07</w:t>
            </w:r>
          </w:p>
        </w:tc>
        <w:tc>
          <w:tcPr>
            <w:tcW w:w="705"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0.07</w:t>
            </w:r>
          </w:p>
        </w:tc>
        <w:tc>
          <w:tcPr>
            <w:tcW w:w="849"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0.90</w:t>
            </w:r>
          </w:p>
        </w:tc>
        <w:tc>
          <w:tcPr>
            <w:tcW w:w="905"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621"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9" w:type="dxa"/>
            <w:vAlign w:val="center"/>
          </w:tcPr>
          <w:p>
            <w:pPr>
              <w:pStyle w:val="105"/>
              <w:widowControl w:val="0"/>
              <w:jc w:val="center"/>
              <w:rPr>
                <w:sz w:val="18"/>
                <w:szCs w:val="18"/>
              </w:rPr>
            </w:pPr>
          </w:p>
        </w:tc>
        <w:tc>
          <w:tcPr>
            <w:tcW w:w="619"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0" w:type="dxa"/>
            <w:vAlign w:val="center"/>
          </w:tcPr>
          <w:p>
            <w:pPr>
              <w:pStyle w:val="105"/>
              <w:widowControl w:val="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03" w:type="dxa"/>
            <w:vAlign w:val="center"/>
          </w:tcPr>
          <w:p>
            <w:pPr>
              <w:pStyle w:val="105"/>
              <w:widowControl w:val="0"/>
              <w:jc w:val="center"/>
              <w:rPr>
                <w:rFonts w:eastAsia="Times New Roman" w:cs="Times New Roman"/>
                <w:sz w:val="18"/>
                <w:szCs w:val="18"/>
              </w:rPr>
            </w:pPr>
            <w:r>
              <w:rPr>
                <w:rFonts w:eastAsia="Times New Roman" w:cs="Times New Roman"/>
                <w:sz w:val="18"/>
                <w:szCs w:val="18"/>
              </w:rPr>
              <w:t>B</w:t>
            </w:r>
          </w:p>
        </w:tc>
        <w:tc>
          <w:tcPr>
            <w:tcW w:w="1700" w:type="dxa"/>
            <w:vAlign w:val="center"/>
          </w:tcPr>
          <w:p>
            <w:pPr>
              <w:pStyle w:val="105"/>
              <w:widowControl w:val="0"/>
              <w:jc w:val="center"/>
              <w:rPr>
                <w:sz w:val="18"/>
                <w:szCs w:val="18"/>
              </w:rPr>
            </w:pPr>
            <w:r>
              <w:rPr>
                <w:spacing w:val="-1"/>
                <w:sz w:val="18"/>
                <w:szCs w:val="18"/>
              </w:rPr>
              <w:t>边坡防护工程区</w:t>
            </w:r>
          </w:p>
        </w:tc>
        <w:tc>
          <w:tcPr>
            <w:tcW w:w="847"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0.40</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5"/>
                <w:sz w:val="18"/>
                <w:szCs w:val="18"/>
              </w:rPr>
              <w:t>1.48</w:t>
            </w:r>
          </w:p>
        </w:tc>
        <w:tc>
          <w:tcPr>
            <w:tcW w:w="705" w:type="dxa"/>
            <w:vAlign w:val="center"/>
          </w:tcPr>
          <w:p>
            <w:pPr>
              <w:pStyle w:val="105"/>
              <w:widowControl w:val="0"/>
              <w:jc w:val="center"/>
              <w:rPr>
                <w:rFonts w:eastAsia="Times New Roman" w:cs="Times New Roman"/>
                <w:sz w:val="18"/>
                <w:szCs w:val="18"/>
              </w:rPr>
            </w:pPr>
            <w:r>
              <w:rPr>
                <w:rFonts w:eastAsia="Times New Roman" w:cs="Times New Roman"/>
                <w:spacing w:val="-5"/>
                <w:sz w:val="18"/>
                <w:szCs w:val="18"/>
              </w:rPr>
              <w:t>1.48</w:t>
            </w:r>
          </w:p>
        </w:tc>
        <w:tc>
          <w:tcPr>
            <w:tcW w:w="849"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0.40</w:t>
            </w:r>
          </w:p>
        </w:tc>
        <w:tc>
          <w:tcPr>
            <w:tcW w:w="905"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621"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9" w:type="dxa"/>
            <w:vAlign w:val="center"/>
          </w:tcPr>
          <w:p>
            <w:pPr>
              <w:pStyle w:val="105"/>
              <w:widowControl w:val="0"/>
              <w:jc w:val="center"/>
              <w:rPr>
                <w:sz w:val="18"/>
                <w:szCs w:val="18"/>
              </w:rPr>
            </w:pPr>
          </w:p>
        </w:tc>
        <w:tc>
          <w:tcPr>
            <w:tcW w:w="619"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0" w:type="dxa"/>
            <w:vAlign w:val="center"/>
          </w:tcPr>
          <w:p>
            <w:pPr>
              <w:pStyle w:val="105"/>
              <w:widowControl w:val="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03" w:type="dxa"/>
            <w:vAlign w:val="center"/>
          </w:tcPr>
          <w:p>
            <w:pPr>
              <w:pStyle w:val="105"/>
              <w:widowControl w:val="0"/>
              <w:jc w:val="center"/>
              <w:rPr>
                <w:rFonts w:eastAsia="Times New Roman" w:cs="Times New Roman"/>
                <w:sz w:val="18"/>
                <w:szCs w:val="18"/>
              </w:rPr>
            </w:pPr>
            <w:r>
              <w:rPr>
                <w:rFonts w:eastAsia="Times New Roman" w:cs="Times New Roman"/>
                <w:sz w:val="18"/>
                <w:szCs w:val="18"/>
              </w:rPr>
              <w:t>C</w:t>
            </w:r>
          </w:p>
        </w:tc>
        <w:tc>
          <w:tcPr>
            <w:tcW w:w="1700" w:type="dxa"/>
            <w:vAlign w:val="center"/>
          </w:tcPr>
          <w:p>
            <w:pPr>
              <w:pStyle w:val="105"/>
              <w:widowControl w:val="0"/>
              <w:jc w:val="center"/>
              <w:rPr>
                <w:sz w:val="18"/>
                <w:szCs w:val="18"/>
              </w:rPr>
            </w:pPr>
            <w:r>
              <w:rPr>
                <w:spacing w:val="-1"/>
                <w:sz w:val="18"/>
                <w:szCs w:val="18"/>
              </w:rPr>
              <w:t>桥梁工程区</w:t>
            </w:r>
          </w:p>
        </w:tc>
        <w:tc>
          <w:tcPr>
            <w:tcW w:w="847"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0.20</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0.00</w:t>
            </w:r>
          </w:p>
        </w:tc>
        <w:tc>
          <w:tcPr>
            <w:tcW w:w="705"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w:t>
            </w:r>
          </w:p>
        </w:tc>
        <w:tc>
          <w:tcPr>
            <w:tcW w:w="849" w:type="dxa"/>
            <w:vAlign w:val="center"/>
          </w:tcPr>
          <w:p>
            <w:pPr>
              <w:pStyle w:val="105"/>
              <w:widowControl w:val="0"/>
              <w:jc w:val="center"/>
              <w:rPr>
                <w:sz w:val="18"/>
                <w:szCs w:val="18"/>
              </w:rPr>
            </w:pPr>
            <w:r>
              <w:rPr>
                <w:rFonts w:eastAsia="Times New Roman" w:cs="Times New Roman"/>
                <w:sz w:val="18"/>
                <w:szCs w:val="18"/>
              </w:rPr>
              <w:t>E</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0.20</w:t>
            </w:r>
          </w:p>
        </w:tc>
        <w:tc>
          <w:tcPr>
            <w:tcW w:w="905"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621"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9" w:type="dxa"/>
            <w:vAlign w:val="center"/>
          </w:tcPr>
          <w:p>
            <w:pPr>
              <w:pStyle w:val="105"/>
              <w:widowControl w:val="0"/>
              <w:jc w:val="center"/>
              <w:rPr>
                <w:sz w:val="18"/>
                <w:szCs w:val="18"/>
              </w:rPr>
            </w:pPr>
          </w:p>
        </w:tc>
        <w:tc>
          <w:tcPr>
            <w:tcW w:w="619"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0" w:type="dxa"/>
            <w:vAlign w:val="center"/>
          </w:tcPr>
          <w:p>
            <w:pPr>
              <w:pStyle w:val="105"/>
              <w:widowControl w:val="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03" w:type="dxa"/>
            <w:vAlign w:val="center"/>
          </w:tcPr>
          <w:p>
            <w:pPr>
              <w:pStyle w:val="105"/>
              <w:widowControl w:val="0"/>
              <w:jc w:val="center"/>
              <w:rPr>
                <w:rFonts w:eastAsia="Times New Roman" w:cs="Times New Roman"/>
                <w:sz w:val="18"/>
                <w:szCs w:val="18"/>
              </w:rPr>
            </w:pPr>
            <w:r>
              <w:rPr>
                <w:rFonts w:eastAsia="Times New Roman" w:cs="Times New Roman"/>
                <w:sz w:val="18"/>
                <w:szCs w:val="18"/>
              </w:rPr>
              <w:t>D</w:t>
            </w:r>
          </w:p>
        </w:tc>
        <w:tc>
          <w:tcPr>
            <w:tcW w:w="1700" w:type="dxa"/>
            <w:vAlign w:val="center"/>
          </w:tcPr>
          <w:p>
            <w:pPr>
              <w:pStyle w:val="105"/>
              <w:widowControl w:val="0"/>
              <w:jc w:val="center"/>
              <w:rPr>
                <w:sz w:val="18"/>
                <w:szCs w:val="18"/>
              </w:rPr>
            </w:pPr>
            <w:r>
              <w:rPr>
                <w:spacing w:val="-2"/>
                <w:sz w:val="18"/>
                <w:szCs w:val="18"/>
              </w:rPr>
              <w:t>施工场地区</w:t>
            </w:r>
          </w:p>
        </w:tc>
        <w:tc>
          <w:tcPr>
            <w:tcW w:w="847"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0.12</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0.24</w:t>
            </w:r>
          </w:p>
        </w:tc>
        <w:tc>
          <w:tcPr>
            <w:tcW w:w="705"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0.24</w:t>
            </w:r>
          </w:p>
        </w:tc>
        <w:tc>
          <w:tcPr>
            <w:tcW w:w="849"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0.12</w:t>
            </w:r>
          </w:p>
        </w:tc>
        <w:tc>
          <w:tcPr>
            <w:tcW w:w="905"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621"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9" w:type="dxa"/>
            <w:vAlign w:val="center"/>
          </w:tcPr>
          <w:p>
            <w:pPr>
              <w:pStyle w:val="105"/>
              <w:widowControl w:val="0"/>
              <w:jc w:val="center"/>
              <w:rPr>
                <w:sz w:val="18"/>
                <w:szCs w:val="18"/>
              </w:rPr>
            </w:pPr>
          </w:p>
        </w:tc>
        <w:tc>
          <w:tcPr>
            <w:tcW w:w="619"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0" w:type="dxa"/>
            <w:vAlign w:val="center"/>
          </w:tcPr>
          <w:p>
            <w:pPr>
              <w:pStyle w:val="105"/>
              <w:widowControl w:val="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03"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1700" w:type="dxa"/>
            <w:vAlign w:val="center"/>
          </w:tcPr>
          <w:p>
            <w:pPr>
              <w:pStyle w:val="105"/>
              <w:widowControl w:val="0"/>
              <w:jc w:val="center"/>
              <w:rPr>
                <w:sz w:val="18"/>
                <w:szCs w:val="18"/>
              </w:rPr>
            </w:pPr>
            <w:r>
              <w:rPr>
                <w:spacing w:val="-1"/>
                <w:sz w:val="18"/>
                <w:szCs w:val="18"/>
              </w:rPr>
              <w:t>表土临时堆场区</w:t>
            </w:r>
          </w:p>
        </w:tc>
        <w:tc>
          <w:tcPr>
            <w:tcW w:w="847"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0.18</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0.00</w:t>
            </w:r>
          </w:p>
        </w:tc>
        <w:tc>
          <w:tcPr>
            <w:tcW w:w="705"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w:t>
            </w:r>
          </w:p>
        </w:tc>
        <w:tc>
          <w:tcPr>
            <w:tcW w:w="849"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1"/>
                <w:sz w:val="18"/>
                <w:szCs w:val="18"/>
              </w:rPr>
              <w:t>0.18</w:t>
            </w:r>
          </w:p>
        </w:tc>
        <w:tc>
          <w:tcPr>
            <w:tcW w:w="905" w:type="dxa"/>
            <w:vAlign w:val="center"/>
          </w:tcPr>
          <w:p>
            <w:pPr>
              <w:pStyle w:val="105"/>
              <w:widowControl w:val="0"/>
              <w:jc w:val="center"/>
              <w:rPr>
                <w:rFonts w:eastAsia="Times New Roman" w:cs="Times New Roman"/>
                <w:sz w:val="18"/>
                <w:szCs w:val="18"/>
              </w:rPr>
            </w:pPr>
            <w:r>
              <w:rPr>
                <w:rFonts w:eastAsia="Times New Roman" w:cs="Times New Roman"/>
                <w:sz w:val="18"/>
                <w:szCs w:val="18"/>
              </w:rPr>
              <w:t>E</w:t>
            </w:r>
          </w:p>
        </w:tc>
        <w:tc>
          <w:tcPr>
            <w:tcW w:w="621"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9" w:type="dxa"/>
            <w:vAlign w:val="center"/>
          </w:tcPr>
          <w:p>
            <w:pPr>
              <w:pStyle w:val="105"/>
              <w:widowControl w:val="0"/>
              <w:jc w:val="center"/>
              <w:rPr>
                <w:sz w:val="18"/>
                <w:szCs w:val="18"/>
              </w:rPr>
            </w:pPr>
          </w:p>
        </w:tc>
        <w:tc>
          <w:tcPr>
            <w:tcW w:w="619" w:type="dxa"/>
            <w:vAlign w:val="center"/>
          </w:tcPr>
          <w:p>
            <w:pPr>
              <w:pStyle w:val="105"/>
              <w:widowControl w:val="0"/>
              <w:jc w:val="center"/>
              <w:rPr>
                <w:rFonts w:eastAsia="Times New Roman" w:cs="Times New Roman"/>
                <w:sz w:val="18"/>
                <w:szCs w:val="18"/>
              </w:rPr>
            </w:pPr>
            <w:r>
              <w:rPr>
                <w:rFonts w:eastAsia="Times New Roman" w:cs="Times New Roman"/>
                <w:sz w:val="18"/>
                <w:szCs w:val="18"/>
              </w:rPr>
              <w:t>/</w:t>
            </w:r>
          </w:p>
        </w:tc>
        <w:tc>
          <w:tcPr>
            <w:tcW w:w="610" w:type="dxa"/>
            <w:vAlign w:val="center"/>
          </w:tcPr>
          <w:p>
            <w:pPr>
              <w:pStyle w:val="105"/>
              <w:widowControl w:val="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403" w:type="dxa"/>
            <w:vAlign w:val="center"/>
          </w:tcPr>
          <w:p>
            <w:pPr>
              <w:pStyle w:val="105"/>
              <w:widowControl w:val="0"/>
              <w:jc w:val="center"/>
              <w:rPr>
                <w:sz w:val="18"/>
                <w:szCs w:val="18"/>
              </w:rPr>
            </w:pPr>
          </w:p>
        </w:tc>
        <w:tc>
          <w:tcPr>
            <w:tcW w:w="1700" w:type="dxa"/>
            <w:vAlign w:val="center"/>
          </w:tcPr>
          <w:p>
            <w:pPr>
              <w:pStyle w:val="105"/>
              <w:widowControl w:val="0"/>
              <w:jc w:val="center"/>
              <w:rPr>
                <w:sz w:val="18"/>
                <w:szCs w:val="18"/>
              </w:rPr>
            </w:pPr>
            <w:r>
              <w:rPr>
                <w:spacing w:val="-3"/>
                <w:sz w:val="18"/>
                <w:szCs w:val="18"/>
              </w:rPr>
              <w:t>合计</w:t>
            </w:r>
          </w:p>
        </w:tc>
        <w:tc>
          <w:tcPr>
            <w:tcW w:w="847" w:type="dxa"/>
            <w:vAlign w:val="center"/>
          </w:tcPr>
          <w:p>
            <w:pPr>
              <w:pStyle w:val="105"/>
              <w:widowControl w:val="0"/>
              <w:jc w:val="center"/>
              <w:rPr>
                <w:rFonts w:eastAsia="Times New Roman" w:cs="Times New Roman"/>
                <w:sz w:val="18"/>
                <w:szCs w:val="18"/>
              </w:rPr>
            </w:pPr>
            <w:r>
              <w:rPr>
                <w:rFonts w:eastAsia="Times New Roman" w:cs="Times New Roman"/>
                <w:spacing w:val="-6"/>
                <w:sz w:val="18"/>
                <w:szCs w:val="18"/>
              </w:rPr>
              <w:t>1.80</w:t>
            </w: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6"/>
                <w:sz w:val="18"/>
                <w:szCs w:val="18"/>
              </w:rPr>
              <w:t>1.80</w:t>
            </w:r>
          </w:p>
        </w:tc>
        <w:tc>
          <w:tcPr>
            <w:tcW w:w="705" w:type="dxa"/>
            <w:vAlign w:val="center"/>
          </w:tcPr>
          <w:p>
            <w:pPr>
              <w:pStyle w:val="105"/>
              <w:widowControl w:val="0"/>
              <w:jc w:val="center"/>
              <w:rPr>
                <w:rFonts w:eastAsia="Times New Roman" w:cs="Times New Roman"/>
                <w:sz w:val="18"/>
                <w:szCs w:val="18"/>
              </w:rPr>
            </w:pPr>
            <w:r>
              <w:rPr>
                <w:rFonts w:eastAsia="Times New Roman" w:cs="Times New Roman"/>
                <w:spacing w:val="-6"/>
                <w:sz w:val="18"/>
                <w:szCs w:val="18"/>
              </w:rPr>
              <w:t>1.80</w:t>
            </w:r>
          </w:p>
        </w:tc>
        <w:tc>
          <w:tcPr>
            <w:tcW w:w="849" w:type="dxa"/>
            <w:vAlign w:val="center"/>
          </w:tcPr>
          <w:p>
            <w:pPr>
              <w:pStyle w:val="105"/>
              <w:widowControl w:val="0"/>
              <w:jc w:val="center"/>
              <w:rPr>
                <w:sz w:val="18"/>
                <w:szCs w:val="18"/>
              </w:rPr>
            </w:pPr>
          </w:p>
        </w:tc>
        <w:tc>
          <w:tcPr>
            <w:tcW w:w="708" w:type="dxa"/>
            <w:vAlign w:val="center"/>
          </w:tcPr>
          <w:p>
            <w:pPr>
              <w:pStyle w:val="105"/>
              <w:widowControl w:val="0"/>
              <w:jc w:val="center"/>
              <w:rPr>
                <w:rFonts w:eastAsia="Times New Roman" w:cs="Times New Roman"/>
                <w:sz w:val="18"/>
                <w:szCs w:val="18"/>
              </w:rPr>
            </w:pPr>
            <w:r>
              <w:rPr>
                <w:rFonts w:eastAsia="Times New Roman" w:cs="Times New Roman"/>
                <w:spacing w:val="-6"/>
                <w:sz w:val="18"/>
                <w:szCs w:val="18"/>
              </w:rPr>
              <w:t>1.80</w:t>
            </w:r>
          </w:p>
        </w:tc>
        <w:tc>
          <w:tcPr>
            <w:tcW w:w="905" w:type="dxa"/>
            <w:vAlign w:val="center"/>
          </w:tcPr>
          <w:p>
            <w:pPr>
              <w:pStyle w:val="105"/>
              <w:widowControl w:val="0"/>
              <w:jc w:val="center"/>
              <w:rPr>
                <w:sz w:val="18"/>
                <w:szCs w:val="18"/>
              </w:rPr>
            </w:pPr>
          </w:p>
        </w:tc>
        <w:tc>
          <w:tcPr>
            <w:tcW w:w="621" w:type="dxa"/>
            <w:vAlign w:val="center"/>
          </w:tcPr>
          <w:p>
            <w:pPr>
              <w:pStyle w:val="105"/>
              <w:widowControl w:val="0"/>
              <w:jc w:val="center"/>
              <w:rPr>
                <w:sz w:val="18"/>
                <w:szCs w:val="18"/>
              </w:rPr>
            </w:pPr>
          </w:p>
        </w:tc>
        <w:tc>
          <w:tcPr>
            <w:tcW w:w="619" w:type="dxa"/>
            <w:vAlign w:val="center"/>
          </w:tcPr>
          <w:p>
            <w:pPr>
              <w:pStyle w:val="105"/>
              <w:widowControl w:val="0"/>
              <w:jc w:val="center"/>
              <w:rPr>
                <w:sz w:val="18"/>
                <w:szCs w:val="18"/>
              </w:rPr>
            </w:pPr>
          </w:p>
        </w:tc>
        <w:tc>
          <w:tcPr>
            <w:tcW w:w="619" w:type="dxa"/>
            <w:vAlign w:val="center"/>
          </w:tcPr>
          <w:p>
            <w:pPr>
              <w:pStyle w:val="105"/>
              <w:widowControl w:val="0"/>
              <w:jc w:val="center"/>
              <w:rPr>
                <w:sz w:val="18"/>
                <w:szCs w:val="18"/>
              </w:rPr>
            </w:pPr>
          </w:p>
        </w:tc>
        <w:tc>
          <w:tcPr>
            <w:tcW w:w="610" w:type="dxa"/>
            <w:vAlign w:val="center"/>
          </w:tcPr>
          <w:p>
            <w:pPr>
              <w:pStyle w:val="105"/>
              <w:widowControl w:val="0"/>
              <w:jc w:val="center"/>
              <w:rPr>
                <w:sz w:val="18"/>
                <w:szCs w:val="18"/>
              </w:rPr>
            </w:pPr>
          </w:p>
        </w:tc>
      </w:tr>
      <w:bookmarkEnd w:id="289"/>
    </w:tbl>
    <w:p>
      <w:pPr>
        <w:pStyle w:val="105"/>
      </w:pPr>
    </w:p>
    <w:p>
      <w:pPr>
        <w:pStyle w:val="124"/>
        <w:ind w:firstLine="0" w:firstLineChars="0"/>
        <w:rPr>
          <w:rFonts w:hint="eastAsia" w:eastAsia="宋体"/>
          <w:lang w:eastAsia="zh-CN"/>
        </w:rPr>
      </w:pPr>
    </w:p>
    <w:p>
      <w:pPr>
        <w:pStyle w:val="122"/>
      </w:pPr>
      <w:r>
        <w:rPr>
          <w:rFonts w:hint="eastAsia"/>
        </w:rPr>
        <w:t>表土平衡及流向框图</w:t>
      </w:r>
    </w:p>
    <w:p>
      <w:pPr>
        <w:pStyle w:val="116"/>
      </w:pPr>
      <w:bookmarkStart w:id="290" w:name="_Toc159405464"/>
      <w:bookmarkStart w:id="291" w:name="_Toc153957821"/>
      <w:bookmarkStart w:id="292" w:name="_Toc439084086"/>
      <w:bookmarkStart w:id="293" w:name="_Toc204676237"/>
      <w:bookmarkStart w:id="294" w:name="_Toc440466981"/>
      <w:bookmarkStart w:id="295" w:name="_Toc446086647"/>
      <w:bookmarkStart w:id="296" w:name="_Toc458669854"/>
      <w:r>
        <w:t>施工</w:t>
      </w:r>
      <w:r>
        <w:rPr>
          <w:rFonts w:hint="eastAsia"/>
        </w:rPr>
        <w:t>组织概述</w:t>
      </w:r>
      <w:bookmarkEnd w:id="290"/>
      <w:bookmarkEnd w:id="291"/>
      <w:bookmarkEnd w:id="292"/>
      <w:bookmarkEnd w:id="293"/>
      <w:bookmarkEnd w:id="294"/>
      <w:bookmarkEnd w:id="295"/>
      <w:bookmarkEnd w:id="296"/>
    </w:p>
    <w:p>
      <w:pPr>
        <w:pStyle w:val="120"/>
        <w:rPr>
          <w:color w:val="auto"/>
        </w:rPr>
      </w:pPr>
      <w:r>
        <w:rPr>
          <w:rFonts w:hint="eastAsia"/>
          <w:color w:val="auto"/>
        </w:rPr>
        <w:t>筑路材料及运输条件</w:t>
      </w:r>
    </w:p>
    <w:p>
      <w:pPr>
        <w:ind w:firstLine="480"/>
        <w:rPr>
          <w:lang w:val="zh-CN"/>
        </w:rPr>
      </w:pPr>
      <w:r>
        <w:rPr>
          <w:rFonts w:hint="eastAsia" w:ascii="宋体" w:hAnsi="宋体"/>
        </w:rPr>
        <w:t>（</w:t>
      </w:r>
      <w:r>
        <w:rPr>
          <w:rFonts w:ascii="宋体" w:hAnsi="宋体"/>
        </w:rPr>
        <w:t>1</w:t>
      </w:r>
      <w:r>
        <w:rPr>
          <w:rFonts w:hint="eastAsia" w:ascii="宋体" w:hAnsi="宋体"/>
        </w:rPr>
        <w:t>）施工材料:</w:t>
      </w:r>
      <w:r>
        <w:rPr>
          <w:rFonts w:hint="eastAsia"/>
        </w:rPr>
        <w:t>项目所用砂石料、钢材、木材、水泥、沥青等均可在福清市等周边县市购买，通过汽车方式运输至项目场地内</w:t>
      </w:r>
      <w:r>
        <w:rPr>
          <w:lang w:val="zh-CN"/>
        </w:rPr>
        <w:t>。</w:t>
      </w:r>
    </w:p>
    <w:p>
      <w:pPr>
        <w:ind w:firstLine="480"/>
        <w:rPr>
          <w:lang w:val="zh-CN"/>
        </w:rPr>
      </w:pPr>
      <w:r>
        <w:rPr>
          <w:lang w:val="zh-CN"/>
        </w:rPr>
        <w:t>（2）施工水电：项目区地表水水系发育，水质较好，均能满足工程需要用水。施工中应注意水资源的保护，严防对沿线居民用水的污染。沿线电网通达程度较高，乡村的高低压电力路线及变电设施均可用于施工。施工期通讯靠无线通讯工具完成，不需</w:t>
      </w:r>
      <w:r>
        <w:rPr>
          <w:rFonts w:hint="eastAsia"/>
          <w:lang w:val="zh-CN"/>
        </w:rPr>
        <w:t>架设通信</w:t>
      </w:r>
      <w:r>
        <w:rPr>
          <w:lang w:val="zh-CN"/>
        </w:rPr>
        <w:t>电缆。</w:t>
      </w:r>
    </w:p>
    <w:p>
      <w:pPr>
        <w:ind w:firstLine="480"/>
        <w:rPr>
          <w:szCs w:val="24"/>
          <w:lang w:val="zh-CN"/>
        </w:rPr>
      </w:pPr>
      <w:r>
        <w:rPr>
          <w:szCs w:val="24"/>
          <w:lang w:val="zh-CN"/>
        </w:rPr>
        <w:t>（3）</w:t>
      </w:r>
      <w:r>
        <w:rPr>
          <w:rFonts w:hint="eastAsia"/>
          <w:szCs w:val="24"/>
          <w:lang w:val="zh-CN"/>
        </w:rPr>
        <w:t>其他</w:t>
      </w:r>
      <w:r>
        <w:rPr>
          <w:szCs w:val="24"/>
          <w:lang w:val="zh-CN"/>
        </w:rPr>
        <w:t>建筑材料：如钢材、木材、油料、沥青及水泥等则根据工程需要外运。</w:t>
      </w:r>
    </w:p>
    <w:p>
      <w:pPr>
        <w:ind w:firstLine="480"/>
        <w:rPr>
          <w:szCs w:val="24"/>
          <w:lang w:val="zh-CN"/>
        </w:rPr>
      </w:pPr>
      <w:r>
        <w:rPr>
          <w:szCs w:val="24"/>
          <w:lang w:val="zh-CN"/>
        </w:rPr>
        <w:t>（4）运输条件：</w:t>
      </w:r>
      <w:r>
        <w:rPr>
          <w:rFonts w:hint="eastAsia"/>
        </w:rPr>
        <w:t>本项目区域内现有沈海高速公路、渔平高速公路、长福高速公路、国道G324线和乡村汽车道以及项目路基等构成较为便捷的采运条件，运输条件总体较好，交通较为便利。沿线筑路材料均可采用汽车运输。</w:t>
      </w:r>
    </w:p>
    <w:p>
      <w:pPr>
        <w:pStyle w:val="120"/>
        <w:rPr>
          <w:color w:val="auto"/>
        </w:rPr>
      </w:pPr>
      <w:bookmarkStart w:id="297" w:name="_Toc439084088"/>
      <w:r>
        <w:rPr>
          <w:rFonts w:hint="eastAsia"/>
          <w:color w:val="auto"/>
        </w:rPr>
        <w:t>各类临时占地布置</w:t>
      </w:r>
      <w:bookmarkEnd w:id="297"/>
    </w:p>
    <w:p>
      <w:pPr>
        <w:pStyle w:val="118"/>
        <w:numPr>
          <w:ilvl w:val="0"/>
          <w:numId w:val="0"/>
        </w:numPr>
      </w:pPr>
      <w:r>
        <w:rPr>
          <w:rFonts w:hint="eastAsia"/>
        </w:rPr>
        <w:t>（1）项目部及施工生活区</w:t>
      </w:r>
    </w:p>
    <w:p>
      <w:pPr>
        <w:ind w:firstLine="480"/>
      </w:pPr>
      <w:bookmarkStart w:id="298" w:name="_Hlk179540535"/>
      <w:r>
        <w:rPr>
          <w:rFonts w:hint="eastAsia"/>
        </w:rPr>
        <w:t>项目部</w:t>
      </w:r>
      <w:r>
        <w:t>及施工人员租用</w:t>
      </w:r>
      <w:bookmarkEnd w:id="298"/>
      <w:r>
        <w:rPr>
          <w:rFonts w:hint="eastAsia"/>
        </w:rPr>
        <w:t>福清市上迳镇牌边村G324国道旁民房作为项目驻地，施工人员分散租赁在周边民房，均不涉及新增占地</w:t>
      </w:r>
      <w:r>
        <w:t>。</w:t>
      </w:r>
    </w:p>
    <w:p>
      <w:pPr>
        <w:pStyle w:val="118"/>
        <w:numPr>
          <w:ilvl w:val="0"/>
          <w:numId w:val="0"/>
        </w:numPr>
      </w:pPr>
      <w:bookmarkStart w:id="299" w:name="_Toc431223910"/>
      <w:bookmarkStart w:id="300" w:name="_Toc434825261"/>
      <w:bookmarkStart w:id="301" w:name="_Toc448174383"/>
      <w:bookmarkStart w:id="302" w:name="_Toc430340696"/>
      <w:bookmarkStart w:id="303" w:name="_Toc445277641"/>
      <w:r>
        <w:rPr>
          <w:rFonts w:hint="eastAsia"/>
        </w:rPr>
        <w:t>（</w:t>
      </w:r>
      <w:r>
        <w:t>2</w:t>
      </w:r>
      <w:r>
        <w:rPr>
          <w:rFonts w:hint="eastAsia"/>
        </w:rPr>
        <w:t>）施工场地</w:t>
      </w:r>
      <w:bookmarkEnd w:id="299"/>
      <w:bookmarkEnd w:id="300"/>
      <w:bookmarkEnd w:id="301"/>
      <w:bookmarkEnd w:id="302"/>
      <w:bookmarkEnd w:id="303"/>
    </w:p>
    <w:p>
      <w:pPr>
        <w:ind w:firstLine="480"/>
      </w:pPr>
      <w:bookmarkStart w:id="304" w:name="_Toc431223912"/>
      <w:bookmarkStart w:id="305" w:name="_Toc434825263"/>
      <w:bookmarkStart w:id="306" w:name="_Toc430340698"/>
      <w:bookmarkStart w:id="307" w:name="_Toc445277642"/>
      <w:r>
        <w:rPr>
          <w:rFonts w:hint="eastAsia"/>
        </w:rPr>
        <w:t>本项目水泥混凝土及沥青混凝土采用外购商品沥青混凝土及商品水泥混凝土，不设置现场拌合。</w:t>
      </w:r>
    </w:p>
    <w:p>
      <w:pPr>
        <w:ind w:firstLine="480"/>
      </w:pPr>
      <w:bookmarkStart w:id="308" w:name="_Hlk198562471"/>
      <w:r>
        <w:t>根据项目区施工进度安排及总体布局，为便于施工组织管理、保证工程顺利进行，本项目</w:t>
      </w:r>
      <w:r>
        <w:rPr>
          <w:rFonts w:hint="eastAsia"/>
        </w:rPr>
        <w:t>拟在公路</w:t>
      </w:r>
      <w:r>
        <w:t>沿线设置1处</w:t>
      </w:r>
      <w:r>
        <w:rPr>
          <w:rFonts w:hint="eastAsia"/>
        </w:rPr>
        <w:t>施工场地。1</w:t>
      </w:r>
      <w:r>
        <w:t>#</w:t>
      </w:r>
      <w:r>
        <w:rPr>
          <w:rFonts w:hint="eastAsia"/>
        </w:rPr>
        <w:t>施工场地位于主线K1+894右侧，占地约</w:t>
      </w:r>
      <w:r>
        <w:t>0.69</w:t>
      </w:r>
      <w:r>
        <w:rPr>
          <w:rFonts w:hint="eastAsia"/>
        </w:rPr>
        <w:t>m²。</w:t>
      </w:r>
      <w:r>
        <w:t>施工场地主要用于</w:t>
      </w:r>
      <w:r>
        <w:rPr>
          <w:rFonts w:hint="eastAsia"/>
        </w:rPr>
        <w:t>负责大埔大桥T梁预制</w:t>
      </w:r>
      <w:r>
        <w:rPr>
          <w:spacing w:val="8"/>
        </w:rPr>
        <w:t>等</w:t>
      </w:r>
      <w:r>
        <w:rPr>
          <w:rFonts w:hint="eastAsia"/>
          <w:spacing w:val="8"/>
        </w:rPr>
        <w:t>，</w:t>
      </w:r>
      <w:r>
        <w:rPr>
          <w:rFonts w:hint="eastAsia"/>
        </w:rPr>
        <w:t>由制梁区、存梁区、钢筋加工区、轨道、龙门吊、办公区、场区道路、喷淋养护设施等组成</w:t>
      </w:r>
      <w:r>
        <w:rPr>
          <w:rFonts w:hint="eastAsia"/>
          <w:spacing w:val="8"/>
        </w:rPr>
        <w:t>，</w:t>
      </w:r>
      <w:r>
        <w:rPr>
          <w:rFonts w:hint="eastAsia"/>
        </w:rPr>
        <w:t>土地利用类型</w:t>
      </w:r>
      <w:r>
        <w:t>为</w:t>
      </w:r>
      <w:r>
        <w:rPr>
          <w:rFonts w:hint="eastAsia"/>
        </w:rPr>
        <w:t>其他草地和其他林地</w:t>
      </w:r>
      <w:r>
        <w:t>，</w:t>
      </w:r>
      <w:r>
        <w:rPr>
          <w:rFonts w:hint="eastAsia"/>
        </w:rPr>
        <w:t>现状为荒草地和稀疏桉树林植被</w:t>
      </w:r>
      <w:r>
        <w:rPr>
          <w:spacing w:val="8"/>
        </w:rPr>
        <w:t>。</w:t>
      </w:r>
    </w:p>
    <w:p>
      <w:pPr>
        <w:pStyle w:val="87"/>
        <w:spacing w:before="120"/>
        <w:rPr>
          <w:snapToGrid w:val="0"/>
        </w:rPr>
      </w:pPr>
      <w:r>
        <w:rPr>
          <w:rFonts w:hint="eastAsia"/>
          <w:snapToGrid w:val="0"/>
        </w:rPr>
        <w:t>施工场地布置情况一览表</w:t>
      </w:r>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880"/>
        <w:gridCol w:w="1055"/>
        <w:gridCol w:w="904"/>
        <w:gridCol w:w="838"/>
        <w:gridCol w:w="2582"/>
        <w:gridCol w:w="19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5" w:type="pct"/>
            <w:vAlign w:val="center"/>
          </w:tcPr>
          <w:p>
            <w:pPr>
              <w:pStyle w:val="105"/>
              <w:ind w:left="-48" w:leftChars="-20" w:right="-48" w:rightChars="-20"/>
              <w:jc w:val="center"/>
              <w:rPr>
                <w:snapToGrid w:val="0"/>
                <w:sz w:val="20"/>
                <w:szCs w:val="24"/>
              </w:rPr>
            </w:pPr>
            <w:r>
              <w:rPr>
                <w:rFonts w:hint="eastAsia"/>
                <w:snapToGrid w:val="0"/>
                <w:sz w:val="20"/>
                <w:szCs w:val="24"/>
              </w:rPr>
              <w:t>名称</w:t>
            </w:r>
          </w:p>
        </w:tc>
        <w:tc>
          <w:tcPr>
            <w:tcW w:w="474" w:type="pct"/>
            <w:vAlign w:val="center"/>
          </w:tcPr>
          <w:p>
            <w:pPr>
              <w:pStyle w:val="105"/>
              <w:ind w:left="-48" w:leftChars="-20" w:right="-48" w:rightChars="-20"/>
              <w:jc w:val="center"/>
              <w:rPr>
                <w:snapToGrid w:val="0"/>
                <w:sz w:val="20"/>
                <w:szCs w:val="24"/>
              </w:rPr>
            </w:pPr>
            <w:r>
              <w:rPr>
                <w:rFonts w:hint="eastAsia"/>
                <w:snapToGrid w:val="0"/>
                <w:sz w:val="20"/>
                <w:szCs w:val="24"/>
              </w:rPr>
              <w:t>位</w:t>
            </w:r>
            <w:r>
              <w:rPr>
                <w:snapToGrid w:val="0"/>
                <w:sz w:val="20"/>
                <w:szCs w:val="24"/>
              </w:rPr>
              <w:t xml:space="preserve"> </w:t>
            </w:r>
            <w:r>
              <w:rPr>
                <w:rFonts w:hint="eastAsia"/>
                <w:snapToGrid w:val="0"/>
                <w:sz w:val="20"/>
                <w:szCs w:val="24"/>
              </w:rPr>
              <w:t>置</w:t>
            </w:r>
          </w:p>
        </w:tc>
        <w:tc>
          <w:tcPr>
            <w:tcW w:w="568" w:type="pct"/>
            <w:vAlign w:val="center"/>
          </w:tcPr>
          <w:p>
            <w:pPr>
              <w:pStyle w:val="105"/>
              <w:ind w:left="-48" w:leftChars="-20" w:right="-48" w:rightChars="-20"/>
              <w:jc w:val="center"/>
              <w:rPr>
                <w:snapToGrid w:val="0"/>
                <w:sz w:val="20"/>
                <w:szCs w:val="24"/>
              </w:rPr>
            </w:pPr>
            <w:r>
              <w:rPr>
                <w:rFonts w:hint="eastAsia"/>
                <w:snapToGrid w:val="0"/>
                <w:sz w:val="20"/>
                <w:szCs w:val="24"/>
              </w:rPr>
              <w:t>占地类型</w:t>
            </w:r>
          </w:p>
        </w:tc>
        <w:tc>
          <w:tcPr>
            <w:tcW w:w="487" w:type="pct"/>
            <w:vAlign w:val="center"/>
          </w:tcPr>
          <w:p>
            <w:pPr>
              <w:pStyle w:val="105"/>
              <w:ind w:left="-48" w:leftChars="-20" w:right="-48" w:rightChars="-20"/>
              <w:jc w:val="center"/>
              <w:rPr>
                <w:snapToGrid w:val="0"/>
                <w:sz w:val="20"/>
                <w:szCs w:val="24"/>
              </w:rPr>
            </w:pPr>
            <w:r>
              <w:rPr>
                <w:rFonts w:hint="eastAsia"/>
                <w:snapToGrid w:val="0"/>
                <w:sz w:val="20"/>
                <w:szCs w:val="24"/>
              </w:rPr>
              <w:t>面积（</w:t>
            </w:r>
            <w:r>
              <w:rPr>
                <w:snapToGrid w:val="0"/>
                <w:sz w:val="20"/>
                <w:szCs w:val="24"/>
              </w:rPr>
              <w:t>hm²</w:t>
            </w:r>
            <w:r>
              <w:rPr>
                <w:rFonts w:hint="eastAsia"/>
                <w:snapToGrid w:val="0"/>
                <w:sz w:val="20"/>
                <w:szCs w:val="24"/>
              </w:rPr>
              <w:t>）</w:t>
            </w:r>
          </w:p>
        </w:tc>
        <w:tc>
          <w:tcPr>
            <w:tcW w:w="451" w:type="pct"/>
            <w:vAlign w:val="center"/>
          </w:tcPr>
          <w:p>
            <w:pPr>
              <w:pStyle w:val="105"/>
              <w:ind w:left="-48" w:leftChars="-20" w:right="-48" w:rightChars="-20"/>
              <w:jc w:val="center"/>
              <w:rPr>
                <w:snapToGrid w:val="0"/>
                <w:sz w:val="20"/>
                <w:szCs w:val="24"/>
              </w:rPr>
            </w:pPr>
            <w:r>
              <w:rPr>
                <w:rFonts w:hint="eastAsia"/>
                <w:snapToGrid w:val="0"/>
                <w:sz w:val="20"/>
                <w:szCs w:val="24"/>
              </w:rPr>
              <w:t>占地性质</w:t>
            </w:r>
          </w:p>
        </w:tc>
        <w:tc>
          <w:tcPr>
            <w:tcW w:w="1390" w:type="pct"/>
            <w:vAlign w:val="center"/>
          </w:tcPr>
          <w:p>
            <w:pPr>
              <w:pStyle w:val="105"/>
              <w:ind w:left="-48" w:leftChars="-20" w:right="-48" w:rightChars="-20"/>
              <w:jc w:val="center"/>
              <w:rPr>
                <w:snapToGrid w:val="0"/>
                <w:sz w:val="20"/>
                <w:szCs w:val="24"/>
              </w:rPr>
            </w:pPr>
            <w:r>
              <w:rPr>
                <w:rFonts w:hint="eastAsia"/>
                <w:snapToGrid w:val="0"/>
                <w:sz w:val="20"/>
                <w:szCs w:val="24"/>
              </w:rPr>
              <w:t>用地现状及周边情况</w:t>
            </w:r>
          </w:p>
        </w:tc>
        <w:tc>
          <w:tcPr>
            <w:tcW w:w="1076" w:type="pct"/>
            <w:vAlign w:val="center"/>
          </w:tcPr>
          <w:p>
            <w:pPr>
              <w:pStyle w:val="105"/>
              <w:ind w:left="-48" w:leftChars="-20" w:right="-48" w:rightChars="-20"/>
              <w:jc w:val="center"/>
              <w:rPr>
                <w:snapToGrid w:val="0"/>
                <w:sz w:val="20"/>
                <w:szCs w:val="24"/>
              </w:rPr>
            </w:pPr>
            <w:r>
              <w:rPr>
                <w:rFonts w:hint="eastAsia"/>
                <w:snapToGrid w:val="0"/>
                <w:sz w:val="20"/>
                <w:szCs w:val="24"/>
              </w:rPr>
              <w:t>布置内容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555" w:type="pct"/>
            <w:vAlign w:val="center"/>
          </w:tcPr>
          <w:p>
            <w:pPr>
              <w:pStyle w:val="105"/>
              <w:jc w:val="center"/>
              <w:rPr>
                <w:snapToGrid w:val="0"/>
              </w:rPr>
            </w:pPr>
            <w:r>
              <w:rPr>
                <w:rFonts w:hint="eastAsia"/>
                <w:snapToGrid w:val="0"/>
              </w:rPr>
              <w:t>1</w:t>
            </w:r>
            <w:r>
              <w:rPr>
                <w:snapToGrid w:val="0"/>
              </w:rPr>
              <w:t>#</w:t>
            </w:r>
            <w:r>
              <w:rPr>
                <w:rFonts w:hint="eastAsia"/>
                <w:snapToGrid w:val="0"/>
              </w:rPr>
              <w:t>施工场地</w:t>
            </w:r>
          </w:p>
        </w:tc>
        <w:tc>
          <w:tcPr>
            <w:tcW w:w="474" w:type="pct"/>
            <w:vAlign w:val="center"/>
          </w:tcPr>
          <w:p>
            <w:pPr>
              <w:pStyle w:val="105"/>
              <w:ind w:left="-48" w:leftChars="-20" w:right="-48" w:rightChars="-20"/>
              <w:jc w:val="center"/>
              <w:rPr>
                <w:snapToGrid w:val="0"/>
                <w:sz w:val="20"/>
                <w:szCs w:val="24"/>
              </w:rPr>
            </w:pPr>
            <w:r>
              <w:rPr>
                <w:rFonts w:hint="eastAsia"/>
                <w:snapToGrid w:val="0"/>
              </w:rPr>
              <w:t>K1+894右侧</w:t>
            </w:r>
          </w:p>
        </w:tc>
        <w:tc>
          <w:tcPr>
            <w:tcW w:w="568" w:type="pct"/>
            <w:vAlign w:val="center"/>
          </w:tcPr>
          <w:p>
            <w:pPr>
              <w:pStyle w:val="105"/>
              <w:ind w:left="-48" w:leftChars="-20" w:right="-48" w:rightChars="-20"/>
              <w:jc w:val="center"/>
              <w:rPr>
                <w:snapToGrid w:val="0"/>
                <w:sz w:val="20"/>
                <w:szCs w:val="24"/>
              </w:rPr>
            </w:pPr>
            <w:bookmarkStart w:id="309" w:name="_Hlk199281004"/>
            <w:r>
              <w:rPr>
                <w:rFonts w:hint="eastAsia"/>
                <w:snapToGrid w:val="0"/>
              </w:rPr>
              <w:t>草地和园地</w:t>
            </w:r>
            <w:bookmarkEnd w:id="309"/>
          </w:p>
        </w:tc>
        <w:tc>
          <w:tcPr>
            <w:tcW w:w="487" w:type="pct"/>
            <w:vAlign w:val="center"/>
          </w:tcPr>
          <w:p>
            <w:pPr>
              <w:pStyle w:val="105"/>
              <w:ind w:left="-48" w:leftChars="-20" w:right="-48" w:rightChars="-20"/>
              <w:jc w:val="center"/>
              <w:rPr>
                <w:snapToGrid w:val="0"/>
                <w:sz w:val="20"/>
                <w:szCs w:val="24"/>
              </w:rPr>
            </w:pPr>
            <w:r>
              <w:rPr>
                <w:rFonts w:hint="eastAsia"/>
                <w:snapToGrid w:val="0"/>
                <w:sz w:val="20"/>
                <w:szCs w:val="24"/>
              </w:rPr>
              <w:t>0</w:t>
            </w:r>
            <w:r>
              <w:rPr>
                <w:snapToGrid w:val="0"/>
                <w:sz w:val="20"/>
                <w:szCs w:val="24"/>
              </w:rPr>
              <w:t>.69</w:t>
            </w:r>
          </w:p>
        </w:tc>
        <w:tc>
          <w:tcPr>
            <w:tcW w:w="451" w:type="pct"/>
            <w:vAlign w:val="center"/>
          </w:tcPr>
          <w:p>
            <w:pPr>
              <w:pStyle w:val="105"/>
              <w:ind w:left="-48" w:leftChars="-20" w:right="-48" w:rightChars="-20"/>
              <w:jc w:val="center"/>
              <w:rPr>
                <w:snapToGrid w:val="0"/>
                <w:sz w:val="20"/>
                <w:szCs w:val="24"/>
              </w:rPr>
            </w:pPr>
            <w:r>
              <w:rPr>
                <w:rFonts w:hint="eastAsia"/>
                <w:snapToGrid w:val="0"/>
                <w:sz w:val="20"/>
                <w:szCs w:val="24"/>
              </w:rPr>
              <w:t>红线外临时占地</w:t>
            </w:r>
          </w:p>
        </w:tc>
        <w:tc>
          <w:tcPr>
            <w:tcW w:w="1390" w:type="pct"/>
            <w:vAlign w:val="center"/>
          </w:tcPr>
          <w:p>
            <w:pPr>
              <w:pStyle w:val="105"/>
              <w:ind w:left="-48" w:leftChars="-20" w:right="-48" w:rightChars="-20"/>
              <w:jc w:val="center"/>
              <w:rPr>
                <w:snapToGrid w:val="0"/>
                <w:sz w:val="20"/>
                <w:szCs w:val="24"/>
              </w:rPr>
            </w:pPr>
            <w:r>
              <w:rPr>
                <w:rFonts w:hint="eastAsia"/>
                <w:snapToGrid w:val="0"/>
                <w:sz w:val="20"/>
                <w:szCs w:val="24"/>
              </w:rPr>
              <w:t>现状为杂草地和一般林地（稀疏桉树），周边1</w:t>
            </w:r>
            <w:r>
              <w:rPr>
                <w:snapToGrid w:val="0"/>
                <w:sz w:val="20"/>
                <w:szCs w:val="24"/>
              </w:rPr>
              <w:t>00</w:t>
            </w:r>
            <w:r>
              <w:rPr>
                <w:rFonts w:hint="eastAsia"/>
                <w:snapToGrid w:val="0"/>
                <w:sz w:val="20"/>
                <w:szCs w:val="24"/>
              </w:rPr>
              <w:t>m无居民点，最近敏感点为东北侧1</w:t>
            </w:r>
            <w:r>
              <w:rPr>
                <w:snapToGrid w:val="0"/>
                <w:sz w:val="20"/>
                <w:szCs w:val="24"/>
              </w:rPr>
              <w:t>30</w:t>
            </w:r>
            <w:r>
              <w:rPr>
                <w:rFonts w:hint="eastAsia"/>
                <w:snapToGrid w:val="0"/>
                <w:sz w:val="20"/>
                <w:szCs w:val="24"/>
              </w:rPr>
              <w:t>m的</w:t>
            </w:r>
            <w:r>
              <w:rPr>
                <w:rFonts w:hint="eastAsia"/>
                <w:snapToGrid w:val="0"/>
              </w:rPr>
              <w:t>基督教洋下堂和</w:t>
            </w:r>
            <w:r>
              <w:rPr>
                <w:rFonts w:hint="eastAsia"/>
                <w:snapToGrid w:val="0"/>
                <w:sz w:val="20"/>
                <w:szCs w:val="24"/>
              </w:rPr>
              <w:t>西南侧</w:t>
            </w:r>
            <w:r>
              <w:rPr>
                <w:snapToGrid w:val="0"/>
                <w:sz w:val="20"/>
                <w:szCs w:val="24"/>
              </w:rPr>
              <w:t>141</w:t>
            </w:r>
            <w:r>
              <w:rPr>
                <w:rFonts w:hint="eastAsia"/>
                <w:snapToGrid w:val="0"/>
                <w:sz w:val="20"/>
                <w:szCs w:val="24"/>
              </w:rPr>
              <w:t>m火烧埔。</w:t>
            </w:r>
          </w:p>
        </w:tc>
        <w:tc>
          <w:tcPr>
            <w:tcW w:w="1076" w:type="pct"/>
            <w:vAlign w:val="center"/>
          </w:tcPr>
          <w:p>
            <w:pPr>
              <w:pStyle w:val="105"/>
              <w:jc w:val="center"/>
              <w:rPr>
                <w:snapToGrid w:val="0"/>
              </w:rPr>
            </w:pPr>
            <w:bookmarkStart w:id="310" w:name="_Hlk179539979"/>
            <w:r>
              <w:rPr>
                <w:rFonts w:hint="eastAsia"/>
                <w:snapToGrid w:val="0"/>
                <w:sz w:val="20"/>
                <w:szCs w:val="24"/>
              </w:rPr>
              <w:t>钢筋加工场、预制场、存梁区、材料堆场、小型构件预制场、临时办公值班房</w:t>
            </w:r>
            <w:bookmarkEnd w:id="310"/>
            <w:r>
              <w:rPr>
                <w:rFonts w:hint="eastAsia"/>
                <w:snapToGrid w:val="0"/>
                <w:sz w:val="20"/>
                <w:szCs w:val="24"/>
              </w:rPr>
              <w:t>等</w:t>
            </w:r>
          </w:p>
        </w:tc>
      </w:tr>
      <w:bookmarkEnd w:id="308"/>
    </w:tbl>
    <w:p>
      <w:pPr>
        <w:pStyle w:val="105"/>
      </w:pPr>
      <w:bookmarkStart w:id="311" w:name="_Toc448174384"/>
    </w:p>
    <w:p>
      <w:pPr>
        <w:pStyle w:val="105"/>
        <w:rPr>
          <w:rFonts w:hint="eastAsia" w:eastAsia="宋体"/>
          <w:lang w:eastAsia="zh-CN"/>
        </w:rPr>
      </w:pPr>
      <w:r>
        <mc:AlternateContent>
          <mc:Choice Requires="wps">
            <w:drawing>
              <wp:anchor distT="0" distB="0" distL="114300" distR="114300" simplePos="0" relativeHeight="251765760" behindDoc="0" locked="0" layoutInCell="1" allowOverlap="1">
                <wp:simplePos x="0" y="0"/>
                <wp:positionH relativeFrom="column">
                  <wp:posOffset>29845</wp:posOffset>
                </wp:positionH>
                <wp:positionV relativeFrom="paragraph">
                  <wp:posOffset>2601595</wp:posOffset>
                </wp:positionV>
                <wp:extent cx="539115" cy="178435"/>
                <wp:effectExtent l="0" t="0" r="13335" b="831215"/>
                <wp:wrapNone/>
                <wp:docPr id="1593004324" name="对话气泡: 圆角矩形 1593004324"/>
                <wp:cNvGraphicFramePr/>
                <a:graphic xmlns:a="http://schemas.openxmlformats.org/drawingml/2006/main">
                  <a:graphicData uri="http://schemas.microsoft.com/office/word/2010/wordprocessingShape">
                    <wps:wsp>
                      <wps:cNvSpPr/>
                      <wps:spPr>
                        <a:xfrm>
                          <a:off x="0" y="0"/>
                          <a:ext cx="539115" cy="178435"/>
                        </a:xfrm>
                        <a:prstGeom prst="wedgeRoundRectCallout">
                          <a:avLst>
                            <a:gd name="adj1" fmla="val -12870"/>
                            <a:gd name="adj2" fmla="val 496133"/>
                            <a:gd name="adj3" fmla="val 16667"/>
                          </a:avLst>
                        </a:prstGeom>
                        <a:solidFill>
                          <a:schemeClr val="bg1">
                            <a:lumMod val="50000"/>
                            <a:alpha val="49804"/>
                          </a:scheme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rPr>
                                <w:b/>
                                <w:bCs/>
                                <w:color w:val="0000FF"/>
                                <w:sz w:val="18"/>
                                <w:szCs w:val="22"/>
                              </w:rPr>
                            </w:pPr>
                            <w:r>
                              <w:rPr>
                                <w:rFonts w:hint="eastAsia"/>
                                <w:b/>
                                <w:bCs/>
                                <w:color w:val="0000FF"/>
                                <w:sz w:val="16"/>
                                <w:szCs w:val="21"/>
                              </w:rPr>
                              <w:t>泥浆循环池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593004324" o:spid="_x0000_s1026" o:spt="62" type="#_x0000_t62" style="position:absolute;left:0pt;margin-left:2.35pt;margin-top:204.85pt;height:14.05pt;width:42.45pt;z-index:251765760;v-text-anchor:middle;mso-width-relative:page;mso-height-relative:page;" fillcolor="#7F7F7F [1612]" filled="t" stroked="t" coordsize="21600,21600" o:gfxdata="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6gVFT9cAAAAIAQAADwAAAAAA&#10;AAABACAAAAAiAAAAZHJzL2Rvd25yZXYueG1sUEsBAhQAFAAAAAgAh07iQLE0bN74AgAA0wUAAA4A&#10;AAAAAAAAAQAgAAAAJgEAAGRycy9lMm9Eb2MueG1sUEsFBgAAAAAGAAYAWQEAAJAGAAAAAA==&#10;" adj="8020,117965,14400">
                <v:fill on="t" opacity="32639f" focussize="0,0"/>
                <v:stroke weight="0.5pt" color="#FF00FF [3204]" miterlimit="8" joinstyle="miter"/>
                <v:imagedata o:title=""/>
                <o:lock v:ext="edit" aspectratio="f"/>
                <v:textbox inset="0mm,0mm,0mm,0mm">
                  <w:txbxContent>
                    <w:p>
                      <w:pPr>
                        <w:pStyle w:val="105"/>
                        <w:spacing w:before="0" w:after="0"/>
                        <w:rPr>
                          <w:b/>
                          <w:bCs/>
                          <w:color w:val="0000FF"/>
                          <w:sz w:val="18"/>
                          <w:szCs w:val="22"/>
                        </w:rPr>
                      </w:pPr>
                      <w:r>
                        <w:rPr>
                          <w:rFonts w:hint="eastAsia"/>
                          <w:b/>
                          <w:bCs/>
                          <w:color w:val="0000FF"/>
                          <w:sz w:val="16"/>
                          <w:szCs w:val="21"/>
                        </w:rPr>
                        <w:t>泥浆循环池</w:t>
                      </w:r>
                    </w:p>
                  </w:txbxContent>
                </v:textbox>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156845</wp:posOffset>
                </wp:positionH>
                <wp:positionV relativeFrom="paragraph">
                  <wp:posOffset>3540125</wp:posOffset>
                </wp:positionV>
                <wp:extent cx="182880" cy="365760"/>
                <wp:effectExtent l="0" t="0" r="26670" b="15240"/>
                <wp:wrapNone/>
                <wp:docPr id="1593004323" name="矩形 1593004323"/>
                <wp:cNvGraphicFramePr/>
                <a:graphic xmlns:a="http://schemas.openxmlformats.org/drawingml/2006/main">
                  <a:graphicData uri="http://schemas.microsoft.com/office/word/2010/wordprocessingShape">
                    <wps:wsp>
                      <wps:cNvSpPr/>
                      <wps:spPr>
                        <a:xfrm>
                          <a:off x="0" y="0"/>
                          <a:ext cx="182880" cy="365760"/>
                        </a:xfrm>
                        <a:prstGeom prst="rect">
                          <a:avLst/>
                        </a:prstGeom>
                        <a:solidFill>
                          <a:schemeClr val="accent1">
                            <a:lumMod val="40000"/>
                            <a:lumOff val="6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5pt;margin-top:278.75pt;height:28.8pt;width:14.4pt;z-index:251764736;v-text-anchor:middle;mso-width-relative:page;mso-height-relative:page;" fillcolor="#B4C7E7 [1300]" filled="t" stroked="t" coordsize="21600,21600" o:gfxdata="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Fngz/YAAAACQEAAA8AAAAAAAAAAQAgAAAAIgAAAGRycy9kb3ducmV2LnhtbFBLAQIU&#10;ABQAAAAIAIdO4kCZJC70ngIAAHYFAAAOAAAAAAAAAAEAIAAAACcBAABkcnMvZTJvRG9jLnhtbFBL&#10;BQYAAAAABgAGAFkBAAA3BgAAAAA=&#10;">
                <v:fill on="t" focussize="0,0"/>
                <v:stroke weight="1pt" color="#0D0D0D [3069]" miterlimit="8" joinstyle="miter"/>
                <v:imagedata o:title=""/>
                <o:lock v:ext="edit" aspectratio="f"/>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1510665</wp:posOffset>
                </wp:positionH>
                <wp:positionV relativeFrom="paragraph">
                  <wp:posOffset>1334135</wp:posOffset>
                </wp:positionV>
                <wp:extent cx="539115" cy="178435"/>
                <wp:effectExtent l="0" t="0" r="356235" b="450215"/>
                <wp:wrapNone/>
                <wp:docPr id="1747986759" name="对话气泡: 圆角矩形 1747986759"/>
                <wp:cNvGraphicFramePr/>
                <a:graphic xmlns:a="http://schemas.openxmlformats.org/drawingml/2006/main">
                  <a:graphicData uri="http://schemas.microsoft.com/office/word/2010/wordprocessingShape">
                    <wps:wsp>
                      <wps:cNvSpPr/>
                      <wps:spPr>
                        <a:xfrm>
                          <a:off x="0" y="0"/>
                          <a:ext cx="539115" cy="178435"/>
                        </a:xfrm>
                        <a:prstGeom prst="wedgeRoundRectCallout">
                          <a:avLst>
                            <a:gd name="adj1" fmla="val 106595"/>
                            <a:gd name="adj2" fmla="val 282238"/>
                            <a:gd name="adj3" fmla="val 16667"/>
                          </a:avLst>
                        </a:prstGeom>
                        <a:solidFill>
                          <a:schemeClr val="bg1">
                            <a:lumMod val="50000"/>
                            <a:alpha val="49804"/>
                          </a:scheme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jc w:val="center"/>
                              <w:rPr>
                                <w:b/>
                                <w:bCs/>
                                <w:color w:val="0000FF"/>
                                <w:sz w:val="18"/>
                                <w:szCs w:val="22"/>
                              </w:rPr>
                            </w:pPr>
                            <w:r>
                              <w:rPr>
                                <w:rFonts w:hint="eastAsia"/>
                                <w:b/>
                                <w:bCs/>
                                <w:color w:val="0000FF"/>
                                <w:sz w:val="16"/>
                                <w:szCs w:val="21"/>
                              </w:rPr>
                              <w:t>隔油沉淀池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747986759" o:spid="_x0000_s1026" o:spt="62" type="#_x0000_t62" style="position:absolute;left:0pt;margin-left:118.95pt;margin-top:105.05pt;height:14.05pt;width:42.45pt;z-index:251685888;v-text-anchor:middle;mso-width-relative:page;mso-height-relative:page;" fillcolor="#7F7F7F [1612]" filled="t" stroked="t" coordsize="21600,21600" o:gfxdata="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zxIZ52wAAAAsBAAAP&#10;AAAAAAAAAAEAIAAAACIAAABkcnMvZG93bnJldi54bWxQSwECFAAUAAAACACHTuJAlbAKovkCAADT&#10;BQAADgAAAAAAAAABACAAAAAqAQAAZHJzL2Uyb0RvYy54bWxQSwUGAAAAAAYABgBZAQAAlQYAAAAA&#10;" adj="33825,71763,14400">
                <v:fill on="t" opacity="32639f" focussize="0,0"/>
                <v:stroke weight="0.5pt" color="#FF00FF [3204]" miterlimit="8" joinstyle="miter"/>
                <v:imagedata o:title=""/>
                <o:lock v:ext="edit" aspectratio="f"/>
                <v:textbox inset="0mm,0mm,0mm,0mm">
                  <w:txbxContent>
                    <w:p>
                      <w:pPr>
                        <w:pStyle w:val="105"/>
                        <w:spacing w:before="0" w:after="0"/>
                        <w:jc w:val="center"/>
                        <w:rPr>
                          <w:b/>
                          <w:bCs/>
                          <w:color w:val="0000FF"/>
                          <w:sz w:val="18"/>
                          <w:szCs w:val="22"/>
                        </w:rPr>
                      </w:pPr>
                      <w:r>
                        <w:rPr>
                          <w:rFonts w:hint="eastAsia"/>
                          <w:b/>
                          <w:bCs/>
                          <w:color w:val="0000FF"/>
                          <w:sz w:val="16"/>
                          <w:szCs w:val="21"/>
                        </w:rPr>
                        <w:t>隔油沉淀池</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margin">
                  <wp:posOffset>2971800</wp:posOffset>
                </wp:positionH>
                <wp:positionV relativeFrom="paragraph">
                  <wp:posOffset>876300</wp:posOffset>
                </wp:positionV>
                <wp:extent cx="539115" cy="178435"/>
                <wp:effectExtent l="228600" t="0" r="13335" b="564515"/>
                <wp:wrapNone/>
                <wp:docPr id="1747986758" name="对话气泡: 圆角矩形 1747986758"/>
                <wp:cNvGraphicFramePr/>
                <a:graphic xmlns:a="http://schemas.openxmlformats.org/drawingml/2006/main">
                  <a:graphicData uri="http://schemas.microsoft.com/office/word/2010/wordprocessingShape">
                    <wps:wsp>
                      <wps:cNvSpPr/>
                      <wps:spPr>
                        <a:xfrm>
                          <a:off x="0" y="0"/>
                          <a:ext cx="539115" cy="178435"/>
                        </a:xfrm>
                        <a:prstGeom prst="wedgeRoundRectCallout">
                          <a:avLst>
                            <a:gd name="adj1" fmla="val -85800"/>
                            <a:gd name="adj2" fmla="val 343426"/>
                            <a:gd name="adj3" fmla="val 16667"/>
                          </a:avLst>
                        </a:prstGeom>
                        <a:solidFill>
                          <a:schemeClr val="bg1">
                            <a:lumMod val="50000"/>
                            <a:alpha val="49804"/>
                          </a:scheme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jc w:val="center"/>
                              <w:rPr>
                                <w:b/>
                                <w:bCs/>
                                <w:color w:val="0000FF"/>
                                <w:sz w:val="18"/>
                                <w:szCs w:val="22"/>
                              </w:rPr>
                            </w:pPr>
                            <w:r>
                              <w:rPr>
                                <w:rFonts w:hint="eastAsia"/>
                                <w:b/>
                                <w:bCs/>
                                <w:color w:val="0000FF"/>
                                <w:sz w:val="16"/>
                                <w:szCs w:val="21"/>
                              </w:rPr>
                              <w:t>沉砂池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747986758" o:spid="_x0000_s1026" o:spt="62" type="#_x0000_t62" style="position:absolute;left:0pt;margin-left:234pt;margin-top:69pt;height:14.05pt;width:42.45pt;mso-position-horizontal-relative:margin;z-index:251684864;v-text-anchor:middle;mso-width-relative:page;mso-height-relative:page;" fillcolor="#7F7F7F [1612]" filled="t" stroked="t" coordsize="21600,21600" o:gfxdata="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GmmIsnYAAAACwEAAA8AAAAA&#10;AAAAAQAgAAAAIgAAAGRycy9kb3ducmV2LnhtbFBLAQIUABQAAAAIAIdO4kCZG8KF+AIAANMFAAAO&#10;AAAAAAAAAAEAIAAAACcBAABkcnMvZTJvRG9jLnhtbFBLBQYAAAAABgAGAFkBAACRBgAAAAA=&#10;" adj="-7733,84980,14400">
                <v:fill on="t" opacity="32639f" focussize="0,0"/>
                <v:stroke weight="0.5pt" color="#FF00FF [3204]" miterlimit="8" joinstyle="miter"/>
                <v:imagedata o:title=""/>
                <o:lock v:ext="edit" aspectratio="f"/>
                <v:textbox inset="0mm,0mm,0mm,0mm">
                  <w:txbxContent>
                    <w:p>
                      <w:pPr>
                        <w:pStyle w:val="105"/>
                        <w:spacing w:before="0" w:after="0"/>
                        <w:jc w:val="center"/>
                        <w:rPr>
                          <w:b/>
                          <w:bCs/>
                          <w:color w:val="0000FF"/>
                          <w:sz w:val="18"/>
                          <w:szCs w:val="22"/>
                        </w:rPr>
                      </w:pPr>
                      <w:r>
                        <w:rPr>
                          <w:rFonts w:hint="eastAsia"/>
                          <w:b/>
                          <w:bCs/>
                          <w:color w:val="0000FF"/>
                          <w:sz w:val="16"/>
                          <w:szCs w:val="21"/>
                        </w:rPr>
                        <w:t>沉砂池</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1362710</wp:posOffset>
                </wp:positionH>
                <wp:positionV relativeFrom="paragraph">
                  <wp:posOffset>3816985</wp:posOffset>
                </wp:positionV>
                <wp:extent cx="539115" cy="178435"/>
                <wp:effectExtent l="514350" t="0" r="13335" b="488315"/>
                <wp:wrapNone/>
                <wp:docPr id="1747986757" name="对话气泡: 圆角矩形 1747986757"/>
                <wp:cNvGraphicFramePr/>
                <a:graphic xmlns:a="http://schemas.openxmlformats.org/drawingml/2006/main">
                  <a:graphicData uri="http://schemas.microsoft.com/office/word/2010/wordprocessingShape">
                    <wps:wsp>
                      <wps:cNvSpPr/>
                      <wps:spPr>
                        <a:xfrm>
                          <a:off x="0" y="0"/>
                          <a:ext cx="539115" cy="178435"/>
                        </a:xfrm>
                        <a:prstGeom prst="wedgeRoundRectCallout">
                          <a:avLst>
                            <a:gd name="adj1" fmla="val -137696"/>
                            <a:gd name="adj2" fmla="val 301359"/>
                            <a:gd name="adj3" fmla="val 16667"/>
                          </a:avLst>
                        </a:prstGeom>
                        <a:solidFill>
                          <a:schemeClr val="bg1">
                            <a:lumMod val="50000"/>
                            <a:alpha val="49804"/>
                          </a:scheme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0" w:after="0"/>
                              <w:jc w:val="center"/>
                              <w:rPr>
                                <w:b/>
                                <w:bCs/>
                                <w:color w:val="0000FF"/>
                                <w:sz w:val="18"/>
                                <w:szCs w:val="22"/>
                              </w:rPr>
                            </w:pPr>
                            <w:r>
                              <w:rPr>
                                <w:rFonts w:hint="eastAsia"/>
                                <w:b/>
                                <w:bCs/>
                                <w:color w:val="0000FF"/>
                                <w:sz w:val="16"/>
                                <w:szCs w:val="21"/>
                              </w:rPr>
                              <w:t>洗车平台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747986757" o:spid="_x0000_s1026" o:spt="62" type="#_x0000_t62" style="position:absolute;left:0pt;margin-left:107.3pt;margin-top:300.55pt;height:14.05pt;width:42.45pt;z-index:251683840;v-text-anchor:middle;mso-width-relative:page;mso-height-relative:page;" fillcolor="#7F7F7F [1612]" filled="t" stroked="t" coordsize="21600,21600" o:gfxdata="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9Ok4q2AAAAAsBAAAPAAAA&#10;AAAAAAEAIAAAACIAAABkcnMvZG93bnJldi54bWxQSwECFAAUAAAACACHTuJATXq4C/kCAADUBQAA&#10;DgAAAAAAAAABACAAAAAnAQAAZHJzL2Uyb0RvYy54bWxQSwUGAAAAAAYABgBZAQAAkgYAAAAA&#10;" adj="-18942,75894,14400">
                <v:fill on="t" opacity="32639f" focussize="0,0"/>
                <v:stroke weight="0.5pt" color="#FF00FF [3204]" miterlimit="8" joinstyle="miter"/>
                <v:imagedata o:title=""/>
                <o:lock v:ext="edit" aspectratio="f"/>
                <v:textbox inset="0mm,0mm,0mm,0mm">
                  <w:txbxContent>
                    <w:p>
                      <w:pPr>
                        <w:pStyle w:val="105"/>
                        <w:spacing w:before="0" w:after="0"/>
                        <w:jc w:val="center"/>
                        <w:rPr>
                          <w:b/>
                          <w:bCs/>
                          <w:color w:val="0000FF"/>
                          <w:sz w:val="18"/>
                          <w:szCs w:val="22"/>
                        </w:rPr>
                      </w:pPr>
                      <w:r>
                        <w:rPr>
                          <w:rFonts w:hint="eastAsia"/>
                          <w:b/>
                          <w:bCs/>
                          <w:color w:val="0000FF"/>
                          <w:sz w:val="16"/>
                          <w:szCs w:val="21"/>
                        </w:rPr>
                        <w:t>洗车平台</w:t>
                      </w:r>
                    </w:p>
                  </w:txbxContent>
                </v:textbox>
              </v:shape>
            </w:pict>
          </mc:Fallback>
        </mc:AlternateContent>
      </w:r>
    </w:p>
    <w:p>
      <w:pPr>
        <w:pStyle w:val="122"/>
      </w:pPr>
      <w:r>
        <w:rPr>
          <w:rFonts w:hint="eastAsia"/>
        </w:rPr>
        <w:t>1</w:t>
      </w:r>
      <w:r>
        <w:t>#</w:t>
      </w:r>
      <w:r>
        <w:rPr>
          <w:rFonts w:hint="eastAsia"/>
        </w:rPr>
        <w:t>施工场地</w:t>
      </w:r>
    </w:p>
    <w:p>
      <w:pPr>
        <w:pStyle w:val="118"/>
        <w:numPr>
          <w:ilvl w:val="0"/>
          <w:numId w:val="0"/>
        </w:numPr>
        <w:spacing w:before="240"/>
      </w:pPr>
      <w:r>
        <w:rPr>
          <w:rFonts w:hint="eastAsia"/>
        </w:rPr>
        <w:t>（</w:t>
      </w:r>
      <w:r>
        <w:t>3</w:t>
      </w:r>
      <w:r>
        <w:rPr>
          <w:rFonts w:hint="eastAsia"/>
        </w:rPr>
        <w:t>）</w:t>
      </w:r>
      <w:bookmarkEnd w:id="304"/>
      <w:bookmarkEnd w:id="305"/>
      <w:bookmarkEnd w:id="306"/>
      <w:r>
        <w:rPr>
          <w:rFonts w:hint="eastAsia"/>
        </w:rPr>
        <w:t>临时表土堆场</w:t>
      </w:r>
      <w:bookmarkEnd w:id="307"/>
      <w:bookmarkEnd w:id="311"/>
    </w:p>
    <w:p>
      <w:pPr>
        <w:ind w:firstLine="504"/>
        <w:rPr>
          <w:spacing w:val="-6"/>
        </w:rPr>
      </w:pPr>
      <w:bookmarkStart w:id="312" w:name="_Hlk198562591"/>
      <w:r>
        <w:rPr>
          <w:spacing w:val="12"/>
        </w:rPr>
        <w:t>为保护表</w:t>
      </w:r>
      <w:r>
        <w:rPr>
          <w:spacing w:val="10"/>
        </w:rPr>
        <w:t>土</w:t>
      </w:r>
      <w:r>
        <w:rPr>
          <w:spacing w:val="6"/>
        </w:rPr>
        <w:t>资源，将耕地、园地和林地表土剥离，</w:t>
      </w:r>
      <w:r>
        <w:rPr>
          <w:rFonts w:hint="eastAsia"/>
        </w:rPr>
        <w:t>本项目拟在征地</w:t>
      </w:r>
      <w:r>
        <w:t>红线范围</w:t>
      </w:r>
      <w:r>
        <w:rPr>
          <w:rFonts w:hint="eastAsia"/>
        </w:rPr>
        <w:t>内</w:t>
      </w:r>
      <w:r>
        <w:t>布设</w:t>
      </w:r>
      <w:r>
        <w:rPr>
          <w:rFonts w:eastAsia="Times New Roman" w:cs="Times New Roman"/>
        </w:rPr>
        <w:t>3</w:t>
      </w:r>
      <w:r>
        <w:t>处表土临时堆场，主要用于堆</w:t>
      </w:r>
      <w:r>
        <w:rPr>
          <w:spacing w:val="9"/>
        </w:rPr>
        <w:t>放施工前剥离的表土</w:t>
      </w:r>
      <w:r>
        <w:t>。表土临时堆场总占地面积为</w:t>
      </w:r>
      <w:r>
        <w:rPr>
          <w:rFonts w:eastAsia="Times New Roman" w:cs="Times New Roman"/>
        </w:rPr>
        <w:t>0.94hm²</w:t>
      </w:r>
      <w:r>
        <w:rPr>
          <w:rFonts w:hint="eastAsia"/>
        </w:rPr>
        <w:t>，</w:t>
      </w:r>
      <w:r>
        <w:t>设计总容</w:t>
      </w:r>
      <w:r>
        <w:rPr>
          <w:spacing w:val="-6"/>
        </w:rPr>
        <w:t>量为</w:t>
      </w:r>
      <w:r>
        <w:rPr>
          <w:rFonts w:eastAsia="Times New Roman" w:cs="Times New Roman"/>
          <w:spacing w:val="-6"/>
        </w:rPr>
        <w:t>2.1</w:t>
      </w:r>
      <w:r>
        <w:rPr>
          <w:spacing w:val="-6"/>
        </w:rPr>
        <w:t>万</w:t>
      </w:r>
      <w:r>
        <w:rPr>
          <w:rFonts w:eastAsia="Times New Roman" w:cs="Times New Roman"/>
          <w:spacing w:val="-6"/>
        </w:rPr>
        <w:t>m³</w:t>
      </w:r>
      <w:r>
        <w:rPr>
          <w:rFonts w:hint="eastAsia"/>
          <w:spacing w:val="-6"/>
        </w:rPr>
        <w:t>，</w:t>
      </w:r>
      <w:r>
        <w:rPr>
          <w:spacing w:val="-6"/>
        </w:rPr>
        <w:t>计划堆放表土</w:t>
      </w:r>
      <w:r>
        <w:rPr>
          <w:rFonts w:eastAsia="Times New Roman" w:cs="Times New Roman"/>
          <w:spacing w:val="-6"/>
        </w:rPr>
        <w:t>1.80</w:t>
      </w:r>
      <w:r>
        <w:rPr>
          <w:spacing w:val="-6"/>
        </w:rPr>
        <w:t>万</w:t>
      </w:r>
      <w:r>
        <w:rPr>
          <w:rFonts w:eastAsia="Times New Roman" w:cs="Times New Roman"/>
          <w:spacing w:val="-6"/>
        </w:rPr>
        <w:t>m³</w:t>
      </w:r>
      <w:r>
        <w:rPr>
          <w:rFonts w:hint="eastAsia"/>
          <w:spacing w:val="-6"/>
        </w:rPr>
        <w:t>，</w:t>
      </w:r>
      <w:r>
        <w:rPr>
          <w:spacing w:val="-6"/>
        </w:rPr>
        <w:t>满足堆放要求。</w:t>
      </w:r>
    </w:p>
    <w:p>
      <w:pPr>
        <w:ind w:firstLine="482"/>
      </w:pPr>
      <w:r>
        <w:rPr>
          <w:spacing w:val="1"/>
        </w:rPr>
        <w:t>其中</w:t>
      </w:r>
      <w:r>
        <w:rPr>
          <w:spacing w:val="-49"/>
        </w:rPr>
        <w:t xml:space="preserve"> </w:t>
      </w:r>
      <w:r>
        <w:rPr>
          <w:rFonts w:eastAsia="Times New Roman" w:cs="Times New Roman"/>
          <w:spacing w:val="1"/>
        </w:rPr>
        <w:t>1#</w:t>
      </w:r>
      <w:r>
        <w:rPr>
          <w:spacing w:val="1"/>
        </w:rPr>
        <w:t>表土临时堆场占地面积</w:t>
      </w:r>
      <w:r>
        <w:rPr>
          <w:rFonts w:eastAsia="Times New Roman" w:cs="Times New Roman"/>
          <w:spacing w:val="1"/>
        </w:rPr>
        <w:t>0.35</w:t>
      </w:r>
      <w:r>
        <w:rPr>
          <w:rFonts w:eastAsia="Times New Roman" w:cs="Times New Roman"/>
        </w:rPr>
        <w:t>hm</w:t>
      </w:r>
      <w:r>
        <w:rPr>
          <w:rFonts w:eastAsia="Times New Roman" w:cs="Times New Roman"/>
          <w:spacing w:val="1"/>
        </w:rPr>
        <w:t>²</w:t>
      </w:r>
      <w:r>
        <w:rPr>
          <w:rFonts w:hint="eastAsia"/>
          <w:spacing w:val="1"/>
        </w:rPr>
        <w:t>，</w:t>
      </w:r>
      <w:r>
        <w:rPr>
          <w:spacing w:val="1"/>
        </w:rPr>
        <w:t>位于</w:t>
      </w:r>
      <w:r>
        <w:t>K0+620</w:t>
      </w:r>
      <w:r>
        <w:rPr>
          <w:rFonts w:hint="eastAsia"/>
        </w:rPr>
        <w:t>~</w:t>
      </w:r>
      <w:r>
        <w:t xml:space="preserve"> K0+780</w:t>
      </w:r>
      <w:r>
        <w:rPr>
          <w:rFonts w:hint="eastAsia"/>
        </w:rPr>
        <w:t>路基红线</w:t>
      </w:r>
      <w:r>
        <w:rPr>
          <w:spacing w:val="1"/>
        </w:rPr>
        <w:t>，地形为</w:t>
      </w:r>
      <w:r>
        <w:t>平地，占 地类型为</w:t>
      </w:r>
      <w:r>
        <w:rPr>
          <w:rFonts w:hint="eastAsia"/>
        </w:rPr>
        <w:t>耕地（旱地）</w:t>
      </w:r>
      <w:r>
        <w:t>，设计堆放高度为</w:t>
      </w:r>
      <w:r>
        <w:rPr>
          <w:spacing w:val="-28"/>
        </w:rPr>
        <w:t xml:space="preserve"> </w:t>
      </w:r>
      <w:r>
        <w:rPr>
          <w:rFonts w:eastAsia="Times New Roman" w:cs="Times New Roman"/>
        </w:rPr>
        <w:t>2.5m</w:t>
      </w:r>
      <w:r>
        <w:t xml:space="preserve">，堆放坡度为 </w:t>
      </w:r>
      <w:r>
        <w:rPr>
          <w:rFonts w:eastAsia="Times New Roman" w:cs="Times New Roman"/>
        </w:rPr>
        <w:t>1:2.0</w:t>
      </w:r>
      <w:r>
        <w:t>，设计总容量</w:t>
      </w:r>
      <w:r>
        <w:rPr>
          <w:spacing w:val="-28"/>
        </w:rPr>
        <w:t xml:space="preserve"> </w:t>
      </w:r>
      <w:r>
        <w:rPr>
          <w:rFonts w:eastAsia="Times New Roman" w:cs="Times New Roman"/>
        </w:rPr>
        <w:t>0.75</w:t>
      </w:r>
      <w:r>
        <w:rPr>
          <w:spacing w:val="-4"/>
        </w:rPr>
        <w:t>万</w:t>
      </w:r>
      <w:r>
        <w:rPr>
          <w:rFonts w:eastAsia="Times New Roman" w:cs="Times New Roman"/>
          <w:spacing w:val="-4"/>
        </w:rPr>
        <w:t>m³</w:t>
      </w:r>
      <w:r>
        <w:rPr>
          <w:spacing w:val="-4"/>
        </w:rPr>
        <w:t>, 计划</w:t>
      </w:r>
      <w:r>
        <w:rPr>
          <w:spacing w:val="5"/>
        </w:rPr>
        <w:t>堆放</w:t>
      </w:r>
      <w:r>
        <w:rPr>
          <w:rFonts w:eastAsia="Times New Roman" w:cs="Times New Roman"/>
          <w:spacing w:val="5"/>
        </w:rPr>
        <w:t>0.65</w:t>
      </w:r>
      <w:r>
        <w:rPr>
          <w:spacing w:val="5"/>
        </w:rPr>
        <w:t>万</w:t>
      </w:r>
      <w:r>
        <w:rPr>
          <w:spacing w:val="-58"/>
        </w:rPr>
        <w:t xml:space="preserve"> </w:t>
      </w:r>
      <w:r>
        <w:rPr>
          <w:rFonts w:eastAsia="Times New Roman" w:cs="Times New Roman"/>
          <w:spacing w:val="5"/>
        </w:rPr>
        <w:t>m³</w:t>
      </w:r>
      <w:r>
        <w:rPr>
          <w:spacing w:val="5"/>
        </w:rPr>
        <w:t>。</w:t>
      </w:r>
    </w:p>
    <w:p>
      <w:pPr>
        <w:ind w:firstLine="478"/>
      </w:pPr>
      <w:r>
        <w:rPr>
          <w:rFonts w:eastAsia="Times New Roman" w:cs="Times New Roman"/>
          <w:spacing w:val="-1"/>
        </w:rPr>
        <w:t>2#</w:t>
      </w:r>
      <w:r>
        <w:rPr>
          <w:spacing w:val="-1"/>
        </w:rPr>
        <w:t xml:space="preserve">表土临时堆场占地面积 </w:t>
      </w:r>
      <w:r>
        <w:rPr>
          <w:rFonts w:eastAsia="Times New Roman" w:cs="Times New Roman"/>
          <w:spacing w:val="-1"/>
        </w:rPr>
        <w:t>0.30hm²</w:t>
      </w:r>
      <w:r>
        <w:rPr>
          <w:spacing w:val="-1"/>
        </w:rPr>
        <w:t>, 位于</w:t>
      </w:r>
      <w:r>
        <w:rPr>
          <w:rFonts w:hint="eastAsia"/>
          <w:spacing w:val="-1"/>
        </w:rPr>
        <w:t>K3+510~620 左侧路基</w:t>
      </w:r>
      <w:r>
        <w:rPr>
          <w:spacing w:val="-2"/>
        </w:rPr>
        <w:t>，地形为平地，占地类型为</w:t>
      </w:r>
      <w:r>
        <w:rPr>
          <w:rFonts w:hint="eastAsia"/>
        </w:rPr>
        <w:t>园地</w:t>
      </w:r>
      <w:r>
        <w:t>，</w:t>
      </w:r>
      <w:r>
        <w:rPr>
          <w:spacing w:val="-4"/>
        </w:rPr>
        <w:t>设计堆放高度为</w:t>
      </w:r>
      <w:r>
        <w:rPr>
          <w:spacing w:val="-18"/>
        </w:rPr>
        <w:t xml:space="preserve"> </w:t>
      </w:r>
      <w:r>
        <w:rPr>
          <w:rFonts w:eastAsia="Times New Roman" w:cs="Times New Roman"/>
          <w:spacing w:val="-4"/>
        </w:rPr>
        <w:t>2.5m</w:t>
      </w:r>
      <w:r>
        <w:rPr>
          <w:spacing w:val="-4"/>
        </w:rPr>
        <w:t xml:space="preserve">，堆放坡度为 </w:t>
      </w:r>
      <w:r>
        <w:rPr>
          <w:rFonts w:eastAsia="Times New Roman" w:cs="Times New Roman"/>
          <w:spacing w:val="-4"/>
        </w:rPr>
        <w:t>1:2.0</w:t>
      </w:r>
      <w:r>
        <w:rPr>
          <w:spacing w:val="-4"/>
        </w:rPr>
        <w:t>，设计总容量</w:t>
      </w:r>
      <w:r>
        <w:rPr>
          <w:spacing w:val="-48"/>
        </w:rPr>
        <w:t xml:space="preserve"> </w:t>
      </w:r>
      <w:r>
        <w:rPr>
          <w:rFonts w:eastAsia="Times New Roman" w:cs="Times New Roman"/>
          <w:spacing w:val="-4"/>
        </w:rPr>
        <w:t>0.60</w:t>
      </w:r>
      <w:r>
        <w:rPr>
          <w:spacing w:val="-4"/>
        </w:rPr>
        <w:t>万</w:t>
      </w:r>
      <w:r>
        <w:rPr>
          <w:spacing w:val="-70"/>
        </w:rPr>
        <w:t xml:space="preserve"> </w:t>
      </w:r>
      <w:r>
        <w:rPr>
          <w:rFonts w:eastAsia="Times New Roman" w:cs="Times New Roman"/>
          <w:spacing w:val="-4"/>
        </w:rPr>
        <w:t>m³</w:t>
      </w:r>
      <w:r>
        <w:rPr>
          <w:spacing w:val="-4"/>
        </w:rPr>
        <w:t>, 计划堆放</w:t>
      </w:r>
      <w:r>
        <w:rPr>
          <w:spacing w:val="-66"/>
        </w:rPr>
        <w:t xml:space="preserve"> </w:t>
      </w:r>
      <w:r>
        <w:rPr>
          <w:rFonts w:eastAsia="Times New Roman" w:cs="Times New Roman"/>
          <w:spacing w:val="-4"/>
        </w:rPr>
        <w:t>0.50</w:t>
      </w:r>
      <w:r>
        <w:t>万</w:t>
      </w:r>
      <w:r>
        <w:rPr>
          <w:spacing w:val="-57"/>
        </w:rPr>
        <w:t xml:space="preserve"> </w:t>
      </w:r>
      <w:r>
        <w:rPr>
          <w:rFonts w:eastAsia="Times New Roman" w:cs="Times New Roman"/>
        </w:rPr>
        <w:t>m³</w:t>
      </w:r>
      <w:r>
        <w:t>。</w:t>
      </w:r>
    </w:p>
    <w:p>
      <w:pPr>
        <w:ind w:firstLine="480"/>
      </w:pPr>
      <w:r>
        <w:rPr>
          <w:rFonts w:eastAsia="Times New Roman" w:cs="Times New Roman"/>
        </w:rPr>
        <w:t>3#</w:t>
      </w:r>
      <w:r>
        <w:t>表土临时堆场占地面积</w:t>
      </w:r>
      <w:r>
        <w:rPr>
          <w:rFonts w:eastAsia="Times New Roman" w:cs="Times New Roman"/>
        </w:rPr>
        <w:t>0.35hm²</w:t>
      </w:r>
      <w:r>
        <w:rPr>
          <w:rFonts w:hint="eastAsia"/>
        </w:rPr>
        <w:t>，</w:t>
      </w:r>
      <w:r>
        <w:t>位于</w:t>
      </w:r>
      <w:r>
        <w:rPr>
          <w:rFonts w:hint="eastAsia"/>
        </w:rPr>
        <w:t>K4+300~ K4+420右侧路基</w:t>
      </w:r>
      <w:r>
        <w:t>，地形为平地，占地类型为</w:t>
      </w:r>
      <w:r>
        <w:rPr>
          <w:rFonts w:hint="eastAsia"/>
        </w:rPr>
        <w:t>林地</w:t>
      </w:r>
      <w:r>
        <w:t>，设计堆放高度为</w:t>
      </w:r>
      <w:r>
        <w:rPr>
          <w:spacing w:val="-66"/>
        </w:rPr>
        <w:t xml:space="preserve"> </w:t>
      </w:r>
      <w:r>
        <w:rPr>
          <w:rFonts w:eastAsia="Times New Roman" w:cs="Times New Roman"/>
        </w:rPr>
        <w:t>2.5m</w:t>
      </w:r>
      <w:r>
        <w:t xml:space="preserve">，堆放坡度为 </w:t>
      </w:r>
      <w:r>
        <w:rPr>
          <w:rFonts w:eastAsia="Times New Roman" w:cs="Times New Roman"/>
        </w:rPr>
        <w:t>1:2.0</w:t>
      </w:r>
      <w:r>
        <w:t>，设计总容量</w:t>
      </w:r>
      <w:r>
        <w:rPr>
          <w:spacing w:val="-48"/>
        </w:rPr>
        <w:t xml:space="preserve"> </w:t>
      </w:r>
      <w:r>
        <w:rPr>
          <w:rFonts w:eastAsia="Times New Roman" w:cs="Times New Roman"/>
        </w:rPr>
        <w:t>0.75</w:t>
      </w:r>
      <w:r>
        <w:t>万</w:t>
      </w:r>
      <w:r>
        <w:rPr>
          <w:spacing w:val="-70"/>
        </w:rPr>
        <w:t xml:space="preserve"> </w:t>
      </w:r>
      <w:r>
        <w:rPr>
          <w:rFonts w:eastAsia="Times New Roman" w:cs="Times New Roman"/>
        </w:rPr>
        <w:t>m³</w:t>
      </w:r>
      <w:r>
        <w:t>, 计划堆放</w:t>
      </w:r>
      <w:r>
        <w:rPr>
          <w:spacing w:val="-66"/>
        </w:rPr>
        <w:t xml:space="preserve"> </w:t>
      </w:r>
      <w:r>
        <w:rPr>
          <w:rFonts w:eastAsia="Times New Roman" w:cs="Times New Roman"/>
        </w:rPr>
        <w:t>0.</w:t>
      </w:r>
      <w:r>
        <w:rPr>
          <w:rFonts w:eastAsia="Times New Roman" w:cs="Times New Roman"/>
          <w:spacing w:val="-4"/>
        </w:rPr>
        <w:t>60</w:t>
      </w:r>
      <w:r>
        <w:t>万</w:t>
      </w:r>
      <w:r>
        <w:rPr>
          <w:spacing w:val="-57"/>
        </w:rPr>
        <w:t xml:space="preserve"> </w:t>
      </w:r>
      <w:r>
        <w:rPr>
          <w:rFonts w:eastAsia="Times New Roman" w:cs="Times New Roman"/>
        </w:rPr>
        <w:t>m³</w:t>
      </w:r>
      <w:r>
        <w:t>。</w:t>
      </w:r>
    </w:p>
    <w:p>
      <w:pPr>
        <w:ind w:firstLine="478"/>
      </w:pPr>
      <w:r>
        <w:rPr>
          <w:spacing w:val="-1"/>
        </w:rPr>
        <w:t>本项目表土临时堆场分布情况详见</w:t>
      </w:r>
      <w:r>
        <w:rPr>
          <w:spacing w:val="-1"/>
        </w:rPr>
        <w:fldChar w:fldCharType="begin"/>
      </w:r>
      <w:r>
        <w:rPr>
          <w:spacing w:val="-1"/>
        </w:rPr>
        <w:instrText xml:space="preserve"> REF _Ref187769341 \r \h </w:instrText>
      </w:r>
      <w:r>
        <w:rPr>
          <w:spacing w:val="-1"/>
        </w:rPr>
        <w:fldChar w:fldCharType="separate"/>
      </w:r>
      <w:r>
        <w:rPr>
          <w:rFonts w:hint="eastAsia"/>
          <w:spacing w:val="-1"/>
        </w:rPr>
        <w:t>表3.7-2</w:t>
      </w:r>
      <w:r>
        <w:rPr>
          <w:spacing w:val="-1"/>
        </w:rPr>
        <w:fldChar w:fldCharType="end"/>
      </w:r>
      <w:r>
        <w:rPr>
          <w:spacing w:val="-1"/>
        </w:rPr>
        <w:t>。</w:t>
      </w:r>
    </w:p>
    <w:p>
      <w:pPr>
        <w:pStyle w:val="87"/>
        <w:spacing w:before="120"/>
      </w:pPr>
      <w:bookmarkStart w:id="313" w:name="_Ref187769341"/>
      <w:r>
        <w:t>表土临时堆场分布情况一览表</w:t>
      </w:r>
      <w:bookmarkEnd w:id="313"/>
    </w:p>
    <w:tbl>
      <w:tblPr>
        <w:tblStyle w:val="39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452"/>
        <w:gridCol w:w="1016"/>
        <w:gridCol w:w="1016"/>
        <w:gridCol w:w="1452"/>
        <w:gridCol w:w="726"/>
        <w:gridCol w:w="1161"/>
        <w:gridCol w:w="1161"/>
        <w:gridCol w:w="13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782" w:type="pct"/>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22"/>
              </w:rPr>
            </w:pPr>
            <w:r>
              <w:rPr>
                <w:rFonts w:hint="eastAsia" w:ascii="宋体" w:hAnsi="宋体" w:eastAsia="宋体"/>
                <w:sz w:val="18"/>
                <w:szCs w:val="22"/>
              </w:rPr>
              <w:t>编号</w:t>
            </w:r>
          </w:p>
        </w:tc>
        <w:tc>
          <w:tcPr>
            <w:tcW w:w="547"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22"/>
              </w:rPr>
            </w:pPr>
            <w:r>
              <w:rPr>
                <w:rFonts w:hint="eastAsia" w:ascii="宋体" w:hAnsi="宋体" w:eastAsia="宋体"/>
                <w:spacing w:val="-13"/>
                <w:sz w:val="18"/>
                <w:szCs w:val="22"/>
              </w:rPr>
              <w:t>占地面</w:t>
            </w:r>
            <w:r>
              <w:rPr>
                <w:rFonts w:hint="eastAsia" w:ascii="宋体" w:hAnsi="宋体" w:eastAsia="宋体"/>
                <w:spacing w:val="-16"/>
                <w:sz w:val="18"/>
                <w:szCs w:val="22"/>
              </w:rPr>
              <w:t>积（</w:t>
            </w:r>
            <w:r>
              <w:rPr>
                <w:rFonts w:eastAsia="Times New Roman" w:cs="Times New Roman"/>
                <w:spacing w:val="-16"/>
                <w:sz w:val="18"/>
                <w:szCs w:val="22"/>
              </w:rPr>
              <w:t>hm²</w:t>
            </w:r>
            <w:r>
              <w:rPr>
                <w:rFonts w:hint="eastAsia" w:ascii="宋体" w:hAnsi="宋体" w:eastAsia="宋体"/>
                <w:spacing w:val="-16"/>
                <w:sz w:val="18"/>
                <w:szCs w:val="22"/>
              </w:rPr>
              <w:t>）</w:t>
            </w:r>
          </w:p>
        </w:tc>
        <w:tc>
          <w:tcPr>
            <w:tcW w:w="547"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22"/>
              </w:rPr>
            </w:pPr>
            <w:r>
              <w:rPr>
                <w:rFonts w:hint="eastAsia" w:ascii="宋体" w:hAnsi="宋体" w:eastAsia="宋体"/>
                <w:spacing w:val="-13"/>
                <w:sz w:val="18"/>
                <w:szCs w:val="22"/>
              </w:rPr>
              <w:t>占地类</w:t>
            </w:r>
            <w:r>
              <w:rPr>
                <w:rFonts w:hint="eastAsia" w:ascii="宋体" w:hAnsi="宋体" w:eastAsia="宋体"/>
                <w:sz w:val="18"/>
                <w:szCs w:val="22"/>
              </w:rPr>
              <w:t>型</w:t>
            </w:r>
          </w:p>
        </w:tc>
        <w:tc>
          <w:tcPr>
            <w:tcW w:w="782"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22"/>
              </w:rPr>
            </w:pPr>
            <w:r>
              <w:rPr>
                <w:rFonts w:hint="eastAsia" w:ascii="宋体" w:hAnsi="宋体" w:eastAsia="宋体"/>
                <w:spacing w:val="-1"/>
                <w:sz w:val="18"/>
                <w:szCs w:val="22"/>
              </w:rPr>
              <w:t>地理位置</w:t>
            </w:r>
          </w:p>
        </w:tc>
        <w:tc>
          <w:tcPr>
            <w:tcW w:w="391"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22"/>
              </w:rPr>
            </w:pPr>
            <w:r>
              <w:rPr>
                <w:rFonts w:hint="eastAsia" w:ascii="宋体" w:hAnsi="宋体" w:eastAsia="宋体"/>
                <w:sz w:val="18"/>
                <w:szCs w:val="22"/>
              </w:rPr>
              <w:t>地形</w:t>
            </w:r>
          </w:p>
        </w:tc>
        <w:tc>
          <w:tcPr>
            <w:tcW w:w="625"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22"/>
              </w:rPr>
            </w:pPr>
            <w:r>
              <w:rPr>
                <w:rFonts w:hint="eastAsia" w:ascii="宋体" w:hAnsi="宋体" w:eastAsia="宋体"/>
                <w:sz w:val="18"/>
                <w:szCs w:val="22"/>
              </w:rPr>
              <w:t>设计堆放</w:t>
            </w:r>
            <w:r>
              <w:rPr>
                <w:rFonts w:hint="eastAsia" w:ascii="宋体" w:hAnsi="宋体" w:eastAsia="宋体"/>
                <w:spacing w:val="-4"/>
                <w:sz w:val="18"/>
                <w:szCs w:val="22"/>
              </w:rPr>
              <w:t>高度（</w:t>
            </w:r>
            <w:r>
              <w:rPr>
                <w:rFonts w:eastAsia="Times New Roman" w:cs="Times New Roman"/>
                <w:spacing w:val="-4"/>
                <w:sz w:val="18"/>
                <w:szCs w:val="22"/>
              </w:rPr>
              <w:t>m</w:t>
            </w:r>
            <w:r>
              <w:rPr>
                <w:rFonts w:hint="eastAsia" w:ascii="宋体" w:hAnsi="宋体" w:eastAsia="宋体"/>
                <w:spacing w:val="-4"/>
                <w:sz w:val="18"/>
                <w:szCs w:val="22"/>
              </w:rPr>
              <w:t>）</w:t>
            </w:r>
          </w:p>
        </w:tc>
        <w:tc>
          <w:tcPr>
            <w:tcW w:w="625"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sz w:val="18"/>
                <w:szCs w:val="22"/>
              </w:rPr>
            </w:pPr>
            <w:r>
              <w:rPr>
                <w:rFonts w:hint="eastAsia" w:ascii="宋体" w:hAnsi="宋体" w:eastAsia="宋体"/>
                <w:sz w:val="18"/>
                <w:szCs w:val="22"/>
              </w:rPr>
              <w:t>设计容量</w:t>
            </w:r>
            <w:r>
              <w:rPr>
                <w:rFonts w:hint="eastAsia" w:ascii="宋体" w:hAnsi="宋体" w:eastAsia="宋体"/>
                <w:spacing w:val="-5"/>
                <w:sz w:val="18"/>
                <w:szCs w:val="22"/>
              </w:rPr>
              <w:t>（万</w:t>
            </w:r>
            <w:r>
              <w:rPr>
                <w:rFonts w:eastAsia="Times New Roman" w:cs="Times New Roman"/>
                <w:spacing w:val="-5"/>
                <w:sz w:val="18"/>
                <w:szCs w:val="22"/>
              </w:rPr>
              <w:t>m³</w:t>
            </w:r>
            <w:r>
              <w:rPr>
                <w:rFonts w:hint="eastAsia" w:ascii="宋体" w:hAnsi="宋体" w:eastAsia="宋体"/>
                <w:spacing w:val="-5"/>
                <w:sz w:val="18"/>
                <w:szCs w:val="22"/>
              </w:rPr>
              <w:t>）</w:t>
            </w:r>
          </w:p>
        </w:tc>
        <w:tc>
          <w:tcPr>
            <w:tcW w:w="701" w:type="pct"/>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sz w:val="18"/>
                <w:szCs w:val="22"/>
              </w:rPr>
            </w:pPr>
            <w:r>
              <w:rPr>
                <w:rFonts w:hint="eastAsia" w:ascii="宋体" w:hAnsi="宋体" w:eastAsia="宋体"/>
                <w:spacing w:val="-3"/>
                <w:sz w:val="18"/>
                <w:szCs w:val="22"/>
              </w:rPr>
              <w:t>计划堆放</w:t>
            </w:r>
            <w:r>
              <w:rPr>
                <w:rFonts w:hint="eastAsia" w:ascii="宋体" w:hAnsi="宋体" w:eastAsia="宋体"/>
                <w:spacing w:val="-16"/>
                <w:sz w:val="18"/>
                <w:szCs w:val="22"/>
              </w:rPr>
              <w:t>量（万</w:t>
            </w:r>
            <w:r>
              <w:rPr>
                <w:rFonts w:eastAsia="Times New Roman" w:cs="Times New Roman"/>
                <w:spacing w:val="-16"/>
                <w:sz w:val="18"/>
                <w:szCs w:val="22"/>
              </w:rPr>
              <w:t>m³</w:t>
            </w:r>
            <w:r>
              <w:rPr>
                <w:rFonts w:hint="eastAsia" w:ascii="宋体" w:hAnsi="宋体" w:eastAsia="宋体"/>
                <w:spacing w:val="-16"/>
                <w:sz w:val="18"/>
                <w:szCs w:val="22"/>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782" w:type="pct"/>
            <w:vAlign w:val="center"/>
          </w:tcPr>
          <w:p>
            <w:pPr>
              <w:pStyle w:val="105"/>
              <w:widowControl w:val="0"/>
              <w:jc w:val="center"/>
              <w:rPr>
                <w:sz w:val="18"/>
                <w:szCs w:val="22"/>
              </w:rPr>
            </w:pPr>
            <w:r>
              <w:rPr>
                <w:rFonts w:eastAsia="Times New Roman" w:cs="Times New Roman"/>
                <w:spacing w:val="-5"/>
                <w:sz w:val="18"/>
                <w:szCs w:val="22"/>
              </w:rPr>
              <w:t>1#</w:t>
            </w:r>
            <w:r>
              <w:rPr>
                <w:spacing w:val="-5"/>
                <w:sz w:val="18"/>
                <w:szCs w:val="22"/>
              </w:rPr>
              <w:t>表土临</w:t>
            </w:r>
            <w:r>
              <w:rPr>
                <w:spacing w:val="-6"/>
                <w:sz w:val="18"/>
                <w:szCs w:val="22"/>
              </w:rPr>
              <w:t>时堆场</w:t>
            </w:r>
          </w:p>
        </w:tc>
        <w:tc>
          <w:tcPr>
            <w:tcW w:w="547" w:type="pct"/>
            <w:vAlign w:val="center"/>
          </w:tcPr>
          <w:p>
            <w:pPr>
              <w:pStyle w:val="105"/>
              <w:widowControl w:val="0"/>
              <w:jc w:val="center"/>
              <w:rPr>
                <w:rFonts w:eastAsia="Times New Roman" w:cs="Times New Roman"/>
                <w:sz w:val="18"/>
                <w:szCs w:val="22"/>
              </w:rPr>
            </w:pPr>
            <w:r>
              <w:rPr>
                <w:rFonts w:eastAsia="Times New Roman" w:cs="Times New Roman"/>
                <w:sz w:val="18"/>
                <w:szCs w:val="22"/>
              </w:rPr>
              <w:t>0.32</w:t>
            </w:r>
          </w:p>
        </w:tc>
        <w:tc>
          <w:tcPr>
            <w:tcW w:w="547" w:type="pct"/>
            <w:vAlign w:val="center"/>
          </w:tcPr>
          <w:p>
            <w:pPr>
              <w:pStyle w:val="105"/>
              <w:widowControl w:val="0"/>
              <w:jc w:val="center"/>
              <w:rPr>
                <w:sz w:val="18"/>
                <w:szCs w:val="22"/>
              </w:rPr>
            </w:pPr>
            <w:r>
              <w:rPr>
                <w:rFonts w:hint="eastAsia"/>
                <w:sz w:val="18"/>
                <w:szCs w:val="22"/>
              </w:rPr>
              <w:t>耕地（旱地）</w:t>
            </w:r>
          </w:p>
        </w:tc>
        <w:tc>
          <w:tcPr>
            <w:tcW w:w="782" w:type="pct"/>
            <w:vAlign w:val="center"/>
          </w:tcPr>
          <w:p>
            <w:pPr>
              <w:pStyle w:val="105"/>
              <w:widowControl w:val="0"/>
              <w:jc w:val="center"/>
              <w:rPr>
                <w:rFonts w:eastAsia="Times New Roman" w:cs="Times New Roman"/>
                <w:sz w:val="18"/>
                <w:szCs w:val="22"/>
              </w:rPr>
            </w:pPr>
            <w:r>
              <w:rPr>
                <w:rFonts w:eastAsia="Times New Roman" w:cs="Times New Roman"/>
                <w:spacing w:val="-1"/>
                <w:sz w:val="18"/>
                <w:szCs w:val="22"/>
              </w:rPr>
              <w:t>K0+620</w:t>
            </w:r>
            <w:r>
              <w:rPr>
                <w:rFonts w:hint="eastAsia"/>
                <w:spacing w:val="-1"/>
                <w:sz w:val="18"/>
                <w:szCs w:val="22"/>
              </w:rPr>
              <w:t>~</w:t>
            </w:r>
            <w:r>
              <w:rPr>
                <w:rFonts w:eastAsia="Times New Roman" w:cs="Times New Roman"/>
                <w:spacing w:val="-1"/>
                <w:sz w:val="18"/>
                <w:szCs w:val="22"/>
              </w:rPr>
              <w:t xml:space="preserve"> K0+780</w:t>
            </w:r>
            <w:r>
              <w:rPr>
                <w:rFonts w:hint="eastAsia"/>
                <w:spacing w:val="-1"/>
                <w:sz w:val="18"/>
                <w:szCs w:val="22"/>
              </w:rPr>
              <w:t>路基红线</w:t>
            </w:r>
          </w:p>
        </w:tc>
        <w:tc>
          <w:tcPr>
            <w:tcW w:w="391" w:type="pct"/>
            <w:vAlign w:val="center"/>
          </w:tcPr>
          <w:p>
            <w:pPr>
              <w:pStyle w:val="105"/>
              <w:widowControl w:val="0"/>
              <w:jc w:val="center"/>
              <w:rPr>
                <w:sz w:val="18"/>
                <w:szCs w:val="22"/>
              </w:rPr>
            </w:pPr>
            <w:r>
              <w:rPr>
                <w:spacing w:val="-5"/>
                <w:sz w:val="18"/>
                <w:szCs w:val="22"/>
              </w:rPr>
              <w:t>平地</w:t>
            </w:r>
          </w:p>
        </w:tc>
        <w:tc>
          <w:tcPr>
            <w:tcW w:w="625" w:type="pct"/>
            <w:vAlign w:val="center"/>
          </w:tcPr>
          <w:p>
            <w:pPr>
              <w:pStyle w:val="105"/>
              <w:widowControl w:val="0"/>
              <w:jc w:val="center"/>
              <w:rPr>
                <w:rFonts w:eastAsia="Times New Roman" w:cs="Times New Roman"/>
                <w:sz w:val="18"/>
                <w:szCs w:val="22"/>
              </w:rPr>
            </w:pPr>
            <w:r>
              <w:rPr>
                <w:rFonts w:eastAsia="Times New Roman" w:cs="Times New Roman"/>
                <w:spacing w:val="-1"/>
                <w:sz w:val="18"/>
                <w:szCs w:val="22"/>
              </w:rPr>
              <w:t>2.5</w:t>
            </w:r>
          </w:p>
        </w:tc>
        <w:tc>
          <w:tcPr>
            <w:tcW w:w="625" w:type="pct"/>
            <w:vAlign w:val="center"/>
          </w:tcPr>
          <w:p>
            <w:pPr>
              <w:pStyle w:val="105"/>
              <w:widowControl w:val="0"/>
              <w:jc w:val="center"/>
              <w:rPr>
                <w:rFonts w:eastAsia="Times New Roman" w:cs="Times New Roman"/>
                <w:sz w:val="18"/>
                <w:szCs w:val="22"/>
              </w:rPr>
            </w:pPr>
            <w:r>
              <w:rPr>
                <w:rFonts w:eastAsia="Times New Roman" w:cs="Times New Roman"/>
                <w:spacing w:val="-5"/>
                <w:sz w:val="18"/>
                <w:szCs w:val="22"/>
              </w:rPr>
              <w:t>0.75</w:t>
            </w:r>
          </w:p>
        </w:tc>
        <w:tc>
          <w:tcPr>
            <w:tcW w:w="701" w:type="pct"/>
            <w:vAlign w:val="center"/>
          </w:tcPr>
          <w:p>
            <w:pPr>
              <w:pStyle w:val="105"/>
              <w:widowControl w:val="0"/>
              <w:jc w:val="center"/>
              <w:rPr>
                <w:rFonts w:eastAsia="Times New Roman" w:cs="Times New Roman"/>
                <w:sz w:val="18"/>
                <w:szCs w:val="22"/>
              </w:rPr>
            </w:pPr>
            <w:r>
              <w:rPr>
                <w:rFonts w:eastAsia="Times New Roman" w:cs="Times New Roman"/>
                <w:spacing w:val="-5"/>
                <w:sz w:val="18"/>
                <w:szCs w:val="22"/>
              </w:rPr>
              <w:t>0.65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782" w:type="pct"/>
            <w:vAlign w:val="center"/>
          </w:tcPr>
          <w:p>
            <w:pPr>
              <w:pStyle w:val="105"/>
              <w:widowControl w:val="0"/>
              <w:jc w:val="center"/>
              <w:rPr>
                <w:sz w:val="18"/>
                <w:szCs w:val="22"/>
              </w:rPr>
            </w:pPr>
            <w:r>
              <w:rPr>
                <w:rFonts w:eastAsia="Times New Roman" w:cs="Times New Roman"/>
                <w:spacing w:val="-1"/>
                <w:sz w:val="18"/>
                <w:szCs w:val="22"/>
              </w:rPr>
              <w:t>2#</w:t>
            </w:r>
            <w:r>
              <w:rPr>
                <w:spacing w:val="-1"/>
                <w:sz w:val="18"/>
                <w:szCs w:val="22"/>
              </w:rPr>
              <w:t>表土临</w:t>
            </w:r>
            <w:r>
              <w:rPr>
                <w:spacing w:val="-6"/>
                <w:sz w:val="18"/>
                <w:szCs w:val="22"/>
              </w:rPr>
              <w:t>时堆场</w:t>
            </w:r>
          </w:p>
        </w:tc>
        <w:tc>
          <w:tcPr>
            <w:tcW w:w="547" w:type="pct"/>
            <w:vAlign w:val="center"/>
          </w:tcPr>
          <w:p>
            <w:pPr>
              <w:pStyle w:val="105"/>
              <w:widowControl w:val="0"/>
              <w:jc w:val="center"/>
              <w:rPr>
                <w:rFonts w:eastAsia="Times New Roman" w:cs="Times New Roman"/>
                <w:sz w:val="18"/>
                <w:szCs w:val="22"/>
              </w:rPr>
            </w:pPr>
            <w:r>
              <w:rPr>
                <w:rFonts w:eastAsia="Times New Roman" w:cs="Times New Roman"/>
                <w:sz w:val="18"/>
                <w:szCs w:val="22"/>
              </w:rPr>
              <w:t>0.30</w:t>
            </w:r>
          </w:p>
        </w:tc>
        <w:tc>
          <w:tcPr>
            <w:tcW w:w="547" w:type="pct"/>
            <w:vAlign w:val="center"/>
          </w:tcPr>
          <w:p>
            <w:pPr>
              <w:pStyle w:val="105"/>
              <w:widowControl w:val="0"/>
              <w:jc w:val="center"/>
              <w:rPr>
                <w:sz w:val="18"/>
                <w:szCs w:val="22"/>
              </w:rPr>
            </w:pPr>
            <w:r>
              <w:rPr>
                <w:rFonts w:hint="eastAsia"/>
                <w:spacing w:val="-7"/>
                <w:sz w:val="18"/>
                <w:szCs w:val="22"/>
              </w:rPr>
              <w:t>园地</w:t>
            </w:r>
          </w:p>
        </w:tc>
        <w:tc>
          <w:tcPr>
            <w:tcW w:w="782" w:type="pct"/>
            <w:vAlign w:val="center"/>
          </w:tcPr>
          <w:p>
            <w:pPr>
              <w:pStyle w:val="105"/>
              <w:widowControl w:val="0"/>
              <w:jc w:val="center"/>
              <w:rPr>
                <w:sz w:val="18"/>
                <w:szCs w:val="22"/>
              </w:rPr>
            </w:pPr>
            <w:r>
              <w:rPr>
                <w:rFonts w:eastAsia="Times New Roman" w:cs="Times New Roman"/>
                <w:sz w:val="18"/>
                <w:szCs w:val="22"/>
              </w:rPr>
              <w:t xml:space="preserve">K3+510~620 </w:t>
            </w:r>
            <w:r>
              <w:rPr>
                <w:rFonts w:hint="eastAsia" w:ascii="宋体" w:hAnsi="宋体"/>
                <w:sz w:val="18"/>
                <w:szCs w:val="22"/>
              </w:rPr>
              <w:t>左侧</w:t>
            </w:r>
            <w:r>
              <w:rPr>
                <w:rFonts w:hint="eastAsia"/>
                <w:spacing w:val="-1"/>
                <w:sz w:val="18"/>
                <w:szCs w:val="22"/>
              </w:rPr>
              <w:t>路基</w:t>
            </w:r>
          </w:p>
        </w:tc>
        <w:tc>
          <w:tcPr>
            <w:tcW w:w="391" w:type="pct"/>
            <w:vAlign w:val="center"/>
          </w:tcPr>
          <w:p>
            <w:pPr>
              <w:pStyle w:val="105"/>
              <w:widowControl w:val="0"/>
              <w:jc w:val="center"/>
              <w:rPr>
                <w:sz w:val="18"/>
                <w:szCs w:val="22"/>
              </w:rPr>
            </w:pPr>
            <w:r>
              <w:rPr>
                <w:spacing w:val="-5"/>
                <w:sz w:val="18"/>
                <w:szCs w:val="22"/>
              </w:rPr>
              <w:t>平地</w:t>
            </w:r>
          </w:p>
        </w:tc>
        <w:tc>
          <w:tcPr>
            <w:tcW w:w="625" w:type="pct"/>
            <w:vAlign w:val="center"/>
          </w:tcPr>
          <w:p>
            <w:pPr>
              <w:pStyle w:val="105"/>
              <w:widowControl w:val="0"/>
              <w:jc w:val="center"/>
              <w:rPr>
                <w:rFonts w:eastAsia="Times New Roman" w:cs="Times New Roman"/>
                <w:sz w:val="18"/>
                <w:szCs w:val="22"/>
              </w:rPr>
            </w:pPr>
            <w:r>
              <w:rPr>
                <w:rFonts w:eastAsia="Times New Roman" w:cs="Times New Roman"/>
                <w:spacing w:val="-1"/>
                <w:sz w:val="18"/>
                <w:szCs w:val="22"/>
              </w:rPr>
              <w:t>2.5</w:t>
            </w:r>
          </w:p>
        </w:tc>
        <w:tc>
          <w:tcPr>
            <w:tcW w:w="625" w:type="pct"/>
            <w:vAlign w:val="center"/>
          </w:tcPr>
          <w:p>
            <w:pPr>
              <w:pStyle w:val="105"/>
              <w:widowControl w:val="0"/>
              <w:jc w:val="center"/>
              <w:rPr>
                <w:rFonts w:eastAsia="Times New Roman" w:cs="Times New Roman"/>
                <w:sz w:val="18"/>
                <w:szCs w:val="22"/>
              </w:rPr>
            </w:pPr>
            <w:r>
              <w:rPr>
                <w:rFonts w:eastAsia="Times New Roman" w:cs="Times New Roman"/>
                <w:spacing w:val="-1"/>
                <w:sz w:val="18"/>
                <w:szCs w:val="22"/>
              </w:rPr>
              <w:t>0.60</w:t>
            </w:r>
          </w:p>
        </w:tc>
        <w:tc>
          <w:tcPr>
            <w:tcW w:w="701" w:type="pct"/>
            <w:vAlign w:val="center"/>
          </w:tcPr>
          <w:p>
            <w:pPr>
              <w:pStyle w:val="105"/>
              <w:widowControl w:val="0"/>
              <w:jc w:val="center"/>
              <w:rPr>
                <w:rFonts w:eastAsia="Times New Roman" w:cs="Times New Roman"/>
                <w:sz w:val="18"/>
                <w:szCs w:val="22"/>
              </w:rPr>
            </w:pPr>
            <w:r>
              <w:rPr>
                <w:rFonts w:eastAsia="Times New Roman" w:cs="Times New Roman"/>
                <w:spacing w:val="-1"/>
                <w:sz w:val="18"/>
                <w:szCs w:val="22"/>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782" w:type="pct"/>
            <w:vAlign w:val="center"/>
          </w:tcPr>
          <w:p>
            <w:pPr>
              <w:pStyle w:val="105"/>
              <w:widowControl w:val="0"/>
              <w:jc w:val="center"/>
              <w:rPr>
                <w:sz w:val="18"/>
                <w:szCs w:val="22"/>
              </w:rPr>
            </w:pPr>
            <w:r>
              <w:rPr>
                <w:rFonts w:eastAsia="Times New Roman" w:cs="Times New Roman"/>
                <w:sz w:val="18"/>
                <w:szCs w:val="22"/>
              </w:rPr>
              <w:t>3#</w:t>
            </w:r>
            <w:r>
              <w:rPr>
                <w:sz w:val="18"/>
                <w:szCs w:val="22"/>
              </w:rPr>
              <w:t>表土临</w:t>
            </w:r>
            <w:r>
              <w:rPr>
                <w:spacing w:val="-6"/>
                <w:sz w:val="18"/>
                <w:szCs w:val="22"/>
              </w:rPr>
              <w:t>时堆场</w:t>
            </w:r>
          </w:p>
        </w:tc>
        <w:tc>
          <w:tcPr>
            <w:tcW w:w="547" w:type="pct"/>
            <w:vAlign w:val="center"/>
          </w:tcPr>
          <w:p>
            <w:pPr>
              <w:pStyle w:val="105"/>
              <w:widowControl w:val="0"/>
              <w:jc w:val="center"/>
              <w:rPr>
                <w:rFonts w:eastAsia="Times New Roman" w:cs="Times New Roman"/>
                <w:sz w:val="18"/>
                <w:szCs w:val="22"/>
              </w:rPr>
            </w:pPr>
            <w:r>
              <w:rPr>
                <w:rFonts w:eastAsia="Times New Roman" w:cs="Times New Roman"/>
                <w:sz w:val="18"/>
                <w:szCs w:val="22"/>
              </w:rPr>
              <w:t>0.32</w:t>
            </w:r>
          </w:p>
        </w:tc>
        <w:tc>
          <w:tcPr>
            <w:tcW w:w="547" w:type="pct"/>
            <w:vAlign w:val="center"/>
          </w:tcPr>
          <w:p>
            <w:pPr>
              <w:pStyle w:val="105"/>
              <w:widowControl w:val="0"/>
              <w:jc w:val="center"/>
              <w:rPr>
                <w:sz w:val="18"/>
                <w:szCs w:val="22"/>
              </w:rPr>
            </w:pPr>
            <w:r>
              <w:rPr>
                <w:rFonts w:hint="eastAsia"/>
                <w:sz w:val="18"/>
                <w:szCs w:val="22"/>
              </w:rPr>
              <w:t>林地</w:t>
            </w:r>
          </w:p>
        </w:tc>
        <w:tc>
          <w:tcPr>
            <w:tcW w:w="782" w:type="pct"/>
            <w:vAlign w:val="center"/>
          </w:tcPr>
          <w:p>
            <w:pPr>
              <w:pStyle w:val="105"/>
              <w:widowControl w:val="0"/>
              <w:jc w:val="center"/>
              <w:rPr>
                <w:sz w:val="18"/>
                <w:szCs w:val="22"/>
              </w:rPr>
            </w:pPr>
            <w:r>
              <w:rPr>
                <w:rFonts w:eastAsia="Times New Roman" w:cs="Times New Roman"/>
                <w:spacing w:val="-1"/>
                <w:sz w:val="18"/>
                <w:szCs w:val="22"/>
              </w:rPr>
              <w:t>K4+300~ K4+420</w:t>
            </w:r>
            <w:r>
              <w:rPr>
                <w:rFonts w:hint="eastAsia" w:ascii="宋体" w:hAnsi="宋体"/>
                <w:spacing w:val="-1"/>
                <w:sz w:val="18"/>
                <w:szCs w:val="22"/>
              </w:rPr>
              <w:t>右侧</w:t>
            </w:r>
            <w:r>
              <w:rPr>
                <w:rFonts w:hint="eastAsia"/>
                <w:spacing w:val="-1"/>
                <w:sz w:val="18"/>
                <w:szCs w:val="22"/>
              </w:rPr>
              <w:t>路基</w:t>
            </w:r>
          </w:p>
        </w:tc>
        <w:tc>
          <w:tcPr>
            <w:tcW w:w="391" w:type="pct"/>
            <w:vAlign w:val="center"/>
          </w:tcPr>
          <w:p>
            <w:pPr>
              <w:pStyle w:val="105"/>
              <w:widowControl w:val="0"/>
              <w:jc w:val="center"/>
              <w:rPr>
                <w:sz w:val="18"/>
                <w:szCs w:val="22"/>
              </w:rPr>
            </w:pPr>
            <w:r>
              <w:rPr>
                <w:spacing w:val="-5"/>
                <w:sz w:val="18"/>
                <w:szCs w:val="22"/>
              </w:rPr>
              <w:t>平地</w:t>
            </w:r>
          </w:p>
        </w:tc>
        <w:tc>
          <w:tcPr>
            <w:tcW w:w="625" w:type="pct"/>
            <w:vAlign w:val="center"/>
          </w:tcPr>
          <w:p>
            <w:pPr>
              <w:pStyle w:val="105"/>
              <w:widowControl w:val="0"/>
              <w:jc w:val="center"/>
              <w:rPr>
                <w:rFonts w:eastAsia="Times New Roman" w:cs="Times New Roman"/>
                <w:sz w:val="18"/>
                <w:szCs w:val="22"/>
              </w:rPr>
            </w:pPr>
            <w:r>
              <w:rPr>
                <w:rFonts w:eastAsia="Times New Roman" w:cs="Times New Roman"/>
                <w:spacing w:val="-1"/>
                <w:sz w:val="18"/>
                <w:szCs w:val="22"/>
              </w:rPr>
              <w:t>2.5</w:t>
            </w:r>
          </w:p>
        </w:tc>
        <w:tc>
          <w:tcPr>
            <w:tcW w:w="625" w:type="pct"/>
            <w:vAlign w:val="center"/>
          </w:tcPr>
          <w:p>
            <w:pPr>
              <w:pStyle w:val="105"/>
              <w:widowControl w:val="0"/>
              <w:jc w:val="center"/>
              <w:rPr>
                <w:rFonts w:eastAsia="Times New Roman" w:cs="Times New Roman"/>
                <w:sz w:val="18"/>
                <w:szCs w:val="22"/>
              </w:rPr>
            </w:pPr>
            <w:r>
              <w:rPr>
                <w:rFonts w:eastAsia="Times New Roman" w:cs="Times New Roman"/>
                <w:spacing w:val="-5"/>
                <w:sz w:val="18"/>
                <w:szCs w:val="22"/>
              </w:rPr>
              <w:t>0.75</w:t>
            </w:r>
          </w:p>
        </w:tc>
        <w:tc>
          <w:tcPr>
            <w:tcW w:w="701" w:type="pct"/>
            <w:vAlign w:val="center"/>
          </w:tcPr>
          <w:p>
            <w:pPr>
              <w:pStyle w:val="105"/>
              <w:widowControl w:val="0"/>
              <w:jc w:val="center"/>
              <w:rPr>
                <w:rFonts w:eastAsia="Times New Roman" w:cs="Times New Roman"/>
                <w:sz w:val="18"/>
                <w:szCs w:val="22"/>
              </w:rPr>
            </w:pPr>
            <w:r>
              <w:rPr>
                <w:rFonts w:eastAsia="Times New Roman" w:cs="Times New Roman"/>
                <w:sz w:val="18"/>
                <w:szCs w:val="22"/>
              </w:rPr>
              <w:t>0.65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782" w:type="pct"/>
            <w:vAlign w:val="center"/>
          </w:tcPr>
          <w:p>
            <w:pPr>
              <w:pStyle w:val="105"/>
              <w:widowControl w:val="0"/>
              <w:jc w:val="center"/>
              <w:rPr>
                <w:sz w:val="18"/>
                <w:szCs w:val="22"/>
              </w:rPr>
            </w:pPr>
            <w:r>
              <w:rPr>
                <w:sz w:val="18"/>
                <w:szCs w:val="22"/>
              </w:rPr>
              <w:t>小计</w:t>
            </w:r>
          </w:p>
        </w:tc>
        <w:tc>
          <w:tcPr>
            <w:tcW w:w="547" w:type="pct"/>
            <w:vAlign w:val="center"/>
          </w:tcPr>
          <w:p>
            <w:pPr>
              <w:pStyle w:val="105"/>
              <w:widowControl w:val="0"/>
              <w:jc w:val="center"/>
              <w:rPr>
                <w:rFonts w:eastAsia="Times New Roman" w:cs="Times New Roman"/>
                <w:sz w:val="18"/>
                <w:szCs w:val="22"/>
              </w:rPr>
            </w:pPr>
            <w:r>
              <w:rPr>
                <w:rFonts w:eastAsia="Times New Roman" w:cs="Times New Roman"/>
                <w:spacing w:val="-1"/>
                <w:sz w:val="18"/>
                <w:szCs w:val="22"/>
              </w:rPr>
              <w:t>0.94</w:t>
            </w:r>
          </w:p>
        </w:tc>
        <w:tc>
          <w:tcPr>
            <w:tcW w:w="547" w:type="pct"/>
            <w:vAlign w:val="center"/>
          </w:tcPr>
          <w:p>
            <w:pPr>
              <w:pStyle w:val="105"/>
              <w:widowControl w:val="0"/>
              <w:jc w:val="center"/>
              <w:rPr>
                <w:sz w:val="18"/>
                <w:szCs w:val="22"/>
              </w:rPr>
            </w:pPr>
          </w:p>
        </w:tc>
        <w:tc>
          <w:tcPr>
            <w:tcW w:w="782" w:type="pct"/>
            <w:vAlign w:val="center"/>
          </w:tcPr>
          <w:p>
            <w:pPr>
              <w:pStyle w:val="105"/>
              <w:widowControl w:val="0"/>
              <w:jc w:val="center"/>
              <w:rPr>
                <w:sz w:val="18"/>
                <w:szCs w:val="22"/>
              </w:rPr>
            </w:pPr>
          </w:p>
        </w:tc>
        <w:tc>
          <w:tcPr>
            <w:tcW w:w="391" w:type="pct"/>
            <w:vAlign w:val="center"/>
          </w:tcPr>
          <w:p>
            <w:pPr>
              <w:pStyle w:val="105"/>
              <w:widowControl w:val="0"/>
              <w:jc w:val="center"/>
              <w:rPr>
                <w:sz w:val="18"/>
                <w:szCs w:val="22"/>
              </w:rPr>
            </w:pPr>
          </w:p>
        </w:tc>
        <w:tc>
          <w:tcPr>
            <w:tcW w:w="625" w:type="pct"/>
            <w:vAlign w:val="center"/>
          </w:tcPr>
          <w:p>
            <w:pPr>
              <w:pStyle w:val="105"/>
              <w:widowControl w:val="0"/>
              <w:jc w:val="center"/>
              <w:rPr>
                <w:sz w:val="18"/>
                <w:szCs w:val="22"/>
              </w:rPr>
            </w:pPr>
          </w:p>
        </w:tc>
        <w:tc>
          <w:tcPr>
            <w:tcW w:w="625" w:type="pct"/>
            <w:vAlign w:val="center"/>
          </w:tcPr>
          <w:p>
            <w:pPr>
              <w:pStyle w:val="105"/>
              <w:widowControl w:val="0"/>
              <w:jc w:val="center"/>
              <w:rPr>
                <w:rFonts w:eastAsia="Times New Roman" w:cs="Times New Roman"/>
                <w:sz w:val="18"/>
                <w:szCs w:val="22"/>
              </w:rPr>
            </w:pPr>
            <w:r>
              <w:rPr>
                <w:rFonts w:eastAsia="Times New Roman" w:cs="Times New Roman"/>
                <w:spacing w:val="-5"/>
                <w:sz w:val="18"/>
                <w:szCs w:val="22"/>
              </w:rPr>
              <w:t>2.1</w:t>
            </w:r>
          </w:p>
        </w:tc>
        <w:tc>
          <w:tcPr>
            <w:tcW w:w="701" w:type="pct"/>
            <w:vAlign w:val="center"/>
          </w:tcPr>
          <w:p>
            <w:pPr>
              <w:pStyle w:val="105"/>
              <w:widowControl w:val="0"/>
              <w:jc w:val="center"/>
              <w:rPr>
                <w:rFonts w:eastAsia="Times New Roman" w:cs="Times New Roman"/>
                <w:sz w:val="18"/>
                <w:szCs w:val="22"/>
              </w:rPr>
            </w:pPr>
            <w:r>
              <w:rPr>
                <w:rFonts w:eastAsia="Times New Roman" w:cs="Times New Roman"/>
                <w:spacing w:val="-6"/>
                <w:sz w:val="18"/>
                <w:szCs w:val="22"/>
              </w:rPr>
              <w:t>1.80</w:t>
            </w:r>
          </w:p>
        </w:tc>
      </w:tr>
      <w:bookmarkEnd w:id="312"/>
    </w:tbl>
    <w:p>
      <w:pPr>
        <w:pStyle w:val="118"/>
        <w:numPr>
          <w:ilvl w:val="0"/>
          <w:numId w:val="0"/>
        </w:numPr>
        <w:spacing w:before="240"/>
      </w:pPr>
      <w:bookmarkStart w:id="314" w:name="_Toc439084092"/>
      <w:r>
        <w:rPr>
          <w:rFonts w:hint="eastAsia"/>
        </w:rPr>
        <w:t>（</w:t>
      </w:r>
      <w:r>
        <w:t>4</w:t>
      </w:r>
      <w:r>
        <w:rPr>
          <w:rFonts w:hint="eastAsia"/>
        </w:rPr>
        <w:t>）施工便道</w:t>
      </w:r>
      <w:bookmarkEnd w:id="314"/>
    </w:p>
    <w:p>
      <w:pPr>
        <w:ind w:firstLine="480"/>
        <w:rPr>
          <w:spacing w:val="-3"/>
        </w:rPr>
      </w:pPr>
      <w:r>
        <w:t>根据本工程施工图设计资料和施工单位的施工组织设计资料，</w:t>
      </w:r>
      <w:r>
        <w:rPr>
          <w:rFonts w:hint="eastAsia"/>
          <w:spacing w:val="-3"/>
        </w:rPr>
        <w:t>项目依托现有G</w:t>
      </w:r>
      <w:r>
        <w:rPr>
          <w:spacing w:val="-3"/>
        </w:rPr>
        <w:t>324</w:t>
      </w:r>
      <w:r>
        <w:rPr>
          <w:rFonts w:hint="eastAsia"/>
          <w:spacing w:val="-3"/>
        </w:rPr>
        <w:t>国道、侨丰路、枝钟路及周边村道作为施工便道。本次项目不新设施工便道。</w:t>
      </w:r>
    </w:p>
    <w:p>
      <w:pPr>
        <w:pStyle w:val="118"/>
        <w:numPr>
          <w:ilvl w:val="0"/>
          <w:numId w:val="0"/>
        </w:numPr>
        <w:spacing w:before="240"/>
      </w:pPr>
      <w:r>
        <w:rPr>
          <w:rFonts w:hint="eastAsia"/>
        </w:rPr>
        <w:t>（</w:t>
      </w:r>
      <w:r>
        <w:t>5</w:t>
      </w:r>
      <w:r>
        <w:rPr>
          <w:rFonts w:hint="eastAsia"/>
        </w:rPr>
        <w:t>）取土场</w:t>
      </w:r>
    </w:p>
    <w:p>
      <w:pPr>
        <w:ind w:firstLine="480"/>
      </w:pPr>
      <w:r>
        <w:rPr>
          <w:rFonts w:hint="eastAsia"/>
        </w:rPr>
        <w:t>本项目挖方大于填方，项目不设置取土场。</w:t>
      </w:r>
    </w:p>
    <w:p>
      <w:pPr>
        <w:pStyle w:val="118"/>
        <w:numPr>
          <w:ilvl w:val="0"/>
          <w:numId w:val="0"/>
        </w:numPr>
      </w:pPr>
      <w:r>
        <w:rPr>
          <w:rFonts w:hint="eastAsia"/>
        </w:rPr>
        <w:t>（</w:t>
      </w:r>
      <w:r>
        <w:t>6</w:t>
      </w:r>
      <w:r>
        <w:rPr>
          <w:rFonts w:hint="eastAsia"/>
        </w:rPr>
        <w:t>）弃渣场</w:t>
      </w:r>
    </w:p>
    <w:p>
      <w:pPr>
        <w:ind w:firstLine="480"/>
      </w:pPr>
      <w:r>
        <w:t>根据</w:t>
      </w:r>
      <w:r>
        <w:rPr>
          <w:rFonts w:hint="eastAsia"/>
        </w:rPr>
        <w:t>项目水土保持方案结合施工图设计核算，本项目土石方挖填总量63.61万m³，其中挖方总量40.22万m³（含表土1.80万m³），填方总量23.39万m³（含覆土1.80万m³）；余方16.</w:t>
      </w:r>
      <w:r>
        <w:t>8</w:t>
      </w:r>
      <w:r>
        <w:rPr>
          <w:rFonts w:hint="eastAsia"/>
        </w:rPr>
        <w:t>3万m³（其中土方</w:t>
      </w:r>
      <w:r>
        <w:t>4.62</w:t>
      </w:r>
      <w:r>
        <w:rPr>
          <w:rFonts w:hint="eastAsia"/>
        </w:rPr>
        <w:t>万m³，石方</w:t>
      </w:r>
      <w:r>
        <w:t>11.41</w:t>
      </w:r>
      <w:r>
        <w:rPr>
          <w:rFonts w:hint="eastAsia"/>
        </w:rPr>
        <w:t>万m³），其中石方</w:t>
      </w:r>
      <w:r>
        <w:t>6.88</w:t>
      </w:r>
      <w:r>
        <w:rPr>
          <w:rFonts w:hint="eastAsia"/>
        </w:rPr>
        <w:t>万m³本工程利用，作为截（排）水沟、沉沙池、挡墙等附属设施的原材料利用；剩余弃方（9</w:t>
      </w:r>
      <w:r>
        <w:t>.95</w:t>
      </w:r>
      <w:r>
        <w:rPr>
          <w:rFonts w:hint="eastAsia"/>
        </w:rPr>
        <w:t>万m³）拟运往福清市城市管理委员会批准的余方指定堆放点进行综合利用。</w:t>
      </w:r>
    </w:p>
    <w:p>
      <w:pPr>
        <w:ind w:firstLine="480"/>
      </w:pPr>
      <w:r>
        <w:rPr>
          <w:rFonts w:hint="eastAsia"/>
        </w:rPr>
        <w:t>项目不设弃渣场。</w:t>
      </w:r>
    </w:p>
    <w:p>
      <w:pPr>
        <w:pStyle w:val="120"/>
        <w:rPr>
          <w:color w:val="auto"/>
        </w:rPr>
      </w:pPr>
      <w:bookmarkStart w:id="315" w:name="2.4.2.1施工便道"/>
      <w:bookmarkEnd w:id="315"/>
      <w:bookmarkStart w:id="316" w:name="_Toc439084093"/>
      <w:r>
        <w:rPr>
          <w:rFonts w:hint="eastAsia"/>
          <w:color w:val="auto"/>
        </w:rPr>
        <w:t>施工方案</w:t>
      </w:r>
      <w:bookmarkEnd w:id="316"/>
    </w:p>
    <w:p>
      <w:pPr>
        <w:pStyle w:val="118"/>
      </w:pPr>
      <w:bookmarkStart w:id="317" w:name="_Toc439084094"/>
      <w:r>
        <w:rPr>
          <w:rFonts w:hint="eastAsia"/>
        </w:rPr>
        <w:t>施工顺序</w:t>
      </w:r>
      <w:bookmarkEnd w:id="317"/>
    </w:p>
    <w:p>
      <w:pPr>
        <w:ind w:firstLine="480"/>
      </w:pPr>
      <w:r>
        <w:rPr>
          <w:rFonts w:hint="eastAsia"/>
        </w:rPr>
        <w:t>准备工作→征地拆迁、清表→路基土石方施工、桥梁工程、涵洞→防护工程→路面基层→路面面层→标志标线。</w:t>
      </w:r>
    </w:p>
    <w:p>
      <w:pPr>
        <w:ind w:firstLine="480"/>
      </w:pPr>
      <w:r>
        <w:rPr>
          <w:rFonts w:hint="eastAsia"/>
        </w:rPr>
        <w:t>路基施工的施工工序为：挖除树根——清除表层、杂草——平地机、推土机整平——截排水沟放样——开挖截、排水沟——预留管线工程——压路机压实——路基填筑、开挖——路基防护。</w:t>
      </w:r>
    </w:p>
    <w:p>
      <w:pPr>
        <w:pStyle w:val="118"/>
      </w:pPr>
      <w:r>
        <w:rPr>
          <w:rFonts w:hint="eastAsia"/>
        </w:rPr>
        <w:t>拆迁、清表</w:t>
      </w:r>
    </w:p>
    <w:p>
      <w:pPr>
        <w:ind w:firstLine="480"/>
      </w:pPr>
      <w:r>
        <w:rPr>
          <w:rFonts w:hint="eastAsia"/>
        </w:rPr>
        <w:t>拆迁、清表工程包含：</w:t>
      </w:r>
      <w:r>
        <w:rPr>
          <w:rFonts w:hint="eastAsia" w:ascii="宋体" w:hAnsi="宋体"/>
          <w:kern w:val="0"/>
        </w:rPr>
        <w:t>拆除建筑物、场坪及既有道路，清除地表植被、</w:t>
      </w:r>
      <w:r>
        <w:t>剥离的表层土</w:t>
      </w:r>
      <w:r>
        <w:rPr>
          <w:rFonts w:hint="eastAsia" w:ascii="宋体" w:hAnsi="宋体"/>
          <w:kern w:val="0"/>
        </w:rPr>
        <w:t>等。</w:t>
      </w:r>
    </w:p>
    <w:p>
      <w:pPr>
        <w:ind w:firstLine="480"/>
      </w:pPr>
      <w:r>
        <w:rPr>
          <w:rFonts w:hint="eastAsia"/>
        </w:rPr>
        <w:t>①准备工作：进行详细的地上及地下构造物情况调查，认真核实业主提供的原建筑物的图纸及地质资料，提前筹划断水、断电计划及其他管线迁改。</w:t>
      </w:r>
    </w:p>
    <w:p>
      <w:pPr>
        <w:ind w:firstLine="480"/>
      </w:pPr>
      <w:r>
        <w:rPr>
          <w:rFonts w:hint="eastAsia"/>
        </w:rPr>
        <w:t>②准备拆除所需要的设备及物资，拆除施工开始前技术负责人对拆除区域内的技术交底，地上、地下障碍物的书面交底，双方做好记录。设专人对拆除周围设置警戒线，并派专人看护阻止非施工人员进入现场，以防安全事故发生。</w:t>
      </w:r>
    </w:p>
    <w:p>
      <w:pPr>
        <w:ind w:firstLine="480"/>
      </w:pPr>
      <w:r>
        <w:rPr>
          <w:rFonts w:hint="eastAsia"/>
        </w:rPr>
        <w:t>③在施工现场，在拆除前准备水车防尘。</w:t>
      </w:r>
    </w:p>
    <w:p>
      <w:pPr>
        <w:ind w:firstLine="480"/>
      </w:pPr>
      <w:r>
        <w:rPr>
          <w:rFonts w:hint="eastAsia"/>
        </w:rPr>
        <w:t>④根据现场情况及工程安排，准备必要机械设备、材料、人员等进场，并提前做好关键路口的安全标记及指挥。拆除作业一般自上而下按顺序进行，不得立体交叉拆除作业。</w:t>
      </w:r>
    </w:p>
    <w:p>
      <w:pPr>
        <w:ind w:firstLine="480"/>
      </w:pPr>
      <w:r>
        <w:rPr>
          <w:rFonts w:hint="eastAsia"/>
        </w:rPr>
        <w:t>⑤根据路段具体情况，针对林地、耕地等进行表土剥离保存。</w:t>
      </w:r>
    </w:p>
    <w:p>
      <w:pPr>
        <w:pStyle w:val="118"/>
      </w:pPr>
      <w:r>
        <w:t>路基工程施工工艺</w:t>
      </w:r>
    </w:p>
    <w:p>
      <w:pPr>
        <w:ind w:firstLine="480"/>
      </w:pPr>
      <w:r>
        <w:rPr>
          <w:rFonts w:hint="eastAsia"/>
        </w:rPr>
        <w:t>①填方路基：</w:t>
      </w:r>
    </w:p>
    <w:p>
      <w:pPr>
        <w:ind w:firstLine="480"/>
      </w:pPr>
      <w:r>
        <w:rPr>
          <w:rFonts w:hint="eastAsia"/>
        </w:rPr>
        <w:t>根据填土地段地形情况的不同，采用水平分层填筑或纵向分层填筑两种方法施工。机械配备组合为：推土机清理场地，挖掘机挖装土，自卸汽车运输，推土机或平地机整平，振动压路机碾压。路基填筑压实度及填料应达到设计和施工规范要求。填方路基施工工艺：按三阶段、四区段、八流程作业，即：准备阶段→施工阶段→检验阶段和进料区→摊铺区→碾压区→检验区以及施工准备→基底处理→分层填筑→摊铺整平→洒水或晾晒→机械碾压→检验签证→边坡整修。填筑路基施工工艺流程见</w:t>
      </w:r>
      <w:r>
        <w:fldChar w:fldCharType="begin"/>
      </w:r>
      <w:r>
        <w:instrText xml:space="preserve"> </w:instrText>
      </w:r>
      <w:r>
        <w:rPr>
          <w:rFonts w:hint="eastAsia"/>
        </w:rPr>
        <w:instrText xml:space="preserve">REF _Ref141255835 \r \h</w:instrText>
      </w:r>
      <w:r>
        <w:instrText xml:space="preserve">  \* MERGEFORMAT </w:instrText>
      </w:r>
      <w:r>
        <w:fldChar w:fldCharType="separate"/>
      </w:r>
      <w:r>
        <w:rPr>
          <w:rFonts w:hint="eastAsia"/>
        </w:rPr>
        <w:t>图3.7-2</w:t>
      </w:r>
      <w:r>
        <w:fldChar w:fldCharType="end"/>
      </w:r>
      <w:r>
        <w:rPr>
          <w:rFonts w:hint="eastAsia"/>
        </w:rPr>
        <w:t>。</w:t>
      </w:r>
    </w:p>
    <w:p>
      <w:pPr>
        <w:ind w:firstLine="480"/>
      </w:pPr>
      <w:r>
        <w:rPr>
          <w:rFonts w:hint="eastAsia"/>
        </w:rPr>
        <w:t>②挖方段施工除考虑当地的地形条件、采用的机具等因素外，还需考虑土层分布及利用。在路堑开挖前，做好现场伐树除根等清理工作和排水工作。移挖作填时，将表层土单独剥离，或按不同的土层分层挖掘，以满足路堤填筑的要求。施工程序为：清表→截排水沟放样→开挖截排水沟→路基边坡开挖→路基防护。路堑开挖施工工艺流程见</w:t>
      </w:r>
      <w:r>
        <w:fldChar w:fldCharType="begin"/>
      </w:r>
      <w:r>
        <w:instrText xml:space="preserve"> </w:instrText>
      </w:r>
      <w:r>
        <w:rPr>
          <w:rFonts w:hint="eastAsia"/>
        </w:rPr>
        <w:instrText xml:space="preserve">REF _Ref141255845 \r \h</w:instrText>
      </w:r>
      <w:r>
        <w:instrText xml:space="preserve">  \* MERGEFORMAT </w:instrText>
      </w:r>
      <w:r>
        <w:fldChar w:fldCharType="separate"/>
      </w:r>
      <w:r>
        <w:rPr>
          <w:rFonts w:hint="eastAsia"/>
        </w:rPr>
        <w:t>图3.7-3</w:t>
      </w:r>
      <w:r>
        <w:fldChar w:fldCharType="end"/>
      </w:r>
      <w:r>
        <w:rPr>
          <w:rFonts w:hint="eastAsia"/>
        </w:rPr>
        <w:t>。</w:t>
      </w:r>
    </w:p>
    <w:p>
      <w:pPr>
        <w:ind w:firstLine="480"/>
      </w:pPr>
      <w:r>
        <w:rPr>
          <w:rFonts w:hint="eastAsia"/>
        </w:rPr>
        <w:t>③石方路堑开挖：石方开挖是本合同段土石方施工中的重点、难点，采用爆破法开挖，遵守自上而下，水平分层开挖的原则，配以挖掘机、装载机和自卸汽车装运石方，本项目沿线存在民房、国道、古厝、电塔铁路等敏感点，拟采取机械破碎施工。</w:t>
      </w:r>
    </w:p>
    <w:p>
      <w:pPr>
        <w:ind w:firstLine="480"/>
      </w:pPr>
      <w:r>
        <w:rPr>
          <w:rFonts w:hint="eastAsia"/>
        </w:rPr>
        <w:t>施工程序为：测量放线→清表→挖机将覆土挖成堆后装车→破碎锤破碎石方→挖机挖成堆→破碎锤再破碎石方→挖机再挖成堆→装车运走。</w:t>
      </w:r>
    </w:p>
    <w:p>
      <w:pPr>
        <w:pStyle w:val="118"/>
      </w:pPr>
      <w:r>
        <w:rPr>
          <w:rFonts w:hint="eastAsia"/>
        </w:rPr>
        <w:t>涵洞工程</w:t>
      </w:r>
      <w:r>
        <w:t>施工</w:t>
      </w:r>
    </w:p>
    <w:p>
      <w:pPr>
        <w:ind w:firstLine="480"/>
      </w:pPr>
      <w:r>
        <w:rPr>
          <w:rFonts w:hint="eastAsia"/>
        </w:rPr>
        <w:t>本项目涉及涵洞形式有钢筋砼盖板涵、箱涵和钢筋混凝土圆管涵。</w:t>
      </w:r>
    </w:p>
    <w:p>
      <w:pPr>
        <w:ind w:firstLine="480"/>
      </w:pPr>
      <w:r>
        <w:rPr>
          <w:rFonts w:hint="eastAsia"/>
        </w:rPr>
        <w:t>大致施工程序为：施工准备→测量放线→基坑开挖及垫层施工→浇筑涵基→吊装管节/盖板安装/混凝土浇筑→接缝处理→涵洞进出水口→台背回填及涵洞填土。</w:t>
      </w:r>
    </w:p>
    <w:p>
      <w:pPr>
        <w:pStyle w:val="118"/>
      </w:pPr>
      <w:r>
        <w:rPr>
          <w:rFonts w:hint="eastAsia"/>
        </w:rPr>
        <w:t>防护工程</w:t>
      </w:r>
      <w:r>
        <w:t>施工</w:t>
      </w:r>
    </w:p>
    <w:p>
      <w:pPr>
        <w:ind w:firstLine="480"/>
      </w:pPr>
      <w:r>
        <w:rPr>
          <w:rFonts w:hint="eastAsia"/>
        </w:rPr>
        <w:t>本项目涉及防护形式有以下几种：挂网喷播植草、拱形骨架护坡、挡土墙、系统锚杆、预应力锚索框架梁等。</w:t>
      </w:r>
    </w:p>
    <w:p>
      <w:pPr>
        <w:ind w:firstLine="480"/>
      </w:pPr>
      <w:r>
        <w:rPr>
          <w:rFonts w:hint="eastAsia"/>
        </w:rPr>
        <w:t>（1）拱形骨架植草护坡施工工序为：施工准备→ 测量放样→边坡修整→基槽开挖挂 线放样→ 砂浆拌制→拱形骨架砌筑→ 安装预制混凝土镶边石→ 骨架内覆土→ 喷草（植 灌）护坡。</w:t>
      </w:r>
    </w:p>
    <w:p>
      <w:pPr>
        <w:ind w:firstLine="480"/>
      </w:pPr>
      <w:r>
        <w:rPr>
          <w:rFonts w:hint="eastAsia"/>
        </w:rPr>
        <w:t>（2）TBS 植被护坡施工工序为：整平坡面，清除危石浮土→打入挂网锚杆（必要时 再打入系统锚杆）→挂上镀锌铁丝网→ 湿润坡面→ 喷射第一层基材混合物→ 喷射第二层 基材混合物→ 盖膜养护→揭膜→养护。</w:t>
      </w:r>
    </w:p>
    <w:p>
      <w:pPr>
        <w:ind w:firstLine="480"/>
      </w:pPr>
      <w:r>
        <w:t xml:space="preserve"> </w:t>
      </w:r>
      <w:r>
        <w:rPr>
          <w:rFonts w:hint="eastAsia"/>
        </w:rPr>
        <w:t>（3）液压喷播植草护坡施工工序为：坡面清理→挖平行沟→ 营养土拌合、喷射→机 械液压喷播草籽→覆盖无纺布→养护→揭无纺布→养护→插栽灌木→养护。</w:t>
      </w:r>
    </w:p>
    <w:p>
      <w:pPr>
        <w:ind w:firstLine="480"/>
      </w:pPr>
      <w:r>
        <w:rPr>
          <w:rFonts w:hint="eastAsia"/>
        </w:rPr>
        <w:t>（4）C20 片石混凝土挡墙施工工序为：测量放样→基础整修→铺筑垫层→ 安装模板 → 混凝土拌制、运输→ 浇筑→养护。</w:t>
      </w:r>
    </w:p>
    <w:p>
      <w:pPr>
        <w:pStyle w:val="118"/>
      </w:pPr>
      <w:r>
        <w:t>路面工程施工</w:t>
      </w:r>
    </w:p>
    <w:p>
      <w:pPr>
        <w:ind w:firstLine="480"/>
      </w:pPr>
      <w:r>
        <w:rPr>
          <w:rFonts w:hint="eastAsia"/>
        </w:rPr>
        <w:t>路面结构为沥青砼路面，水泥稳定碎石混合料应集中搅拌，经拌和后运输至工地，采用机械与人工配合铺筑。面层沥青混凝土混合料，采用商品沥青混凝土运至工地，采用机械铺筑。沥青混凝土路面施工工艺流程详见</w:t>
      </w:r>
      <w:r>
        <w:fldChar w:fldCharType="begin"/>
      </w:r>
      <w:r>
        <w:instrText xml:space="preserve"> </w:instrText>
      </w:r>
      <w:r>
        <w:rPr>
          <w:rFonts w:hint="eastAsia"/>
        </w:rPr>
        <w:instrText xml:space="preserve">REF _Ref141255866 \r \h</w:instrText>
      </w:r>
      <w:r>
        <w:instrText xml:space="preserve"> </w:instrText>
      </w:r>
      <w:r>
        <w:fldChar w:fldCharType="separate"/>
      </w:r>
      <w:r>
        <w:rPr>
          <w:rFonts w:hint="eastAsia"/>
        </w:rPr>
        <w:t>图3.7-4</w:t>
      </w:r>
      <w:r>
        <w:fldChar w:fldCharType="end"/>
      </w:r>
      <w:bookmarkStart w:id="318" w:name="_Toc30936"/>
      <w:r>
        <w:rPr>
          <w:rFonts w:hint="eastAsia"/>
        </w:rPr>
        <w:t>。</w:t>
      </w:r>
    </w:p>
    <w:p>
      <w:pPr>
        <w:pStyle w:val="105"/>
        <w:jc w:val="center"/>
        <w:rPr>
          <w:rFonts w:hint="eastAsia" w:eastAsia="宋体"/>
          <w:lang w:eastAsia="zh-CN"/>
        </w:rPr>
      </w:pPr>
    </w:p>
    <w:p>
      <w:pPr>
        <w:pStyle w:val="122"/>
        <w:ind w:left="420" w:hanging="420"/>
      </w:pPr>
      <w:bookmarkStart w:id="319" w:name="_Ref141255835"/>
      <w:r>
        <w:rPr>
          <w:rFonts w:hint="eastAsia"/>
        </w:rPr>
        <w:t>填方</w:t>
      </w:r>
      <w:r>
        <w:t>路基施工工艺流程</w:t>
      </w:r>
      <w:bookmarkEnd w:id="319"/>
    </w:p>
    <w:p>
      <w:pPr>
        <w:pStyle w:val="105"/>
        <w:jc w:val="center"/>
        <w:rPr>
          <w:rFonts w:hint="eastAsia" w:eastAsia="宋体"/>
          <w:lang w:eastAsia="zh-CN"/>
        </w:rPr>
      </w:pPr>
    </w:p>
    <w:p>
      <w:pPr>
        <w:pStyle w:val="122"/>
        <w:ind w:left="420" w:hanging="420"/>
      </w:pPr>
      <w:bookmarkStart w:id="320" w:name="_Ref141255845"/>
      <w:r>
        <w:rPr>
          <w:rFonts w:hint="eastAsia"/>
        </w:rPr>
        <w:t>挖方路基</w:t>
      </w:r>
      <w:r>
        <w:t>施工工艺流程</w:t>
      </w:r>
      <w:bookmarkEnd w:id="320"/>
    </w:p>
    <w:p>
      <w:pPr>
        <w:pStyle w:val="105"/>
        <w:jc w:val="center"/>
        <w:rPr>
          <w:rFonts w:hint="eastAsia" w:eastAsia="宋体"/>
          <w:lang w:eastAsia="zh-CN"/>
        </w:rPr>
      </w:pPr>
    </w:p>
    <w:p>
      <w:pPr>
        <w:pStyle w:val="122"/>
        <w:ind w:left="420" w:hanging="420"/>
      </w:pPr>
      <w:bookmarkStart w:id="321" w:name="_Ref141255866"/>
      <w:r>
        <w:rPr>
          <w:rFonts w:hint="eastAsia"/>
        </w:rPr>
        <w:t>沥青混凝土路面施工工艺流程图</w:t>
      </w:r>
      <w:bookmarkEnd w:id="321"/>
    </w:p>
    <w:bookmarkEnd w:id="318"/>
    <w:p>
      <w:pPr>
        <w:pStyle w:val="118"/>
        <w:rPr>
          <w:lang w:val="zh-CN"/>
        </w:rPr>
      </w:pPr>
      <w:r>
        <w:rPr>
          <w:rFonts w:hint="eastAsia"/>
          <w:lang w:val="zh-CN"/>
        </w:rPr>
        <w:t>桥梁施工</w:t>
      </w:r>
    </w:p>
    <w:p>
      <w:pPr>
        <w:ind w:firstLine="480"/>
      </w:pPr>
      <w:r>
        <w:rPr>
          <w:rFonts w:hint="eastAsia"/>
        </w:rPr>
        <w:t>本项目共设置设有大1座，中桥1座。桩基采用冲击钻机钻孔，导管法灌注水下砼；墩台身采用整体定型钢模浇筑，模板采用吊车起吊，人工配合安装；钢筋采取在预制场内设置钢筋加工厂，集中加工，现场绑扎或者焊接；砼由拌和站集中拌制或外购商品砼，砼输送车运送至各工点，现场桥台桥墩等砼施工采用吊车或泵车泵送砼入模。</w:t>
      </w:r>
    </w:p>
    <w:p>
      <w:pPr>
        <w:ind w:firstLine="480"/>
      </w:pPr>
      <w:r>
        <w:rPr>
          <w:rFonts w:hint="eastAsia"/>
        </w:rPr>
        <w:t>T梁采取集中预制，运梁平车运输，双导梁架桥机架设。</w:t>
      </w:r>
    </w:p>
    <w:p>
      <w:pPr>
        <w:ind w:firstLine="480"/>
      </w:pPr>
      <w:r>
        <w:rPr>
          <w:rFonts w:hint="eastAsia"/>
        </w:rPr>
        <w:t>钢箱梁采用工厂采购元件，现场拼装焊接，顶推架设。</w:t>
      </w:r>
    </w:p>
    <w:p>
      <w:pPr>
        <w:ind w:firstLine="480"/>
      </w:pPr>
      <w:r>
        <w:rPr>
          <w:rFonts w:hint="eastAsia"/>
        </w:rPr>
        <w:t>空心板梁采用外购，现场吊机架设。</w:t>
      </w:r>
    </w:p>
    <w:p>
      <w:pPr>
        <w:ind w:firstLine="480"/>
      </w:pPr>
      <w:r>
        <w:rPr>
          <w:rFonts w:hint="eastAsia"/>
        </w:rPr>
        <w:t>钻孔桩施工→承台、墩台身及盖梁施工→预制梁片预制及安装→钢箱梁施工→桥面系及附属施工。</w:t>
      </w:r>
    </w:p>
    <w:p>
      <w:pPr>
        <w:pStyle w:val="118"/>
        <w:numPr>
          <w:ilvl w:val="0"/>
          <w:numId w:val="0"/>
        </w:numPr>
      </w:pPr>
      <w:r>
        <w:t>1</w:t>
      </w:r>
      <w:r>
        <w:rPr>
          <w:rFonts w:hint="eastAsia"/>
        </w:rPr>
        <w:t>、钻孔桩施工</w:t>
      </w:r>
    </w:p>
    <w:p>
      <w:pPr>
        <w:ind w:firstLine="480"/>
      </w:pPr>
      <w:r>
        <w:rPr>
          <w:rFonts w:hint="eastAsia"/>
        </w:rPr>
        <w:t>桩基钻孔桩拟采用冲击钻机成孔，钢筋笼在钢筋加工厂分节制作，直螺纹套筒机械联接，采用导管法灌注水下砼。桩的钻孔和开挖，在中距5m内的任何砼灌注桩完成24h后，才能开始，以避免干扰邻桩砼的凝固。具体施工方法如下：</w:t>
      </w:r>
    </w:p>
    <w:p>
      <w:pPr>
        <w:ind w:firstLine="480"/>
      </w:pPr>
      <w:r>
        <w:rPr>
          <w:rFonts w:hint="eastAsia"/>
        </w:rPr>
        <w:t>①施工准备：施工前做好施工现场准备，清除杂物，硬化场地，在适当的位置挖好泥浆池，修建施工临时设施，安装调试施工机械设备，进行施工测量及复核测量，安排材料的储存和堆放，接通临时水电管线。</w:t>
      </w:r>
    </w:p>
    <w:p>
      <w:pPr>
        <w:ind w:firstLine="480"/>
      </w:pPr>
      <w:r>
        <w:rPr>
          <w:rFonts w:hint="eastAsia"/>
        </w:rPr>
        <w:t>②护筒设置：为防止泥沙进入钻孔，需在软基深度范围内设置护筒，防止泥沙滑落，钢护筒用5mm厚钢板卷制。护筒内径大于桩径20～40cm，护筒高视土质而定。护筒顶应高出施工水位或地下水位1.0～2.0米以上，并高出地面30 cm。</w:t>
      </w:r>
    </w:p>
    <w:p>
      <w:pPr>
        <w:ind w:firstLine="480"/>
      </w:pPr>
      <w:r>
        <w:rPr>
          <w:rFonts w:hint="eastAsia"/>
        </w:rPr>
        <w:t>③钻孔施工</w:t>
      </w:r>
    </w:p>
    <w:p>
      <w:pPr>
        <w:ind w:firstLine="480"/>
      </w:pPr>
      <w:r>
        <w:rPr>
          <w:rFonts w:hint="eastAsia"/>
        </w:rPr>
        <w:t>A、泥浆配置：钻孔泥浆的配置主要采用优质膨润土人工制造泥浆。膨润土和纯碱的掺量根据泥浆性能进行动态调整。</w:t>
      </w:r>
    </w:p>
    <w:p>
      <w:pPr>
        <w:ind w:firstLine="480"/>
      </w:pPr>
      <w:r>
        <w:t>B</w:t>
      </w:r>
      <w:r>
        <w:rPr>
          <w:rFonts w:hint="eastAsia"/>
        </w:rPr>
        <w:t>、泥浆循环和排渣系统布设在成孔过程中，泥浆处于循环使用中。泥浆循环一般从孔底经过钻头、钻杠、水龙头进入粗颗粒排渣槽及泥浆沉淀池，上层液再通过泥浆旋流器返回孔内。泥浆循环沉淀池的容积一般达到钻孔方量的2.5倍。</w:t>
      </w:r>
    </w:p>
    <w:p>
      <w:pPr>
        <w:ind w:firstLine="480"/>
      </w:pPr>
      <w:r>
        <w:t>C</w:t>
      </w:r>
      <w:r>
        <w:rPr>
          <w:rFonts w:hint="eastAsia"/>
        </w:rPr>
        <w:t>、废浆与钻渣的收集与处理：钻桩前在1</w:t>
      </w:r>
      <w:r>
        <w:t>#</w:t>
      </w:r>
      <w:r>
        <w:rPr>
          <w:rFonts w:hint="eastAsia"/>
        </w:rPr>
        <w:t>施工场地内挖好泥浆沉淀池、储浆池和废浆池，泥浆经沉淀净化后循环利用，废浆抽入废浆池，泥浆沉淀池中的沉渣定期清理，沉渣装入钢制泥浆箱或泥浆车车斗内再运走。泥浆沉淀池应及时清渣或用排污泵送至废浆沉淀池，以便再挖运走，废浆经干化等预处理后和沉渣一起清运至填方区做填方利用。如清运未干化的泥浆，应采取封闭的方式，使用泥浆车转运，避免在运输中污染沿线环境。施工结束后泥浆沉淀池、储浆池和废浆池覆土掩埋，恢复原有土地利用功能。</w:t>
      </w:r>
    </w:p>
    <w:p>
      <w:pPr>
        <w:ind w:firstLine="480"/>
      </w:pPr>
      <w:r>
        <w:rPr>
          <w:rFonts w:hint="eastAsia"/>
        </w:rPr>
        <w:t>D、钻进与清孔：设置好护筒并配置好钻孔泥浆后采用钻机进行桩孔钻进，钻进到规定深度后对钻孔进行清理，同时测量钻孔深度、斜度和孔径，测量符合标准后进入下一步钢筋笼的吊装。</w:t>
      </w:r>
    </w:p>
    <w:p>
      <w:pPr>
        <w:ind w:firstLine="480"/>
      </w:pPr>
      <w:r>
        <w:rPr>
          <w:rFonts w:hint="eastAsia"/>
        </w:rPr>
        <w:t>④钢筋笼制作与吊装：桩基的钢筋笼是在预制站统一制作下料，集中焊接绑扎成型。钢筋笼起吊采用三点吊，防止钢筋笼在重力作用下发生变形。</w:t>
      </w:r>
    </w:p>
    <w:p>
      <w:pPr>
        <w:ind w:firstLine="480"/>
      </w:pPr>
      <w:r>
        <w:rPr>
          <w:rFonts w:hint="eastAsia"/>
        </w:rPr>
        <w:t>⑤混凝土浇筑：导管连接成导管柱，要力求垂直，接头处采用密封圈垫予以密封。导管开工前先进行压力水密封性试验。</w:t>
      </w:r>
    </w:p>
    <w:p>
      <w:pPr>
        <w:ind w:firstLine="480"/>
      </w:pPr>
      <w:r>
        <w:rPr>
          <w:rFonts w:hint="eastAsia"/>
        </w:rPr>
        <w:t>⑥拆除护筒：混凝土浇筑完，待混凝土桥桩稳定到一定程度后拆除护筒，整个桥桩基础施工完毕。桥梁基础施工工艺流程见</w:t>
      </w:r>
      <w:r>
        <w:fldChar w:fldCharType="begin"/>
      </w:r>
      <w:r>
        <w:instrText xml:space="preserve"> </w:instrText>
      </w:r>
      <w:r>
        <w:rPr>
          <w:rFonts w:hint="eastAsia"/>
        </w:rPr>
        <w:instrText xml:space="preserve">REF _Ref141255793 \r \h</w:instrText>
      </w:r>
      <w:r>
        <w:instrText xml:space="preserve">  \* MERGEFORMAT </w:instrText>
      </w:r>
      <w:r>
        <w:fldChar w:fldCharType="separate"/>
      </w:r>
      <w:r>
        <w:rPr>
          <w:rFonts w:hint="eastAsia"/>
        </w:rPr>
        <w:t>图3.7-5</w:t>
      </w:r>
      <w:r>
        <w:fldChar w:fldCharType="end"/>
      </w:r>
      <w:r>
        <w:rPr>
          <w:rFonts w:hint="eastAsia"/>
        </w:rPr>
        <w:t>。</w:t>
      </w:r>
    </w:p>
    <w:p>
      <w:pPr>
        <w:pStyle w:val="105"/>
        <w:jc w:val="center"/>
        <w:rPr>
          <w:rFonts w:hint="eastAsia" w:eastAsia="宋体"/>
          <w:lang w:eastAsia="zh-CN"/>
        </w:rPr>
      </w:pPr>
    </w:p>
    <w:p>
      <w:pPr>
        <w:pStyle w:val="122"/>
      </w:pPr>
      <w:bookmarkStart w:id="322" w:name="_Ref141255793"/>
      <w:r>
        <w:rPr>
          <w:rFonts w:hint="eastAsia"/>
        </w:rPr>
        <w:t>桥梁钻孔灌注桩施工工艺流程</w:t>
      </w:r>
      <w:bookmarkEnd w:id="322"/>
    </w:p>
    <w:p>
      <w:pPr>
        <w:ind w:firstLine="480"/>
      </w:pPr>
      <w:r>
        <w:rPr>
          <w:rFonts w:hint="eastAsia"/>
        </w:rPr>
        <w:t>⑦涉水桥墩施工工艺</w:t>
      </w:r>
    </w:p>
    <w:p>
      <w:pPr>
        <w:ind w:firstLine="480"/>
      </w:pPr>
      <w:r>
        <w:rPr>
          <w:rFonts w:hint="eastAsia"/>
        </w:rPr>
        <w:t>根据工程设计资料及实地踏勘，据调查，迳溪支流在里程K2+440处斜穿拟建大埔大桥，交角约30° 该处溪沟宽约10m，溪水面宽约3m，水深约0.5-1.0m，流速约0.5-1.0m/s，流量约1-2m</w:t>
      </w:r>
      <w:r>
        <w:rPr>
          <w:rFonts w:hint="eastAsia"/>
          <w:vertAlign w:val="superscript"/>
        </w:rPr>
        <w:t>3</w:t>
      </w:r>
      <w:r>
        <w:rPr>
          <w:rFonts w:hint="eastAsia"/>
        </w:rPr>
        <w:t>/s；在终点处横穿拟建枝钟中桥，交角为90°，溪沟宽约30m，水面宽度约30m，水深约0.2-0.5m，未见水流明显流速，流量约0.2-0.5m</w:t>
      </w:r>
      <w:r>
        <w:rPr>
          <w:rFonts w:hint="eastAsia"/>
          <w:vertAlign w:val="superscript"/>
        </w:rPr>
        <w:t>3</w:t>
      </w:r>
      <w:r>
        <w:rPr>
          <w:rFonts w:hint="eastAsia"/>
        </w:rPr>
        <w:t>/s。本工程大埔大桥和枝钟中桥跨越迳溪支流。其中大埔大桥1</w:t>
      </w:r>
      <w:r>
        <w:t>4#</w:t>
      </w:r>
      <w:r>
        <w:rPr>
          <w:rFonts w:hint="eastAsia"/>
        </w:rPr>
        <w:t>、1</w:t>
      </w:r>
      <w:r>
        <w:t>5#</w:t>
      </w:r>
      <w:r>
        <w:rPr>
          <w:rFonts w:hint="eastAsia"/>
        </w:rPr>
        <w:t>桥墩部分涉水，但改渠后不涉水；枝钟中桥中间桥墩涉水。</w:t>
      </w:r>
    </w:p>
    <w:p>
      <w:pPr>
        <w:ind w:firstLine="480"/>
      </w:pPr>
      <w:r>
        <w:rPr>
          <w:rFonts w:hint="eastAsia"/>
        </w:rPr>
        <w:t>项目跨水桥梁均采用钻孔灌注桩基础工艺。涉水桥墩与不涉水桥墩施工时的区别在于涉水桥墩施工时应做好保护水体的防护措施。涉水桥墩施工前需设置钢围堰，防止桩基础施工产生的钻渣、泥浆进入水体。</w:t>
      </w:r>
    </w:p>
    <w:p>
      <w:pPr>
        <w:pStyle w:val="118"/>
        <w:numPr>
          <w:ilvl w:val="0"/>
          <w:numId w:val="0"/>
        </w:numPr>
      </w:pPr>
      <w:r>
        <w:rPr>
          <w:rFonts w:hint="eastAsia"/>
        </w:rPr>
        <w:t>2、桥梁墩台施工工艺</w:t>
      </w:r>
    </w:p>
    <w:p>
      <w:pPr>
        <w:ind w:firstLine="480"/>
      </w:pPr>
      <w:r>
        <w:rPr>
          <w:rFonts w:hint="eastAsia"/>
        </w:rPr>
        <w:t>①施工准备：所有桥墩均设置地系梁，施工前，首先对墩柱范围内的系梁顶面进行凿毛。沿墩柱周围搭设施工作业平台，墩柱模型安装前清洗接合面，并铺2.0cm厚水泥砂浆找平。</w:t>
      </w:r>
    </w:p>
    <w:p>
      <w:pPr>
        <w:ind w:firstLine="480"/>
      </w:pPr>
      <w:r>
        <w:rPr>
          <w:rFonts w:hint="eastAsia"/>
        </w:rPr>
        <w:t>②钢筋绑扎：由于墩柱过高，墩柱钢筋接头优先采用机械连接，质量满足规范要求，上端通过定位箍筋固定在作业平台支架上，然后缠绕箍筋与主筋绑扎联接。并在不同高度处绑扎适量塑料垫块，以保证钢筋在模板中的位置及保护层厚度符合要求。</w:t>
      </w:r>
    </w:p>
    <w:p>
      <w:pPr>
        <w:ind w:firstLine="480"/>
      </w:pPr>
      <w:r>
        <w:rPr>
          <w:rFonts w:hint="eastAsia"/>
        </w:rPr>
        <w:t>③立模：模型采用6mm厚定制组合钢模，每节标准高度2m，接头用螺栓联接，并加设垫圈。模型在地面按墩柱高度进行试拼装，模型安装前均匀涂刷脱模剂，模型间的接口缝用封口胶泥密封。</w:t>
      </w:r>
    </w:p>
    <w:p>
      <w:pPr>
        <w:ind w:firstLine="480"/>
      </w:pPr>
      <w:r>
        <w:rPr>
          <w:rFonts w:hint="eastAsia"/>
        </w:rPr>
        <w:t>④浇筑砼：混凝土浇筑一次性完成，混凝土通过汽车吊和自卸汽车配合进行垂直运输和水平运输，插入式振动器捣固。选用有经验的技术工人分层捣固操作。</w:t>
      </w:r>
    </w:p>
    <w:p>
      <w:pPr>
        <w:ind w:firstLine="480"/>
      </w:pPr>
      <w:r>
        <w:rPr>
          <w:rFonts w:hint="eastAsia"/>
        </w:rPr>
        <w:t>⑤养护和拆膜：混凝土浇筑完毕后，及时用塑料薄膜覆盖养护，保持混凝土表面湿润。拆膜前养护时间不小于7天，拆膜后仍需养护一定时间，确保桥梁、墩台质量符合要求。</w:t>
      </w:r>
    </w:p>
    <w:p>
      <w:pPr>
        <w:pStyle w:val="105"/>
        <w:jc w:val="center"/>
        <w:rPr>
          <w:rFonts w:hint="eastAsia" w:eastAsia="宋体"/>
          <w:lang w:eastAsia="zh-CN"/>
        </w:rPr>
      </w:pPr>
    </w:p>
    <w:p>
      <w:pPr>
        <w:pStyle w:val="122"/>
        <w:rPr>
          <w:bCs/>
        </w:rPr>
      </w:pPr>
      <w:r>
        <w:rPr>
          <w:rFonts w:hint="eastAsia"/>
        </w:rPr>
        <w:t>墩（台）工艺框图</w:t>
      </w:r>
    </w:p>
    <w:p>
      <w:pPr>
        <w:pStyle w:val="118"/>
        <w:numPr>
          <w:ilvl w:val="0"/>
          <w:numId w:val="0"/>
        </w:numPr>
      </w:pPr>
      <w:r>
        <w:rPr>
          <w:rFonts w:hint="eastAsia"/>
        </w:rPr>
        <w:t>3、盖梁施工</w:t>
      </w:r>
    </w:p>
    <w:p>
      <w:pPr>
        <w:ind w:firstLine="480"/>
      </w:pPr>
      <w:r>
        <w:rPr>
          <w:rFonts w:hint="eastAsia"/>
        </w:rPr>
        <w:t>盖梁采用在墩柱预穿钢棒在用工字钢搭设支架的方案模型采用大块定型钢模，汽车吊起吊灌筑砼。</w:t>
      </w:r>
    </w:p>
    <w:p>
      <w:pPr>
        <w:ind w:firstLine="480"/>
      </w:pPr>
      <w:r>
        <w:rPr>
          <w:rFonts w:hint="eastAsia"/>
        </w:rPr>
        <w:t>工艺流程：测量放线→墩柱砼顶面凿毛清洗→绑扎盖梁钢筋→模型安装就位→报监理工程师验收→灌注盖梁砼→养护。</w:t>
      </w:r>
    </w:p>
    <w:p>
      <w:pPr>
        <w:pStyle w:val="118"/>
        <w:numPr>
          <w:ilvl w:val="0"/>
          <w:numId w:val="0"/>
        </w:numPr>
      </w:pPr>
      <w:r>
        <w:rPr>
          <w:rFonts w:hint="eastAsia"/>
        </w:rPr>
        <w:t>4、预制梁片预制及安装</w:t>
      </w:r>
    </w:p>
    <w:p>
      <w:pPr>
        <w:ind w:firstLine="480"/>
      </w:pPr>
      <w:r>
        <w:rPr>
          <w:rFonts w:hint="eastAsia"/>
        </w:rPr>
        <w:t>（1）梁片模板及台座</w:t>
      </w:r>
    </w:p>
    <w:p>
      <w:pPr>
        <w:ind w:firstLine="480"/>
      </w:pPr>
      <w:r>
        <w:rPr>
          <w:rFonts w:hint="eastAsia"/>
        </w:rPr>
        <w:t>预制梁采用模板厂定制的标准化整体钢模模板采用δ10mm的钢板制作，翼缘梳型模板应设置加劲肋，T梁横隔板底模不与侧模连成一体，必须采用独立的钢板底模，以保证先拆除侧模后，横隔板的底模仍能起支撑作用。台座采用现浇C30砼，台座高30cm，两端适当加厚，台座顶面尺寸与梁底尺寸相匹配。台座顶面两侧安装5×5cm角钢并在其上铺设δ=6mm厚钢板。</w:t>
      </w:r>
    </w:p>
    <w:p>
      <w:pPr>
        <w:ind w:firstLine="480"/>
      </w:pPr>
      <w:r>
        <w:rPr>
          <w:rFonts w:hint="eastAsia"/>
        </w:rPr>
        <w:t>（2）梁片砼浇筑：梁体浇筑完成，T梁砼养护达到10天且强度达到设计强度的90%后，进行梁片预应力施工。</w:t>
      </w:r>
    </w:p>
    <w:p>
      <w:pPr>
        <w:ind w:firstLine="480"/>
      </w:pPr>
      <w:r>
        <w:rPr>
          <w:rFonts w:hint="eastAsia"/>
        </w:rPr>
        <w:t>（3）梁片安装：运梁车停靠在预制场处，采用龙门吊移梁，然后用运梁车运梁。考虑到桥位地形及水文条件，T梁采用架桥机吊装。</w:t>
      </w:r>
    </w:p>
    <w:p>
      <w:pPr>
        <w:ind w:firstLine="480"/>
      </w:pPr>
      <w:r>
        <w:rPr>
          <w:rFonts w:hint="eastAsia"/>
        </w:rPr>
        <w:t>（4）梁片连续刚构先简支后连续施工方案</w:t>
      </w:r>
    </w:p>
    <w:p>
      <w:pPr>
        <w:ind w:firstLine="480"/>
      </w:pPr>
      <w:r>
        <w:rPr>
          <w:rFonts w:hint="eastAsia"/>
        </w:rPr>
        <w:t>第一步：墩顶上安装临时支座，临时支座采用临时钢砂筒支座，先将梁片用架梁设备架设于临时支座上；安装一孔梁片并浇注横隔板，待横隔板强度达到设计强度的85%后，安装下一孔梁片，以此类推。主梁的吊装设备选用双导梁。</w:t>
      </w:r>
    </w:p>
    <w:p>
      <w:pPr>
        <w:ind w:firstLine="480"/>
      </w:pPr>
      <w:r>
        <w:rPr>
          <w:rFonts w:hint="eastAsia"/>
        </w:rPr>
        <w:t>第二步：安装永久支座，浇筑墩顶连续现浇段。</w:t>
      </w:r>
    </w:p>
    <w:p>
      <w:pPr>
        <w:ind w:firstLine="480"/>
      </w:pPr>
      <w:r>
        <w:rPr>
          <w:rFonts w:hint="eastAsia"/>
        </w:rPr>
        <w:t>第三步：张拉负弯矩钢束（纵向由一联的两端向中间依次对称张拉）。</w:t>
      </w:r>
    </w:p>
    <w:p>
      <w:pPr>
        <w:ind w:firstLine="480"/>
      </w:pPr>
      <w:r>
        <w:rPr>
          <w:rFonts w:hint="eastAsia"/>
        </w:rPr>
        <w:t>第四步：一联张拉完成后，拆除临时支座，完成临时—永久连续体系转换</w:t>
      </w:r>
    </w:p>
    <w:p>
      <w:pPr>
        <w:ind w:firstLine="480"/>
      </w:pPr>
      <w:r>
        <w:rPr>
          <w:rFonts w:hint="eastAsia"/>
        </w:rPr>
        <w:t>第五步：浇筑全桥水泥砼，防水层及沥青砼桥面铺装。</w:t>
      </w:r>
    </w:p>
    <w:p>
      <w:pPr>
        <w:pStyle w:val="118"/>
        <w:numPr>
          <w:ilvl w:val="0"/>
          <w:numId w:val="0"/>
        </w:numPr>
      </w:pPr>
      <w:r>
        <w:rPr>
          <w:rFonts w:hint="eastAsia"/>
        </w:rPr>
        <w:t>5、桥面系及附属施工</w:t>
      </w:r>
    </w:p>
    <w:p>
      <w:pPr>
        <w:ind w:firstLine="480"/>
      </w:pPr>
      <w:r>
        <w:rPr>
          <w:rFonts w:hint="eastAsia"/>
        </w:rPr>
        <w:t>①桥面铺装：桥面也采用沥青混凝土结构。桥面施工方法与路面基本相同。采用沥青混凝土拌合设备拌合，沥青混凝土摊铺机摊铺，双钢轮振动压路机、轮胎压路机碾压施工。</w:t>
      </w:r>
    </w:p>
    <w:p>
      <w:pPr>
        <w:ind w:firstLine="480"/>
      </w:pPr>
      <w:r>
        <w:rPr>
          <w:rFonts w:hint="eastAsia"/>
        </w:rPr>
        <w:t>②桥面附属设施安装：基本同路面附属设施，此外还包括防撞护栏、栏杆等的安装。</w:t>
      </w:r>
    </w:p>
    <w:p>
      <w:pPr>
        <w:pStyle w:val="118"/>
      </w:pPr>
      <w:r>
        <w:rPr>
          <w:rFonts w:hint="eastAsia"/>
        </w:rPr>
        <w:t>改河、改渠施工方案</w:t>
      </w:r>
    </w:p>
    <w:p>
      <w:pPr>
        <w:ind w:firstLine="480"/>
      </w:pPr>
      <w:r>
        <w:t>施工工序：施工放样→</w:t>
      </w:r>
      <w:r>
        <w:rPr>
          <w:rFonts w:hint="eastAsia"/>
        </w:rPr>
        <w:t>施工围堰、导流</w:t>
      </w:r>
      <w:r>
        <w:t>→</w:t>
      </w:r>
      <w:r>
        <w:rPr>
          <w:rFonts w:hint="eastAsia"/>
        </w:rPr>
        <w:t>主体施工（土石方开挖</w:t>
      </w:r>
      <w:r>
        <w:t>→</w:t>
      </w:r>
      <w:r>
        <w:rPr>
          <w:rFonts w:cs="Times New Roman"/>
          <w:kern w:val="0"/>
          <w:szCs w:val="24"/>
          <w:lang w:val="zh-CN"/>
        </w:rPr>
        <w:t>碎石垫层及复合土工膜</w:t>
      </w:r>
      <w:r>
        <w:t>→</w:t>
      </w:r>
      <w:r>
        <w:rPr>
          <w:rFonts w:cs="Times New Roman"/>
          <w:kern w:val="0"/>
          <w:szCs w:val="24"/>
          <w:lang w:val="zh-CN"/>
        </w:rPr>
        <w:t>砼工程施工</w:t>
      </w:r>
      <w:r>
        <w:rPr>
          <w:rFonts w:hint="eastAsia"/>
        </w:rPr>
        <w:t>）。</w:t>
      </w:r>
    </w:p>
    <w:p>
      <w:pPr>
        <w:ind w:firstLine="480"/>
        <w:rPr>
          <w:rFonts w:cs="Times New Roman"/>
          <w:kern w:val="0"/>
          <w:szCs w:val="24"/>
          <w:lang w:val="zh-CN"/>
        </w:rPr>
      </w:pPr>
      <w:r>
        <w:rPr>
          <w:rFonts w:hint="eastAsia"/>
        </w:rPr>
        <w:t>改渠围堰施工：①施工围堰导流：改渠</w:t>
      </w:r>
      <w:r>
        <w:rPr>
          <w:lang w:val="zh-CN"/>
        </w:rPr>
        <w:t>工程导流采用一次性拦断导流，各分段上下游各设一段横向围堰，共4段横向围堰。围堰临水面采用袋装土填筑，背水侧采用开挖土料填筑。因渠道流量可自由控制，围堰高度与渠道高度取一致，用以在导流管道确定的情况下通过最大的灌溉流量。围堰顶宽2.0m，迎</w:t>
      </w:r>
      <w:r>
        <w:rPr>
          <w:rFonts w:cs="Times New Roman"/>
          <w:kern w:val="0"/>
          <w:szCs w:val="24"/>
          <w:lang w:val="zh-CN"/>
        </w:rPr>
        <w:t>水坡坡度为1：1，背水坡坡度1：1。</w:t>
      </w:r>
      <w:r>
        <w:rPr>
          <w:rFonts w:hint="eastAsia" w:cs="Times New Roman"/>
          <w:kern w:val="0"/>
          <w:szCs w:val="24"/>
          <w:lang w:val="zh-CN"/>
        </w:rPr>
        <w:t>②渠道土石方开挖：</w:t>
      </w:r>
      <w:r>
        <w:rPr>
          <w:rFonts w:cs="Times New Roman"/>
          <w:kern w:val="0"/>
          <w:szCs w:val="24"/>
          <w:lang w:val="zh-CN"/>
        </w:rPr>
        <w:t>土方开挖大部分采用反铲挖掘机挖。开挖料部分就近临时堆放，用于回填段渠道回填施工。</w:t>
      </w:r>
      <w:r>
        <w:rPr>
          <w:rFonts w:hint="eastAsia"/>
        </w:rPr>
        <w:t>③</w:t>
      </w:r>
      <w:r>
        <w:rPr>
          <w:lang w:val="zh-CN"/>
        </w:rPr>
        <w:t>碎石垫层及复合土工膜铺筑</w:t>
      </w:r>
      <w:r>
        <w:rPr>
          <w:rFonts w:hint="eastAsia"/>
          <w:lang w:val="zh-CN"/>
        </w:rPr>
        <w:t>：</w:t>
      </w:r>
      <w:r>
        <w:rPr>
          <w:lang w:val="zh-CN"/>
        </w:rPr>
        <w:t>碎石料采用外购，由自卸汽车运至施工现场，人工整平，平板式振捣器振捣振实。复合土工膜根据施工图要求的规格，采取搭接连接，人工逐幅铺设。</w:t>
      </w:r>
      <w:r>
        <w:rPr>
          <w:rFonts w:hint="eastAsia"/>
          <w:lang w:val="zh-CN"/>
        </w:rPr>
        <w:t>④</w:t>
      </w:r>
      <w:r>
        <w:rPr>
          <w:rFonts w:cs="Times New Roman"/>
          <w:kern w:val="0"/>
          <w:szCs w:val="24"/>
          <w:lang w:val="zh-CN"/>
        </w:rPr>
        <w:t>砼工程施工</w:t>
      </w:r>
      <w:r>
        <w:rPr>
          <w:rFonts w:hint="eastAsia" w:cs="Times New Roman"/>
          <w:kern w:val="0"/>
          <w:szCs w:val="24"/>
          <w:lang w:val="zh-CN"/>
        </w:rPr>
        <w:t>：</w:t>
      </w:r>
      <w:r>
        <w:rPr>
          <w:rFonts w:cs="Times New Roman"/>
          <w:kern w:val="0"/>
          <w:szCs w:val="24"/>
          <w:lang w:val="zh-CN"/>
        </w:rPr>
        <w:t>渠道、箱涵工程及支渠渡槽的砼结构，砼浇筑前，钢筋砼先进行扎筋、立模、搭设仓面脚手架和清仓等工作。采用商品混凝土，双胶轮车水平运输，垫层砼、底板砼采用溜槽下溜入仓浇筑，其余混凝土直接入仓或搭仓面入仓浇筑。</w:t>
      </w:r>
    </w:p>
    <w:p>
      <w:pPr>
        <w:pStyle w:val="105"/>
        <w:rPr>
          <w:rFonts w:hint="eastAsia" w:eastAsia="宋体"/>
          <w:lang w:val="zh-CN" w:eastAsia="zh-CN"/>
        </w:rPr>
      </w:pPr>
    </w:p>
    <w:p>
      <w:pPr>
        <w:pStyle w:val="122"/>
        <w:rPr>
          <w:lang w:val="zh-CN"/>
        </w:rPr>
      </w:pPr>
      <w:r>
        <w:rPr>
          <w:rFonts w:hint="eastAsia"/>
          <w:lang w:val="zh-CN"/>
        </w:rPr>
        <w:t>施工围堰施工平面布置图</w:t>
      </w:r>
    </w:p>
    <w:p>
      <w:pPr>
        <w:pStyle w:val="118"/>
      </w:pPr>
      <w:r>
        <w:rPr>
          <w:rFonts w:hint="eastAsia"/>
        </w:rPr>
        <w:t>渡槽施工方案</w:t>
      </w:r>
    </w:p>
    <w:p>
      <w:pPr>
        <w:ind w:firstLine="480"/>
      </w:pPr>
      <w:r>
        <w:t>施工工序：施工放样→基础开挖→基础联合验收 →基础混凝土浇筑→排架、墩身混凝土浇筑→墩帽、盖梁混凝土浇筑→槽身施工</w:t>
      </w:r>
      <w:r>
        <w:rPr>
          <w:rFonts w:hint="eastAsia"/>
        </w:rPr>
        <w:t>。</w:t>
      </w:r>
    </w:p>
    <w:p>
      <w:pPr>
        <w:ind w:firstLine="480"/>
      </w:pPr>
      <w:r>
        <w:rPr>
          <w:rFonts w:hint="eastAsia"/>
        </w:rPr>
        <w:t>基坑开挖：渡槽基础采用液压挖掘机开挖，并配合人工清基削坡，基坑大小应满足基础施工的要求。</w:t>
      </w:r>
    </w:p>
    <w:p>
      <w:pPr>
        <w:ind w:firstLine="480"/>
      </w:pPr>
      <w:r>
        <w:rPr>
          <w:rFonts w:hint="eastAsia"/>
        </w:rPr>
        <w:t>槽身施工：①模板安装。渡槽槽身为U形断面，槽身模板采用专门加工的定型钢模板，外模及内模均分为6块制作，每块宽2米，采用型钢桁架支撑，内外模在顶部牢固连接，防止内模上浮。②钢筋制安装。钢筋在加工厂加工成型，平板汽车运输至现场，汽车吊吊运至仓位内，人工进行绑扎。③混凝土浇筑。墩、排架为现浇C30钢筋混凝土，采用PO 42.5普通硅酸盐水泥。采用25t汽车吊作为垂直吊运工具完成砼吊运入仓。</w:t>
      </w:r>
    </w:p>
    <w:p>
      <w:pPr>
        <w:pStyle w:val="118"/>
      </w:pPr>
      <w:r>
        <w:rPr>
          <w:rFonts w:hint="eastAsia"/>
        </w:rPr>
        <w:t>箱涵施工方案</w:t>
      </w:r>
    </w:p>
    <w:p>
      <w:pPr>
        <w:ind w:firstLine="480"/>
        <w:rPr>
          <w:lang w:val="zh-CN"/>
        </w:rPr>
      </w:pPr>
      <w:r>
        <w:t>施工工序：</w:t>
      </w:r>
      <w:r>
        <w:rPr>
          <w:rFonts w:hint="eastAsia"/>
          <w:lang w:val="zh-CN"/>
        </w:rPr>
        <w:t>开挖临时土渠导流</w:t>
      </w:r>
      <w:r>
        <w:t>→</w:t>
      </w:r>
      <w:r>
        <w:rPr>
          <w:rFonts w:hint="eastAsia"/>
          <w:lang w:val="zh-CN"/>
        </w:rPr>
        <w:t>河道上下游施工粘土草袋围堰</w:t>
      </w:r>
      <w:r>
        <w:t>→</w:t>
      </w:r>
      <w:r>
        <w:rPr>
          <w:rFonts w:hint="eastAsia"/>
          <w:lang w:val="zh-CN"/>
        </w:rPr>
        <w:t>土袋围堰内抽水</w:t>
      </w:r>
      <w:r>
        <w:t>→</w:t>
      </w:r>
      <w:r>
        <w:rPr>
          <w:rFonts w:hint="eastAsia"/>
          <w:lang w:val="zh-CN"/>
        </w:rPr>
        <w:t>开挖基坑</w:t>
      </w:r>
      <w:r>
        <w:t>→</w:t>
      </w:r>
      <w:r>
        <w:rPr>
          <w:rFonts w:hint="eastAsia"/>
          <w:lang w:val="zh-CN"/>
        </w:rPr>
        <w:t>施工水泥搅拌桩</w:t>
      </w:r>
      <w:r>
        <w:t>→</w:t>
      </w:r>
      <w:r>
        <w:rPr>
          <w:rFonts w:hint="eastAsia"/>
          <w:lang w:val="zh-CN"/>
        </w:rPr>
        <w:t>施工新建箱涵及出口侧挡墙</w:t>
      </w:r>
      <w:r>
        <w:t>→</w:t>
      </w:r>
      <w:r>
        <w:rPr>
          <w:rFonts w:hint="eastAsia"/>
          <w:lang w:val="zh-CN"/>
        </w:rPr>
        <w:t>施工台后搭板、路侧防撞护栏等附属设施。</w:t>
      </w:r>
    </w:p>
    <w:p>
      <w:pPr>
        <w:ind w:firstLine="480"/>
        <w:rPr>
          <w:lang w:val="zh-CN"/>
        </w:rPr>
      </w:pPr>
      <w:r>
        <w:rPr>
          <w:rFonts w:hint="eastAsia"/>
          <w:lang w:val="zh-CN"/>
        </w:rPr>
        <w:t>施工导流：</w:t>
      </w:r>
    </w:p>
    <w:p>
      <w:pPr>
        <w:ind w:firstLine="480"/>
        <w:rPr>
          <w:lang w:val="zh-CN"/>
        </w:rPr>
      </w:pPr>
      <w:r>
        <w:rPr>
          <w:rFonts w:hint="eastAsia"/>
          <w:lang w:val="zh-CN"/>
        </w:rPr>
        <w:t>①导流方式：工程施工作业面宽，可分段同时进行施工。临时围堰沿河道中线纵向布置；围堰按2.0m 高设计，堰体采用基础开挖土料填筑。围堰施工安排在枯水期进行，围堰填筑用土主要利用开挖土料，用低水位期先上游后下游进行围堰填筑，采用机械分层填筑施工。</w:t>
      </w:r>
    </w:p>
    <w:p>
      <w:pPr>
        <w:ind w:firstLine="480"/>
        <w:rPr>
          <w:lang w:val="zh-CN"/>
        </w:rPr>
      </w:pPr>
      <w:r>
        <w:rPr>
          <w:rFonts w:hint="eastAsia"/>
          <w:lang w:val="zh-CN"/>
        </w:rPr>
        <w:t>②围堰设计：拟通过围堰拦蓄施工期洪水，结合水泵抽水导流。采用简易袋装土围堰形成基础基坑。围堰土石可利用护岸基础开挖料进行填筑，围堰断面顶宽1.5m，高度2.0m，上、下游边坡均为1:1，迎水面采用复合土工膜防渗，用袋装土点压。施工中基坑渗水采用2.2kW 水泵降排。</w:t>
      </w:r>
    </w:p>
    <w:p>
      <w:pPr>
        <w:pStyle w:val="118"/>
      </w:pPr>
      <w:r>
        <w:rPr>
          <w:rFonts w:hint="eastAsia"/>
        </w:rPr>
        <w:t>LNG天然气管道保护涵施工</w:t>
      </w:r>
    </w:p>
    <w:p>
      <w:pPr>
        <w:ind w:firstLine="480"/>
      </w:pPr>
      <w:r>
        <w:rPr>
          <w:rFonts w:hint="eastAsia"/>
        </w:rPr>
        <w:t>本项目主线大埔大桥在桩号K2+144.5处上跨的管道为中海油LNG管线，与桥墩最小距离约为11.94m，采用设置1—1.6×0.7m盖板涵跨越管道方案，全长约25m。</w:t>
      </w:r>
    </w:p>
    <w:p>
      <w:pPr>
        <w:ind w:firstLine="480"/>
      </w:pPr>
      <w:r>
        <w:rPr>
          <w:rFonts w:hint="eastAsia"/>
        </w:rPr>
        <w:t>为保证管线安全，桥梁段盖板涵应该在桩基施工前完成。</w:t>
      </w:r>
    </w:p>
    <w:p>
      <w:pPr>
        <w:ind w:firstLine="480"/>
      </w:pPr>
      <w:r>
        <w:rPr>
          <w:rFonts w:hint="eastAsia"/>
        </w:rPr>
        <w:t>施工工艺：施工准备→基坑开挖→涵洞垫层、基础、侧壁、盖板施工。</w:t>
      </w:r>
    </w:p>
    <w:p>
      <w:pPr>
        <w:pStyle w:val="120"/>
        <w:rPr>
          <w:color w:val="auto"/>
        </w:rPr>
      </w:pPr>
      <w:bookmarkStart w:id="323" w:name="2.6.2筑路材料及运输条件"/>
      <w:bookmarkEnd w:id="323"/>
      <w:bookmarkStart w:id="324" w:name="2.7项目实施进度安排"/>
      <w:bookmarkEnd w:id="324"/>
      <w:bookmarkStart w:id="325" w:name="_Toc3566"/>
      <w:r>
        <w:rPr>
          <w:color w:val="auto"/>
        </w:rPr>
        <w:t>项目实施进度安排</w:t>
      </w:r>
      <w:bookmarkEnd w:id="325"/>
    </w:p>
    <w:p>
      <w:pPr>
        <w:ind w:firstLine="480"/>
      </w:pPr>
      <w:r>
        <w:rPr>
          <w:rFonts w:hint="eastAsia"/>
        </w:rPr>
        <w:t>根据设计，本项目总工期</w:t>
      </w:r>
      <w:r>
        <w:t>18</w:t>
      </w:r>
      <w:r>
        <w:rPr>
          <w:rFonts w:hint="eastAsia"/>
        </w:rPr>
        <w:t>个月（202</w:t>
      </w:r>
      <w:r>
        <w:t>5</w:t>
      </w:r>
      <w:r>
        <w:rPr>
          <w:rFonts w:hint="eastAsia"/>
        </w:rPr>
        <w:t>年</w:t>
      </w:r>
      <w:r>
        <w:t>5</w:t>
      </w:r>
      <w:r>
        <w:rPr>
          <w:rFonts w:hint="eastAsia"/>
        </w:rPr>
        <w:t>月—20</w:t>
      </w:r>
      <w:r>
        <w:t>26</w:t>
      </w:r>
      <w:r>
        <w:rPr>
          <w:rFonts w:hint="eastAsia"/>
        </w:rPr>
        <w:t>年</w:t>
      </w:r>
      <w:r>
        <w:t>11</w:t>
      </w:r>
      <w:r>
        <w:rPr>
          <w:rFonts w:hint="eastAsia"/>
        </w:rPr>
        <w:t>月），预计工程在202</w:t>
      </w:r>
      <w:r>
        <w:t>6</w:t>
      </w:r>
      <w:r>
        <w:rPr>
          <w:rFonts w:hint="eastAsia"/>
        </w:rPr>
        <w:t>年年底通车。</w:t>
      </w:r>
    </w:p>
    <w:p>
      <w:pPr>
        <w:pStyle w:val="116"/>
      </w:pPr>
      <w:bookmarkStart w:id="326" w:name="2.8工程分析"/>
      <w:bookmarkEnd w:id="326"/>
      <w:bookmarkStart w:id="327" w:name="_Toc204676238"/>
      <w:bookmarkStart w:id="328" w:name="_Toc153957820"/>
      <w:bookmarkStart w:id="329" w:name="_Toc446086646"/>
      <w:bookmarkStart w:id="330" w:name="_Toc159405465"/>
      <w:bookmarkStart w:id="331" w:name="_Toc458669853"/>
      <w:bookmarkStart w:id="332" w:name="_Toc440466980"/>
      <w:bookmarkStart w:id="333" w:name="_Toc439084083"/>
      <w:r>
        <w:t>交通量</w:t>
      </w:r>
      <w:r>
        <w:rPr>
          <w:rFonts w:hint="eastAsia"/>
        </w:rPr>
        <w:t>设计</w:t>
      </w:r>
      <w:bookmarkEnd w:id="327"/>
      <w:bookmarkEnd w:id="328"/>
      <w:bookmarkEnd w:id="329"/>
      <w:bookmarkEnd w:id="330"/>
      <w:bookmarkEnd w:id="331"/>
      <w:bookmarkEnd w:id="332"/>
      <w:bookmarkEnd w:id="333"/>
    </w:p>
    <w:p>
      <w:pPr>
        <w:pStyle w:val="120"/>
        <w:rPr>
          <w:color w:val="auto"/>
        </w:rPr>
      </w:pPr>
      <w:bookmarkStart w:id="334" w:name="_Toc439084084"/>
      <w:r>
        <w:rPr>
          <w:rFonts w:hint="eastAsia"/>
          <w:color w:val="auto"/>
        </w:rPr>
        <w:t>工可相关交通特征分析</w:t>
      </w:r>
      <w:bookmarkEnd w:id="334"/>
    </w:p>
    <w:p>
      <w:pPr>
        <w:ind w:firstLine="480"/>
      </w:pPr>
      <w:r>
        <w:t>工程</w:t>
      </w:r>
      <w:r>
        <w:rPr>
          <w:rFonts w:hint="eastAsia"/>
        </w:rPr>
        <w:t>全线</w:t>
      </w:r>
      <w:r>
        <w:t>计划在2026年</w:t>
      </w:r>
      <w:r>
        <w:rPr>
          <w:rFonts w:hint="eastAsia"/>
        </w:rPr>
        <w:t>年底通车</w:t>
      </w:r>
      <w:r>
        <w:t>，根据工可报告对本项目趋势交通量、诱增交通量的预测分析结果，本项目全线各特征年交通量预测如</w:t>
      </w:r>
      <w:r>
        <w:fldChar w:fldCharType="begin"/>
      </w:r>
      <w:r>
        <w:instrText xml:space="preserve"> REF _Ref140573483 \r \h  \* MERGEFORMAT </w:instrText>
      </w:r>
      <w:r>
        <w:fldChar w:fldCharType="separate"/>
      </w:r>
      <w:r>
        <w:rPr>
          <w:rFonts w:hint="eastAsia"/>
        </w:rPr>
        <w:t>表3.8-1</w:t>
      </w:r>
      <w:r>
        <w:fldChar w:fldCharType="end"/>
      </w:r>
      <w:r>
        <w:t>。</w:t>
      </w:r>
    </w:p>
    <w:p>
      <w:pPr>
        <w:pStyle w:val="87"/>
        <w:spacing w:before="120"/>
      </w:pPr>
      <w:bookmarkStart w:id="335" w:name="_Ref140573483"/>
      <w:r>
        <w:rPr>
          <w:rFonts w:hint="eastAsia"/>
        </w:rPr>
        <w:t>工可</w:t>
      </w:r>
      <w:r>
        <w:t>交通量预测结果</w:t>
      </w:r>
      <w:r>
        <w:rPr>
          <w:rFonts w:hint="eastAsia"/>
        </w:rPr>
        <w:t xml:space="preserve"> </w:t>
      </w:r>
      <w:r>
        <w:t xml:space="preserve">     单位：</w:t>
      </w:r>
      <w:r>
        <w:rPr>
          <w:rFonts w:hint="eastAsia"/>
        </w:rPr>
        <w:t>pcu/d（标准小客车）</w:t>
      </w:r>
      <w:bookmarkEnd w:id="335"/>
    </w:p>
    <w:tbl>
      <w:tblPr>
        <w:tblStyle w:val="24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73"/>
        <w:gridCol w:w="1667"/>
        <w:gridCol w:w="1168"/>
        <w:gridCol w:w="1170"/>
        <w:gridCol w:w="1168"/>
        <w:gridCol w:w="1168"/>
        <w:gridCol w:w="11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97" w:hRule="atLeast"/>
          <w:tblHeader/>
          <w:jc w:val="center"/>
        </w:trPr>
        <w:tc>
          <w:tcPr>
            <w:tcW w:w="1786" w:type="pct"/>
            <w:gridSpan w:val="2"/>
            <w:tcBorders>
              <w:top w:val="single" w:color="000000" w:sz="12" w:space="0"/>
              <w:bottom w:val="single" w:color="000000" w:sz="4" w:space="0"/>
              <w:tl2br w:val="single" w:color="auto" w:sz="4" w:space="0"/>
            </w:tcBorders>
            <w:vAlign w:val="center"/>
          </w:tcPr>
          <w:p>
            <w:pPr>
              <w:pStyle w:val="105"/>
              <w:ind w:firstLine="1260" w:firstLineChars="600"/>
              <w:jc w:val="center"/>
            </w:pPr>
            <w:r>
              <w:t>特征年</w:t>
            </w:r>
          </w:p>
          <w:p>
            <w:pPr>
              <w:pStyle w:val="105"/>
              <w:jc w:val="center"/>
            </w:pPr>
            <w:r>
              <w:t>交通量</w:t>
            </w:r>
          </w:p>
        </w:tc>
        <w:tc>
          <w:tcPr>
            <w:tcW w:w="644" w:type="pct"/>
            <w:vAlign w:val="center"/>
          </w:tcPr>
          <w:p>
            <w:pPr>
              <w:pStyle w:val="105"/>
              <w:jc w:val="center"/>
            </w:pPr>
            <w:r>
              <w:t>2025</w:t>
            </w:r>
            <w:r>
              <w:rPr>
                <w:rFonts w:hint="eastAsia"/>
              </w:rPr>
              <w:t>年</w:t>
            </w:r>
          </w:p>
        </w:tc>
        <w:tc>
          <w:tcPr>
            <w:tcW w:w="645" w:type="pct"/>
            <w:vAlign w:val="center"/>
          </w:tcPr>
          <w:p>
            <w:pPr>
              <w:pStyle w:val="105"/>
              <w:jc w:val="center"/>
            </w:pPr>
            <w:r>
              <w:rPr>
                <w:rFonts w:hint="eastAsia"/>
              </w:rPr>
              <w:t>20</w:t>
            </w:r>
            <w:r>
              <w:t>30</w:t>
            </w:r>
            <w:r>
              <w:rPr>
                <w:rFonts w:hint="eastAsia"/>
              </w:rPr>
              <w:t>年</w:t>
            </w:r>
          </w:p>
        </w:tc>
        <w:tc>
          <w:tcPr>
            <w:tcW w:w="644" w:type="pct"/>
            <w:vAlign w:val="center"/>
          </w:tcPr>
          <w:p>
            <w:pPr>
              <w:pStyle w:val="105"/>
              <w:jc w:val="center"/>
            </w:pPr>
            <w:r>
              <w:rPr>
                <w:rFonts w:hint="eastAsia"/>
              </w:rPr>
              <w:t>20</w:t>
            </w:r>
            <w:r>
              <w:t>35</w:t>
            </w:r>
            <w:r>
              <w:rPr>
                <w:rFonts w:hint="eastAsia"/>
              </w:rPr>
              <w:t>年</w:t>
            </w:r>
          </w:p>
        </w:tc>
        <w:tc>
          <w:tcPr>
            <w:tcW w:w="644" w:type="pct"/>
            <w:vAlign w:val="center"/>
          </w:tcPr>
          <w:p>
            <w:pPr>
              <w:pStyle w:val="105"/>
              <w:jc w:val="center"/>
            </w:pPr>
            <w:r>
              <w:rPr>
                <w:rFonts w:hint="eastAsia"/>
              </w:rPr>
              <w:t>20</w:t>
            </w:r>
            <w:r>
              <w:t>39</w:t>
            </w:r>
            <w:r>
              <w:rPr>
                <w:rFonts w:hint="eastAsia"/>
              </w:rPr>
              <w:t>年</w:t>
            </w:r>
          </w:p>
        </w:tc>
        <w:tc>
          <w:tcPr>
            <w:tcW w:w="637" w:type="pct"/>
            <w:vAlign w:val="center"/>
          </w:tcPr>
          <w:p>
            <w:pPr>
              <w:pStyle w:val="105"/>
              <w:jc w:val="center"/>
            </w:pPr>
            <w:r>
              <w:rPr>
                <w:rFonts w:hint="eastAsia"/>
              </w:rPr>
              <w:t>2</w:t>
            </w:r>
            <w:r>
              <w:t>044</w:t>
            </w:r>
            <w:r>
              <w:rPr>
                <w:rFonts w:hint="eastAsia"/>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0" w:hRule="atLeast"/>
          <w:tblHeader/>
          <w:jc w:val="center"/>
        </w:trPr>
        <w:tc>
          <w:tcPr>
            <w:tcW w:w="867" w:type="pct"/>
            <w:tcBorders>
              <w:top w:val="single" w:color="000000" w:sz="4" w:space="0"/>
            </w:tcBorders>
            <w:vAlign w:val="center"/>
          </w:tcPr>
          <w:p>
            <w:pPr>
              <w:pStyle w:val="105"/>
              <w:jc w:val="center"/>
            </w:pPr>
            <w:r>
              <w:rPr>
                <w:rFonts w:hint="eastAsia"/>
              </w:rPr>
              <w:t>本项目</w:t>
            </w:r>
          </w:p>
        </w:tc>
        <w:tc>
          <w:tcPr>
            <w:tcW w:w="919" w:type="pct"/>
            <w:tcBorders>
              <w:top w:val="single" w:color="000000" w:sz="4" w:space="0"/>
            </w:tcBorders>
            <w:vAlign w:val="center"/>
          </w:tcPr>
          <w:p>
            <w:pPr>
              <w:pStyle w:val="105"/>
              <w:jc w:val="center"/>
            </w:pPr>
            <w:r>
              <w:rPr>
                <w:rFonts w:hint="eastAsia"/>
              </w:rPr>
              <w:t>交通量</w:t>
            </w:r>
          </w:p>
        </w:tc>
        <w:tc>
          <w:tcPr>
            <w:tcW w:w="644" w:type="pct"/>
            <w:vAlign w:val="center"/>
          </w:tcPr>
          <w:p>
            <w:pPr>
              <w:pStyle w:val="105"/>
              <w:jc w:val="center"/>
            </w:pPr>
            <w:r>
              <w:t>5732</w:t>
            </w:r>
          </w:p>
        </w:tc>
        <w:tc>
          <w:tcPr>
            <w:tcW w:w="645" w:type="pct"/>
            <w:vAlign w:val="center"/>
          </w:tcPr>
          <w:p>
            <w:pPr>
              <w:pStyle w:val="105"/>
              <w:jc w:val="center"/>
            </w:pPr>
            <w:r>
              <w:t>6762</w:t>
            </w:r>
          </w:p>
        </w:tc>
        <w:tc>
          <w:tcPr>
            <w:tcW w:w="644" w:type="pct"/>
            <w:vAlign w:val="center"/>
          </w:tcPr>
          <w:p>
            <w:pPr>
              <w:pStyle w:val="105"/>
              <w:jc w:val="center"/>
            </w:pPr>
            <w:r>
              <w:t>7298</w:t>
            </w:r>
          </w:p>
        </w:tc>
        <w:tc>
          <w:tcPr>
            <w:tcW w:w="644" w:type="pct"/>
            <w:vAlign w:val="center"/>
          </w:tcPr>
          <w:p>
            <w:pPr>
              <w:pStyle w:val="105"/>
              <w:jc w:val="center"/>
            </w:pPr>
            <w:r>
              <w:t>7836</w:t>
            </w:r>
          </w:p>
        </w:tc>
        <w:tc>
          <w:tcPr>
            <w:tcW w:w="637" w:type="pct"/>
            <w:vAlign w:val="center"/>
          </w:tcPr>
          <w:p>
            <w:pPr>
              <w:pStyle w:val="105"/>
              <w:jc w:val="center"/>
            </w:pPr>
            <w:r>
              <w:t>8335</w:t>
            </w:r>
          </w:p>
        </w:tc>
      </w:tr>
    </w:tbl>
    <w:p>
      <w:pPr>
        <w:pStyle w:val="124"/>
        <w:rPr>
          <w:snapToGrid w:val="0"/>
        </w:rPr>
      </w:pPr>
      <w:r>
        <w:rPr>
          <w:rFonts w:hint="eastAsia"/>
          <w:snapToGrid w:val="0"/>
        </w:rPr>
        <w:t>项目车流量预测采用</w:t>
      </w:r>
      <w:r>
        <w:rPr>
          <w:snapToGrid w:val="0"/>
        </w:rPr>
        <w:t>“</w:t>
      </w:r>
      <w:r>
        <w:rPr>
          <w:rFonts w:hint="eastAsia"/>
          <w:snapToGrid w:val="0"/>
        </w:rPr>
        <w:t>工可</w:t>
      </w:r>
      <w:r>
        <w:rPr>
          <w:snapToGrid w:val="0"/>
        </w:rPr>
        <w:t>”</w:t>
      </w:r>
      <w:r>
        <w:rPr>
          <w:rFonts w:hint="eastAsia"/>
          <w:snapToGrid w:val="0"/>
        </w:rPr>
        <w:t>报告中交通量预测结果，对于</w:t>
      </w:r>
      <w:r>
        <w:rPr>
          <w:snapToGrid w:val="0"/>
        </w:rPr>
        <w:t>“</w:t>
      </w:r>
      <w:r>
        <w:rPr>
          <w:rFonts w:hint="eastAsia"/>
          <w:snapToGrid w:val="0"/>
        </w:rPr>
        <w:t>工可</w:t>
      </w:r>
      <w:r>
        <w:rPr>
          <w:snapToGrid w:val="0"/>
        </w:rPr>
        <w:t>”</w:t>
      </w:r>
      <w:r>
        <w:rPr>
          <w:rFonts w:hint="eastAsia"/>
          <w:snapToGrid w:val="0"/>
        </w:rPr>
        <w:t>未提供交通量数据的预测年平均日交通量，本评价采取增长率法进行计算，预测结果见</w:t>
      </w:r>
      <w:r>
        <w:rPr>
          <w:snapToGrid w:val="0"/>
        </w:rPr>
        <w:fldChar w:fldCharType="begin"/>
      </w:r>
      <w:r>
        <w:rPr>
          <w:snapToGrid w:val="0"/>
        </w:rPr>
        <w:instrText xml:space="preserve"> </w:instrText>
      </w:r>
      <w:r>
        <w:rPr>
          <w:rFonts w:hint="eastAsia"/>
          <w:snapToGrid w:val="0"/>
        </w:rPr>
        <w:instrText xml:space="preserve">REF _Ref140573493 \r \h</w:instrText>
      </w:r>
      <w:r>
        <w:rPr>
          <w:snapToGrid w:val="0"/>
        </w:rPr>
        <w:instrText xml:space="preserve">  \* MERGEFORMAT </w:instrText>
      </w:r>
      <w:r>
        <w:rPr>
          <w:snapToGrid w:val="0"/>
        </w:rPr>
        <w:fldChar w:fldCharType="separate"/>
      </w:r>
      <w:r>
        <w:rPr>
          <w:rFonts w:hint="eastAsia"/>
          <w:snapToGrid w:val="0"/>
        </w:rPr>
        <w:t>表3.8-2</w:t>
      </w:r>
      <w:r>
        <w:rPr>
          <w:snapToGrid w:val="0"/>
        </w:rPr>
        <w:fldChar w:fldCharType="end"/>
      </w:r>
      <w:r>
        <w:rPr>
          <w:rFonts w:hint="eastAsia"/>
          <w:snapToGrid w:val="0"/>
        </w:rPr>
        <w:t>。</w:t>
      </w:r>
    </w:p>
    <w:p>
      <w:pPr>
        <w:pStyle w:val="87"/>
        <w:spacing w:before="120"/>
      </w:pPr>
      <w:bookmarkStart w:id="336" w:name="_Ref140573493"/>
      <w:r>
        <w:rPr>
          <w:rFonts w:hint="eastAsia"/>
        </w:rPr>
        <w:t xml:space="preserve">公路预测年交通量 </w:t>
      </w:r>
      <w:r>
        <w:t xml:space="preserve">  </w:t>
      </w:r>
      <w:r>
        <w:rPr>
          <w:rFonts w:hint="eastAsia"/>
        </w:rPr>
        <w:t xml:space="preserve"> </w:t>
      </w:r>
      <w:r>
        <w:t xml:space="preserve">  单位：</w:t>
      </w:r>
      <w:r>
        <w:rPr>
          <w:rFonts w:hint="eastAsia"/>
        </w:rPr>
        <w:t>pcu/d（标准小客车）</w:t>
      </w:r>
      <w:bookmarkEnd w:id="336"/>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30"/>
        <w:gridCol w:w="1822"/>
        <w:gridCol w:w="1818"/>
        <w:gridCol w:w="1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062" w:type="pct"/>
            <w:tcBorders>
              <w:tl2br w:val="single" w:color="auto" w:sz="4" w:space="0"/>
            </w:tcBorders>
            <w:vAlign w:val="center"/>
          </w:tcPr>
          <w:p>
            <w:pPr>
              <w:pStyle w:val="105"/>
              <w:ind w:firstLine="2520" w:firstLineChars="1200"/>
              <w:jc w:val="center"/>
            </w:pPr>
            <w:r>
              <w:rPr>
                <w:rFonts w:hint="eastAsia"/>
              </w:rPr>
              <w:t>年份</w:t>
            </w:r>
          </w:p>
          <w:p>
            <w:pPr>
              <w:pStyle w:val="105"/>
              <w:jc w:val="center"/>
            </w:pPr>
            <w:r>
              <w:rPr>
                <w:rFonts w:hint="eastAsia"/>
              </w:rPr>
              <w:t>路段</w:t>
            </w:r>
          </w:p>
        </w:tc>
        <w:tc>
          <w:tcPr>
            <w:tcW w:w="981" w:type="pct"/>
            <w:vAlign w:val="center"/>
          </w:tcPr>
          <w:p>
            <w:pPr>
              <w:pStyle w:val="105"/>
              <w:jc w:val="center"/>
            </w:pPr>
            <w:r>
              <w:t>2027</w:t>
            </w:r>
            <w:r>
              <w:rPr>
                <w:rFonts w:hint="eastAsia"/>
              </w:rPr>
              <w:t>年</w:t>
            </w:r>
          </w:p>
        </w:tc>
        <w:tc>
          <w:tcPr>
            <w:tcW w:w="979" w:type="pct"/>
            <w:vAlign w:val="center"/>
          </w:tcPr>
          <w:p>
            <w:pPr>
              <w:pStyle w:val="105"/>
              <w:jc w:val="center"/>
            </w:pPr>
            <w:r>
              <w:t>2033</w:t>
            </w:r>
            <w:r>
              <w:rPr>
                <w:rFonts w:hint="eastAsia"/>
              </w:rPr>
              <w:t>年</w:t>
            </w:r>
          </w:p>
        </w:tc>
        <w:tc>
          <w:tcPr>
            <w:tcW w:w="978" w:type="pct"/>
            <w:vAlign w:val="center"/>
          </w:tcPr>
          <w:p>
            <w:pPr>
              <w:pStyle w:val="105"/>
              <w:jc w:val="center"/>
            </w:pPr>
            <w:r>
              <w:t>2041</w:t>
            </w:r>
            <w:r>
              <w:rPr>
                <w:rFonts w:hint="eastAsi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2" w:type="pct"/>
            <w:vAlign w:val="center"/>
          </w:tcPr>
          <w:p>
            <w:pPr>
              <w:pStyle w:val="105"/>
              <w:jc w:val="center"/>
            </w:pPr>
            <w:r>
              <w:rPr>
                <w:rFonts w:hint="eastAsia"/>
              </w:rPr>
              <w:t>全线交通量</w:t>
            </w:r>
          </w:p>
        </w:tc>
        <w:tc>
          <w:tcPr>
            <w:tcW w:w="981" w:type="pct"/>
            <w:vAlign w:val="center"/>
          </w:tcPr>
          <w:p>
            <w:pPr>
              <w:pStyle w:val="105"/>
              <w:jc w:val="center"/>
            </w:pPr>
            <w:r>
              <w:rPr>
                <w:rFonts w:cs="Times New Roman"/>
                <w:sz w:val="22"/>
                <w:szCs w:val="22"/>
              </w:rPr>
              <w:t xml:space="preserve">6124 </w:t>
            </w:r>
          </w:p>
        </w:tc>
        <w:tc>
          <w:tcPr>
            <w:tcW w:w="979" w:type="pct"/>
            <w:vAlign w:val="center"/>
          </w:tcPr>
          <w:p>
            <w:pPr>
              <w:pStyle w:val="105"/>
              <w:jc w:val="center"/>
            </w:pPr>
            <w:r>
              <w:rPr>
                <w:rFonts w:cs="Times New Roman"/>
                <w:sz w:val="22"/>
                <w:szCs w:val="22"/>
              </w:rPr>
              <w:t xml:space="preserve">7079 </w:t>
            </w:r>
          </w:p>
        </w:tc>
        <w:tc>
          <w:tcPr>
            <w:tcW w:w="978" w:type="pct"/>
            <w:vAlign w:val="center"/>
          </w:tcPr>
          <w:p>
            <w:pPr>
              <w:pStyle w:val="105"/>
              <w:jc w:val="center"/>
            </w:pPr>
            <w:r>
              <w:rPr>
                <w:rFonts w:cs="Times New Roman"/>
                <w:sz w:val="22"/>
                <w:szCs w:val="22"/>
              </w:rPr>
              <w:t xml:space="preserve">8032 </w:t>
            </w:r>
          </w:p>
        </w:tc>
      </w:tr>
    </w:tbl>
    <w:p>
      <w:pPr>
        <w:pStyle w:val="120"/>
        <w:spacing w:before="120"/>
        <w:rPr>
          <w:color w:val="auto"/>
        </w:rPr>
      </w:pPr>
      <w:bookmarkStart w:id="337" w:name="_Toc439084085"/>
      <w:r>
        <w:rPr>
          <w:rFonts w:hint="eastAsia"/>
          <w:color w:val="auto"/>
        </w:rPr>
        <w:t>绝对交通量预测</w:t>
      </w:r>
      <w:bookmarkEnd w:id="337"/>
    </w:p>
    <w:p>
      <w:pPr>
        <w:ind w:firstLine="480"/>
      </w:pPr>
      <w:r>
        <w:rPr>
          <w:rFonts w:hint="eastAsia"/>
        </w:rPr>
        <w:t>根据交通运输部《关于调整公路交通情况调查车型分类折算系数的通知》厅规划字[2010]205 号，工可车型折算系数见下表。</w:t>
      </w:r>
    </w:p>
    <w:p>
      <w:pPr>
        <w:pStyle w:val="87"/>
        <w:spacing w:before="120"/>
      </w:pPr>
      <w:r>
        <w:rPr>
          <w:rFonts w:hint="eastAsia"/>
        </w:rPr>
        <w:t>工可阶段的折算系数</w:t>
      </w:r>
    </w:p>
    <w:tbl>
      <w:tblPr>
        <w:tblStyle w:val="5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657"/>
        <w:gridCol w:w="661"/>
        <w:gridCol w:w="656"/>
        <w:gridCol w:w="658"/>
        <w:gridCol w:w="874"/>
        <w:gridCol w:w="874"/>
        <w:gridCol w:w="874"/>
        <w:gridCol w:w="874"/>
        <w:gridCol w:w="8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6" w:type="dxa"/>
            <w:vAlign w:val="center"/>
          </w:tcPr>
          <w:p>
            <w:pPr>
              <w:pStyle w:val="105"/>
              <w:jc w:val="center"/>
            </w:pPr>
            <w:r>
              <w:rPr>
                <w:rFonts w:hint="eastAsia"/>
              </w:rPr>
              <w:t>车型</w:t>
            </w:r>
          </w:p>
        </w:tc>
        <w:tc>
          <w:tcPr>
            <w:tcW w:w="5254" w:type="dxa"/>
            <w:gridSpan w:val="7"/>
            <w:vAlign w:val="center"/>
          </w:tcPr>
          <w:p>
            <w:pPr>
              <w:pStyle w:val="105"/>
              <w:jc w:val="center"/>
            </w:pPr>
            <w:r>
              <w:rPr>
                <w:rFonts w:hint="eastAsia"/>
              </w:rPr>
              <w:t>汽车</w:t>
            </w:r>
          </w:p>
        </w:tc>
        <w:tc>
          <w:tcPr>
            <w:tcW w:w="874" w:type="dxa"/>
            <w:vAlign w:val="center"/>
          </w:tcPr>
          <w:p>
            <w:pPr>
              <w:pStyle w:val="105"/>
              <w:jc w:val="center"/>
            </w:pPr>
            <w:r>
              <w:rPr>
                <w:rFonts w:hint="eastAsia"/>
              </w:rPr>
              <w:t>摩托车</w:t>
            </w:r>
          </w:p>
        </w:tc>
        <w:tc>
          <w:tcPr>
            <w:tcW w:w="868" w:type="dxa"/>
            <w:vAlign w:val="center"/>
          </w:tcPr>
          <w:p>
            <w:pPr>
              <w:pStyle w:val="105"/>
              <w:jc w:val="center"/>
            </w:pPr>
            <w:r>
              <w:rPr>
                <w:rFonts w:hint="eastAsia"/>
              </w:rPr>
              <w:t>拖拉机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6" w:type="dxa"/>
            <w:vAlign w:val="center"/>
          </w:tcPr>
          <w:p>
            <w:pPr>
              <w:pStyle w:val="105"/>
              <w:jc w:val="center"/>
            </w:pPr>
            <w:r>
              <w:rPr>
                <w:rFonts w:hint="eastAsia"/>
              </w:rPr>
              <w:t>一级分类</w:t>
            </w:r>
          </w:p>
        </w:tc>
        <w:tc>
          <w:tcPr>
            <w:tcW w:w="1318" w:type="dxa"/>
            <w:gridSpan w:val="2"/>
            <w:vAlign w:val="center"/>
          </w:tcPr>
          <w:p>
            <w:pPr>
              <w:pStyle w:val="105"/>
              <w:jc w:val="center"/>
            </w:pPr>
            <w:r>
              <w:rPr>
                <w:rFonts w:hint="eastAsia"/>
              </w:rPr>
              <w:t>小型车</w:t>
            </w:r>
          </w:p>
        </w:tc>
        <w:tc>
          <w:tcPr>
            <w:tcW w:w="1314" w:type="dxa"/>
            <w:gridSpan w:val="2"/>
            <w:vAlign w:val="center"/>
          </w:tcPr>
          <w:p>
            <w:pPr>
              <w:pStyle w:val="105"/>
              <w:jc w:val="center"/>
            </w:pPr>
            <w:r>
              <w:rPr>
                <w:rFonts w:hint="eastAsia"/>
              </w:rPr>
              <w:t>中型车</w:t>
            </w:r>
          </w:p>
        </w:tc>
        <w:tc>
          <w:tcPr>
            <w:tcW w:w="874" w:type="dxa"/>
            <w:vAlign w:val="center"/>
          </w:tcPr>
          <w:p>
            <w:pPr>
              <w:pStyle w:val="105"/>
              <w:jc w:val="center"/>
            </w:pPr>
            <w:r>
              <w:rPr>
                <w:rFonts w:hint="eastAsia"/>
              </w:rPr>
              <w:t>大型车</w:t>
            </w:r>
          </w:p>
        </w:tc>
        <w:tc>
          <w:tcPr>
            <w:tcW w:w="1748" w:type="dxa"/>
            <w:gridSpan w:val="2"/>
            <w:vAlign w:val="center"/>
          </w:tcPr>
          <w:p>
            <w:pPr>
              <w:pStyle w:val="105"/>
              <w:jc w:val="center"/>
            </w:pPr>
            <w:r>
              <w:rPr>
                <w:rFonts w:hint="eastAsia"/>
              </w:rPr>
              <w:t>特大型车</w:t>
            </w:r>
          </w:p>
        </w:tc>
        <w:tc>
          <w:tcPr>
            <w:tcW w:w="874" w:type="dxa"/>
            <w:vMerge w:val="restart"/>
            <w:vAlign w:val="center"/>
          </w:tcPr>
          <w:p>
            <w:pPr>
              <w:pStyle w:val="105"/>
              <w:jc w:val="center"/>
            </w:pPr>
            <w:r>
              <w:rPr>
                <w:rFonts w:hint="eastAsia"/>
              </w:rPr>
              <w:t>摩托车</w:t>
            </w:r>
          </w:p>
        </w:tc>
        <w:tc>
          <w:tcPr>
            <w:tcW w:w="868" w:type="dxa"/>
            <w:vMerge w:val="restart"/>
            <w:vAlign w:val="center"/>
          </w:tcPr>
          <w:p>
            <w:pPr>
              <w:pStyle w:val="105"/>
              <w:jc w:val="center"/>
            </w:pPr>
            <w:r>
              <w:rPr>
                <w:rFonts w:hint="eastAsia"/>
              </w:rPr>
              <w:t>拖拉机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6" w:type="dxa"/>
            <w:vAlign w:val="center"/>
          </w:tcPr>
          <w:p>
            <w:pPr>
              <w:pStyle w:val="105"/>
              <w:jc w:val="center"/>
            </w:pPr>
            <w:r>
              <w:rPr>
                <w:rFonts w:hint="eastAsia"/>
              </w:rPr>
              <w:t>二级分类</w:t>
            </w:r>
          </w:p>
        </w:tc>
        <w:tc>
          <w:tcPr>
            <w:tcW w:w="657" w:type="dxa"/>
            <w:vAlign w:val="center"/>
          </w:tcPr>
          <w:p>
            <w:pPr>
              <w:pStyle w:val="105"/>
              <w:jc w:val="center"/>
            </w:pPr>
            <w:r>
              <w:rPr>
                <w:rFonts w:hint="eastAsia"/>
              </w:rPr>
              <w:t>中小</w:t>
            </w:r>
          </w:p>
          <w:p>
            <w:pPr>
              <w:pStyle w:val="105"/>
              <w:jc w:val="center"/>
            </w:pPr>
            <w:r>
              <w:rPr>
                <w:rFonts w:hint="eastAsia"/>
              </w:rPr>
              <w:t>客车</w:t>
            </w:r>
          </w:p>
        </w:tc>
        <w:tc>
          <w:tcPr>
            <w:tcW w:w="661" w:type="dxa"/>
            <w:vAlign w:val="center"/>
          </w:tcPr>
          <w:p>
            <w:pPr>
              <w:pStyle w:val="105"/>
              <w:jc w:val="center"/>
            </w:pPr>
            <w:r>
              <w:rPr>
                <w:rFonts w:hint="eastAsia"/>
              </w:rPr>
              <w:t>小型</w:t>
            </w:r>
          </w:p>
          <w:p>
            <w:pPr>
              <w:pStyle w:val="105"/>
              <w:jc w:val="center"/>
            </w:pPr>
            <w:r>
              <w:rPr>
                <w:rFonts w:hint="eastAsia"/>
              </w:rPr>
              <w:t>货车</w:t>
            </w:r>
          </w:p>
        </w:tc>
        <w:tc>
          <w:tcPr>
            <w:tcW w:w="656" w:type="dxa"/>
            <w:vAlign w:val="center"/>
          </w:tcPr>
          <w:p>
            <w:pPr>
              <w:pStyle w:val="105"/>
              <w:jc w:val="center"/>
            </w:pPr>
            <w:r>
              <w:rPr>
                <w:rFonts w:hint="eastAsia"/>
              </w:rPr>
              <w:t>大</w:t>
            </w:r>
          </w:p>
          <w:p>
            <w:pPr>
              <w:pStyle w:val="105"/>
              <w:jc w:val="center"/>
            </w:pPr>
            <w:r>
              <w:rPr>
                <w:rFonts w:hint="eastAsia"/>
              </w:rPr>
              <w:t>客车</w:t>
            </w:r>
          </w:p>
        </w:tc>
        <w:tc>
          <w:tcPr>
            <w:tcW w:w="658" w:type="dxa"/>
            <w:vAlign w:val="center"/>
          </w:tcPr>
          <w:p>
            <w:pPr>
              <w:pStyle w:val="105"/>
              <w:jc w:val="center"/>
            </w:pPr>
            <w:r>
              <w:rPr>
                <w:rFonts w:hint="eastAsia"/>
              </w:rPr>
              <w:t>中型</w:t>
            </w:r>
          </w:p>
          <w:p>
            <w:pPr>
              <w:pStyle w:val="105"/>
              <w:jc w:val="center"/>
            </w:pPr>
            <w:r>
              <w:rPr>
                <w:rFonts w:hint="eastAsia"/>
              </w:rPr>
              <w:t>货车</w:t>
            </w:r>
          </w:p>
        </w:tc>
        <w:tc>
          <w:tcPr>
            <w:tcW w:w="874" w:type="dxa"/>
            <w:vAlign w:val="center"/>
          </w:tcPr>
          <w:p>
            <w:pPr>
              <w:pStyle w:val="105"/>
              <w:jc w:val="center"/>
            </w:pPr>
            <w:r>
              <w:rPr>
                <w:rFonts w:hint="eastAsia"/>
              </w:rPr>
              <w:t>大型</w:t>
            </w:r>
          </w:p>
          <w:p>
            <w:pPr>
              <w:pStyle w:val="105"/>
              <w:jc w:val="center"/>
            </w:pPr>
            <w:r>
              <w:rPr>
                <w:rFonts w:hint="eastAsia"/>
              </w:rPr>
              <w:t>货车</w:t>
            </w:r>
          </w:p>
        </w:tc>
        <w:tc>
          <w:tcPr>
            <w:tcW w:w="874" w:type="dxa"/>
            <w:vAlign w:val="center"/>
          </w:tcPr>
          <w:p>
            <w:pPr>
              <w:pStyle w:val="105"/>
              <w:jc w:val="center"/>
            </w:pPr>
            <w:r>
              <w:rPr>
                <w:rFonts w:hint="eastAsia"/>
              </w:rPr>
              <w:t>特大型</w:t>
            </w:r>
          </w:p>
          <w:p>
            <w:pPr>
              <w:pStyle w:val="105"/>
              <w:jc w:val="center"/>
            </w:pPr>
            <w:r>
              <w:rPr>
                <w:rFonts w:hint="eastAsia"/>
              </w:rPr>
              <w:t>货车</w:t>
            </w:r>
          </w:p>
        </w:tc>
        <w:tc>
          <w:tcPr>
            <w:tcW w:w="874" w:type="dxa"/>
            <w:vAlign w:val="center"/>
          </w:tcPr>
          <w:p>
            <w:pPr>
              <w:pStyle w:val="105"/>
              <w:jc w:val="center"/>
            </w:pPr>
            <w:r>
              <w:rPr>
                <w:rFonts w:hint="eastAsia"/>
              </w:rPr>
              <w:t>集装箱</w:t>
            </w:r>
          </w:p>
          <w:p>
            <w:pPr>
              <w:pStyle w:val="105"/>
              <w:jc w:val="center"/>
            </w:pPr>
            <w:r>
              <w:rPr>
                <w:rFonts w:hint="eastAsia"/>
              </w:rPr>
              <w:t>车</w:t>
            </w:r>
          </w:p>
        </w:tc>
        <w:tc>
          <w:tcPr>
            <w:tcW w:w="874" w:type="dxa"/>
            <w:vMerge w:val="continue"/>
            <w:vAlign w:val="center"/>
          </w:tcPr>
          <w:p>
            <w:pPr>
              <w:pStyle w:val="105"/>
              <w:jc w:val="center"/>
            </w:pPr>
          </w:p>
        </w:tc>
        <w:tc>
          <w:tcPr>
            <w:tcW w:w="868" w:type="dxa"/>
            <w:vMerge w:val="continue"/>
            <w:vAlign w:val="center"/>
          </w:tcPr>
          <w:p>
            <w:pPr>
              <w:pStyle w:val="105"/>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6" w:type="dxa"/>
            <w:vAlign w:val="center"/>
          </w:tcPr>
          <w:p>
            <w:pPr>
              <w:pStyle w:val="105"/>
              <w:jc w:val="center"/>
            </w:pPr>
            <w:r>
              <w:rPr>
                <w:rFonts w:hint="eastAsia"/>
              </w:rPr>
              <w:t>参考折算系数</w:t>
            </w:r>
          </w:p>
        </w:tc>
        <w:tc>
          <w:tcPr>
            <w:tcW w:w="657" w:type="dxa"/>
            <w:vAlign w:val="center"/>
          </w:tcPr>
          <w:p>
            <w:pPr>
              <w:pStyle w:val="105"/>
              <w:jc w:val="center"/>
            </w:pPr>
            <w:r>
              <w:rPr>
                <w:rFonts w:hint="eastAsia"/>
              </w:rPr>
              <w:t>1</w:t>
            </w:r>
          </w:p>
        </w:tc>
        <w:tc>
          <w:tcPr>
            <w:tcW w:w="661" w:type="dxa"/>
            <w:vAlign w:val="center"/>
          </w:tcPr>
          <w:p>
            <w:pPr>
              <w:pStyle w:val="105"/>
              <w:jc w:val="center"/>
            </w:pPr>
            <w:r>
              <w:rPr>
                <w:rFonts w:hint="eastAsia"/>
              </w:rPr>
              <w:t>1</w:t>
            </w:r>
          </w:p>
        </w:tc>
        <w:tc>
          <w:tcPr>
            <w:tcW w:w="656" w:type="dxa"/>
            <w:vAlign w:val="center"/>
          </w:tcPr>
          <w:p>
            <w:pPr>
              <w:pStyle w:val="105"/>
              <w:jc w:val="center"/>
            </w:pPr>
            <w:r>
              <w:rPr>
                <w:rFonts w:hint="eastAsia"/>
              </w:rPr>
              <w:t>1.5</w:t>
            </w:r>
          </w:p>
        </w:tc>
        <w:tc>
          <w:tcPr>
            <w:tcW w:w="658" w:type="dxa"/>
            <w:vAlign w:val="center"/>
          </w:tcPr>
          <w:p>
            <w:pPr>
              <w:pStyle w:val="105"/>
              <w:jc w:val="center"/>
            </w:pPr>
            <w:r>
              <w:rPr>
                <w:rFonts w:hint="eastAsia"/>
              </w:rPr>
              <w:t>1.5</w:t>
            </w:r>
          </w:p>
        </w:tc>
        <w:tc>
          <w:tcPr>
            <w:tcW w:w="874" w:type="dxa"/>
            <w:vAlign w:val="center"/>
          </w:tcPr>
          <w:p>
            <w:pPr>
              <w:pStyle w:val="105"/>
              <w:jc w:val="center"/>
            </w:pPr>
            <w:r>
              <w:rPr>
                <w:rFonts w:hint="eastAsia"/>
              </w:rPr>
              <w:t>3</w:t>
            </w:r>
          </w:p>
        </w:tc>
        <w:tc>
          <w:tcPr>
            <w:tcW w:w="874" w:type="dxa"/>
            <w:vAlign w:val="center"/>
          </w:tcPr>
          <w:p>
            <w:pPr>
              <w:pStyle w:val="105"/>
              <w:jc w:val="center"/>
            </w:pPr>
            <w:r>
              <w:rPr>
                <w:rFonts w:hint="eastAsia"/>
              </w:rPr>
              <w:t>4</w:t>
            </w:r>
          </w:p>
        </w:tc>
        <w:tc>
          <w:tcPr>
            <w:tcW w:w="874" w:type="dxa"/>
            <w:vAlign w:val="center"/>
          </w:tcPr>
          <w:p>
            <w:pPr>
              <w:pStyle w:val="105"/>
              <w:jc w:val="center"/>
            </w:pPr>
            <w:r>
              <w:rPr>
                <w:rFonts w:hint="eastAsia"/>
              </w:rPr>
              <w:t>4</w:t>
            </w:r>
          </w:p>
        </w:tc>
        <w:tc>
          <w:tcPr>
            <w:tcW w:w="874" w:type="dxa"/>
            <w:vAlign w:val="center"/>
          </w:tcPr>
          <w:p>
            <w:pPr>
              <w:pStyle w:val="105"/>
              <w:jc w:val="center"/>
            </w:pPr>
            <w:r>
              <w:rPr>
                <w:rFonts w:hint="eastAsia"/>
              </w:rPr>
              <w:t>1</w:t>
            </w:r>
          </w:p>
        </w:tc>
        <w:tc>
          <w:tcPr>
            <w:tcW w:w="868" w:type="dxa"/>
            <w:vAlign w:val="center"/>
          </w:tcPr>
          <w:p>
            <w:pPr>
              <w:pStyle w:val="105"/>
              <w:jc w:val="center"/>
            </w:pPr>
            <w:r>
              <w:rPr>
                <w:rFonts w:hint="eastAsia"/>
              </w:rPr>
              <w:t>4</w:t>
            </w:r>
          </w:p>
        </w:tc>
      </w:tr>
    </w:tbl>
    <w:p>
      <w:pPr>
        <w:pStyle w:val="124"/>
      </w:pPr>
      <w:r>
        <w:rPr>
          <w:rFonts w:hint="eastAsia"/>
        </w:rPr>
        <w:t>根据《环境影响评价技术导则-声环境》（HJ2.4-2021）附录B.2 公路（道路）交通运输噪声预测模式，车型分类表详见</w:t>
      </w:r>
      <w:r>
        <w:fldChar w:fldCharType="begin"/>
      </w:r>
      <w:r>
        <w:instrText xml:space="preserve"> </w:instrText>
      </w:r>
      <w:r>
        <w:rPr>
          <w:rFonts w:hint="eastAsia"/>
        </w:rPr>
        <w:instrText xml:space="preserve">REF _Ref152338391 \r \h</w:instrText>
      </w:r>
      <w:r>
        <w:instrText xml:space="preserve"> </w:instrText>
      </w:r>
      <w:r>
        <w:fldChar w:fldCharType="separate"/>
      </w:r>
      <w:r>
        <w:rPr>
          <w:rFonts w:hint="eastAsia"/>
        </w:rPr>
        <w:t>表3.8-4</w:t>
      </w:r>
      <w:r>
        <w:fldChar w:fldCharType="end"/>
      </w:r>
      <w:r>
        <w:rPr>
          <w:rFonts w:hint="eastAsia"/>
        </w:rPr>
        <w:t>。</w:t>
      </w:r>
    </w:p>
    <w:p>
      <w:pPr>
        <w:pStyle w:val="87"/>
        <w:spacing w:before="120"/>
      </w:pPr>
      <w:bookmarkStart w:id="338" w:name="_Ref152338391"/>
      <w:r>
        <w:rPr>
          <w:rFonts w:hint="eastAsia"/>
        </w:rPr>
        <w:t>车型分类表</w:t>
      </w:r>
      <w:bookmarkEnd w:id="338"/>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1"/>
        <w:gridCol w:w="1558"/>
        <w:gridCol w:w="1702"/>
        <w:gridCol w:w="495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69" w:type="pct"/>
            <w:vAlign w:val="center"/>
          </w:tcPr>
          <w:p>
            <w:pPr>
              <w:pStyle w:val="105"/>
              <w:jc w:val="center"/>
            </w:pPr>
            <w:r>
              <w:rPr>
                <w:rFonts w:hint="eastAsia"/>
              </w:rPr>
              <w:t>车型</w:t>
            </w:r>
          </w:p>
        </w:tc>
        <w:tc>
          <w:tcPr>
            <w:tcW w:w="859" w:type="pct"/>
            <w:vAlign w:val="center"/>
          </w:tcPr>
          <w:p>
            <w:pPr>
              <w:pStyle w:val="105"/>
              <w:jc w:val="center"/>
            </w:pPr>
            <w:r>
              <w:rPr>
                <w:rFonts w:hint="eastAsia"/>
              </w:rPr>
              <w:t>汽车代表车型</w:t>
            </w:r>
          </w:p>
        </w:tc>
        <w:tc>
          <w:tcPr>
            <w:tcW w:w="938" w:type="pct"/>
            <w:vAlign w:val="center"/>
          </w:tcPr>
          <w:p>
            <w:pPr>
              <w:pStyle w:val="105"/>
              <w:jc w:val="center"/>
            </w:pPr>
            <w:r>
              <w:rPr>
                <w:rFonts w:hint="eastAsia"/>
              </w:rPr>
              <w:t>车辆折算系数</w:t>
            </w:r>
          </w:p>
        </w:tc>
        <w:tc>
          <w:tcPr>
            <w:tcW w:w="2734" w:type="pct"/>
            <w:vAlign w:val="center"/>
          </w:tcPr>
          <w:p>
            <w:pPr>
              <w:pStyle w:val="105"/>
              <w:jc w:val="center"/>
            </w:pPr>
            <w:r>
              <w:rPr>
                <w:rFonts w:hint="eastAsia"/>
              </w:rPr>
              <w:t>车型划分标准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69" w:type="pct"/>
            <w:vAlign w:val="center"/>
          </w:tcPr>
          <w:p>
            <w:pPr>
              <w:pStyle w:val="105"/>
              <w:jc w:val="center"/>
            </w:pPr>
            <w:r>
              <w:rPr>
                <w:rFonts w:hint="eastAsia"/>
              </w:rPr>
              <w:t>小</w:t>
            </w:r>
          </w:p>
        </w:tc>
        <w:tc>
          <w:tcPr>
            <w:tcW w:w="859" w:type="pct"/>
            <w:vAlign w:val="center"/>
          </w:tcPr>
          <w:p>
            <w:pPr>
              <w:pStyle w:val="105"/>
              <w:jc w:val="center"/>
            </w:pPr>
            <w:r>
              <w:rPr>
                <w:rFonts w:hint="eastAsia"/>
              </w:rPr>
              <w:t>小客车</w:t>
            </w:r>
          </w:p>
        </w:tc>
        <w:tc>
          <w:tcPr>
            <w:tcW w:w="938" w:type="pct"/>
            <w:vAlign w:val="center"/>
          </w:tcPr>
          <w:p>
            <w:pPr>
              <w:pStyle w:val="105"/>
              <w:jc w:val="center"/>
            </w:pPr>
            <w:r>
              <w:rPr>
                <w:rFonts w:hint="eastAsia"/>
              </w:rPr>
              <w:t>1.0</w:t>
            </w:r>
          </w:p>
        </w:tc>
        <w:tc>
          <w:tcPr>
            <w:tcW w:w="2734" w:type="pct"/>
            <w:vAlign w:val="center"/>
          </w:tcPr>
          <w:p>
            <w:pPr>
              <w:pStyle w:val="105"/>
              <w:jc w:val="center"/>
            </w:pPr>
            <w:r>
              <w:rPr>
                <w:rFonts w:hint="eastAsia"/>
              </w:rPr>
              <w:t>座位≤19座的客车和载质量≤2t货车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69" w:type="pct"/>
            <w:vAlign w:val="center"/>
          </w:tcPr>
          <w:p>
            <w:pPr>
              <w:pStyle w:val="105"/>
              <w:jc w:val="center"/>
            </w:pPr>
            <w:r>
              <w:rPr>
                <w:rFonts w:hint="eastAsia"/>
              </w:rPr>
              <w:t>中</w:t>
            </w:r>
          </w:p>
        </w:tc>
        <w:tc>
          <w:tcPr>
            <w:tcW w:w="859" w:type="pct"/>
            <w:vAlign w:val="center"/>
          </w:tcPr>
          <w:p>
            <w:pPr>
              <w:pStyle w:val="105"/>
              <w:jc w:val="center"/>
            </w:pPr>
            <w:r>
              <w:rPr>
                <w:rFonts w:hint="eastAsia"/>
              </w:rPr>
              <w:t>中型车</w:t>
            </w:r>
          </w:p>
        </w:tc>
        <w:tc>
          <w:tcPr>
            <w:tcW w:w="938" w:type="pct"/>
            <w:vAlign w:val="center"/>
          </w:tcPr>
          <w:p>
            <w:pPr>
              <w:pStyle w:val="105"/>
              <w:jc w:val="center"/>
            </w:pPr>
            <w:r>
              <w:rPr>
                <w:rFonts w:hint="eastAsia"/>
              </w:rPr>
              <w:t>1.5</w:t>
            </w:r>
          </w:p>
        </w:tc>
        <w:tc>
          <w:tcPr>
            <w:tcW w:w="2734" w:type="pct"/>
            <w:vAlign w:val="center"/>
          </w:tcPr>
          <w:p>
            <w:pPr>
              <w:pStyle w:val="105"/>
              <w:jc w:val="center"/>
            </w:pPr>
            <w:r>
              <w:rPr>
                <w:rFonts w:hint="eastAsia"/>
              </w:rPr>
              <w:t>座位＞19座的客车和2t＜载质量≤7t货车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69" w:type="pct"/>
            <w:vMerge w:val="restart"/>
            <w:vAlign w:val="center"/>
          </w:tcPr>
          <w:p>
            <w:pPr>
              <w:pStyle w:val="105"/>
              <w:jc w:val="center"/>
            </w:pPr>
            <w:r>
              <w:rPr>
                <w:rFonts w:hint="eastAsia"/>
              </w:rPr>
              <w:t>大</w:t>
            </w:r>
          </w:p>
        </w:tc>
        <w:tc>
          <w:tcPr>
            <w:tcW w:w="859" w:type="pct"/>
            <w:vAlign w:val="center"/>
          </w:tcPr>
          <w:p>
            <w:pPr>
              <w:pStyle w:val="105"/>
              <w:jc w:val="center"/>
            </w:pPr>
            <w:r>
              <w:rPr>
                <w:rFonts w:hint="eastAsia"/>
              </w:rPr>
              <w:t>大型车</w:t>
            </w:r>
          </w:p>
        </w:tc>
        <w:tc>
          <w:tcPr>
            <w:tcW w:w="938" w:type="pct"/>
            <w:vAlign w:val="center"/>
          </w:tcPr>
          <w:p>
            <w:pPr>
              <w:pStyle w:val="105"/>
              <w:jc w:val="center"/>
            </w:pPr>
            <w:r>
              <w:rPr>
                <w:rFonts w:hint="eastAsia"/>
              </w:rPr>
              <w:t>2.5</w:t>
            </w:r>
          </w:p>
        </w:tc>
        <w:tc>
          <w:tcPr>
            <w:tcW w:w="2734" w:type="pct"/>
            <w:vAlign w:val="center"/>
          </w:tcPr>
          <w:p>
            <w:pPr>
              <w:pStyle w:val="105"/>
              <w:jc w:val="center"/>
            </w:pPr>
            <w:r>
              <w:rPr>
                <w:rFonts w:hint="eastAsia"/>
              </w:rPr>
              <w:t>7t＜载质量≤20t货车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69" w:type="pct"/>
            <w:vMerge w:val="continue"/>
            <w:vAlign w:val="center"/>
          </w:tcPr>
          <w:p>
            <w:pPr>
              <w:pStyle w:val="105"/>
              <w:jc w:val="center"/>
            </w:pPr>
          </w:p>
        </w:tc>
        <w:tc>
          <w:tcPr>
            <w:tcW w:w="859" w:type="pct"/>
            <w:vAlign w:val="center"/>
          </w:tcPr>
          <w:p>
            <w:pPr>
              <w:pStyle w:val="105"/>
              <w:jc w:val="center"/>
            </w:pPr>
            <w:r>
              <w:rPr>
                <w:rFonts w:hint="eastAsia"/>
              </w:rPr>
              <w:t>汽车列车</w:t>
            </w:r>
          </w:p>
        </w:tc>
        <w:tc>
          <w:tcPr>
            <w:tcW w:w="938" w:type="pct"/>
            <w:vAlign w:val="center"/>
          </w:tcPr>
          <w:p>
            <w:pPr>
              <w:pStyle w:val="105"/>
              <w:jc w:val="center"/>
            </w:pPr>
            <w:r>
              <w:rPr>
                <w:rFonts w:hint="eastAsia"/>
              </w:rPr>
              <w:t>4.0</w:t>
            </w:r>
          </w:p>
        </w:tc>
        <w:tc>
          <w:tcPr>
            <w:tcW w:w="2734" w:type="pct"/>
            <w:vAlign w:val="center"/>
          </w:tcPr>
          <w:p>
            <w:pPr>
              <w:pStyle w:val="105"/>
              <w:jc w:val="center"/>
            </w:pPr>
            <w:r>
              <w:rPr>
                <w:rFonts w:hint="eastAsia"/>
              </w:rPr>
              <w:t>载质量＞20t的货车</w:t>
            </w:r>
          </w:p>
        </w:tc>
      </w:tr>
    </w:tbl>
    <w:p>
      <w:pPr>
        <w:pStyle w:val="851"/>
        <w:spacing w:before="120"/>
        <w:ind w:firstLine="480"/>
        <w:rPr>
          <w:color w:val="auto"/>
        </w:rPr>
      </w:pPr>
      <w:bookmarkStart w:id="339" w:name="_Toc2911"/>
      <w:r>
        <w:rPr>
          <w:rFonts w:hint="eastAsia"/>
          <w:color w:val="auto"/>
        </w:rPr>
        <w:t>依据工可预测的车型比例构成结合车型增长率，核算项目各预测年份车型比，详见</w:t>
      </w:r>
      <w:r>
        <w:rPr>
          <w:color w:val="auto"/>
        </w:rPr>
        <w:fldChar w:fldCharType="begin"/>
      </w:r>
      <w:r>
        <w:rPr>
          <w:color w:val="auto"/>
        </w:rPr>
        <w:instrText xml:space="preserve"> </w:instrText>
      </w:r>
      <w:r>
        <w:rPr>
          <w:rFonts w:hint="eastAsia"/>
          <w:color w:val="auto"/>
        </w:rPr>
        <w:instrText xml:space="preserve">REF _Ref190253234 \r \h</w:instrText>
      </w:r>
      <w:r>
        <w:rPr>
          <w:color w:val="auto"/>
        </w:rPr>
        <w:instrText xml:space="preserve"> </w:instrText>
      </w:r>
      <w:r>
        <w:rPr>
          <w:color w:val="auto"/>
        </w:rPr>
        <w:fldChar w:fldCharType="separate"/>
      </w:r>
      <w:r>
        <w:rPr>
          <w:rFonts w:hint="eastAsia"/>
          <w:color w:val="auto"/>
        </w:rPr>
        <w:t>表3.8-5</w:t>
      </w:r>
      <w:r>
        <w:rPr>
          <w:color w:val="auto"/>
        </w:rPr>
        <w:fldChar w:fldCharType="end"/>
      </w:r>
      <w:r>
        <w:rPr>
          <w:rFonts w:hint="eastAsia"/>
          <w:color w:val="auto"/>
        </w:rPr>
        <w:t>，车流量的昼夜比为：</w:t>
      </w:r>
      <w:r>
        <w:rPr>
          <w:color w:val="auto"/>
        </w:rPr>
        <w:t>92</w:t>
      </w:r>
      <w:r>
        <w:rPr>
          <w:rFonts w:hint="eastAsia"/>
          <w:color w:val="auto"/>
        </w:rPr>
        <w:t>:</w:t>
      </w:r>
      <w:r>
        <w:rPr>
          <w:color w:val="auto"/>
        </w:rPr>
        <w:t>8</w:t>
      </w:r>
      <w:r>
        <w:rPr>
          <w:rFonts w:hint="eastAsia"/>
          <w:color w:val="auto"/>
        </w:rPr>
        <w:t>（昼间</w:t>
      </w:r>
      <w:r>
        <w:rPr>
          <w:color w:val="auto"/>
        </w:rPr>
        <w:t>6</w:t>
      </w:r>
      <w:r>
        <w:rPr>
          <w:rFonts w:hint="eastAsia"/>
          <w:color w:val="auto"/>
        </w:rPr>
        <w:t>:</w:t>
      </w:r>
      <w:r>
        <w:rPr>
          <w:color w:val="auto"/>
        </w:rPr>
        <w:t>00</w:t>
      </w:r>
      <w:r>
        <w:rPr>
          <w:rFonts w:hint="eastAsia"/>
          <w:color w:val="auto"/>
        </w:rPr>
        <w:t>～</w:t>
      </w:r>
      <w:r>
        <w:rPr>
          <w:color w:val="auto"/>
        </w:rPr>
        <w:t>22</w:t>
      </w:r>
      <w:r>
        <w:rPr>
          <w:rFonts w:hint="eastAsia"/>
          <w:color w:val="auto"/>
        </w:rPr>
        <w:t>:</w:t>
      </w:r>
      <w:r>
        <w:rPr>
          <w:color w:val="auto"/>
        </w:rPr>
        <w:t>00</w:t>
      </w:r>
      <w:r>
        <w:rPr>
          <w:rFonts w:hint="eastAsia"/>
          <w:color w:val="auto"/>
        </w:rPr>
        <w:t>；夜间</w:t>
      </w:r>
      <w:r>
        <w:rPr>
          <w:color w:val="auto"/>
        </w:rPr>
        <w:t>22</w:t>
      </w:r>
      <w:r>
        <w:rPr>
          <w:rFonts w:hint="eastAsia"/>
          <w:color w:val="auto"/>
        </w:rPr>
        <w:t>:</w:t>
      </w:r>
      <w:r>
        <w:rPr>
          <w:color w:val="auto"/>
        </w:rPr>
        <w:t>00</w:t>
      </w:r>
      <w:r>
        <w:rPr>
          <w:rFonts w:hint="eastAsia"/>
          <w:color w:val="auto"/>
        </w:rPr>
        <w:t>～</w:t>
      </w:r>
      <w:r>
        <w:rPr>
          <w:color w:val="auto"/>
        </w:rPr>
        <w:t>6</w:t>
      </w:r>
      <w:r>
        <w:rPr>
          <w:rFonts w:hint="eastAsia"/>
          <w:color w:val="auto"/>
        </w:rPr>
        <w:t>:</w:t>
      </w:r>
      <w:r>
        <w:rPr>
          <w:color w:val="auto"/>
        </w:rPr>
        <w:t>00</w:t>
      </w:r>
      <w:r>
        <w:rPr>
          <w:rFonts w:hint="eastAsia"/>
          <w:color w:val="auto"/>
        </w:rPr>
        <w:t>）。本评价以</w:t>
      </w:r>
      <w:r>
        <w:rPr>
          <w:color w:val="auto"/>
        </w:rPr>
        <w:t>2027</w:t>
      </w:r>
      <w:r>
        <w:rPr>
          <w:rFonts w:hint="eastAsia"/>
          <w:color w:val="auto"/>
        </w:rPr>
        <w:t>年、</w:t>
      </w:r>
      <w:r>
        <w:rPr>
          <w:color w:val="auto"/>
        </w:rPr>
        <w:t>2033</w:t>
      </w:r>
      <w:r>
        <w:rPr>
          <w:rFonts w:hint="eastAsia"/>
          <w:color w:val="auto"/>
        </w:rPr>
        <w:t>年、</w:t>
      </w:r>
      <w:r>
        <w:rPr>
          <w:color w:val="auto"/>
        </w:rPr>
        <w:t>2041</w:t>
      </w:r>
      <w:r>
        <w:rPr>
          <w:rFonts w:hint="eastAsia"/>
          <w:color w:val="auto"/>
        </w:rPr>
        <w:t>年作为预测年限，计算本项目各设计年限的车流量，预测结果见</w:t>
      </w:r>
      <w:r>
        <w:rPr>
          <w:color w:val="auto"/>
        </w:rPr>
        <w:fldChar w:fldCharType="begin"/>
      </w:r>
      <w:r>
        <w:rPr>
          <w:color w:val="auto"/>
        </w:rPr>
        <w:instrText xml:space="preserve"> </w:instrText>
      </w:r>
      <w:r>
        <w:rPr>
          <w:rFonts w:hint="eastAsia"/>
          <w:color w:val="auto"/>
        </w:rPr>
        <w:instrText xml:space="preserve">REF _Ref140586589 \r \h</w:instrText>
      </w:r>
      <w:r>
        <w:rPr>
          <w:color w:val="auto"/>
        </w:rPr>
        <w:instrText xml:space="preserve">  \* MERGEFORMAT </w:instrText>
      </w:r>
      <w:r>
        <w:rPr>
          <w:color w:val="auto"/>
        </w:rPr>
        <w:fldChar w:fldCharType="separate"/>
      </w:r>
      <w:r>
        <w:rPr>
          <w:rFonts w:hint="eastAsia"/>
          <w:color w:val="auto"/>
        </w:rPr>
        <w:t>表3.8-6</w:t>
      </w:r>
      <w:r>
        <w:rPr>
          <w:color w:val="auto"/>
        </w:rPr>
        <w:fldChar w:fldCharType="end"/>
      </w:r>
      <w:r>
        <w:rPr>
          <w:rFonts w:hint="eastAsia"/>
          <w:color w:val="auto"/>
        </w:rPr>
        <w:t>。</w:t>
      </w:r>
    </w:p>
    <w:p>
      <w:pPr>
        <w:pStyle w:val="87"/>
        <w:spacing w:before="120"/>
      </w:pPr>
      <w:bookmarkStart w:id="340" w:name="_Ref190253234"/>
      <w:r>
        <w:t>车型比例预测表</w:t>
      </w:r>
      <w:bookmarkEnd w:id="340"/>
    </w:p>
    <w:tbl>
      <w:tblPr>
        <w:tblStyle w:val="24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80"/>
        <w:gridCol w:w="1921"/>
        <w:gridCol w:w="1923"/>
        <w:gridCol w:w="1923"/>
        <w:gridCol w:w="19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761" w:type="pct"/>
            <w:vAlign w:val="center"/>
          </w:tcPr>
          <w:p>
            <w:pPr>
              <w:pStyle w:val="105"/>
              <w:ind w:firstLine="420"/>
              <w:jc w:val="center"/>
            </w:pPr>
            <w:r>
              <w:t>车型</w:t>
            </w:r>
          </w:p>
        </w:tc>
        <w:tc>
          <w:tcPr>
            <w:tcW w:w="1059" w:type="pct"/>
            <w:vAlign w:val="center"/>
          </w:tcPr>
          <w:p>
            <w:pPr>
              <w:pStyle w:val="105"/>
              <w:ind w:firstLine="420"/>
              <w:jc w:val="center"/>
            </w:pPr>
            <w:r>
              <w:t>小型车</w:t>
            </w:r>
          </w:p>
        </w:tc>
        <w:tc>
          <w:tcPr>
            <w:tcW w:w="1060" w:type="pct"/>
            <w:vAlign w:val="center"/>
          </w:tcPr>
          <w:p>
            <w:pPr>
              <w:pStyle w:val="105"/>
              <w:ind w:firstLine="420"/>
              <w:jc w:val="center"/>
            </w:pPr>
            <w:r>
              <w:t>中型车</w:t>
            </w:r>
          </w:p>
        </w:tc>
        <w:tc>
          <w:tcPr>
            <w:tcW w:w="1060" w:type="pct"/>
            <w:vAlign w:val="center"/>
          </w:tcPr>
          <w:p>
            <w:pPr>
              <w:pStyle w:val="105"/>
              <w:ind w:firstLine="420"/>
              <w:jc w:val="center"/>
            </w:pPr>
            <w:r>
              <w:t>大型车</w:t>
            </w:r>
          </w:p>
        </w:tc>
        <w:tc>
          <w:tcPr>
            <w:tcW w:w="1060" w:type="pct"/>
            <w:vAlign w:val="center"/>
          </w:tcPr>
          <w:p>
            <w:pPr>
              <w:pStyle w:val="105"/>
              <w:ind w:firstLine="420"/>
              <w:jc w:val="center"/>
            </w:pPr>
            <w:r>
              <w:t>汽车列车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761" w:type="pct"/>
            <w:vAlign w:val="center"/>
          </w:tcPr>
          <w:p>
            <w:pPr>
              <w:pStyle w:val="105"/>
              <w:ind w:firstLine="420"/>
              <w:jc w:val="center"/>
            </w:pPr>
            <w:r>
              <w:t>2027</w:t>
            </w:r>
            <w:r>
              <w:rPr>
                <w:rFonts w:hint="eastAsia"/>
              </w:rPr>
              <w:t>年</w:t>
            </w:r>
          </w:p>
        </w:tc>
        <w:tc>
          <w:tcPr>
            <w:tcW w:w="1059" w:type="pct"/>
            <w:vAlign w:val="bottom"/>
          </w:tcPr>
          <w:p>
            <w:pPr>
              <w:pStyle w:val="105"/>
              <w:ind w:firstLine="420"/>
              <w:jc w:val="center"/>
            </w:pPr>
            <w:r>
              <w:rPr>
                <w:rFonts w:hint="eastAsia"/>
                <w:sz w:val="22"/>
                <w:szCs w:val="22"/>
              </w:rPr>
              <w:t>84.94%</w:t>
            </w:r>
          </w:p>
        </w:tc>
        <w:tc>
          <w:tcPr>
            <w:tcW w:w="1060" w:type="pct"/>
            <w:vAlign w:val="bottom"/>
          </w:tcPr>
          <w:p>
            <w:pPr>
              <w:pStyle w:val="105"/>
              <w:ind w:firstLine="420"/>
              <w:jc w:val="center"/>
            </w:pPr>
            <w:r>
              <w:rPr>
                <w:rFonts w:hint="eastAsia"/>
                <w:sz w:val="22"/>
                <w:szCs w:val="22"/>
              </w:rPr>
              <w:t>7.76%</w:t>
            </w:r>
          </w:p>
        </w:tc>
        <w:tc>
          <w:tcPr>
            <w:tcW w:w="1060" w:type="pct"/>
            <w:vAlign w:val="bottom"/>
          </w:tcPr>
          <w:p>
            <w:pPr>
              <w:pStyle w:val="105"/>
              <w:ind w:firstLine="420"/>
              <w:jc w:val="center"/>
            </w:pPr>
            <w:r>
              <w:rPr>
                <w:rFonts w:hint="eastAsia"/>
                <w:sz w:val="22"/>
                <w:szCs w:val="22"/>
              </w:rPr>
              <w:t>3.85%</w:t>
            </w:r>
          </w:p>
        </w:tc>
        <w:tc>
          <w:tcPr>
            <w:tcW w:w="1060" w:type="pct"/>
            <w:vAlign w:val="bottom"/>
          </w:tcPr>
          <w:p>
            <w:pPr>
              <w:pStyle w:val="105"/>
              <w:ind w:firstLine="420"/>
              <w:jc w:val="center"/>
            </w:pPr>
            <w:r>
              <w:rPr>
                <w:rFonts w:hint="eastAsia"/>
                <w:sz w:val="22"/>
                <w:szCs w:val="22"/>
              </w:rPr>
              <w:t>3.45%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761" w:type="pct"/>
            <w:vAlign w:val="center"/>
          </w:tcPr>
          <w:p>
            <w:pPr>
              <w:pStyle w:val="105"/>
              <w:ind w:firstLine="420"/>
              <w:jc w:val="center"/>
            </w:pPr>
            <w:r>
              <w:t>2033</w:t>
            </w:r>
            <w:r>
              <w:rPr>
                <w:rFonts w:hint="eastAsia"/>
              </w:rPr>
              <w:t>年</w:t>
            </w:r>
          </w:p>
        </w:tc>
        <w:tc>
          <w:tcPr>
            <w:tcW w:w="1059" w:type="pct"/>
            <w:vAlign w:val="bottom"/>
          </w:tcPr>
          <w:p>
            <w:pPr>
              <w:pStyle w:val="105"/>
              <w:ind w:firstLine="420"/>
              <w:jc w:val="center"/>
            </w:pPr>
            <w:r>
              <w:rPr>
                <w:rFonts w:hint="eastAsia"/>
                <w:sz w:val="22"/>
                <w:szCs w:val="22"/>
              </w:rPr>
              <w:t>86.50%</w:t>
            </w:r>
          </w:p>
        </w:tc>
        <w:tc>
          <w:tcPr>
            <w:tcW w:w="1060" w:type="pct"/>
            <w:vAlign w:val="bottom"/>
          </w:tcPr>
          <w:p>
            <w:pPr>
              <w:pStyle w:val="105"/>
              <w:ind w:firstLine="420"/>
              <w:jc w:val="center"/>
            </w:pPr>
            <w:r>
              <w:rPr>
                <w:rFonts w:hint="eastAsia"/>
                <w:sz w:val="22"/>
                <w:szCs w:val="22"/>
              </w:rPr>
              <w:t>6.80%</w:t>
            </w:r>
          </w:p>
        </w:tc>
        <w:tc>
          <w:tcPr>
            <w:tcW w:w="1060" w:type="pct"/>
            <w:vAlign w:val="bottom"/>
          </w:tcPr>
          <w:p>
            <w:pPr>
              <w:pStyle w:val="105"/>
              <w:ind w:firstLine="420"/>
              <w:jc w:val="center"/>
            </w:pPr>
            <w:r>
              <w:rPr>
                <w:rFonts w:hint="eastAsia"/>
                <w:sz w:val="22"/>
                <w:szCs w:val="22"/>
              </w:rPr>
              <w:t>3.13%</w:t>
            </w:r>
          </w:p>
        </w:tc>
        <w:tc>
          <w:tcPr>
            <w:tcW w:w="1060" w:type="pct"/>
            <w:vAlign w:val="bottom"/>
          </w:tcPr>
          <w:p>
            <w:pPr>
              <w:pStyle w:val="105"/>
              <w:ind w:firstLine="420"/>
              <w:jc w:val="center"/>
            </w:pPr>
            <w:r>
              <w:rPr>
                <w:rFonts w:hint="eastAsia"/>
                <w:sz w:val="22"/>
                <w:szCs w:val="22"/>
              </w:rPr>
              <w:t>3.57%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761" w:type="pct"/>
            <w:vAlign w:val="center"/>
          </w:tcPr>
          <w:p>
            <w:pPr>
              <w:pStyle w:val="105"/>
              <w:ind w:firstLine="420"/>
              <w:jc w:val="center"/>
            </w:pPr>
            <w:r>
              <w:t>2041</w:t>
            </w:r>
            <w:r>
              <w:rPr>
                <w:rFonts w:hint="eastAsia"/>
              </w:rPr>
              <w:t>年</w:t>
            </w:r>
          </w:p>
        </w:tc>
        <w:tc>
          <w:tcPr>
            <w:tcW w:w="1059" w:type="pct"/>
            <w:vAlign w:val="bottom"/>
          </w:tcPr>
          <w:p>
            <w:pPr>
              <w:pStyle w:val="105"/>
              <w:ind w:firstLine="420"/>
              <w:jc w:val="center"/>
            </w:pPr>
            <w:r>
              <w:rPr>
                <w:rFonts w:hint="eastAsia"/>
                <w:sz w:val="22"/>
                <w:szCs w:val="22"/>
              </w:rPr>
              <w:t>88.97%</w:t>
            </w:r>
          </w:p>
        </w:tc>
        <w:tc>
          <w:tcPr>
            <w:tcW w:w="1060" w:type="pct"/>
            <w:vAlign w:val="bottom"/>
          </w:tcPr>
          <w:p>
            <w:pPr>
              <w:pStyle w:val="105"/>
              <w:ind w:firstLine="420"/>
              <w:jc w:val="center"/>
            </w:pPr>
            <w:r>
              <w:rPr>
                <w:rFonts w:hint="eastAsia"/>
                <w:sz w:val="22"/>
                <w:szCs w:val="22"/>
              </w:rPr>
              <w:t>5.28%</w:t>
            </w:r>
          </w:p>
        </w:tc>
        <w:tc>
          <w:tcPr>
            <w:tcW w:w="1060" w:type="pct"/>
            <w:vAlign w:val="bottom"/>
          </w:tcPr>
          <w:p>
            <w:pPr>
              <w:pStyle w:val="105"/>
              <w:ind w:firstLine="420"/>
              <w:jc w:val="center"/>
            </w:pPr>
            <w:r>
              <w:rPr>
                <w:rFonts w:hint="eastAsia"/>
                <w:sz w:val="22"/>
                <w:szCs w:val="22"/>
              </w:rPr>
              <w:t>1.99%</w:t>
            </w:r>
          </w:p>
        </w:tc>
        <w:tc>
          <w:tcPr>
            <w:tcW w:w="1060" w:type="pct"/>
            <w:vAlign w:val="bottom"/>
          </w:tcPr>
          <w:p>
            <w:pPr>
              <w:pStyle w:val="105"/>
              <w:ind w:firstLine="420"/>
              <w:jc w:val="center"/>
            </w:pPr>
            <w:r>
              <w:rPr>
                <w:rFonts w:hint="eastAsia"/>
                <w:sz w:val="22"/>
                <w:szCs w:val="22"/>
              </w:rPr>
              <w:t>3.76%</w:t>
            </w:r>
          </w:p>
        </w:tc>
      </w:tr>
    </w:tbl>
    <w:p>
      <w:pPr>
        <w:pStyle w:val="87"/>
        <w:spacing w:before="120"/>
      </w:pPr>
      <w:bookmarkStart w:id="341" w:name="_Ref140586589"/>
      <w:r>
        <w:rPr>
          <w:rFonts w:hint="eastAsia"/>
        </w:rPr>
        <w:t>项目各段</w:t>
      </w:r>
      <w:r>
        <w:t>各规划年各时段</w:t>
      </w:r>
      <w:r>
        <w:rPr>
          <w:rFonts w:hint="eastAsia"/>
        </w:rPr>
        <w:t xml:space="preserve">车流量 </w:t>
      </w:r>
      <w:r>
        <w:t xml:space="preserve">    </w:t>
      </w:r>
      <w:r>
        <w:rPr>
          <w:rFonts w:hint="eastAsia"/>
        </w:rPr>
        <w:t>单位：</w:t>
      </w:r>
      <w:r>
        <w:t>辆/</w:t>
      </w:r>
      <w:r>
        <w:rPr>
          <w:rFonts w:hint="eastAsia"/>
        </w:rPr>
        <w:t>h</w:t>
      </w:r>
      <w:bookmarkEnd w:id="341"/>
    </w:p>
    <w:tbl>
      <w:tblPr>
        <w:tblStyle w:val="5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061"/>
        <w:gridCol w:w="797"/>
        <w:gridCol w:w="797"/>
        <w:gridCol w:w="797"/>
        <w:gridCol w:w="797"/>
        <w:gridCol w:w="797"/>
        <w:gridCol w:w="797"/>
        <w:gridCol w:w="797"/>
        <w:gridCol w:w="797"/>
        <w:gridCol w:w="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573" w:type="pct"/>
            <w:vMerge w:val="restart"/>
            <w:vAlign w:val="center"/>
          </w:tcPr>
          <w:p>
            <w:pPr>
              <w:pStyle w:val="105"/>
              <w:jc w:val="center"/>
            </w:pPr>
            <w:r>
              <w:rPr>
                <w:rFonts w:hint="eastAsia"/>
              </w:rPr>
              <w:t>路</w:t>
            </w:r>
          </w:p>
          <w:p>
            <w:pPr>
              <w:pStyle w:val="105"/>
              <w:jc w:val="center"/>
            </w:pPr>
            <w:r>
              <w:rPr>
                <w:rFonts w:hint="eastAsia"/>
              </w:rPr>
              <w:t>段</w:t>
            </w:r>
          </w:p>
        </w:tc>
        <w:tc>
          <w:tcPr>
            <w:tcW w:w="572" w:type="pct"/>
            <w:vMerge w:val="restart"/>
            <w:vAlign w:val="center"/>
          </w:tcPr>
          <w:p>
            <w:pPr>
              <w:pStyle w:val="105"/>
              <w:jc w:val="center"/>
            </w:pPr>
            <w:r>
              <w:rPr>
                <w:rFonts w:hint="eastAsia"/>
              </w:rPr>
              <w:t>车型</w:t>
            </w:r>
          </w:p>
        </w:tc>
        <w:tc>
          <w:tcPr>
            <w:tcW w:w="1287" w:type="pct"/>
            <w:gridSpan w:val="3"/>
            <w:vAlign w:val="center"/>
          </w:tcPr>
          <w:p>
            <w:pPr>
              <w:pStyle w:val="105"/>
              <w:jc w:val="center"/>
            </w:pPr>
            <w:r>
              <w:t>2027</w:t>
            </w:r>
            <w:r>
              <w:rPr>
                <w:rFonts w:hint="eastAsia"/>
              </w:rPr>
              <w:t>年</w:t>
            </w:r>
          </w:p>
        </w:tc>
        <w:tc>
          <w:tcPr>
            <w:tcW w:w="1287" w:type="pct"/>
            <w:gridSpan w:val="3"/>
            <w:vAlign w:val="center"/>
          </w:tcPr>
          <w:p>
            <w:pPr>
              <w:pStyle w:val="105"/>
              <w:jc w:val="center"/>
            </w:pPr>
            <w:r>
              <w:t>2033</w:t>
            </w:r>
            <w:r>
              <w:rPr>
                <w:rFonts w:hint="eastAsia"/>
              </w:rPr>
              <w:t>年</w:t>
            </w:r>
          </w:p>
        </w:tc>
        <w:tc>
          <w:tcPr>
            <w:tcW w:w="1282" w:type="pct"/>
            <w:gridSpan w:val="3"/>
            <w:vAlign w:val="center"/>
          </w:tcPr>
          <w:p>
            <w:pPr>
              <w:pStyle w:val="105"/>
              <w:jc w:val="center"/>
            </w:pPr>
            <w:r>
              <w:rPr>
                <w:rFonts w:hint="eastAsia"/>
              </w:rPr>
              <w:t>20</w:t>
            </w:r>
            <w:r>
              <w:t>41</w:t>
            </w:r>
            <w:r>
              <w:rPr>
                <w:rFonts w:hint="eastAsi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73" w:type="pct"/>
            <w:vMerge w:val="continue"/>
            <w:vAlign w:val="center"/>
          </w:tcPr>
          <w:p>
            <w:pPr>
              <w:pStyle w:val="105"/>
              <w:jc w:val="center"/>
            </w:pPr>
          </w:p>
        </w:tc>
        <w:tc>
          <w:tcPr>
            <w:tcW w:w="572" w:type="pct"/>
            <w:vMerge w:val="continue"/>
            <w:vAlign w:val="center"/>
          </w:tcPr>
          <w:p>
            <w:pPr>
              <w:pStyle w:val="105"/>
              <w:jc w:val="center"/>
            </w:pPr>
          </w:p>
        </w:tc>
        <w:tc>
          <w:tcPr>
            <w:tcW w:w="429" w:type="pct"/>
            <w:vAlign w:val="center"/>
          </w:tcPr>
          <w:p>
            <w:pPr>
              <w:pStyle w:val="105"/>
              <w:jc w:val="center"/>
            </w:pPr>
            <w:r>
              <w:rPr>
                <w:rFonts w:hint="eastAsia"/>
              </w:rPr>
              <w:t>昼间</w:t>
            </w:r>
          </w:p>
        </w:tc>
        <w:tc>
          <w:tcPr>
            <w:tcW w:w="429" w:type="pct"/>
            <w:vAlign w:val="center"/>
          </w:tcPr>
          <w:p>
            <w:pPr>
              <w:pStyle w:val="105"/>
              <w:jc w:val="center"/>
            </w:pPr>
            <w:r>
              <w:rPr>
                <w:rFonts w:hint="eastAsia"/>
              </w:rPr>
              <w:t>夜间</w:t>
            </w:r>
          </w:p>
        </w:tc>
        <w:tc>
          <w:tcPr>
            <w:tcW w:w="429" w:type="pct"/>
            <w:vAlign w:val="center"/>
          </w:tcPr>
          <w:p>
            <w:pPr>
              <w:pStyle w:val="105"/>
              <w:jc w:val="center"/>
            </w:pPr>
            <w:r>
              <w:rPr>
                <w:rFonts w:hint="eastAsia"/>
              </w:rPr>
              <w:t>日均</w:t>
            </w:r>
          </w:p>
        </w:tc>
        <w:tc>
          <w:tcPr>
            <w:tcW w:w="429" w:type="pct"/>
            <w:vAlign w:val="center"/>
          </w:tcPr>
          <w:p>
            <w:pPr>
              <w:pStyle w:val="105"/>
              <w:jc w:val="center"/>
            </w:pPr>
            <w:r>
              <w:rPr>
                <w:rFonts w:hint="eastAsia"/>
              </w:rPr>
              <w:t>昼间</w:t>
            </w:r>
          </w:p>
        </w:tc>
        <w:tc>
          <w:tcPr>
            <w:tcW w:w="429" w:type="pct"/>
            <w:vAlign w:val="center"/>
          </w:tcPr>
          <w:p>
            <w:pPr>
              <w:pStyle w:val="105"/>
              <w:jc w:val="center"/>
            </w:pPr>
            <w:r>
              <w:rPr>
                <w:rFonts w:hint="eastAsia"/>
              </w:rPr>
              <w:t>夜间</w:t>
            </w:r>
          </w:p>
        </w:tc>
        <w:tc>
          <w:tcPr>
            <w:tcW w:w="429" w:type="pct"/>
            <w:vAlign w:val="center"/>
          </w:tcPr>
          <w:p>
            <w:pPr>
              <w:pStyle w:val="105"/>
              <w:jc w:val="center"/>
            </w:pPr>
            <w:r>
              <w:rPr>
                <w:rFonts w:hint="eastAsia"/>
              </w:rPr>
              <w:t>日均</w:t>
            </w:r>
          </w:p>
        </w:tc>
        <w:tc>
          <w:tcPr>
            <w:tcW w:w="429" w:type="pct"/>
            <w:vAlign w:val="center"/>
          </w:tcPr>
          <w:p>
            <w:pPr>
              <w:pStyle w:val="105"/>
              <w:jc w:val="center"/>
            </w:pPr>
            <w:r>
              <w:rPr>
                <w:rFonts w:hint="eastAsia"/>
              </w:rPr>
              <w:t>昼间</w:t>
            </w:r>
          </w:p>
        </w:tc>
        <w:tc>
          <w:tcPr>
            <w:tcW w:w="429" w:type="pct"/>
            <w:vAlign w:val="center"/>
          </w:tcPr>
          <w:p>
            <w:pPr>
              <w:pStyle w:val="105"/>
              <w:jc w:val="center"/>
            </w:pPr>
            <w:r>
              <w:rPr>
                <w:rFonts w:hint="eastAsia"/>
              </w:rPr>
              <w:t>夜间</w:t>
            </w:r>
          </w:p>
        </w:tc>
        <w:tc>
          <w:tcPr>
            <w:tcW w:w="424" w:type="pct"/>
            <w:vAlign w:val="center"/>
          </w:tcPr>
          <w:p>
            <w:pPr>
              <w:pStyle w:val="105"/>
              <w:jc w:val="center"/>
            </w:pPr>
            <w:r>
              <w:rPr>
                <w:rFonts w:hint="eastAsia"/>
              </w:rPr>
              <w:t>日均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573" w:type="pct"/>
            <w:vMerge w:val="restart"/>
            <w:vAlign w:val="center"/>
          </w:tcPr>
          <w:p>
            <w:pPr>
              <w:pStyle w:val="105"/>
              <w:jc w:val="center"/>
            </w:pPr>
            <w:r>
              <w:rPr>
                <w:rFonts w:hint="eastAsia"/>
              </w:rPr>
              <w:t>全线</w:t>
            </w:r>
          </w:p>
        </w:tc>
        <w:tc>
          <w:tcPr>
            <w:tcW w:w="572" w:type="pct"/>
            <w:vAlign w:val="center"/>
          </w:tcPr>
          <w:p>
            <w:pPr>
              <w:pStyle w:val="105"/>
              <w:jc w:val="center"/>
            </w:pPr>
            <w:r>
              <w:rPr>
                <w:rFonts w:hint="eastAsia"/>
              </w:rPr>
              <w:t>小</w:t>
            </w:r>
            <w:r>
              <w:t>型</w:t>
            </w:r>
            <w:r>
              <w:rPr>
                <w:rFonts w:hint="eastAsia"/>
              </w:rPr>
              <w:t>车</w:t>
            </w:r>
          </w:p>
        </w:tc>
        <w:tc>
          <w:tcPr>
            <w:tcW w:w="429" w:type="pct"/>
            <w:vAlign w:val="center"/>
          </w:tcPr>
          <w:p>
            <w:pPr>
              <w:pStyle w:val="105"/>
              <w:jc w:val="center"/>
              <w:rPr>
                <w:sz w:val="18"/>
                <w:szCs w:val="18"/>
              </w:rPr>
            </w:pPr>
            <w:r>
              <w:rPr>
                <w:rFonts w:cs="Times New Roman"/>
                <w:sz w:val="22"/>
                <w:szCs w:val="22"/>
              </w:rPr>
              <w:t>249</w:t>
            </w:r>
          </w:p>
        </w:tc>
        <w:tc>
          <w:tcPr>
            <w:tcW w:w="429" w:type="pct"/>
            <w:vAlign w:val="center"/>
          </w:tcPr>
          <w:p>
            <w:pPr>
              <w:pStyle w:val="105"/>
              <w:jc w:val="center"/>
              <w:rPr>
                <w:sz w:val="18"/>
                <w:szCs w:val="18"/>
              </w:rPr>
            </w:pPr>
            <w:r>
              <w:rPr>
                <w:rFonts w:cs="Times New Roman"/>
                <w:sz w:val="22"/>
                <w:szCs w:val="22"/>
              </w:rPr>
              <w:t>43</w:t>
            </w:r>
          </w:p>
        </w:tc>
        <w:tc>
          <w:tcPr>
            <w:tcW w:w="429" w:type="pct"/>
            <w:vAlign w:val="center"/>
          </w:tcPr>
          <w:p>
            <w:pPr>
              <w:pStyle w:val="105"/>
              <w:jc w:val="center"/>
              <w:rPr>
                <w:sz w:val="18"/>
                <w:szCs w:val="18"/>
              </w:rPr>
            </w:pPr>
            <w:r>
              <w:rPr>
                <w:rFonts w:cs="Times New Roman"/>
                <w:sz w:val="22"/>
                <w:szCs w:val="22"/>
              </w:rPr>
              <w:t>181</w:t>
            </w:r>
          </w:p>
        </w:tc>
        <w:tc>
          <w:tcPr>
            <w:tcW w:w="429" w:type="pct"/>
            <w:vAlign w:val="center"/>
          </w:tcPr>
          <w:p>
            <w:pPr>
              <w:pStyle w:val="105"/>
              <w:jc w:val="center"/>
              <w:rPr>
                <w:sz w:val="18"/>
                <w:szCs w:val="18"/>
              </w:rPr>
            </w:pPr>
            <w:r>
              <w:rPr>
                <w:rFonts w:cs="Times New Roman"/>
                <w:sz w:val="22"/>
                <w:szCs w:val="22"/>
              </w:rPr>
              <w:t>296</w:t>
            </w:r>
          </w:p>
        </w:tc>
        <w:tc>
          <w:tcPr>
            <w:tcW w:w="429" w:type="pct"/>
            <w:vAlign w:val="center"/>
          </w:tcPr>
          <w:p>
            <w:pPr>
              <w:pStyle w:val="105"/>
              <w:jc w:val="center"/>
              <w:rPr>
                <w:sz w:val="18"/>
                <w:szCs w:val="18"/>
              </w:rPr>
            </w:pPr>
            <w:r>
              <w:rPr>
                <w:rFonts w:cs="Times New Roman"/>
                <w:sz w:val="22"/>
                <w:szCs w:val="22"/>
              </w:rPr>
              <w:t>52</w:t>
            </w:r>
          </w:p>
        </w:tc>
        <w:tc>
          <w:tcPr>
            <w:tcW w:w="429" w:type="pct"/>
            <w:vAlign w:val="center"/>
          </w:tcPr>
          <w:p>
            <w:pPr>
              <w:pStyle w:val="105"/>
              <w:jc w:val="center"/>
              <w:rPr>
                <w:sz w:val="18"/>
                <w:szCs w:val="18"/>
              </w:rPr>
            </w:pPr>
            <w:r>
              <w:rPr>
                <w:rFonts w:cs="Times New Roman"/>
                <w:sz w:val="22"/>
                <w:szCs w:val="22"/>
              </w:rPr>
              <w:t>215</w:t>
            </w:r>
          </w:p>
        </w:tc>
        <w:tc>
          <w:tcPr>
            <w:tcW w:w="429" w:type="pct"/>
            <w:vAlign w:val="center"/>
          </w:tcPr>
          <w:p>
            <w:pPr>
              <w:pStyle w:val="105"/>
              <w:jc w:val="center"/>
              <w:rPr>
                <w:sz w:val="18"/>
                <w:szCs w:val="18"/>
              </w:rPr>
            </w:pPr>
            <w:r>
              <w:rPr>
                <w:rFonts w:cs="Times New Roman"/>
                <w:sz w:val="22"/>
                <w:szCs w:val="22"/>
              </w:rPr>
              <w:t>351</w:t>
            </w:r>
          </w:p>
        </w:tc>
        <w:tc>
          <w:tcPr>
            <w:tcW w:w="429" w:type="pct"/>
            <w:vAlign w:val="center"/>
          </w:tcPr>
          <w:p>
            <w:pPr>
              <w:pStyle w:val="105"/>
              <w:jc w:val="center"/>
              <w:rPr>
                <w:sz w:val="18"/>
                <w:szCs w:val="18"/>
              </w:rPr>
            </w:pPr>
            <w:r>
              <w:rPr>
                <w:rFonts w:cs="Times New Roman"/>
                <w:sz w:val="22"/>
                <w:szCs w:val="22"/>
              </w:rPr>
              <w:t>61</w:t>
            </w:r>
          </w:p>
        </w:tc>
        <w:tc>
          <w:tcPr>
            <w:tcW w:w="424" w:type="pct"/>
            <w:vAlign w:val="center"/>
          </w:tcPr>
          <w:p>
            <w:pPr>
              <w:pStyle w:val="105"/>
              <w:jc w:val="center"/>
              <w:rPr>
                <w:sz w:val="18"/>
                <w:szCs w:val="18"/>
              </w:rPr>
            </w:pPr>
            <w:r>
              <w:rPr>
                <w:rFonts w:cs="Times New Roman"/>
                <w:sz w:val="22"/>
                <w:szCs w:val="22"/>
              </w:rPr>
              <w:t>255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573" w:type="pct"/>
            <w:vMerge w:val="continue"/>
            <w:vAlign w:val="center"/>
          </w:tcPr>
          <w:p>
            <w:pPr>
              <w:pStyle w:val="105"/>
              <w:jc w:val="center"/>
            </w:pPr>
          </w:p>
        </w:tc>
        <w:tc>
          <w:tcPr>
            <w:tcW w:w="572" w:type="pct"/>
            <w:vAlign w:val="center"/>
          </w:tcPr>
          <w:p>
            <w:pPr>
              <w:pStyle w:val="105"/>
              <w:jc w:val="center"/>
            </w:pPr>
            <w:r>
              <w:rPr>
                <w:rFonts w:hint="eastAsia"/>
              </w:rPr>
              <w:t>中</w:t>
            </w:r>
            <w:r>
              <w:t>型</w:t>
            </w:r>
            <w:r>
              <w:rPr>
                <w:rFonts w:hint="eastAsia"/>
              </w:rPr>
              <w:t>车</w:t>
            </w:r>
          </w:p>
        </w:tc>
        <w:tc>
          <w:tcPr>
            <w:tcW w:w="429" w:type="pct"/>
            <w:vAlign w:val="center"/>
          </w:tcPr>
          <w:p>
            <w:pPr>
              <w:pStyle w:val="105"/>
              <w:jc w:val="center"/>
              <w:rPr>
                <w:sz w:val="18"/>
                <w:szCs w:val="18"/>
              </w:rPr>
            </w:pPr>
            <w:r>
              <w:rPr>
                <w:rFonts w:cs="Times New Roman"/>
                <w:sz w:val="22"/>
                <w:szCs w:val="22"/>
              </w:rPr>
              <w:t>23</w:t>
            </w:r>
          </w:p>
        </w:tc>
        <w:tc>
          <w:tcPr>
            <w:tcW w:w="429" w:type="pct"/>
            <w:vAlign w:val="center"/>
          </w:tcPr>
          <w:p>
            <w:pPr>
              <w:pStyle w:val="105"/>
              <w:jc w:val="center"/>
              <w:rPr>
                <w:sz w:val="18"/>
                <w:szCs w:val="18"/>
              </w:rPr>
            </w:pPr>
            <w:r>
              <w:rPr>
                <w:rFonts w:cs="Times New Roman"/>
                <w:sz w:val="22"/>
                <w:szCs w:val="22"/>
              </w:rPr>
              <w:t>4</w:t>
            </w:r>
          </w:p>
        </w:tc>
        <w:tc>
          <w:tcPr>
            <w:tcW w:w="429" w:type="pct"/>
            <w:vAlign w:val="center"/>
          </w:tcPr>
          <w:p>
            <w:pPr>
              <w:pStyle w:val="105"/>
              <w:jc w:val="center"/>
              <w:rPr>
                <w:sz w:val="18"/>
                <w:szCs w:val="18"/>
              </w:rPr>
            </w:pPr>
            <w:r>
              <w:rPr>
                <w:rFonts w:cs="Times New Roman"/>
                <w:sz w:val="22"/>
                <w:szCs w:val="22"/>
              </w:rPr>
              <w:t>16</w:t>
            </w:r>
          </w:p>
        </w:tc>
        <w:tc>
          <w:tcPr>
            <w:tcW w:w="429" w:type="pct"/>
            <w:vAlign w:val="center"/>
          </w:tcPr>
          <w:p>
            <w:pPr>
              <w:pStyle w:val="105"/>
              <w:jc w:val="center"/>
              <w:rPr>
                <w:sz w:val="18"/>
                <w:szCs w:val="18"/>
              </w:rPr>
            </w:pPr>
            <w:r>
              <w:rPr>
                <w:rFonts w:cs="Times New Roman"/>
                <w:sz w:val="22"/>
                <w:szCs w:val="22"/>
              </w:rPr>
              <w:t>23</w:t>
            </w:r>
          </w:p>
        </w:tc>
        <w:tc>
          <w:tcPr>
            <w:tcW w:w="429" w:type="pct"/>
            <w:vAlign w:val="center"/>
          </w:tcPr>
          <w:p>
            <w:pPr>
              <w:pStyle w:val="105"/>
              <w:jc w:val="center"/>
              <w:rPr>
                <w:sz w:val="18"/>
                <w:szCs w:val="18"/>
              </w:rPr>
            </w:pPr>
            <w:r>
              <w:rPr>
                <w:rFonts w:cs="Times New Roman"/>
                <w:sz w:val="22"/>
                <w:szCs w:val="22"/>
              </w:rPr>
              <w:t>4</w:t>
            </w:r>
          </w:p>
        </w:tc>
        <w:tc>
          <w:tcPr>
            <w:tcW w:w="429" w:type="pct"/>
            <w:vAlign w:val="center"/>
          </w:tcPr>
          <w:p>
            <w:pPr>
              <w:pStyle w:val="105"/>
              <w:jc w:val="center"/>
              <w:rPr>
                <w:sz w:val="18"/>
                <w:szCs w:val="18"/>
              </w:rPr>
            </w:pPr>
            <w:r>
              <w:rPr>
                <w:rFonts w:cs="Times New Roman"/>
                <w:sz w:val="22"/>
                <w:szCs w:val="22"/>
              </w:rPr>
              <w:t>17</w:t>
            </w:r>
          </w:p>
        </w:tc>
        <w:tc>
          <w:tcPr>
            <w:tcW w:w="429" w:type="pct"/>
            <w:vAlign w:val="center"/>
          </w:tcPr>
          <w:p>
            <w:pPr>
              <w:pStyle w:val="105"/>
              <w:jc w:val="center"/>
              <w:rPr>
                <w:sz w:val="18"/>
                <w:szCs w:val="18"/>
              </w:rPr>
            </w:pPr>
            <w:r>
              <w:rPr>
                <w:rFonts w:cs="Times New Roman"/>
                <w:sz w:val="22"/>
                <w:szCs w:val="22"/>
              </w:rPr>
              <w:t>21</w:t>
            </w:r>
          </w:p>
        </w:tc>
        <w:tc>
          <w:tcPr>
            <w:tcW w:w="429" w:type="pct"/>
            <w:vAlign w:val="center"/>
          </w:tcPr>
          <w:p>
            <w:pPr>
              <w:pStyle w:val="105"/>
              <w:jc w:val="center"/>
              <w:rPr>
                <w:sz w:val="18"/>
                <w:szCs w:val="18"/>
              </w:rPr>
            </w:pPr>
            <w:r>
              <w:rPr>
                <w:rFonts w:cs="Times New Roman"/>
                <w:sz w:val="22"/>
                <w:szCs w:val="22"/>
              </w:rPr>
              <w:t>4</w:t>
            </w:r>
          </w:p>
        </w:tc>
        <w:tc>
          <w:tcPr>
            <w:tcW w:w="424" w:type="pct"/>
            <w:vAlign w:val="center"/>
          </w:tcPr>
          <w:p>
            <w:pPr>
              <w:pStyle w:val="105"/>
              <w:jc w:val="center"/>
              <w:rPr>
                <w:sz w:val="18"/>
                <w:szCs w:val="18"/>
              </w:rPr>
            </w:pPr>
            <w:r>
              <w:rPr>
                <w:rFonts w:cs="Times New Roman"/>
                <w:sz w:val="22"/>
                <w:szCs w:val="22"/>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573" w:type="pct"/>
            <w:vMerge w:val="continue"/>
            <w:vAlign w:val="center"/>
          </w:tcPr>
          <w:p>
            <w:pPr>
              <w:pStyle w:val="105"/>
              <w:jc w:val="center"/>
            </w:pPr>
          </w:p>
        </w:tc>
        <w:tc>
          <w:tcPr>
            <w:tcW w:w="572" w:type="pct"/>
            <w:vAlign w:val="center"/>
          </w:tcPr>
          <w:p>
            <w:pPr>
              <w:pStyle w:val="105"/>
              <w:jc w:val="center"/>
            </w:pPr>
            <w:r>
              <w:rPr>
                <w:rFonts w:hint="eastAsia"/>
              </w:rPr>
              <w:t>大</w:t>
            </w:r>
            <w:r>
              <w:t>型</w:t>
            </w:r>
            <w:r>
              <w:rPr>
                <w:rFonts w:hint="eastAsia"/>
              </w:rPr>
              <w:t>车</w:t>
            </w:r>
          </w:p>
        </w:tc>
        <w:tc>
          <w:tcPr>
            <w:tcW w:w="429" w:type="pct"/>
            <w:vAlign w:val="center"/>
          </w:tcPr>
          <w:p>
            <w:pPr>
              <w:pStyle w:val="105"/>
              <w:jc w:val="center"/>
              <w:rPr>
                <w:sz w:val="18"/>
                <w:szCs w:val="18"/>
              </w:rPr>
            </w:pPr>
            <w:r>
              <w:rPr>
                <w:rFonts w:cs="Times New Roman"/>
                <w:sz w:val="22"/>
                <w:szCs w:val="22"/>
              </w:rPr>
              <w:t>21</w:t>
            </w:r>
          </w:p>
        </w:tc>
        <w:tc>
          <w:tcPr>
            <w:tcW w:w="429" w:type="pct"/>
            <w:vAlign w:val="center"/>
          </w:tcPr>
          <w:p>
            <w:pPr>
              <w:pStyle w:val="105"/>
              <w:jc w:val="center"/>
              <w:rPr>
                <w:sz w:val="18"/>
                <w:szCs w:val="18"/>
              </w:rPr>
            </w:pPr>
            <w:r>
              <w:rPr>
                <w:rFonts w:cs="Times New Roman"/>
                <w:sz w:val="22"/>
                <w:szCs w:val="22"/>
              </w:rPr>
              <w:t>4</w:t>
            </w:r>
          </w:p>
        </w:tc>
        <w:tc>
          <w:tcPr>
            <w:tcW w:w="429" w:type="pct"/>
            <w:vAlign w:val="center"/>
          </w:tcPr>
          <w:p>
            <w:pPr>
              <w:pStyle w:val="105"/>
              <w:jc w:val="center"/>
              <w:rPr>
                <w:sz w:val="18"/>
                <w:szCs w:val="18"/>
              </w:rPr>
            </w:pPr>
            <w:r>
              <w:rPr>
                <w:rFonts w:cs="Times New Roman"/>
                <w:sz w:val="22"/>
                <w:szCs w:val="22"/>
              </w:rPr>
              <w:t>16</w:t>
            </w:r>
          </w:p>
        </w:tc>
        <w:tc>
          <w:tcPr>
            <w:tcW w:w="429" w:type="pct"/>
            <w:vAlign w:val="center"/>
          </w:tcPr>
          <w:p>
            <w:pPr>
              <w:pStyle w:val="105"/>
              <w:jc w:val="center"/>
              <w:rPr>
                <w:sz w:val="18"/>
                <w:szCs w:val="18"/>
              </w:rPr>
            </w:pPr>
            <w:r>
              <w:rPr>
                <w:rFonts w:cs="Times New Roman"/>
                <w:sz w:val="22"/>
                <w:szCs w:val="22"/>
              </w:rPr>
              <w:t>23</w:t>
            </w:r>
          </w:p>
        </w:tc>
        <w:tc>
          <w:tcPr>
            <w:tcW w:w="429" w:type="pct"/>
            <w:vAlign w:val="center"/>
          </w:tcPr>
          <w:p>
            <w:pPr>
              <w:pStyle w:val="105"/>
              <w:jc w:val="center"/>
              <w:rPr>
                <w:sz w:val="18"/>
                <w:szCs w:val="18"/>
              </w:rPr>
            </w:pPr>
            <w:r>
              <w:rPr>
                <w:rFonts w:cs="Times New Roman"/>
                <w:sz w:val="22"/>
                <w:szCs w:val="22"/>
              </w:rPr>
              <w:t>4</w:t>
            </w:r>
          </w:p>
        </w:tc>
        <w:tc>
          <w:tcPr>
            <w:tcW w:w="429" w:type="pct"/>
            <w:vAlign w:val="center"/>
          </w:tcPr>
          <w:p>
            <w:pPr>
              <w:pStyle w:val="105"/>
              <w:jc w:val="center"/>
              <w:rPr>
                <w:sz w:val="18"/>
                <w:szCs w:val="18"/>
              </w:rPr>
            </w:pPr>
            <w:r>
              <w:rPr>
                <w:rFonts w:cs="Times New Roman"/>
                <w:sz w:val="22"/>
                <w:szCs w:val="22"/>
              </w:rPr>
              <w:t>17</w:t>
            </w:r>
          </w:p>
        </w:tc>
        <w:tc>
          <w:tcPr>
            <w:tcW w:w="429" w:type="pct"/>
            <w:vAlign w:val="center"/>
          </w:tcPr>
          <w:p>
            <w:pPr>
              <w:pStyle w:val="105"/>
              <w:jc w:val="center"/>
              <w:rPr>
                <w:sz w:val="18"/>
                <w:szCs w:val="18"/>
              </w:rPr>
            </w:pPr>
            <w:r>
              <w:rPr>
                <w:rFonts w:cs="Times New Roman"/>
                <w:sz w:val="22"/>
                <w:szCs w:val="22"/>
              </w:rPr>
              <w:t>23</w:t>
            </w:r>
          </w:p>
        </w:tc>
        <w:tc>
          <w:tcPr>
            <w:tcW w:w="429" w:type="pct"/>
            <w:vAlign w:val="center"/>
          </w:tcPr>
          <w:p>
            <w:pPr>
              <w:pStyle w:val="105"/>
              <w:jc w:val="center"/>
              <w:rPr>
                <w:sz w:val="18"/>
                <w:szCs w:val="18"/>
              </w:rPr>
            </w:pPr>
            <w:r>
              <w:rPr>
                <w:rFonts w:cs="Times New Roman"/>
                <w:sz w:val="22"/>
                <w:szCs w:val="22"/>
              </w:rPr>
              <w:t>4</w:t>
            </w:r>
          </w:p>
        </w:tc>
        <w:tc>
          <w:tcPr>
            <w:tcW w:w="424" w:type="pct"/>
            <w:vAlign w:val="center"/>
          </w:tcPr>
          <w:p>
            <w:pPr>
              <w:pStyle w:val="105"/>
              <w:jc w:val="center"/>
              <w:rPr>
                <w:sz w:val="18"/>
                <w:szCs w:val="18"/>
              </w:rPr>
            </w:pPr>
            <w:r>
              <w:rPr>
                <w:rFonts w:cs="Times New Roman"/>
                <w:sz w:val="22"/>
                <w:szCs w:val="22"/>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573" w:type="pct"/>
            <w:vMerge w:val="continue"/>
            <w:vAlign w:val="center"/>
          </w:tcPr>
          <w:p>
            <w:pPr>
              <w:pStyle w:val="105"/>
              <w:jc w:val="center"/>
            </w:pPr>
          </w:p>
        </w:tc>
        <w:tc>
          <w:tcPr>
            <w:tcW w:w="572" w:type="pct"/>
            <w:vAlign w:val="center"/>
          </w:tcPr>
          <w:p>
            <w:pPr>
              <w:pStyle w:val="105"/>
              <w:jc w:val="center"/>
            </w:pPr>
            <w:r>
              <w:rPr>
                <w:rFonts w:hint="eastAsia"/>
              </w:rPr>
              <w:t>合计</w:t>
            </w:r>
          </w:p>
        </w:tc>
        <w:tc>
          <w:tcPr>
            <w:tcW w:w="429" w:type="pct"/>
            <w:vAlign w:val="center"/>
          </w:tcPr>
          <w:p>
            <w:pPr>
              <w:pStyle w:val="105"/>
              <w:jc w:val="center"/>
              <w:rPr>
                <w:sz w:val="18"/>
                <w:szCs w:val="18"/>
              </w:rPr>
            </w:pPr>
            <w:r>
              <w:rPr>
                <w:rFonts w:cs="Times New Roman"/>
                <w:sz w:val="22"/>
                <w:szCs w:val="22"/>
              </w:rPr>
              <w:t>293</w:t>
            </w:r>
          </w:p>
        </w:tc>
        <w:tc>
          <w:tcPr>
            <w:tcW w:w="429" w:type="pct"/>
            <w:vAlign w:val="center"/>
          </w:tcPr>
          <w:p>
            <w:pPr>
              <w:pStyle w:val="105"/>
              <w:jc w:val="center"/>
              <w:rPr>
                <w:sz w:val="18"/>
                <w:szCs w:val="18"/>
              </w:rPr>
            </w:pPr>
            <w:r>
              <w:rPr>
                <w:rFonts w:cs="Times New Roman"/>
                <w:sz w:val="22"/>
                <w:szCs w:val="22"/>
              </w:rPr>
              <w:t>51</w:t>
            </w:r>
          </w:p>
        </w:tc>
        <w:tc>
          <w:tcPr>
            <w:tcW w:w="429" w:type="pct"/>
            <w:vAlign w:val="center"/>
          </w:tcPr>
          <w:p>
            <w:pPr>
              <w:pStyle w:val="105"/>
              <w:jc w:val="center"/>
              <w:rPr>
                <w:sz w:val="18"/>
                <w:szCs w:val="18"/>
              </w:rPr>
            </w:pPr>
            <w:r>
              <w:rPr>
                <w:rFonts w:cs="Times New Roman"/>
                <w:sz w:val="22"/>
                <w:szCs w:val="22"/>
              </w:rPr>
              <w:t>213</w:t>
            </w:r>
          </w:p>
        </w:tc>
        <w:tc>
          <w:tcPr>
            <w:tcW w:w="429" w:type="pct"/>
            <w:vAlign w:val="center"/>
          </w:tcPr>
          <w:p>
            <w:pPr>
              <w:pStyle w:val="105"/>
              <w:jc w:val="center"/>
              <w:rPr>
                <w:sz w:val="18"/>
                <w:szCs w:val="18"/>
              </w:rPr>
            </w:pPr>
            <w:r>
              <w:rPr>
                <w:rFonts w:cs="Times New Roman"/>
                <w:sz w:val="22"/>
                <w:szCs w:val="22"/>
              </w:rPr>
              <w:t>343</w:t>
            </w:r>
          </w:p>
        </w:tc>
        <w:tc>
          <w:tcPr>
            <w:tcW w:w="429" w:type="pct"/>
            <w:vAlign w:val="center"/>
          </w:tcPr>
          <w:p>
            <w:pPr>
              <w:pStyle w:val="105"/>
              <w:jc w:val="center"/>
              <w:rPr>
                <w:sz w:val="18"/>
                <w:szCs w:val="18"/>
              </w:rPr>
            </w:pPr>
            <w:r>
              <w:rPr>
                <w:rFonts w:cs="Times New Roman"/>
                <w:sz w:val="22"/>
                <w:szCs w:val="22"/>
              </w:rPr>
              <w:t>60</w:t>
            </w:r>
          </w:p>
        </w:tc>
        <w:tc>
          <w:tcPr>
            <w:tcW w:w="429" w:type="pct"/>
            <w:vAlign w:val="center"/>
          </w:tcPr>
          <w:p>
            <w:pPr>
              <w:pStyle w:val="105"/>
              <w:jc w:val="center"/>
              <w:rPr>
                <w:sz w:val="18"/>
                <w:szCs w:val="18"/>
              </w:rPr>
            </w:pPr>
            <w:r>
              <w:rPr>
                <w:rFonts w:cs="Times New Roman"/>
                <w:sz w:val="22"/>
                <w:szCs w:val="22"/>
              </w:rPr>
              <w:t>248</w:t>
            </w:r>
          </w:p>
        </w:tc>
        <w:tc>
          <w:tcPr>
            <w:tcW w:w="429" w:type="pct"/>
            <w:vAlign w:val="center"/>
          </w:tcPr>
          <w:p>
            <w:pPr>
              <w:pStyle w:val="105"/>
              <w:jc w:val="center"/>
              <w:rPr>
                <w:sz w:val="18"/>
                <w:szCs w:val="18"/>
              </w:rPr>
            </w:pPr>
            <w:r>
              <w:rPr>
                <w:rFonts w:cs="Times New Roman"/>
                <w:sz w:val="22"/>
                <w:szCs w:val="22"/>
              </w:rPr>
              <w:t>395</w:t>
            </w:r>
          </w:p>
        </w:tc>
        <w:tc>
          <w:tcPr>
            <w:tcW w:w="429" w:type="pct"/>
            <w:vAlign w:val="center"/>
          </w:tcPr>
          <w:p>
            <w:pPr>
              <w:pStyle w:val="105"/>
              <w:jc w:val="center"/>
              <w:rPr>
                <w:sz w:val="18"/>
                <w:szCs w:val="18"/>
              </w:rPr>
            </w:pPr>
            <w:r>
              <w:rPr>
                <w:rFonts w:cs="Times New Roman"/>
                <w:sz w:val="22"/>
                <w:szCs w:val="22"/>
              </w:rPr>
              <w:t>69</w:t>
            </w:r>
          </w:p>
        </w:tc>
        <w:tc>
          <w:tcPr>
            <w:tcW w:w="424" w:type="pct"/>
            <w:vAlign w:val="center"/>
          </w:tcPr>
          <w:p>
            <w:pPr>
              <w:pStyle w:val="105"/>
              <w:jc w:val="center"/>
              <w:rPr>
                <w:sz w:val="18"/>
                <w:szCs w:val="18"/>
              </w:rPr>
            </w:pPr>
            <w:r>
              <w:rPr>
                <w:rFonts w:cs="Times New Roman"/>
                <w:sz w:val="22"/>
                <w:szCs w:val="22"/>
              </w:rPr>
              <w:t>286</w:t>
            </w:r>
          </w:p>
        </w:tc>
      </w:tr>
      <w:bookmarkEnd w:id="339"/>
    </w:tbl>
    <w:p>
      <w:pPr>
        <w:pStyle w:val="116"/>
      </w:pPr>
      <w:bookmarkStart w:id="342" w:name="_Toc159405466"/>
      <w:bookmarkStart w:id="343" w:name="_Toc204676239"/>
      <w:r>
        <w:rPr>
          <w:rFonts w:hint="eastAsia"/>
        </w:rPr>
        <w:t>工程环境影响及污染源强分析</w:t>
      </w:r>
      <w:bookmarkEnd w:id="342"/>
      <w:bookmarkEnd w:id="343"/>
    </w:p>
    <w:p>
      <w:pPr>
        <w:pStyle w:val="120"/>
        <w:rPr>
          <w:color w:val="auto"/>
        </w:rPr>
      </w:pPr>
      <w:bookmarkStart w:id="344" w:name="_Hlk143418729"/>
      <w:r>
        <w:rPr>
          <w:rFonts w:hint="eastAsia"/>
          <w:color w:val="auto"/>
        </w:rPr>
        <w:t>施工期污染源分析</w:t>
      </w:r>
    </w:p>
    <w:p>
      <w:pPr>
        <w:pStyle w:val="118"/>
      </w:pPr>
      <w:bookmarkStart w:id="345" w:name="_Toc439084120"/>
      <w:r>
        <w:rPr>
          <w:rFonts w:hint="eastAsia"/>
        </w:rPr>
        <w:t>施工期</w:t>
      </w:r>
      <w:r>
        <w:t>废水</w:t>
      </w:r>
      <w:bookmarkEnd w:id="345"/>
    </w:p>
    <w:p>
      <w:pPr>
        <w:ind w:firstLine="480"/>
      </w:pPr>
      <w:r>
        <w:t>（1）施工生活污水</w:t>
      </w:r>
    </w:p>
    <w:p>
      <w:pPr>
        <w:ind w:firstLine="480"/>
      </w:pPr>
      <w:r>
        <w:rPr>
          <w:rFonts w:hint="eastAsia"/>
        </w:rPr>
        <w:t>本项目施工期沿线拟设置</w:t>
      </w:r>
      <w:r>
        <w:t>1</w:t>
      </w:r>
      <w:r>
        <w:rPr>
          <w:rFonts w:hint="eastAsia"/>
        </w:rPr>
        <w:t>个施工场地，主要作为</w:t>
      </w:r>
      <w:r>
        <w:t>建筑材料堆放、钢筋加工、</w:t>
      </w:r>
      <w:r>
        <w:rPr>
          <w:rFonts w:hint="eastAsia"/>
        </w:rPr>
        <w:t>桥梁预制场、施工临时值班房</w:t>
      </w:r>
      <w:r>
        <w:rPr>
          <w:spacing w:val="8"/>
        </w:rPr>
        <w:t>等</w:t>
      </w:r>
      <w:r>
        <w:rPr>
          <w:rFonts w:hint="eastAsia"/>
        </w:rPr>
        <w:t>，项目施工地点距离周边主城区、镇区较近，施工现场不设置集中生活区，施工人员就近租用当地的民房，施工期生活污水利用当地居民排水系统处理。</w:t>
      </w:r>
      <w:r>
        <w:t>施工期平均人数为150人，</w:t>
      </w:r>
      <w:r>
        <w:rPr>
          <w:rFonts w:hint="eastAsia"/>
        </w:rPr>
        <w:t>施工期每人每天平均用水量按1</w:t>
      </w:r>
      <w:r>
        <w:t>0</w:t>
      </w:r>
      <w:r>
        <w:rPr>
          <w:rFonts w:hint="eastAsia"/>
        </w:rPr>
        <w:t>0L/人·d，污水产生量按用水量的80%计，施工期间生活污水产生量为</w:t>
      </w:r>
      <w:r>
        <w:t>12</w:t>
      </w:r>
      <w:r>
        <w:rPr>
          <w:rFonts w:hint="eastAsia"/>
        </w:rPr>
        <w:t>m</w:t>
      </w:r>
      <w:r>
        <w:rPr>
          <w:rFonts w:hint="eastAsia"/>
          <w:vertAlign w:val="superscript"/>
        </w:rPr>
        <w:t>3</w:t>
      </w:r>
      <w:r>
        <w:rPr>
          <w:rFonts w:hint="eastAsia"/>
        </w:rPr>
        <w:t>/d，污水中主要污染因子为SS、COD、NH</w:t>
      </w:r>
      <w:r>
        <w:rPr>
          <w:rFonts w:hint="eastAsia"/>
          <w:vertAlign w:val="subscript"/>
        </w:rPr>
        <w:t>3</w:t>
      </w:r>
      <w:r>
        <w:rPr>
          <w:rFonts w:hint="eastAsia"/>
        </w:rPr>
        <w:t>-N，浓度分别为</w:t>
      </w:r>
      <w:r>
        <w:t>3</w:t>
      </w:r>
      <w:r>
        <w:rPr>
          <w:rFonts w:hint="eastAsia"/>
        </w:rPr>
        <w:t>00mg/L、</w:t>
      </w:r>
      <w:r>
        <w:t>5</w:t>
      </w:r>
      <w:r>
        <w:rPr>
          <w:rFonts w:hint="eastAsia"/>
        </w:rPr>
        <w:t>00mg/L和</w:t>
      </w:r>
      <w:r>
        <w:t>4</w:t>
      </w:r>
      <w:r>
        <w:rPr>
          <w:rFonts w:hint="eastAsia"/>
        </w:rPr>
        <w:t>5mg/L。项目施工场地设有办公区，常驻人员约</w:t>
      </w:r>
      <w:r>
        <w:t>20~30</w:t>
      </w:r>
      <w:r>
        <w:rPr>
          <w:rFonts w:hint="eastAsia"/>
        </w:rPr>
        <w:t>人，</w:t>
      </w:r>
      <w:r>
        <w:t>生活污水产生量为3.0t/d</w:t>
      </w:r>
      <w:r>
        <w:rPr>
          <w:rFonts w:hint="eastAsia"/>
        </w:rPr>
        <w:t>，配套一体化临时化粪池，生活污水经临时化粪池处理后，委托当地村民清运用于肥田，不外排。</w:t>
      </w:r>
    </w:p>
    <w:p>
      <w:pPr>
        <w:ind w:firstLine="480"/>
      </w:pPr>
      <w:r>
        <w:t>（2）施工生产废水</w:t>
      </w:r>
    </w:p>
    <w:p>
      <w:pPr>
        <w:ind w:firstLine="480"/>
      </w:pPr>
      <w:r>
        <w:t>本项目施工期施工生产废水主要来自汽车机械设备冲洗含油废水及水泥混凝土浇筑养护用水等。其中水泥混凝土浇筑养护用水大多被吸收或蒸发，故其废水排放污染可忽略不计。</w:t>
      </w:r>
    </w:p>
    <w:p>
      <w:pPr>
        <w:ind w:firstLine="480"/>
      </w:pPr>
      <w:r>
        <w:t>机械设备冲洗含油废水</w:t>
      </w:r>
      <w:r>
        <w:rPr>
          <w:rFonts w:hint="eastAsia"/>
        </w:rPr>
        <w:t>：在施工期间对施工机械和车辆每天进行一次冲洗，施工高峰期每天冲洗的施工机械和车辆以</w:t>
      </w:r>
      <w:r>
        <w:t>3</w:t>
      </w:r>
      <w:r>
        <w:rPr>
          <w:rFonts w:hint="eastAsia"/>
        </w:rPr>
        <w:t>0辆（台）计，平均每次每辆（台）的冲洗废水量约为0.</w:t>
      </w:r>
      <w:r>
        <w:t>2</w:t>
      </w:r>
      <w:r>
        <w:rPr>
          <w:rFonts w:hint="eastAsia"/>
        </w:rPr>
        <w:t>m</w:t>
      </w:r>
      <w:r>
        <w:rPr>
          <w:rFonts w:hint="eastAsia"/>
          <w:vertAlign w:val="superscript"/>
        </w:rPr>
        <w:t>3</w:t>
      </w:r>
      <w:r>
        <w:rPr>
          <w:rFonts w:hint="eastAsia"/>
        </w:rPr>
        <w:t>，冲洗废水的产生量为</w:t>
      </w:r>
      <w:r>
        <w:t>6</w:t>
      </w:r>
      <w:r>
        <w:rPr>
          <w:rFonts w:hint="eastAsia"/>
        </w:rPr>
        <w:t>m</w:t>
      </w:r>
      <w:r>
        <w:rPr>
          <w:rFonts w:hint="eastAsia"/>
          <w:vertAlign w:val="superscript"/>
        </w:rPr>
        <w:t>3</w:t>
      </w:r>
      <w:r>
        <w:rPr>
          <w:rFonts w:hint="eastAsia"/>
        </w:rPr>
        <w:t>/d。主要污染物为SS和石油类，其中SS浓度可达3000mg/L，石油类可达20mg/L。施工机械冲洗废水隔油沉淀后回用或用于施工场地抑尘洒水、混凝土路面养护用水，不外排。</w:t>
      </w:r>
    </w:p>
    <w:p>
      <w:pPr>
        <w:ind w:firstLine="480"/>
      </w:pPr>
      <w:bookmarkStart w:id="346" w:name="_Hlk143419203"/>
      <w:bookmarkStart w:id="347" w:name="_Hlk142923917"/>
      <w:r>
        <w:rPr>
          <w:rFonts w:hint="eastAsia"/>
        </w:rPr>
        <w:t>混凝土废水</w:t>
      </w:r>
      <w:bookmarkEnd w:id="346"/>
      <w:r>
        <w:rPr>
          <w:rFonts w:hint="eastAsia"/>
        </w:rPr>
        <w:t>：预制场在预制生产过程及制作构件时会有废水产生，其中以混凝土转筒和料罐冲洗废水为主，混凝土生产废水的排放具有悬浮物浓度高、水量小、间歇性集中排放等特点。根据有关资料，污水产生量约3.0m</w:t>
      </w:r>
      <w:r>
        <w:rPr>
          <w:rFonts w:hint="eastAsia"/>
          <w:vertAlign w:val="superscript"/>
        </w:rPr>
        <w:t>3</w:t>
      </w:r>
      <w:r>
        <w:rPr>
          <w:rFonts w:hint="eastAsia"/>
        </w:rPr>
        <w:t>/次，主要污染物为SS，浓度可达到3000～5000mg/L，pH值在12左右，应处理达标后回用于场地洒水降尘，不外排。</w:t>
      </w:r>
    </w:p>
    <w:p>
      <w:pPr>
        <w:ind w:firstLine="480"/>
      </w:pPr>
      <w:bookmarkStart w:id="348" w:name="_Hlk142923622"/>
      <w:r>
        <w:rPr>
          <w:rFonts w:hint="eastAsia"/>
        </w:rPr>
        <w:t>（</w:t>
      </w:r>
      <w:r>
        <w:t>3</w:t>
      </w:r>
      <w:r>
        <w:rPr>
          <w:rFonts w:hint="eastAsia"/>
        </w:rPr>
        <w:t>）</w:t>
      </w:r>
      <w:r>
        <w:t>桥梁施工废水</w:t>
      </w:r>
    </w:p>
    <w:p>
      <w:pPr>
        <w:ind w:firstLine="480"/>
      </w:pPr>
      <w:r>
        <w:rPr>
          <w:rFonts w:hint="eastAsia"/>
        </w:rPr>
        <w:t>工程主线全线设大埔大桥1</w:t>
      </w:r>
      <w:r>
        <w:t>座</w:t>
      </w:r>
      <w:r>
        <w:rPr>
          <w:rFonts w:hint="eastAsia"/>
        </w:rPr>
        <w:t>和枝钟中桥</w:t>
      </w:r>
      <w:r>
        <w:t>1</w:t>
      </w:r>
      <w:r>
        <w:rPr>
          <w:rFonts w:hint="eastAsia"/>
        </w:rPr>
        <w:t>座（大埔大桥在改河后桥梁基础不涉水，枝钟中桥含涉水桥墩）。桥梁上部结构分别采用预制小箱梁、</w:t>
      </w:r>
      <w:r>
        <w:t>PC简支预制空心板</w:t>
      </w:r>
      <w:r>
        <w:rPr>
          <w:rFonts w:hint="eastAsia"/>
        </w:rPr>
        <w:t>，下部采用柱墩桩基础、</w:t>
      </w:r>
      <w:r>
        <w:t>U台柱台</w:t>
      </w:r>
      <w:r>
        <w:rPr>
          <w:rFonts w:hint="eastAsia"/>
        </w:rPr>
        <w:t>。</w:t>
      </w:r>
      <w:r>
        <w:t>桥梁基础施工产生的</w:t>
      </w:r>
      <w:r>
        <w:rPr>
          <w:rFonts w:hint="eastAsia"/>
        </w:rPr>
        <w:t>钻孔泥浆</w:t>
      </w:r>
      <w:r>
        <w:t>、废渣等将会对水体环境造成短暂影响。</w:t>
      </w:r>
      <w:r>
        <w:rPr>
          <w:rFonts w:hint="eastAsia"/>
        </w:rPr>
        <w:t>涉水桥墩</w:t>
      </w:r>
      <w:r>
        <w:t>施工时在围堰内进行，对地表水体可能产生的影响主要来自</w:t>
      </w:r>
      <w:r>
        <w:rPr>
          <w:rFonts w:hint="eastAsia"/>
        </w:rPr>
        <w:t>桥梁基础开挖，</w:t>
      </w:r>
      <w:r>
        <w:t>桩基钻孔、清孔、灌注过程中溢漏的泥浆，其主要污染物为SS。泥浆</w:t>
      </w:r>
      <w:r>
        <w:rPr>
          <w:rFonts w:hint="eastAsia"/>
        </w:rPr>
        <w:t>经</w:t>
      </w:r>
      <w:r>
        <w:t>泵抽至设置于岸边</w:t>
      </w:r>
      <w:r>
        <w:rPr>
          <w:rFonts w:hint="eastAsia"/>
        </w:rPr>
        <w:t>路基内的泥浆循环池</w:t>
      </w:r>
      <w:r>
        <w:t>内，经沉淀后上清液回用</w:t>
      </w:r>
      <w:r>
        <w:rPr>
          <w:rFonts w:hint="eastAsia"/>
        </w:rPr>
        <w:t>，</w:t>
      </w:r>
      <w:r>
        <w:t>沉淀下来的底泥进入干化池干化后</w:t>
      </w:r>
      <w:r>
        <w:rPr>
          <w:rFonts w:hint="eastAsia"/>
        </w:rPr>
        <w:t>与沉渣一起清运至线路填方区做填方利用。施工结束后少量剩余泥浆经pH调节为中性后作为废物收集在泥浆坑中，经沉淀后，少量泥浆废水经中和、沉淀处理后用于周边路基开挖场地洒水抑尘，不排放。</w:t>
      </w:r>
    </w:p>
    <w:p>
      <w:pPr>
        <w:ind w:firstLine="480"/>
      </w:pPr>
      <w:r>
        <w:rPr>
          <w:rFonts w:hint="eastAsia"/>
        </w:rPr>
        <w:t>另外，桥梁</w:t>
      </w:r>
      <w:r>
        <w:t>施工需要在</w:t>
      </w:r>
      <w:r>
        <w:rPr>
          <w:rFonts w:hint="eastAsia"/>
        </w:rPr>
        <w:t>围堰围护</w:t>
      </w:r>
      <w:r>
        <w:t>下进行，围堰</w:t>
      </w:r>
      <w:r>
        <w:rPr>
          <w:rFonts w:hint="eastAsia"/>
        </w:rPr>
        <w:t>可有效阻隔围堰内外水体的交换，施工过程泥沙入河量很低，最大影响范围一般在作业点周围150m范围内。</w:t>
      </w:r>
    </w:p>
    <w:bookmarkEnd w:id="348"/>
    <w:p>
      <w:pPr>
        <w:ind w:firstLine="480"/>
      </w:pPr>
      <w:r>
        <w:rPr>
          <w:rFonts w:hint="eastAsia"/>
        </w:rPr>
        <w:t>（4）改河涵洞施工</w:t>
      </w:r>
    </w:p>
    <w:p>
      <w:pPr>
        <w:ind w:firstLine="480"/>
      </w:pPr>
      <w:r>
        <w:rPr>
          <w:rFonts w:hint="eastAsia"/>
        </w:rPr>
        <w:t>本工程沿线涉及5处改河，1处改渠，及若干处涵洞建设，改河、改渠及涉水涵洞</w:t>
      </w:r>
      <w:r>
        <w:t>施工需要在围堰</w:t>
      </w:r>
      <w:r>
        <w:rPr>
          <w:rFonts w:hint="eastAsia"/>
        </w:rPr>
        <w:t>、导流围护</w:t>
      </w:r>
      <w:r>
        <w:t>下进行，围堰</w:t>
      </w:r>
      <w:r>
        <w:rPr>
          <w:rFonts w:hint="eastAsia"/>
        </w:rPr>
        <w:t>导流</w:t>
      </w:r>
      <w:r>
        <w:t>过程扰动水体，使少部分悬浮物扩散，使附近水体变浑浊。</w:t>
      </w:r>
      <w:r>
        <w:rPr>
          <w:rFonts w:hint="eastAsia"/>
        </w:rPr>
        <w:t>同时围堰修筑及拆除期间，短暂扰动水体，浑浊水流入水体会引起局部河段悬浮物浓度增加。</w:t>
      </w:r>
    </w:p>
    <w:bookmarkEnd w:id="347"/>
    <w:p>
      <w:pPr>
        <w:ind w:firstLine="480"/>
      </w:pPr>
      <w:r>
        <w:t>（5）雨水径流</w:t>
      </w:r>
    </w:p>
    <w:p>
      <w:pPr>
        <w:ind w:firstLine="480"/>
      </w:pPr>
      <w:r>
        <w:t>雨水冲刷施工现场，雨水径流中含有大量悬浮物，需要采取一定的防范措施，减少雨水径流造成的水土流失，而污染附近水体。</w:t>
      </w:r>
    </w:p>
    <w:p>
      <w:pPr>
        <w:pStyle w:val="87"/>
        <w:spacing w:before="120"/>
      </w:pPr>
      <w:r>
        <w:rPr>
          <w:rFonts w:hint="eastAsia"/>
        </w:rPr>
        <w:t>施工期</w:t>
      </w:r>
      <w:r>
        <w:t>废水污染源</w:t>
      </w:r>
    </w:p>
    <w:tbl>
      <w:tblPr>
        <w:tblStyle w:val="53"/>
        <w:tblW w:w="492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1453"/>
        <w:gridCol w:w="1451"/>
        <w:gridCol w:w="53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1270" w:type="pct"/>
            <w:gridSpan w:val="2"/>
            <w:shd w:val="clear" w:color="auto" w:fill="auto"/>
            <w:vAlign w:val="center"/>
          </w:tcPr>
          <w:p>
            <w:pPr>
              <w:pStyle w:val="105"/>
              <w:rPr>
                <w:sz w:val="20"/>
                <w:szCs w:val="24"/>
              </w:rPr>
            </w:pPr>
            <w:r>
              <w:rPr>
                <w:sz w:val="20"/>
                <w:szCs w:val="24"/>
              </w:rPr>
              <w:t>污染源</w:t>
            </w:r>
          </w:p>
        </w:tc>
        <w:tc>
          <w:tcPr>
            <w:tcW w:w="793" w:type="pct"/>
            <w:shd w:val="clear" w:color="auto" w:fill="auto"/>
            <w:vAlign w:val="center"/>
          </w:tcPr>
          <w:p>
            <w:pPr>
              <w:pStyle w:val="105"/>
              <w:rPr>
                <w:sz w:val="20"/>
                <w:szCs w:val="24"/>
              </w:rPr>
            </w:pPr>
            <w:r>
              <w:rPr>
                <w:sz w:val="20"/>
                <w:szCs w:val="24"/>
              </w:rPr>
              <w:t>主要污染因子</w:t>
            </w:r>
          </w:p>
        </w:tc>
        <w:tc>
          <w:tcPr>
            <w:tcW w:w="2937" w:type="pct"/>
            <w:shd w:val="clear" w:color="auto" w:fill="auto"/>
            <w:vAlign w:val="center"/>
          </w:tcPr>
          <w:p>
            <w:pPr>
              <w:pStyle w:val="105"/>
              <w:rPr>
                <w:sz w:val="20"/>
                <w:szCs w:val="24"/>
              </w:rPr>
            </w:pPr>
            <w:r>
              <w:rPr>
                <w:sz w:val="20"/>
                <w:szCs w:val="24"/>
              </w:rPr>
              <w:t>采取的环保措施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476" w:type="pct"/>
            <w:shd w:val="clear" w:color="auto" w:fill="auto"/>
            <w:vAlign w:val="center"/>
          </w:tcPr>
          <w:p>
            <w:pPr>
              <w:pStyle w:val="105"/>
              <w:rPr>
                <w:sz w:val="20"/>
                <w:szCs w:val="24"/>
              </w:rPr>
            </w:pPr>
            <w:r>
              <w:rPr>
                <w:sz w:val="20"/>
                <w:szCs w:val="24"/>
              </w:rPr>
              <w:t>生活污水</w:t>
            </w:r>
          </w:p>
        </w:tc>
        <w:tc>
          <w:tcPr>
            <w:tcW w:w="794" w:type="pct"/>
            <w:shd w:val="clear" w:color="auto" w:fill="auto"/>
            <w:vAlign w:val="center"/>
          </w:tcPr>
          <w:p>
            <w:pPr>
              <w:pStyle w:val="105"/>
              <w:rPr>
                <w:sz w:val="20"/>
                <w:szCs w:val="24"/>
              </w:rPr>
            </w:pPr>
            <w:r>
              <w:rPr>
                <w:rFonts w:hint="eastAsia"/>
                <w:sz w:val="20"/>
                <w:szCs w:val="24"/>
              </w:rPr>
              <w:t>施工沿线、</w:t>
            </w:r>
            <w:r>
              <w:rPr>
                <w:sz w:val="20"/>
                <w:szCs w:val="24"/>
              </w:rPr>
              <w:t>施工场地</w:t>
            </w:r>
          </w:p>
        </w:tc>
        <w:tc>
          <w:tcPr>
            <w:tcW w:w="793" w:type="pct"/>
            <w:shd w:val="clear" w:color="auto" w:fill="auto"/>
            <w:vAlign w:val="center"/>
          </w:tcPr>
          <w:p>
            <w:pPr>
              <w:pStyle w:val="105"/>
              <w:rPr>
                <w:sz w:val="20"/>
                <w:szCs w:val="24"/>
              </w:rPr>
            </w:pPr>
            <w:r>
              <w:rPr>
                <w:sz w:val="20"/>
                <w:szCs w:val="24"/>
              </w:rPr>
              <w:t>COD、</w:t>
            </w:r>
            <w:r>
              <w:rPr>
                <w:rFonts w:hint="eastAsia"/>
                <w:sz w:val="20"/>
                <w:szCs w:val="24"/>
              </w:rPr>
              <w:t>S</w:t>
            </w:r>
            <w:r>
              <w:rPr>
                <w:sz w:val="20"/>
                <w:szCs w:val="24"/>
              </w:rPr>
              <w:t>S</w:t>
            </w:r>
            <w:r>
              <w:rPr>
                <w:rFonts w:hint="eastAsia"/>
                <w:sz w:val="20"/>
                <w:szCs w:val="24"/>
              </w:rPr>
              <w:t>、</w:t>
            </w:r>
            <w:r>
              <w:rPr>
                <w:sz w:val="20"/>
                <w:szCs w:val="24"/>
              </w:rPr>
              <w:t>BOD</w:t>
            </w:r>
            <w:r>
              <w:rPr>
                <w:sz w:val="20"/>
                <w:szCs w:val="24"/>
                <w:vertAlign w:val="subscript"/>
              </w:rPr>
              <w:t>5</w:t>
            </w:r>
            <w:r>
              <w:rPr>
                <w:sz w:val="20"/>
                <w:szCs w:val="24"/>
              </w:rPr>
              <w:t>、NH</w:t>
            </w:r>
            <w:r>
              <w:rPr>
                <w:sz w:val="20"/>
                <w:szCs w:val="24"/>
                <w:vertAlign w:val="subscript"/>
              </w:rPr>
              <w:t>3</w:t>
            </w:r>
            <w:r>
              <w:rPr>
                <w:sz w:val="20"/>
                <w:szCs w:val="24"/>
              </w:rPr>
              <w:t>-N</w:t>
            </w:r>
          </w:p>
        </w:tc>
        <w:tc>
          <w:tcPr>
            <w:tcW w:w="2937" w:type="pct"/>
            <w:shd w:val="clear" w:color="auto" w:fill="auto"/>
            <w:vAlign w:val="center"/>
          </w:tcPr>
          <w:p>
            <w:pPr>
              <w:pStyle w:val="105"/>
              <w:rPr>
                <w:sz w:val="20"/>
                <w:szCs w:val="24"/>
              </w:rPr>
            </w:pPr>
            <w:r>
              <w:rPr>
                <w:sz w:val="20"/>
                <w:szCs w:val="24"/>
              </w:rPr>
              <w:t>生活污水依托当地污水处理设施及排放系统</w:t>
            </w:r>
            <w:r>
              <w:rPr>
                <w:rFonts w:hint="eastAsia"/>
                <w:sz w:val="20"/>
                <w:szCs w:val="24"/>
              </w:rPr>
              <w:t>；施工场地的办公区和临时值班房的生活污水需建设一体化临时化粪池集中处理后，用于肥田。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76" w:type="pct"/>
            <w:vMerge w:val="restart"/>
            <w:shd w:val="clear" w:color="auto" w:fill="auto"/>
            <w:vAlign w:val="center"/>
          </w:tcPr>
          <w:p>
            <w:pPr>
              <w:pStyle w:val="105"/>
              <w:rPr>
                <w:sz w:val="20"/>
                <w:szCs w:val="24"/>
              </w:rPr>
            </w:pPr>
            <w:r>
              <w:rPr>
                <w:sz w:val="20"/>
                <w:szCs w:val="24"/>
              </w:rPr>
              <w:t>生产废水</w:t>
            </w:r>
          </w:p>
        </w:tc>
        <w:tc>
          <w:tcPr>
            <w:tcW w:w="794" w:type="pct"/>
            <w:shd w:val="clear" w:color="auto" w:fill="auto"/>
            <w:vAlign w:val="center"/>
          </w:tcPr>
          <w:p>
            <w:pPr>
              <w:pStyle w:val="105"/>
              <w:rPr>
                <w:sz w:val="20"/>
                <w:szCs w:val="24"/>
              </w:rPr>
            </w:pPr>
            <w:r>
              <w:rPr>
                <w:sz w:val="20"/>
                <w:szCs w:val="24"/>
              </w:rPr>
              <w:t>机械设备冲洗含油废水</w:t>
            </w:r>
          </w:p>
        </w:tc>
        <w:tc>
          <w:tcPr>
            <w:tcW w:w="793" w:type="pct"/>
            <w:shd w:val="clear" w:color="auto" w:fill="auto"/>
            <w:vAlign w:val="center"/>
          </w:tcPr>
          <w:p>
            <w:pPr>
              <w:pStyle w:val="105"/>
              <w:rPr>
                <w:sz w:val="20"/>
                <w:szCs w:val="24"/>
              </w:rPr>
            </w:pPr>
            <w:r>
              <w:rPr>
                <w:rFonts w:hint="eastAsia"/>
                <w:sz w:val="20"/>
                <w:szCs w:val="24"/>
              </w:rPr>
              <w:t>SS、石油类</w:t>
            </w:r>
          </w:p>
        </w:tc>
        <w:tc>
          <w:tcPr>
            <w:tcW w:w="2937" w:type="pct"/>
            <w:shd w:val="clear" w:color="auto" w:fill="auto"/>
            <w:vAlign w:val="center"/>
          </w:tcPr>
          <w:p>
            <w:pPr>
              <w:pStyle w:val="105"/>
              <w:rPr>
                <w:sz w:val="20"/>
                <w:szCs w:val="24"/>
              </w:rPr>
            </w:pPr>
            <w:r>
              <w:rPr>
                <w:rFonts w:hint="eastAsia"/>
                <w:sz w:val="20"/>
                <w:szCs w:val="24"/>
              </w:rPr>
              <w:t>施工机械冲洗废水隔油沉淀后回用或用于施工场地抑尘洒水、混凝土路面养护用水，不外排。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76" w:type="pct"/>
            <w:vMerge w:val="continue"/>
            <w:shd w:val="clear" w:color="auto" w:fill="auto"/>
            <w:vAlign w:val="center"/>
          </w:tcPr>
          <w:p>
            <w:pPr>
              <w:pStyle w:val="105"/>
              <w:rPr>
                <w:sz w:val="20"/>
                <w:szCs w:val="24"/>
              </w:rPr>
            </w:pPr>
          </w:p>
        </w:tc>
        <w:tc>
          <w:tcPr>
            <w:tcW w:w="794" w:type="pct"/>
            <w:shd w:val="clear" w:color="auto" w:fill="auto"/>
            <w:vAlign w:val="center"/>
          </w:tcPr>
          <w:p>
            <w:pPr>
              <w:pStyle w:val="105"/>
              <w:rPr>
                <w:sz w:val="20"/>
                <w:szCs w:val="24"/>
              </w:rPr>
            </w:pPr>
            <w:r>
              <w:rPr>
                <w:rFonts w:hint="eastAsia"/>
                <w:sz w:val="20"/>
                <w:szCs w:val="24"/>
              </w:rPr>
              <w:t>混凝土浇筑冲洗废水</w:t>
            </w:r>
          </w:p>
        </w:tc>
        <w:tc>
          <w:tcPr>
            <w:tcW w:w="793" w:type="pct"/>
            <w:shd w:val="clear" w:color="auto" w:fill="auto"/>
            <w:vAlign w:val="center"/>
          </w:tcPr>
          <w:p>
            <w:pPr>
              <w:pStyle w:val="105"/>
              <w:rPr>
                <w:sz w:val="20"/>
                <w:szCs w:val="24"/>
              </w:rPr>
            </w:pPr>
            <w:r>
              <w:rPr>
                <w:sz w:val="20"/>
                <w:szCs w:val="24"/>
              </w:rPr>
              <w:t>SS</w:t>
            </w:r>
          </w:p>
        </w:tc>
        <w:tc>
          <w:tcPr>
            <w:tcW w:w="2937" w:type="pct"/>
            <w:shd w:val="clear" w:color="auto" w:fill="auto"/>
            <w:vAlign w:val="center"/>
          </w:tcPr>
          <w:p>
            <w:pPr>
              <w:pStyle w:val="105"/>
              <w:rPr>
                <w:sz w:val="20"/>
                <w:szCs w:val="24"/>
              </w:rPr>
            </w:pPr>
            <w:r>
              <w:rPr>
                <w:rFonts w:hint="eastAsia"/>
                <w:sz w:val="20"/>
                <w:szCs w:val="24"/>
              </w:rPr>
              <w:t>在施工场地内设置沉淀池，</w:t>
            </w:r>
            <w:r>
              <w:rPr>
                <w:sz w:val="20"/>
                <w:szCs w:val="24"/>
              </w:rPr>
              <w:t>沉淀后回用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76" w:type="pct"/>
            <w:vMerge w:val="restart"/>
            <w:shd w:val="clear" w:color="auto" w:fill="auto"/>
            <w:vAlign w:val="center"/>
          </w:tcPr>
          <w:p>
            <w:pPr>
              <w:pStyle w:val="105"/>
              <w:rPr>
                <w:sz w:val="20"/>
                <w:szCs w:val="24"/>
              </w:rPr>
            </w:pPr>
            <w:r>
              <w:t>桥梁施工废水</w:t>
            </w:r>
          </w:p>
        </w:tc>
        <w:tc>
          <w:tcPr>
            <w:tcW w:w="794" w:type="pct"/>
            <w:shd w:val="clear" w:color="auto" w:fill="auto"/>
            <w:vAlign w:val="center"/>
          </w:tcPr>
          <w:p>
            <w:pPr>
              <w:pStyle w:val="105"/>
              <w:rPr>
                <w:sz w:val="20"/>
                <w:szCs w:val="24"/>
              </w:rPr>
            </w:pPr>
            <w:r>
              <w:t>泥浆</w:t>
            </w:r>
          </w:p>
        </w:tc>
        <w:tc>
          <w:tcPr>
            <w:tcW w:w="793" w:type="pct"/>
            <w:shd w:val="clear" w:color="auto" w:fill="auto"/>
            <w:vAlign w:val="center"/>
          </w:tcPr>
          <w:p>
            <w:pPr>
              <w:pStyle w:val="105"/>
              <w:rPr>
                <w:sz w:val="20"/>
                <w:szCs w:val="24"/>
              </w:rPr>
            </w:pPr>
            <w:r>
              <w:rPr>
                <w:rFonts w:hint="eastAsia"/>
              </w:rPr>
              <w:t>泥浆废水</w:t>
            </w:r>
          </w:p>
        </w:tc>
        <w:tc>
          <w:tcPr>
            <w:tcW w:w="2937" w:type="pct"/>
            <w:shd w:val="clear" w:color="auto" w:fill="auto"/>
            <w:vAlign w:val="center"/>
          </w:tcPr>
          <w:p>
            <w:pPr>
              <w:pStyle w:val="105"/>
              <w:rPr>
                <w:sz w:val="20"/>
                <w:szCs w:val="24"/>
              </w:rPr>
            </w:pPr>
            <w:r>
              <w:t>泥浆</w:t>
            </w:r>
            <w:r>
              <w:rPr>
                <w:rFonts w:hint="eastAsia"/>
              </w:rPr>
              <w:t>经</w:t>
            </w:r>
            <w:r>
              <w:t>泵抽至设置于岸边</w:t>
            </w:r>
            <w:r>
              <w:rPr>
                <w:rFonts w:hint="eastAsia"/>
              </w:rPr>
              <w:t>路基泥浆</w:t>
            </w:r>
            <w:r>
              <w:t>沉淀池内，经沉淀后上清液回用</w:t>
            </w:r>
            <w:r>
              <w:rPr>
                <w:rFonts w:hint="eastAsia"/>
              </w:rPr>
              <w:t>，施工结束后少量泥浆废水经中和、沉淀处理后用于周边管沟开挖场地洒水抑尘，不排放。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76" w:type="pct"/>
            <w:vMerge w:val="continue"/>
            <w:shd w:val="clear" w:color="auto" w:fill="auto"/>
            <w:vAlign w:val="center"/>
          </w:tcPr>
          <w:p>
            <w:pPr>
              <w:pStyle w:val="105"/>
              <w:rPr>
                <w:sz w:val="20"/>
                <w:szCs w:val="24"/>
              </w:rPr>
            </w:pPr>
          </w:p>
        </w:tc>
        <w:tc>
          <w:tcPr>
            <w:tcW w:w="794" w:type="pct"/>
            <w:shd w:val="clear" w:color="auto" w:fill="auto"/>
            <w:vAlign w:val="center"/>
          </w:tcPr>
          <w:p>
            <w:pPr>
              <w:pStyle w:val="105"/>
              <w:rPr>
                <w:sz w:val="20"/>
                <w:szCs w:val="24"/>
              </w:rPr>
            </w:pPr>
            <w:r>
              <w:rPr>
                <w:rFonts w:hint="eastAsia"/>
              </w:rPr>
              <w:t>桥梁基础</w:t>
            </w:r>
          </w:p>
        </w:tc>
        <w:tc>
          <w:tcPr>
            <w:tcW w:w="793" w:type="pct"/>
            <w:shd w:val="clear" w:color="auto" w:fill="auto"/>
            <w:vAlign w:val="center"/>
          </w:tcPr>
          <w:p>
            <w:pPr>
              <w:pStyle w:val="105"/>
              <w:rPr>
                <w:sz w:val="20"/>
                <w:szCs w:val="24"/>
              </w:rPr>
            </w:pPr>
            <w:r>
              <w:t>SS</w:t>
            </w:r>
          </w:p>
        </w:tc>
        <w:tc>
          <w:tcPr>
            <w:tcW w:w="2937" w:type="pct"/>
            <w:shd w:val="clear" w:color="auto" w:fill="auto"/>
            <w:vAlign w:val="center"/>
          </w:tcPr>
          <w:p>
            <w:pPr>
              <w:pStyle w:val="105"/>
              <w:rPr>
                <w:sz w:val="20"/>
                <w:szCs w:val="24"/>
              </w:rPr>
            </w:pPr>
            <w:r>
              <w:rPr>
                <w:rFonts w:hint="eastAsia"/>
              </w:rPr>
              <w:t>围堰施工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76" w:type="pct"/>
            <w:shd w:val="clear" w:color="auto" w:fill="auto"/>
            <w:vAlign w:val="center"/>
          </w:tcPr>
          <w:p>
            <w:pPr>
              <w:pStyle w:val="105"/>
              <w:rPr>
                <w:sz w:val="20"/>
                <w:szCs w:val="24"/>
              </w:rPr>
            </w:pPr>
            <w:r>
              <w:rPr>
                <w:rFonts w:hint="eastAsia"/>
                <w:sz w:val="20"/>
                <w:szCs w:val="24"/>
              </w:rPr>
              <w:t>改河改渠、涵洞涉水施工</w:t>
            </w:r>
          </w:p>
        </w:tc>
        <w:tc>
          <w:tcPr>
            <w:tcW w:w="794" w:type="pct"/>
            <w:shd w:val="clear" w:color="auto" w:fill="auto"/>
            <w:vAlign w:val="center"/>
          </w:tcPr>
          <w:p>
            <w:pPr>
              <w:pStyle w:val="105"/>
            </w:pPr>
            <w:r>
              <w:rPr>
                <w:rFonts w:hint="eastAsia"/>
                <w:sz w:val="20"/>
                <w:szCs w:val="24"/>
              </w:rPr>
              <w:t>涉水施工</w:t>
            </w:r>
          </w:p>
        </w:tc>
        <w:tc>
          <w:tcPr>
            <w:tcW w:w="793" w:type="pct"/>
            <w:shd w:val="clear" w:color="auto" w:fill="auto"/>
            <w:vAlign w:val="center"/>
          </w:tcPr>
          <w:p>
            <w:pPr>
              <w:pStyle w:val="105"/>
            </w:pPr>
            <w:r>
              <w:t>SS</w:t>
            </w:r>
          </w:p>
        </w:tc>
        <w:tc>
          <w:tcPr>
            <w:tcW w:w="2937" w:type="pct"/>
            <w:shd w:val="clear" w:color="auto" w:fill="auto"/>
            <w:vAlign w:val="center"/>
          </w:tcPr>
          <w:p>
            <w:pPr>
              <w:pStyle w:val="105"/>
            </w:pPr>
            <w:r>
              <w:t>围堰</w:t>
            </w:r>
            <w:r>
              <w:rPr>
                <w:rFonts w:hint="eastAsia"/>
              </w:rPr>
              <w:t>导流</w:t>
            </w:r>
            <w:r>
              <w:t>过程扰动水体，使少部分悬浮物扩散，使附近水体变浑浊。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9" w:hRule="atLeast"/>
        </w:trPr>
        <w:tc>
          <w:tcPr>
            <w:tcW w:w="476" w:type="pct"/>
            <w:shd w:val="clear" w:color="auto" w:fill="auto"/>
            <w:vAlign w:val="center"/>
          </w:tcPr>
          <w:p>
            <w:pPr>
              <w:pStyle w:val="105"/>
              <w:rPr>
                <w:sz w:val="20"/>
                <w:szCs w:val="24"/>
              </w:rPr>
            </w:pPr>
            <w:r>
              <w:rPr>
                <w:rFonts w:hint="eastAsia"/>
                <w:sz w:val="20"/>
                <w:szCs w:val="24"/>
              </w:rPr>
              <w:t>全线施工地表扰动</w:t>
            </w:r>
          </w:p>
        </w:tc>
        <w:tc>
          <w:tcPr>
            <w:tcW w:w="794" w:type="pct"/>
            <w:shd w:val="clear" w:color="auto" w:fill="auto"/>
            <w:vAlign w:val="center"/>
          </w:tcPr>
          <w:p>
            <w:pPr>
              <w:pStyle w:val="105"/>
              <w:rPr>
                <w:sz w:val="20"/>
                <w:szCs w:val="24"/>
              </w:rPr>
            </w:pPr>
            <w:r>
              <w:rPr>
                <w:sz w:val="20"/>
                <w:szCs w:val="24"/>
              </w:rPr>
              <w:t>雨水径流</w:t>
            </w:r>
          </w:p>
        </w:tc>
        <w:tc>
          <w:tcPr>
            <w:tcW w:w="793" w:type="pct"/>
            <w:shd w:val="clear" w:color="auto" w:fill="auto"/>
            <w:vAlign w:val="center"/>
          </w:tcPr>
          <w:p>
            <w:pPr>
              <w:pStyle w:val="105"/>
              <w:rPr>
                <w:sz w:val="20"/>
                <w:szCs w:val="24"/>
              </w:rPr>
            </w:pPr>
            <w:r>
              <w:rPr>
                <w:sz w:val="20"/>
                <w:szCs w:val="24"/>
              </w:rPr>
              <w:t>SS</w:t>
            </w:r>
          </w:p>
        </w:tc>
        <w:tc>
          <w:tcPr>
            <w:tcW w:w="2937" w:type="pct"/>
            <w:shd w:val="clear" w:color="auto" w:fill="auto"/>
            <w:vAlign w:val="center"/>
          </w:tcPr>
          <w:p>
            <w:pPr>
              <w:pStyle w:val="105"/>
              <w:rPr>
                <w:sz w:val="20"/>
                <w:szCs w:val="24"/>
              </w:rPr>
            </w:pPr>
            <w:r>
              <w:rPr>
                <w:rFonts w:hint="eastAsia"/>
                <w:sz w:val="20"/>
                <w:szCs w:val="24"/>
              </w:rPr>
              <w:t>在主体工程区挖填边坡坡脚、施工场地和表土临时堆场周围增设临时排水沟，用于施工期间 排导地表水，并在排水沟出口处设置沉沙池，沉淀泥沙，雨水经沉沙池沉淀后排入 沿线溪沟，最终排入迳江河道。</w:t>
            </w:r>
          </w:p>
        </w:tc>
      </w:tr>
      <w:bookmarkEnd w:id="344"/>
    </w:tbl>
    <w:p>
      <w:pPr>
        <w:pStyle w:val="118"/>
        <w:spacing w:before="240"/>
      </w:pPr>
      <w:r>
        <w:rPr>
          <w:rFonts w:hint="eastAsia"/>
        </w:rPr>
        <w:t>施工期废气</w:t>
      </w:r>
    </w:p>
    <w:p>
      <w:pPr>
        <w:ind w:firstLine="480"/>
      </w:pPr>
      <w:r>
        <w:rPr>
          <w:rFonts w:hint="eastAsia"/>
        </w:rPr>
        <w:t>本项目各类施工场地的主要废气为：</w:t>
      </w:r>
    </w:p>
    <w:p>
      <w:pPr>
        <w:ind w:firstLine="480"/>
      </w:pPr>
      <w:r>
        <w:rPr>
          <w:rFonts w:hint="eastAsia"/>
        </w:rPr>
        <w:t>①沥青路面摊铺产生的沥青烟：主要废气污染物为粉尘、非甲烷总烃、沥青烟、恶臭等。</w:t>
      </w:r>
    </w:p>
    <w:p>
      <w:pPr>
        <w:ind w:firstLine="480"/>
      </w:pPr>
      <w:r>
        <w:rPr>
          <w:rFonts w:hint="eastAsia"/>
        </w:rPr>
        <w:t>②粉尘：在公路施工过程中，沥青路面摊铺，建筑物拆除，材料的装卸、运输和堆放，土石方的开挖和回填等作业过程，上述各环节在受风力的作用下将会对施工现场及周围环境产生粉尘、扬尘污染。另外，运输车辆行驶将产生道路二次扬尘污染。</w:t>
      </w:r>
    </w:p>
    <w:p>
      <w:pPr>
        <w:ind w:firstLine="480"/>
      </w:pPr>
      <w:r>
        <w:rPr>
          <w:rFonts w:hint="eastAsia"/>
        </w:rPr>
        <w:t>③</w:t>
      </w:r>
      <w:r>
        <w:t>设备车辆燃油废气</w:t>
      </w:r>
      <w:r>
        <w:rPr>
          <w:rFonts w:hint="eastAsia"/>
        </w:rPr>
        <w:t>。</w:t>
      </w:r>
    </w:p>
    <w:p>
      <w:pPr>
        <w:ind w:firstLine="480"/>
      </w:pPr>
      <w:r>
        <w:rPr>
          <w:rFonts w:hint="eastAsia"/>
        </w:rPr>
        <w:t>（</w:t>
      </w:r>
      <w:r>
        <w:t>1</w:t>
      </w:r>
      <w:r>
        <w:rPr>
          <w:rFonts w:hint="eastAsia"/>
        </w:rPr>
        <w:t>）沥青路面摊铺废气</w:t>
      </w:r>
    </w:p>
    <w:p>
      <w:pPr>
        <w:ind w:firstLine="480"/>
      </w:pPr>
      <w:r>
        <w:rPr>
          <w:rFonts w:hint="eastAsia"/>
        </w:rPr>
        <w:t>沥青烟气主要出现在沥青熬炼、搅拌和铺设过程中，以熬炼时排放量最大，沥青烟气的主要污染物以THC、TSP和苯并（α）芘为主。本项目不设沥青拌和站，采用商品沥青，因此只有在摊铺过程中会产生少量沥青烟雾，主要污染物为 THC（烃类）、酚和苯并（a）芘以及异味气体。类比同类工程，在沥青摊铺施工点下风向50m外苯并[a]芘浓度低于0.00001mg/m</w:t>
      </w:r>
      <w:r>
        <w:rPr>
          <w:rFonts w:hint="eastAsia"/>
          <w:vertAlign w:val="superscript"/>
        </w:rPr>
        <w:t>3</w:t>
      </w:r>
      <w:r>
        <w:rPr>
          <w:rFonts w:hint="eastAsia"/>
        </w:rPr>
        <w:t>，酚在下风向60m左右≤0.01mg/m</w:t>
      </w:r>
      <w:r>
        <w:rPr>
          <w:rFonts w:hint="eastAsia"/>
          <w:vertAlign w:val="superscript"/>
        </w:rPr>
        <w:t>3</w:t>
      </w:r>
      <w:r>
        <w:rPr>
          <w:rFonts w:hint="eastAsia"/>
        </w:rPr>
        <w:t>，THC浓度在60m左右≤0.16mg/m</w:t>
      </w:r>
      <w:r>
        <w:rPr>
          <w:rFonts w:hint="eastAsia"/>
          <w:vertAlign w:val="superscript"/>
        </w:rPr>
        <w:t>3</w:t>
      </w:r>
      <w:r>
        <w:rPr>
          <w:rFonts w:hint="eastAsia"/>
        </w:rPr>
        <w:t>。其污染影响范围一般在周边外 50m 之内以及在距离下风向 100m 左右。因此，铺浇沥青混凝土路面前，应及时通知附近村民等环境空气敏感对象。</w:t>
      </w:r>
    </w:p>
    <w:p>
      <w:pPr>
        <w:ind w:firstLine="480"/>
      </w:pPr>
      <w:r>
        <w:rPr>
          <w:rFonts w:hint="eastAsia"/>
        </w:rPr>
        <w:t>（</w:t>
      </w:r>
      <w:r>
        <w:t>2</w:t>
      </w:r>
      <w:r>
        <w:rPr>
          <w:rFonts w:hint="eastAsia"/>
        </w:rPr>
        <w:t>）扬尘</w:t>
      </w:r>
    </w:p>
    <w:p>
      <w:pPr>
        <w:ind w:firstLine="480"/>
      </w:pPr>
      <w:r>
        <w:rPr>
          <w:rFonts w:hint="eastAsia"/>
        </w:rPr>
        <w:t>施工过程扬尘主要来自运输扬尘及施工作业点扬尘，材料的运输和堆放分离扬尘。</w:t>
      </w:r>
    </w:p>
    <w:p>
      <w:pPr>
        <w:ind w:firstLine="480"/>
      </w:pPr>
      <w:r>
        <w:rPr>
          <w:rFonts w:hint="eastAsia"/>
        </w:rPr>
        <w:t>①施工作业点扬尘：施工作业点扬尘主要为路基挖填平整、碎石、砂土层铺设、取土产生的扬尘。公路建设一般为多点施工，因此施工粉尘呈多点或面源性质，为无组织排放，在时间和空间上较零散，这些扬尘的排放源为无组织排放的面源，其源强与扬尘颗粒物的粒径大小、比重以及环境风速、湿度等因素有关。风速越大、颗粒越小，沙土的含水率越小，扬尘的产生量就越大。一般情况下施工扬尘的影响范围在200m以内。在扬尘点下风向0～50m为较重污染带、50～100m为污染带、100～200m为轻污染带，200m以外对大气影响甚微。</w:t>
      </w:r>
    </w:p>
    <w:p>
      <w:pPr>
        <w:ind w:firstLine="480"/>
      </w:pPr>
      <w:r>
        <w:rPr>
          <w:rFonts w:hint="eastAsia"/>
        </w:rPr>
        <w:t>②施工期砂石、粉状材料堆放</w:t>
      </w:r>
    </w:p>
    <w:p>
      <w:pPr>
        <w:ind w:firstLine="480"/>
      </w:pPr>
      <w:r>
        <w:rPr>
          <w:rFonts w:hint="eastAsia"/>
        </w:rPr>
        <w:t>砂石料和粉状物料堆存过程中在大风天气下极易起尘，使得堆存场所下风向环境空气中悬浮颗粒物浓度增加，从而对堆存场所下风向环境空气质量造成一定的影响。根据已有资料分析，在大风天气下砂石料和粉状物料起尘对下风向环境空气质量的影响范围约在300m内。</w:t>
      </w:r>
    </w:p>
    <w:p>
      <w:pPr>
        <w:ind w:firstLine="480"/>
      </w:pPr>
      <w:bookmarkStart w:id="349" w:name="_Hlk89352008"/>
      <w:r>
        <w:rPr>
          <w:rFonts w:hint="eastAsia"/>
        </w:rPr>
        <w:t>③运输</w:t>
      </w:r>
      <w:r>
        <w:t>扬尘</w:t>
      </w:r>
      <w:bookmarkEnd w:id="349"/>
    </w:p>
    <w:p>
      <w:pPr>
        <w:ind w:firstLine="480"/>
      </w:pPr>
      <w:bookmarkStart w:id="350" w:name="_Hlk143421249"/>
      <w:r>
        <w:rPr>
          <w:rFonts w:hint="eastAsia"/>
        </w:rPr>
        <w:t>汽车运输也会产生扬尘污染，其扬尘量、粒径大小等与多种因素相关，如路面状况、车辆行驶速度、载重量和天气情况等。其中风速、风向等天气状况直接影响扬尘的传输方向和距离。</w:t>
      </w:r>
      <w:r>
        <w:t>根据</w:t>
      </w:r>
      <w:r>
        <w:rPr>
          <w:rFonts w:hint="eastAsia"/>
        </w:rPr>
        <w:t>某</w:t>
      </w:r>
      <w:r>
        <w:t>施工现场汽车运输引起的扬尘现场检测数据，</w:t>
      </w:r>
      <w:r>
        <w:rPr>
          <w:rFonts w:hint="eastAsia"/>
        </w:rPr>
        <w:t>测定时风速2.6m/s，</w:t>
      </w:r>
      <w:r>
        <w:t>灰土运输车辆下风向50m处TSP的浓度为11.625mg/m</w:t>
      </w:r>
      <w:r>
        <w:rPr>
          <w:vertAlign w:val="superscript"/>
        </w:rPr>
        <w:t>3</w:t>
      </w:r>
      <w:r>
        <w:t>；下风向100m处TSP的浓度为9.69mg/m</w:t>
      </w:r>
      <w:r>
        <w:rPr>
          <w:vertAlign w:val="superscript"/>
        </w:rPr>
        <w:t>3</w:t>
      </w:r>
      <w:r>
        <w:t>；下风向150m处TSP的浓度为5.093mg/m</w:t>
      </w:r>
      <w:r>
        <w:rPr>
          <w:vertAlign w:val="superscript"/>
        </w:rPr>
        <w:t>3</w:t>
      </w:r>
      <w:r>
        <w:t>，超过环境空气质量二级标准。鉴于</w:t>
      </w:r>
      <w:r>
        <w:rPr>
          <w:rFonts w:hint="eastAsia"/>
        </w:rPr>
        <w:t>项目局部路段</w:t>
      </w:r>
      <w:r>
        <w:t>两侧居民点较多，应加强对施工期的</w:t>
      </w:r>
      <w:r>
        <w:rPr>
          <w:rFonts w:hint="eastAsia"/>
        </w:rPr>
        <w:t>环境空气监测</w:t>
      </w:r>
      <w:r>
        <w:t>和运输道路的车辆管理工作，减轻道路扬尘造成的空气污染。</w:t>
      </w:r>
    </w:p>
    <w:bookmarkEnd w:id="350"/>
    <w:p>
      <w:pPr>
        <w:ind w:firstLine="480"/>
      </w:pPr>
      <w:r>
        <w:rPr>
          <w:rFonts w:hint="eastAsia"/>
        </w:rPr>
        <w:t>（3）施工机械尾气</w:t>
      </w:r>
    </w:p>
    <w:p>
      <w:pPr>
        <w:ind w:firstLine="480"/>
      </w:pPr>
      <w:r>
        <w:rPr>
          <w:rFonts w:hint="eastAsia"/>
        </w:rPr>
        <w:t>施工机械、车辆尾气主要来源各类建材、土石方运输车辆以及燃油压路机（路面平整）、燃油推土机（路基处理）等施工机械运行过程</w:t>
      </w:r>
      <w:bookmarkStart w:id="351" w:name="_Hlk143421333"/>
      <w:r>
        <w:rPr>
          <w:rFonts w:hint="eastAsia"/>
        </w:rPr>
        <w:t>，主要污染物有NO</w:t>
      </w:r>
      <w:r>
        <w:rPr>
          <w:rFonts w:hint="eastAsia"/>
          <w:vertAlign w:val="subscript"/>
        </w:rPr>
        <w:t>2</w:t>
      </w:r>
      <w:r>
        <w:rPr>
          <w:rFonts w:hint="eastAsia"/>
        </w:rPr>
        <w:t>、THC等。据类比分析，施工废气污染物影响距离为施工场所下风向</w:t>
      </w:r>
      <w:r>
        <w:t>5</w:t>
      </w:r>
      <w:r>
        <w:rPr>
          <w:rFonts w:hint="eastAsia"/>
        </w:rPr>
        <w:t>0m左右。</w:t>
      </w:r>
    </w:p>
    <w:bookmarkEnd w:id="351"/>
    <w:p>
      <w:pPr>
        <w:pStyle w:val="118"/>
      </w:pPr>
      <w:bookmarkStart w:id="352" w:name="_Hlk143421354"/>
      <w:r>
        <w:rPr>
          <w:rFonts w:hint="eastAsia"/>
        </w:rPr>
        <w:t>施工期噪声</w:t>
      </w:r>
    </w:p>
    <w:p>
      <w:pPr>
        <w:ind w:firstLine="480"/>
      </w:pPr>
      <w:r>
        <w:rPr>
          <w:rFonts w:hint="eastAsia"/>
        </w:rPr>
        <w:t>（1）施工场地噪声源</w:t>
      </w:r>
    </w:p>
    <w:p>
      <w:pPr>
        <w:ind w:firstLine="480"/>
      </w:pPr>
      <w:r>
        <w:rPr>
          <w:rFonts w:hint="eastAsia"/>
        </w:rPr>
        <w:t>施工期噪声来自各种施工作业，主要有筑路机械噪声、车辆运输噪声以及现场处理噪声。在施工现场，随着工程进展，采用不同的机械设备。如在路基阶段采用挖掘机、推土机、平土机和大吨位的装载汽车等；在路面工程中有压路机、摊铺机等。根据地勘结合施工组织设计，本项目K4+860~K5+020段存在大量石方开挖，该路段临近古厝和电塔，为最大程度的减少对敏感点的扰动，石方开挖采用机械裂解。不同施工阶段使用的设备和产生的噪声大小、影响范围都不同。机械噪声与设备本身的功率、工作状态等因素有关。根据</w:t>
      </w:r>
      <w:r>
        <w:t>HJ1358—2024</w:t>
      </w:r>
      <w:r>
        <w:rPr>
          <w:rFonts w:hint="eastAsia"/>
        </w:rPr>
        <w:t>附录</w:t>
      </w:r>
      <w:r>
        <w:t>D</w:t>
      </w:r>
      <w:r>
        <w:rPr>
          <w:rFonts w:hint="eastAsia"/>
        </w:rPr>
        <w:t>，公路工程机械噪声测试值，施工各阶段平均噪声值见</w:t>
      </w:r>
      <w:r>
        <w:fldChar w:fldCharType="begin"/>
      </w:r>
      <w:r>
        <w:instrText xml:space="preserve"> </w:instrText>
      </w:r>
      <w:r>
        <w:rPr>
          <w:rFonts w:hint="eastAsia"/>
        </w:rPr>
        <w:instrText xml:space="preserve">REF _Ref141255741 \r \h</w:instrText>
      </w:r>
      <w:r>
        <w:instrText xml:space="preserve"> </w:instrText>
      </w:r>
      <w:r>
        <w:fldChar w:fldCharType="separate"/>
      </w:r>
      <w:r>
        <w:rPr>
          <w:rFonts w:hint="eastAsia"/>
        </w:rPr>
        <w:t>表3.9-2</w:t>
      </w:r>
      <w:r>
        <w:fldChar w:fldCharType="end"/>
      </w:r>
      <w:r>
        <w:rPr>
          <w:rFonts w:hint="eastAsia"/>
        </w:rPr>
        <w:t>。施工期噪声污染源主要由施工作业机械产生，其特点具有间歇性、高强度和不固定性。</w:t>
      </w:r>
    </w:p>
    <w:p>
      <w:pPr>
        <w:pStyle w:val="87"/>
        <w:spacing w:before="120"/>
      </w:pPr>
      <w:bookmarkStart w:id="353" w:name="_Ref141255741"/>
      <w:r>
        <w:t>公路施工机械噪声测试声级</w:t>
      </w:r>
      <w:bookmarkEnd w:id="353"/>
    </w:p>
    <w:tbl>
      <w:tblPr>
        <w:tblStyle w:val="5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21"/>
        <w:gridCol w:w="3713"/>
        <w:gridCol w:w="26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573" w:type="pct"/>
            <w:vAlign w:val="center"/>
          </w:tcPr>
          <w:p>
            <w:pPr>
              <w:pStyle w:val="105"/>
              <w:jc w:val="center"/>
            </w:pPr>
            <w:r>
              <w:t>机械类型</w:t>
            </w:r>
          </w:p>
        </w:tc>
        <w:tc>
          <w:tcPr>
            <w:tcW w:w="1999" w:type="pct"/>
            <w:vAlign w:val="center"/>
          </w:tcPr>
          <w:p>
            <w:pPr>
              <w:pStyle w:val="105"/>
              <w:jc w:val="center"/>
            </w:pPr>
            <w:r>
              <w:t>测点距施工机械距离</w:t>
            </w:r>
            <w:r>
              <w:rPr>
                <w:rFonts w:hint="eastAsia"/>
              </w:rPr>
              <w:t>（</w:t>
            </w:r>
            <w:r>
              <w:t>m</w:t>
            </w:r>
            <w:r>
              <w:rPr>
                <w:rFonts w:hint="eastAsia"/>
              </w:rPr>
              <w:t>）</w:t>
            </w:r>
          </w:p>
        </w:tc>
        <w:tc>
          <w:tcPr>
            <w:tcW w:w="1428" w:type="pct"/>
            <w:vAlign w:val="center"/>
          </w:tcPr>
          <w:p>
            <w:pPr>
              <w:pStyle w:val="105"/>
              <w:jc w:val="center"/>
            </w:pPr>
            <w:r>
              <w:t>最大声级（dB）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573" w:type="pct"/>
            <w:vAlign w:val="center"/>
          </w:tcPr>
          <w:p>
            <w:pPr>
              <w:pStyle w:val="105"/>
              <w:jc w:val="center"/>
            </w:pPr>
            <w:r>
              <w:t>液压挖掘机</w:t>
            </w:r>
          </w:p>
        </w:tc>
        <w:tc>
          <w:tcPr>
            <w:tcW w:w="1999" w:type="pct"/>
            <w:vAlign w:val="center"/>
          </w:tcPr>
          <w:p>
            <w:pPr>
              <w:pStyle w:val="105"/>
              <w:jc w:val="center"/>
            </w:pPr>
            <w:r>
              <w:t>5</w:t>
            </w:r>
          </w:p>
        </w:tc>
        <w:tc>
          <w:tcPr>
            <w:tcW w:w="1428" w:type="pct"/>
            <w:vAlign w:val="center"/>
          </w:tcPr>
          <w:p>
            <w:pPr>
              <w:pStyle w:val="105"/>
              <w:jc w:val="center"/>
            </w:pPr>
            <w: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573" w:type="pct"/>
            <w:vAlign w:val="center"/>
          </w:tcPr>
          <w:p>
            <w:pPr>
              <w:pStyle w:val="105"/>
              <w:jc w:val="center"/>
            </w:pPr>
            <w:r>
              <w:t>推土机</w:t>
            </w:r>
          </w:p>
        </w:tc>
        <w:tc>
          <w:tcPr>
            <w:tcW w:w="1999" w:type="pct"/>
            <w:vAlign w:val="center"/>
          </w:tcPr>
          <w:p>
            <w:pPr>
              <w:pStyle w:val="105"/>
              <w:jc w:val="center"/>
            </w:pPr>
            <w:r>
              <w:t>5</w:t>
            </w:r>
          </w:p>
        </w:tc>
        <w:tc>
          <w:tcPr>
            <w:tcW w:w="1428" w:type="pct"/>
            <w:vAlign w:val="center"/>
          </w:tcPr>
          <w:p>
            <w:pPr>
              <w:pStyle w:val="105"/>
              <w:jc w:val="center"/>
            </w:pPr>
            <w: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573" w:type="pct"/>
            <w:vAlign w:val="center"/>
          </w:tcPr>
          <w:p>
            <w:pPr>
              <w:pStyle w:val="105"/>
              <w:jc w:val="center"/>
            </w:pPr>
            <w:r>
              <w:rPr>
                <w:rFonts w:hint="eastAsia"/>
              </w:rPr>
              <w:t>移动式发电机</w:t>
            </w:r>
          </w:p>
        </w:tc>
        <w:tc>
          <w:tcPr>
            <w:tcW w:w="1999" w:type="pct"/>
            <w:vAlign w:val="center"/>
          </w:tcPr>
          <w:p>
            <w:pPr>
              <w:pStyle w:val="105"/>
              <w:jc w:val="center"/>
            </w:pPr>
            <w:r>
              <w:rPr>
                <w:rFonts w:hint="eastAsia"/>
              </w:rPr>
              <w:t>5</w:t>
            </w:r>
          </w:p>
        </w:tc>
        <w:tc>
          <w:tcPr>
            <w:tcW w:w="1428" w:type="pct"/>
            <w:vAlign w:val="center"/>
          </w:tcPr>
          <w:p>
            <w:pPr>
              <w:pStyle w:val="105"/>
              <w:jc w:val="center"/>
            </w:pPr>
            <w:r>
              <w:rPr>
                <w:rFonts w:hint="eastAsia"/>
              </w:rPr>
              <w:t>1</w:t>
            </w:r>
            <w: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t>平地机</w:t>
            </w:r>
          </w:p>
        </w:tc>
        <w:tc>
          <w:tcPr>
            <w:tcW w:w="1999" w:type="pct"/>
            <w:vAlign w:val="center"/>
          </w:tcPr>
          <w:p>
            <w:pPr>
              <w:pStyle w:val="105"/>
              <w:jc w:val="center"/>
            </w:pPr>
            <w:r>
              <w:t>5</w:t>
            </w:r>
          </w:p>
        </w:tc>
        <w:tc>
          <w:tcPr>
            <w:tcW w:w="1428" w:type="pct"/>
            <w:vAlign w:val="center"/>
          </w:tcPr>
          <w:p>
            <w:pPr>
              <w:pStyle w:val="105"/>
              <w:jc w:val="center"/>
            </w:pPr>
            <w: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t>振动式压路机</w:t>
            </w:r>
          </w:p>
        </w:tc>
        <w:tc>
          <w:tcPr>
            <w:tcW w:w="1999" w:type="pct"/>
            <w:vAlign w:val="center"/>
          </w:tcPr>
          <w:p>
            <w:pPr>
              <w:pStyle w:val="105"/>
              <w:jc w:val="center"/>
            </w:pPr>
            <w:r>
              <w:t>5</w:t>
            </w:r>
          </w:p>
        </w:tc>
        <w:tc>
          <w:tcPr>
            <w:tcW w:w="1428" w:type="pct"/>
            <w:vAlign w:val="center"/>
          </w:tcPr>
          <w:p>
            <w:pPr>
              <w:pStyle w:val="105"/>
              <w:jc w:val="center"/>
            </w:pPr>
            <w: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t>轮式压路机</w:t>
            </w:r>
          </w:p>
        </w:tc>
        <w:tc>
          <w:tcPr>
            <w:tcW w:w="1999" w:type="pct"/>
            <w:vAlign w:val="center"/>
          </w:tcPr>
          <w:p>
            <w:pPr>
              <w:pStyle w:val="105"/>
              <w:jc w:val="center"/>
            </w:pPr>
            <w:r>
              <w:t>5</w:t>
            </w:r>
          </w:p>
        </w:tc>
        <w:tc>
          <w:tcPr>
            <w:tcW w:w="1428" w:type="pct"/>
            <w:vAlign w:val="center"/>
          </w:tcPr>
          <w:p>
            <w:pPr>
              <w:pStyle w:val="105"/>
              <w:jc w:val="center"/>
            </w:pPr>
            <w: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rPr>
                <w:rFonts w:hint="eastAsia"/>
              </w:rPr>
              <w:t>振动夯锤</w:t>
            </w:r>
          </w:p>
        </w:tc>
        <w:tc>
          <w:tcPr>
            <w:tcW w:w="1999" w:type="pct"/>
            <w:vAlign w:val="center"/>
          </w:tcPr>
          <w:p>
            <w:pPr>
              <w:pStyle w:val="105"/>
              <w:jc w:val="center"/>
            </w:pPr>
            <w:r>
              <w:rPr>
                <w:rFonts w:hint="eastAsia"/>
              </w:rPr>
              <w:t>5</w:t>
            </w:r>
          </w:p>
        </w:tc>
        <w:tc>
          <w:tcPr>
            <w:tcW w:w="1428" w:type="pct"/>
            <w:vAlign w:val="center"/>
          </w:tcPr>
          <w:p>
            <w:pPr>
              <w:pStyle w:val="105"/>
              <w:jc w:val="center"/>
            </w:pPr>
            <w: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rPr>
                <w:rFonts w:hint="eastAsia"/>
              </w:rPr>
              <w:t>风镐</w:t>
            </w:r>
          </w:p>
        </w:tc>
        <w:tc>
          <w:tcPr>
            <w:tcW w:w="1999" w:type="pct"/>
            <w:vAlign w:val="center"/>
          </w:tcPr>
          <w:p>
            <w:pPr>
              <w:pStyle w:val="105"/>
              <w:jc w:val="center"/>
            </w:pPr>
            <w:r>
              <w:rPr>
                <w:rFonts w:hint="eastAsia"/>
              </w:rPr>
              <w:t>5</w:t>
            </w:r>
          </w:p>
        </w:tc>
        <w:tc>
          <w:tcPr>
            <w:tcW w:w="1428" w:type="pct"/>
            <w:vAlign w:val="center"/>
          </w:tcPr>
          <w:p>
            <w:pPr>
              <w:pStyle w:val="105"/>
              <w:jc w:val="center"/>
            </w:pPr>
            <w:r>
              <w:rPr>
                <w:rFonts w:hint="eastAsia"/>
              </w:rPr>
              <w:t>9</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rPr>
                <w:rFonts w:hint="eastAsia"/>
              </w:rPr>
              <w:t>混凝土输送泵</w:t>
            </w:r>
          </w:p>
        </w:tc>
        <w:tc>
          <w:tcPr>
            <w:tcW w:w="1999" w:type="pct"/>
            <w:vAlign w:val="center"/>
          </w:tcPr>
          <w:p>
            <w:pPr>
              <w:pStyle w:val="105"/>
              <w:jc w:val="center"/>
            </w:pPr>
            <w:r>
              <w:rPr>
                <w:rFonts w:hint="eastAsia"/>
              </w:rPr>
              <w:t>5</w:t>
            </w:r>
          </w:p>
        </w:tc>
        <w:tc>
          <w:tcPr>
            <w:tcW w:w="1428" w:type="pct"/>
            <w:vAlign w:val="center"/>
          </w:tcPr>
          <w:p>
            <w:pPr>
              <w:pStyle w:val="105"/>
              <w:jc w:val="center"/>
            </w:pPr>
            <w:r>
              <w:rPr>
                <w:rFonts w:hint="eastAsia"/>
              </w:rPr>
              <w:t>9</w:t>
            </w:r>
            <w: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rPr>
                <w:rFonts w:hint="eastAsia"/>
              </w:rPr>
              <w:t>商砼搅拌车</w:t>
            </w:r>
          </w:p>
        </w:tc>
        <w:tc>
          <w:tcPr>
            <w:tcW w:w="1999" w:type="pct"/>
            <w:vAlign w:val="center"/>
          </w:tcPr>
          <w:p>
            <w:pPr>
              <w:pStyle w:val="105"/>
              <w:jc w:val="center"/>
            </w:pPr>
            <w:r>
              <w:rPr>
                <w:rFonts w:hint="eastAsia"/>
              </w:rPr>
              <w:t>5</w:t>
            </w:r>
          </w:p>
        </w:tc>
        <w:tc>
          <w:tcPr>
            <w:tcW w:w="1428" w:type="pct"/>
            <w:vAlign w:val="center"/>
          </w:tcPr>
          <w:p>
            <w:pPr>
              <w:pStyle w:val="105"/>
              <w:jc w:val="center"/>
            </w:pPr>
            <w:r>
              <w:rPr>
                <w:rFonts w:hint="eastAsia"/>
              </w:rPr>
              <w:t>9</w:t>
            </w: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rPr>
                <w:rFonts w:hint="eastAsia"/>
              </w:rPr>
              <w:t>混凝土振捣器</w:t>
            </w:r>
          </w:p>
        </w:tc>
        <w:tc>
          <w:tcPr>
            <w:tcW w:w="1999" w:type="pct"/>
            <w:vAlign w:val="center"/>
          </w:tcPr>
          <w:p>
            <w:pPr>
              <w:pStyle w:val="105"/>
              <w:jc w:val="center"/>
            </w:pPr>
            <w:r>
              <w:rPr>
                <w:rFonts w:hint="eastAsia"/>
              </w:rPr>
              <w:t>5</w:t>
            </w:r>
          </w:p>
        </w:tc>
        <w:tc>
          <w:tcPr>
            <w:tcW w:w="1428" w:type="pct"/>
            <w:vAlign w:val="center"/>
          </w:tcPr>
          <w:p>
            <w:pPr>
              <w:pStyle w:val="105"/>
              <w:jc w:val="center"/>
            </w:pPr>
            <w: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rPr>
                <w:rFonts w:hint="eastAsia"/>
              </w:rPr>
              <w:t>沥青混凝土搅拌机</w:t>
            </w:r>
          </w:p>
        </w:tc>
        <w:tc>
          <w:tcPr>
            <w:tcW w:w="1999" w:type="pct"/>
            <w:vAlign w:val="center"/>
          </w:tcPr>
          <w:p>
            <w:pPr>
              <w:pStyle w:val="105"/>
              <w:jc w:val="center"/>
            </w:pPr>
            <w:r>
              <w:rPr>
                <w:rFonts w:hint="eastAsia"/>
              </w:rPr>
              <w:t>2</w:t>
            </w:r>
          </w:p>
        </w:tc>
        <w:tc>
          <w:tcPr>
            <w:tcW w:w="1428" w:type="pct"/>
            <w:vAlign w:val="center"/>
          </w:tcPr>
          <w:p>
            <w:pPr>
              <w:pStyle w:val="105"/>
              <w:jc w:val="center"/>
            </w:pPr>
            <w: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t>摊铺机</w:t>
            </w:r>
          </w:p>
        </w:tc>
        <w:tc>
          <w:tcPr>
            <w:tcW w:w="1999" w:type="pct"/>
            <w:vAlign w:val="center"/>
          </w:tcPr>
          <w:p>
            <w:pPr>
              <w:pStyle w:val="105"/>
              <w:jc w:val="center"/>
            </w:pPr>
            <w:r>
              <w:t>5</w:t>
            </w:r>
          </w:p>
        </w:tc>
        <w:tc>
          <w:tcPr>
            <w:tcW w:w="1428" w:type="pct"/>
            <w:vAlign w:val="center"/>
          </w:tcPr>
          <w:p>
            <w:pPr>
              <w:pStyle w:val="105"/>
              <w:jc w:val="center"/>
            </w:pPr>
            <w:r>
              <w:t>82</w:t>
            </w:r>
            <w:r>
              <w:rPr>
                <w:rFonts w:hint="eastAsia"/>
              </w:rPr>
              <w:t>~</w:t>
            </w:r>
            <w:r>
              <w:t>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t>发电机组</w:t>
            </w:r>
          </w:p>
        </w:tc>
        <w:tc>
          <w:tcPr>
            <w:tcW w:w="1999" w:type="pct"/>
            <w:vAlign w:val="center"/>
          </w:tcPr>
          <w:p>
            <w:pPr>
              <w:pStyle w:val="105"/>
              <w:jc w:val="center"/>
            </w:pPr>
            <w:r>
              <w:t>5</w:t>
            </w:r>
          </w:p>
        </w:tc>
        <w:tc>
          <w:tcPr>
            <w:tcW w:w="1428" w:type="pct"/>
            <w:vAlign w:val="center"/>
          </w:tcPr>
          <w:p>
            <w:pPr>
              <w:pStyle w:val="105"/>
              <w:jc w:val="center"/>
            </w:pPr>
            <w: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rPr>
                <w:rFonts w:hint="eastAsia"/>
              </w:rPr>
              <w:t>空压机</w:t>
            </w:r>
          </w:p>
        </w:tc>
        <w:tc>
          <w:tcPr>
            <w:tcW w:w="1999" w:type="pct"/>
            <w:vAlign w:val="center"/>
          </w:tcPr>
          <w:p>
            <w:pPr>
              <w:pStyle w:val="105"/>
              <w:jc w:val="center"/>
            </w:pPr>
            <w:r>
              <w:rPr>
                <w:rFonts w:hint="eastAsia"/>
              </w:rPr>
              <w:t>5</w:t>
            </w:r>
          </w:p>
        </w:tc>
        <w:tc>
          <w:tcPr>
            <w:tcW w:w="1428" w:type="pct"/>
            <w:vAlign w:val="center"/>
          </w:tcPr>
          <w:p>
            <w:pPr>
              <w:pStyle w:val="105"/>
              <w:jc w:val="center"/>
            </w:pPr>
            <w:r>
              <w:rPr>
                <w:rFonts w:hint="eastAsia"/>
              </w:rPr>
              <w:t>9</w:t>
            </w: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3" w:type="pct"/>
            <w:vAlign w:val="center"/>
          </w:tcPr>
          <w:p>
            <w:pPr>
              <w:pStyle w:val="105"/>
              <w:jc w:val="center"/>
            </w:pPr>
            <w:r>
              <w:rPr>
                <w:rFonts w:hint="eastAsia"/>
              </w:rPr>
              <w:t>液压岩石劈裂机</w:t>
            </w:r>
          </w:p>
        </w:tc>
        <w:tc>
          <w:tcPr>
            <w:tcW w:w="1999" w:type="pct"/>
            <w:vAlign w:val="center"/>
          </w:tcPr>
          <w:p>
            <w:pPr>
              <w:pStyle w:val="105"/>
              <w:jc w:val="center"/>
            </w:pPr>
            <w:r>
              <w:rPr>
                <w:rFonts w:hint="eastAsia"/>
              </w:rPr>
              <w:t>5</w:t>
            </w:r>
          </w:p>
        </w:tc>
        <w:tc>
          <w:tcPr>
            <w:tcW w:w="1428" w:type="pct"/>
            <w:vAlign w:val="center"/>
          </w:tcPr>
          <w:p>
            <w:pPr>
              <w:pStyle w:val="105"/>
              <w:jc w:val="center"/>
            </w:pPr>
            <w:r>
              <w:t>90</w:t>
            </w:r>
          </w:p>
        </w:tc>
      </w:tr>
      <w:bookmarkEnd w:id="352"/>
    </w:tbl>
    <w:p>
      <w:pPr>
        <w:pStyle w:val="851"/>
        <w:spacing w:before="120"/>
        <w:ind w:firstLine="480"/>
        <w:rPr>
          <w:color w:val="auto"/>
        </w:rPr>
      </w:pPr>
      <w:r>
        <w:rPr>
          <w:rFonts w:hint="eastAsia"/>
          <w:color w:val="auto"/>
        </w:rPr>
        <w:t>（</w:t>
      </w:r>
      <w:r>
        <w:rPr>
          <w:color w:val="auto"/>
        </w:rPr>
        <w:t>2</w:t>
      </w:r>
      <w:r>
        <w:rPr>
          <w:rFonts w:hint="eastAsia"/>
          <w:color w:val="auto"/>
        </w:rPr>
        <w:t>）车辆运输噪声源</w:t>
      </w:r>
    </w:p>
    <w:p>
      <w:pPr>
        <w:ind w:firstLine="480"/>
      </w:pPr>
      <w:r>
        <w:rPr>
          <w:rFonts w:hint="eastAsia"/>
        </w:rPr>
        <w:t>项目施工期各类建材、土石方运输车辆在运输路线上往返时会产生噪声对周边敏感点产生影响。本项目渣土运送主要利用卡车，根据《环境噪声与振动控制工程技术导则》（HJ2034-2013）。卡车行驶过程噪声源强为82-90dB（A）。</w:t>
      </w:r>
    </w:p>
    <w:p>
      <w:pPr>
        <w:pStyle w:val="118"/>
      </w:pPr>
      <w:r>
        <w:rPr>
          <w:rFonts w:hint="eastAsia"/>
        </w:rPr>
        <w:t>施工期固废</w:t>
      </w:r>
    </w:p>
    <w:p>
      <w:pPr>
        <w:ind w:firstLine="480"/>
      </w:pPr>
      <w:bookmarkStart w:id="354" w:name="_Hlk143425882"/>
      <w:r>
        <w:rPr>
          <w:rFonts w:hint="eastAsia"/>
        </w:rPr>
        <w:t>本项目</w:t>
      </w:r>
      <w:r>
        <w:t>施工期产生的固体废物主要为施工人员生活垃圾</w:t>
      </w:r>
      <w:r>
        <w:rPr>
          <w:rFonts w:hint="eastAsia"/>
        </w:rPr>
        <w:t>、施工场地的</w:t>
      </w:r>
      <w:r>
        <w:t>建筑</w:t>
      </w:r>
      <w:r>
        <w:rPr>
          <w:rFonts w:hint="eastAsia"/>
        </w:rPr>
        <w:t>垃圾</w:t>
      </w:r>
      <w:r>
        <w:t>、施工过程中产生的</w:t>
      </w:r>
      <w:r>
        <w:rPr>
          <w:rFonts w:hint="eastAsia"/>
        </w:rPr>
        <w:t>土石方</w:t>
      </w:r>
      <w:r>
        <w:t>以及拆迁建筑垃圾等。</w:t>
      </w:r>
    </w:p>
    <w:p>
      <w:pPr>
        <w:ind w:firstLine="480"/>
      </w:pPr>
      <w:r>
        <w:t>（</w:t>
      </w:r>
      <w:r>
        <w:rPr>
          <w:rFonts w:hint="eastAsia"/>
        </w:rPr>
        <w:t>1</w:t>
      </w:r>
      <w:r>
        <w:t>）施工人员生活垃圾</w:t>
      </w:r>
      <w:r>
        <w:rPr>
          <w:rFonts w:hint="eastAsia"/>
        </w:rPr>
        <w:t>：本工程施工高峰期施工人员约</w:t>
      </w:r>
      <w:r>
        <w:t>150</w:t>
      </w:r>
      <w:r>
        <w:rPr>
          <w:rFonts w:hint="eastAsia"/>
        </w:rPr>
        <w:t>人，</w:t>
      </w:r>
      <w:r>
        <w:t>按施工人员人均生活垃圾产生量</w:t>
      </w:r>
      <w:r>
        <w:rPr>
          <w:rFonts w:hint="eastAsia"/>
        </w:rPr>
        <w:t>1.0k</w:t>
      </w:r>
      <w:r>
        <w:t>g/人•d计，施工期高峰日均生活垃圾产生量为0.15t/d</w:t>
      </w:r>
      <w:r>
        <w:rPr>
          <w:rFonts w:hint="eastAsia"/>
        </w:rPr>
        <w:t>，据此</w:t>
      </w:r>
      <w:r>
        <w:t>可估算项目</w:t>
      </w:r>
      <w:r>
        <w:rPr>
          <w:rFonts w:hint="eastAsia"/>
        </w:rPr>
        <w:t>施工期</w:t>
      </w:r>
      <w:r>
        <w:t>内（18</w:t>
      </w:r>
      <w:r>
        <w:rPr>
          <w:rFonts w:hint="eastAsia"/>
        </w:rPr>
        <w:t>个月</w:t>
      </w:r>
      <w:r>
        <w:t>）生活垃圾</w:t>
      </w:r>
      <w:r>
        <w:rPr>
          <w:rFonts w:hint="eastAsia"/>
        </w:rPr>
        <w:t>产生量为</w:t>
      </w:r>
      <w:r>
        <w:t>81t，</w:t>
      </w:r>
      <w:r>
        <w:rPr>
          <w:rFonts w:hint="eastAsia"/>
        </w:rPr>
        <w:t>生活垃圾</w:t>
      </w:r>
      <w:r>
        <w:t>分为可降解和不可降解固体废弃物，若不对这些垃圾采取处理措施，将会对沿线生态环境及河流等水环境造成较大的影响。</w:t>
      </w:r>
    </w:p>
    <w:p>
      <w:pPr>
        <w:ind w:firstLine="480"/>
      </w:pPr>
      <w:r>
        <w:t>（2）</w:t>
      </w:r>
      <w:r>
        <w:rPr>
          <w:rFonts w:hint="eastAsia"/>
        </w:rPr>
        <w:t>施工场地建筑垃圾：</w:t>
      </w:r>
      <w:r>
        <w:t>主要是施工中建筑模板、建筑材料下脚料、废钢料、废包装物、废旧设备以及建筑碎片、水泥块、砂石子、废木板等。</w:t>
      </w:r>
    </w:p>
    <w:p>
      <w:pPr>
        <w:ind w:firstLine="480"/>
      </w:pPr>
      <w:r>
        <w:rPr>
          <w:rFonts w:hint="eastAsia"/>
        </w:rPr>
        <w:t>（3）废矿物油：施工机械修理、维护换下来的废油、含油废水经隔油池处理产生的废油等，属于危险废物，类比同类工程，废矿物油的产生量约0.5t/a。</w:t>
      </w:r>
    </w:p>
    <w:p>
      <w:pPr>
        <w:ind w:firstLine="480"/>
      </w:pPr>
      <w:r>
        <w:t>（4）土石方过程中的工程弃渣</w:t>
      </w:r>
      <w:r>
        <w:rPr>
          <w:rFonts w:hint="eastAsia"/>
        </w:rPr>
        <w:t>：</w:t>
      </w:r>
      <w:r>
        <w:t>根据</w:t>
      </w:r>
      <w:r>
        <w:rPr>
          <w:rFonts w:hint="eastAsia"/>
        </w:rPr>
        <w:t>项目水土保持方案结合施工图设计核算，本项目土石方挖填总量63.61万m³，其中挖方总量40.22万m³（含表土1.80万m³），填方总量23.39万m³（含覆土1.80万m³），余方16.</w:t>
      </w:r>
      <w:r>
        <w:t>8</w:t>
      </w:r>
      <w:r>
        <w:rPr>
          <w:rFonts w:hint="eastAsia"/>
        </w:rPr>
        <w:t>3万m³（其中土方</w:t>
      </w:r>
      <w:r>
        <w:t>4.62</w:t>
      </w:r>
      <w:r>
        <w:rPr>
          <w:rFonts w:hint="eastAsia"/>
        </w:rPr>
        <w:t>万m³，石方</w:t>
      </w:r>
      <w:r>
        <w:t>11.41</w:t>
      </w:r>
      <w:r>
        <w:rPr>
          <w:rFonts w:hint="eastAsia"/>
        </w:rPr>
        <w:t>万m³），其中石方</w:t>
      </w:r>
      <w:r>
        <w:t>6.88</w:t>
      </w:r>
      <w:r>
        <w:rPr>
          <w:rFonts w:hint="eastAsia"/>
        </w:rPr>
        <w:t>万m³本工程利用，作为截（排）水沟、沉沙池、挡墙等附属设施的原材料利用；剩余弃方（9</w:t>
      </w:r>
      <w:r>
        <w:t>.95</w:t>
      </w:r>
      <w:r>
        <w:rPr>
          <w:rFonts w:hint="eastAsia"/>
        </w:rPr>
        <w:t>万m³）拟运往福清市城 市管理委员会批准的余方指定堆放点进行综合利用。</w:t>
      </w:r>
    </w:p>
    <w:p>
      <w:pPr>
        <w:ind w:firstLine="480"/>
      </w:pPr>
      <w:r>
        <w:t>（5）拆迁建筑垃圾</w:t>
      </w:r>
      <w:r>
        <w:rPr>
          <w:rFonts w:hint="eastAsia"/>
        </w:rPr>
        <w:t>：</w:t>
      </w:r>
      <w:r>
        <w:t>工程建设需拆迁的</w:t>
      </w:r>
      <w:r>
        <w:rPr>
          <w:rFonts w:hint="eastAsia"/>
        </w:rPr>
        <w:t>房屋</w:t>
      </w:r>
      <w:r>
        <w:rPr>
          <w:rFonts w:hint="eastAsia"/>
          <w:spacing w:val="-2"/>
        </w:rPr>
        <w:t>16555.2</w:t>
      </w:r>
      <w:r>
        <w:rPr>
          <w:rFonts w:eastAsia="Times New Roman"/>
          <w:lang w:val="zh-CN"/>
        </w:rPr>
        <w:t>m</w:t>
      </w:r>
      <w:r>
        <w:rPr>
          <w:rFonts w:eastAsia="Times New Roman"/>
          <w:vertAlign w:val="superscript"/>
          <w:lang w:val="zh-CN"/>
        </w:rPr>
        <w:t>2</w:t>
      </w:r>
      <w:r>
        <w:rPr>
          <w:rFonts w:hint="eastAsia"/>
        </w:rPr>
        <w:t>，围墙</w:t>
      </w:r>
      <w:r>
        <w:rPr>
          <w:rFonts w:hint="eastAsia"/>
          <w:spacing w:val="-2"/>
        </w:rPr>
        <w:t>185</w:t>
      </w:r>
      <w:r>
        <w:rPr>
          <w:rFonts w:hint="eastAsia"/>
        </w:rPr>
        <w:t>m，</w:t>
      </w:r>
      <w:r>
        <w:rPr>
          <w:rFonts w:hint="eastAsia"/>
          <w:spacing w:val="-2"/>
        </w:rPr>
        <w:t>坟墓30座，</w:t>
      </w:r>
      <w:r>
        <w:rPr>
          <w:rFonts w:hint="eastAsia"/>
        </w:rPr>
        <w:t>电力杆</w:t>
      </w:r>
      <w:r>
        <w:t>17</w:t>
      </w:r>
      <w:r>
        <w:rPr>
          <w:rFonts w:hint="eastAsia"/>
        </w:rPr>
        <w:t>根电讯杆</w:t>
      </w:r>
      <w:r>
        <w:t>32</w:t>
      </w:r>
      <w:r>
        <w:rPr>
          <w:rFonts w:hint="eastAsia"/>
        </w:rPr>
        <w:t>根</w:t>
      </w:r>
      <w:r>
        <w:t>。拆迁建筑物以砖混房与土木房为主，本项目产生的建筑垃圾约为2400</w:t>
      </w:r>
      <w:r>
        <w:rPr>
          <w:rFonts w:hint="eastAsia"/>
        </w:rPr>
        <w:t>m³</w:t>
      </w:r>
      <w:r>
        <w:t>，这部分固体废弃物主要成分为钢筋、木头、水泥土块等。</w:t>
      </w:r>
    </w:p>
    <w:bookmarkEnd w:id="354"/>
    <w:p>
      <w:pPr>
        <w:pStyle w:val="120"/>
        <w:rPr>
          <w:color w:val="auto"/>
        </w:rPr>
      </w:pPr>
      <w:bookmarkStart w:id="355" w:name="_Toc439084124"/>
      <w:r>
        <w:rPr>
          <w:color w:val="auto"/>
        </w:rPr>
        <w:t>运营期污染源分析</w:t>
      </w:r>
      <w:bookmarkEnd w:id="355"/>
    </w:p>
    <w:p>
      <w:pPr>
        <w:pStyle w:val="118"/>
      </w:pPr>
      <w:bookmarkStart w:id="356" w:name="_Toc439084125"/>
      <w:r>
        <w:rPr>
          <w:rFonts w:hint="eastAsia"/>
        </w:rPr>
        <w:t>水环境影响</w:t>
      </w:r>
      <w:r>
        <w:t>分析</w:t>
      </w:r>
      <w:bookmarkEnd w:id="356"/>
    </w:p>
    <w:p>
      <w:pPr>
        <w:ind w:firstLine="480"/>
      </w:pPr>
      <w:r>
        <w:t>公路</w:t>
      </w:r>
      <w:r>
        <w:rPr>
          <w:rFonts w:hint="eastAsia"/>
        </w:rPr>
        <w:t>路</w:t>
      </w:r>
      <w:r>
        <w:t>面径流污染物主要是悬浮物、石油类和有机物，污染物浓度受限于多种因素，如车流量、车辆类型、降雨强度、灰尘沉降量和前期干旱时间等等，因此具有一定程度的不确定性。</w:t>
      </w:r>
      <w:r>
        <w:rPr>
          <w:rFonts w:hint="eastAsia"/>
        </w:rPr>
        <w:t>根据</w:t>
      </w:r>
      <w:r>
        <w:rPr>
          <w:rFonts w:hint="eastAsia"/>
          <w:lang w:eastAsia="zh-CN"/>
        </w:rPr>
        <w:t>生态环境部</w:t>
      </w:r>
      <w:r>
        <w:rPr>
          <w:rFonts w:hint="eastAsia"/>
        </w:rPr>
        <w:t>华南环境保护科学研究所对广东地区路面径流污染情况试验有关资料</w:t>
      </w:r>
      <w:r>
        <w:t>，在车流量和降雨量已知的情况下，降雨历时一小时，降雨强度为81.6mm，在1h内按不同时间采集水样，测定结果见</w:t>
      </w:r>
      <w:r>
        <w:fldChar w:fldCharType="begin"/>
      </w:r>
      <w:r>
        <w:instrText xml:space="preserve"> REF _Ref141255731 \r \h </w:instrText>
      </w:r>
      <w:r>
        <w:fldChar w:fldCharType="separate"/>
      </w:r>
      <w:r>
        <w:rPr>
          <w:rFonts w:hint="eastAsia"/>
        </w:rPr>
        <w:t>表3.9-3</w:t>
      </w:r>
      <w:r>
        <w:fldChar w:fldCharType="end"/>
      </w:r>
      <w:r>
        <w:t>。</w:t>
      </w:r>
    </w:p>
    <w:p>
      <w:pPr>
        <w:ind w:firstLine="480"/>
      </w:pPr>
      <w:r>
        <w:t>从</w:t>
      </w:r>
      <w:r>
        <w:fldChar w:fldCharType="begin"/>
      </w:r>
      <w:r>
        <w:instrText xml:space="preserve"> REF _Ref141255731 \r \h </w:instrText>
      </w:r>
      <w:r>
        <w:fldChar w:fldCharType="separate"/>
      </w:r>
      <w:r>
        <w:rPr>
          <w:rFonts w:hint="eastAsia"/>
        </w:rPr>
        <w:t>表3.9-3</w:t>
      </w:r>
      <w:r>
        <w:fldChar w:fldCharType="end"/>
      </w:r>
      <w:r>
        <w:t>中可以看出，降雨对公路附近河流造成的影响主要是降雨初期1h内形成的</w:t>
      </w:r>
      <w:r>
        <w:rPr>
          <w:rFonts w:hint="eastAsia"/>
        </w:rPr>
        <w:t>路面</w:t>
      </w:r>
      <w:r>
        <w:t>径流。降雨初期到形成</w:t>
      </w:r>
      <w:r>
        <w:rPr>
          <w:rFonts w:hint="eastAsia"/>
        </w:rPr>
        <w:t>路</w:t>
      </w:r>
      <w:r>
        <w:t>面径流的</w:t>
      </w:r>
      <w:r>
        <w:rPr>
          <w:rFonts w:hint="eastAsia"/>
        </w:rPr>
        <w:t>2</w:t>
      </w:r>
      <w:r>
        <w:t>0</w:t>
      </w:r>
      <w:r>
        <w:rPr>
          <w:rFonts w:hint="eastAsia"/>
        </w:rPr>
        <w:t>min</w:t>
      </w:r>
      <w:r>
        <w:t>内，雨水中的悬浮物和油类物质的浓度比较高，</w:t>
      </w:r>
      <w:r>
        <w:rPr>
          <w:rFonts w:hint="eastAsia"/>
        </w:rPr>
        <w:t>2</w:t>
      </w:r>
      <w:r>
        <w:t>0</w:t>
      </w:r>
      <w:r>
        <w:rPr>
          <w:rFonts w:hint="eastAsia"/>
        </w:rPr>
        <w:t>min</w:t>
      </w:r>
      <w:r>
        <w:t>后，其浓度随降雨历时的延长下降较快，雨水中生化需氧量随降雨历时的延长下降速度稍慢，pH值相对较稳定，降雨历时40</w:t>
      </w:r>
      <w:r>
        <w:rPr>
          <w:rFonts w:hint="eastAsia"/>
        </w:rPr>
        <w:t>min</w:t>
      </w:r>
      <w:r>
        <w:t>后，</w:t>
      </w:r>
      <w:r>
        <w:rPr>
          <w:rFonts w:hint="eastAsia"/>
        </w:rPr>
        <w:t>路</w:t>
      </w:r>
      <w:r>
        <w:t>面基本被冲洗干净。所以，降雨对公路</w:t>
      </w:r>
      <w:r>
        <w:rPr>
          <w:rFonts w:hint="eastAsia"/>
        </w:rPr>
        <w:t>周边</w:t>
      </w:r>
      <w:r>
        <w:t>河流造成影响的主要是降雨初期1h内形成的路面径流。</w:t>
      </w:r>
    </w:p>
    <w:p>
      <w:pPr>
        <w:pStyle w:val="87"/>
        <w:spacing w:before="120"/>
      </w:pPr>
      <w:bookmarkStart w:id="357" w:name="_Ref141255731"/>
      <w:r>
        <w:rPr>
          <w:rFonts w:hint="eastAsia"/>
        </w:rPr>
        <w:t>路面</w:t>
      </w:r>
      <w:r>
        <w:t>径流中污染物浓度测定值</w:t>
      </w:r>
      <w:bookmarkEnd w:id="357"/>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4"/>
        <w:gridCol w:w="2099"/>
        <w:gridCol w:w="1959"/>
        <w:gridCol w:w="1820"/>
        <w:gridCol w:w="1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0" w:type="pct"/>
            <w:vAlign w:val="center"/>
          </w:tcPr>
          <w:p>
            <w:pPr>
              <w:pStyle w:val="105"/>
              <w:jc w:val="center"/>
            </w:pPr>
            <w:r>
              <w:t>项目</w:t>
            </w:r>
          </w:p>
        </w:tc>
        <w:tc>
          <w:tcPr>
            <w:tcW w:w="1130" w:type="pct"/>
            <w:vAlign w:val="center"/>
          </w:tcPr>
          <w:p>
            <w:pPr>
              <w:pStyle w:val="105"/>
              <w:jc w:val="center"/>
            </w:pPr>
            <w:r>
              <w:t>5</w:t>
            </w:r>
            <w:r>
              <w:rPr>
                <w:rFonts w:hint="eastAsia"/>
              </w:rPr>
              <w:t>~</w:t>
            </w:r>
            <w:r>
              <w:t>20</w:t>
            </w:r>
            <w:r>
              <w:rPr>
                <w:rFonts w:hint="eastAsia"/>
              </w:rPr>
              <w:t>min</w:t>
            </w:r>
          </w:p>
        </w:tc>
        <w:tc>
          <w:tcPr>
            <w:tcW w:w="1055" w:type="pct"/>
            <w:vAlign w:val="center"/>
          </w:tcPr>
          <w:p>
            <w:pPr>
              <w:pStyle w:val="105"/>
              <w:jc w:val="center"/>
            </w:pPr>
            <w:r>
              <w:t>20</w:t>
            </w:r>
            <w:r>
              <w:rPr>
                <w:rFonts w:hint="eastAsia"/>
              </w:rPr>
              <w:t>~</w:t>
            </w:r>
            <w:r>
              <w:t>40</w:t>
            </w:r>
            <w:r>
              <w:rPr>
                <w:rFonts w:hint="eastAsia"/>
              </w:rPr>
              <w:t>min</w:t>
            </w:r>
          </w:p>
        </w:tc>
        <w:tc>
          <w:tcPr>
            <w:tcW w:w="980" w:type="pct"/>
            <w:vAlign w:val="center"/>
          </w:tcPr>
          <w:p>
            <w:pPr>
              <w:pStyle w:val="105"/>
              <w:jc w:val="center"/>
            </w:pPr>
            <w:r>
              <w:t>40</w:t>
            </w:r>
            <w:r>
              <w:rPr>
                <w:rFonts w:hint="eastAsia"/>
              </w:rPr>
              <w:t>~</w:t>
            </w:r>
            <w:r>
              <w:t>60</w:t>
            </w:r>
            <w:r>
              <w:rPr>
                <w:rFonts w:hint="eastAsia"/>
              </w:rPr>
              <w:t>min</w:t>
            </w:r>
          </w:p>
        </w:tc>
        <w:tc>
          <w:tcPr>
            <w:tcW w:w="605" w:type="pct"/>
            <w:vAlign w:val="center"/>
          </w:tcPr>
          <w:p>
            <w:pPr>
              <w:pStyle w:val="105"/>
              <w:jc w:val="center"/>
            </w:pPr>
            <w:r>
              <w:t>平均值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0" w:type="pct"/>
            <w:vAlign w:val="center"/>
          </w:tcPr>
          <w:p>
            <w:pPr>
              <w:pStyle w:val="105"/>
              <w:jc w:val="center"/>
            </w:pPr>
            <w:r>
              <w:t>pH</w:t>
            </w:r>
          </w:p>
        </w:tc>
        <w:tc>
          <w:tcPr>
            <w:tcW w:w="1130" w:type="pct"/>
            <w:vAlign w:val="center"/>
          </w:tcPr>
          <w:p>
            <w:pPr>
              <w:pStyle w:val="105"/>
              <w:jc w:val="center"/>
            </w:pPr>
            <w:r>
              <w:rPr>
                <w:rFonts w:hint="eastAsia"/>
              </w:rPr>
              <w:t>6</w:t>
            </w:r>
            <w:r>
              <w:t>.0</w:t>
            </w:r>
            <w:r>
              <w:rPr>
                <w:rFonts w:hint="eastAsia"/>
              </w:rPr>
              <w:t>~6</w:t>
            </w:r>
            <w:r>
              <w:t>.8</w:t>
            </w:r>
          </w:p>
        </w:tc>
        <w:tc>
          <w:tcPr>
            <w:tcW w:w="1055" w:type="pct"/>
            <w:vAlign w:val="center"/>
          </w:tcPr>
          <w:p>
            <w:pPr>
              <w:pStyle w:val="105"/>
              <w:jc w:val="center"/>
            </w:pPr>
            <w:r>
              <w:rPr>
                <w:rFonts w:hint="eastAsia"/>
              </w:rPr>
              <w:t>6</w:t>
            </w:r>
            <w:r>
              <w:t>.0</w:t>
            </w:r>
            <w:r>
              <w:rPr>
                <w:rFonts w:hint="eastAsia"/>
              </w:rPr>
              <w:t>~6</w:t>
            </w:r>
            <w:r>
              <w:t>.8</w:t>
            </w:r>
          </w:p>
        </w:tc>
        <w:tc>
          <w:tcPr>
            <w:tcW w:w="980" w:type="pct"/>
            <w:vAlign w:val="center"/>
          </w:tcPr>
          <w:p>
            <w:pPr>
              <w:pStyle w:val="105"/>
              <w:jc w:val="center"/>
            </w:pPr>
            <w:r>
              <w:rPr>
                <w:rFonts w:hint="eastAsia"/>
              </w:rPr>
              <w:t>6</w:t>
            </w:r>
            <w:r>
              <w:t>.0</w:t>
            </w:r>
            <w:r>
              <w:rPr>
                <w:rFonts w:hint="eastAsia"/>
              </w:rPr>
              <w:t>~6</w:t>
            </w:r>
            <w:r>
              <w:t>.8</w:t>
            </w:r>
          </w:p>
        </w:tc>
        <w:tc>
          <w:tcPr>
            <w:tcW w:w="605" w:type="pct"/>
            <w:vAlign w:val="center"/>
          </w:tcPr>
          <w:p>
            <w:pPr>
              <w:pStyle w:val="105"/>
              <w:jc w:val="center"/>
            </w:pPr>
            <w:r>
              <w:rPr>
                <w:rFonts w:hint="eastAsia"/>
              </w:rPr>
              <w:t>6</w:t>
            </w:r>
            <w: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0" w:type="pct"/>
            <w:vAlign w:val="center"/>
          </w:tcPr>
          <w:p>
            <w:pPr>
              <w:pStyle w:val="105"/>
              <w:jc w:val="center"/>
            </w:pPr>
            <w:r>
              <w:t>SS</w:t>
            </w:r>
            <w:r>
              <w:rPr>
                <w:rFonts w:hint="eastAsia"/>
              </w:rPr>
              <w:t>(</w:t>
            </w:r>
            <w:r>
              <w:t>mg/L</w:t>
            </w:r>
            <w:r>
              <w:rPr>
                <w:rFonts w:hint="eastAsia"/>
              </w:rPr>
              <w:t>)</w:t>
            </w:r>
          </w:p>
        </w:tc>
        <w:tc>
          <w:tcPr>
            <w:tcW w:w="1130" w:type="pct"/>
            <w:vAlign w:val="center"/>
          </w:tcPr>
          <w:p>
            <w:pPr>
              <w:pStyle w:val="105"/>
              <w:jc w:val="center"/>
            </w:pPr>
            <w:r>
              <w:t>231.42</w:t>
            </w:r>
            <w:r>
              <w:rPr>
                <w:rFonts w:hint="eastAsia"/>
              </w:rPr>
              <w:t>~</w:t>
            </w:r>
            <w:r>
              <w:t>158.</w:t>
            </w:r>
            <w:r>
              <w:rPr>
                <w:rFonts w:hint="eastAsia"/>
              </w:rPr>
              <w:t>5</w:t>
            </w:r>
            <w:r>
              <w:t>2</w:t>
            </w:r>
          </w:p>
        </w:tc>
        <w:tc>
          <w:tcPr>
            <w:tcW w:w="1055" w:type="pct"/>
            <w:vAlign w:val="center"/>
          </w:tcPr>
          <w:p>
            <w:pPr>
              <w:pStyle w:val="105"/>
              <w:jc w:val="center"/>
            </w:pPr>
            <w:r>
              <w:t>158.52</w:t>
            </w:r>
            <w:r>
              <w:rPr>
                <w:rFonts w:hint="eastAsia"/>
              </w:rPr>
              <w:t>~</w:t>
            </w:r>
            <w:r>
              <w:t>90.36</w:t>
            </w:r>
          </w:p>
        </w:tc>
        <w:tc>
          <w:tcPr>
            <w:tcW w:w="980" w:type="pct"/>
            <w:vAlign w:val="center"/>
          </w:tcPr>
          <w:p>
            <w:pPr>
              <w:pStyle w:val="105"/>
              <w:jc w:val="center"/>
            </w:pPr>
            <w:r>
              <w:t>90.36</w:t>
            </w:r>
            <w:r>
              <w:rPr>
                <w:rFonts w:hint="eastAsia"/>
              </w:rPr>
              <w:t>~</w:t>
            </w:r>
            <w:r>
              <w:t>18.71</w:t>
            </w:r>
          </w:p>
        </w:tc>
        <w:tc>
          <w:tcPr>
            <w:tcW w:w="605" w:type="pct"/>
            <w:vAlign w:val="center"/>
          </w:tcPr>
          <w:p>
            <w:pPr>
              <w:pStyle w:val="105"/>
              <w:jc w:val="center"/>
            </w:pPr>
            <w:r>
              <w:t>1</w:t>
            </w:r>
            <w:r>
              <w:rPr>
                <w:rFonts w:hint="eastAsia"/>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0" w:type="pct"/>
            <w:vAlign w:val="center"/>
          </w:tcPr>
          <w:p>
            <w:pPr>
              <w:pStyle w:val="105"/>
              <w:jc w:val="center"/>
            </w:pPr>
            <w:r>
              <w:t>BOD</w:t>
            </w:r>
            <w:r>
              <w:rPr>
                <w:vertAlign w:val="subscript"/>
              </w:rPr>
              <w:t>5</w:t>
            </w:r>
            <w:r>
              <w:rPr>
                <w:rFonts w:hint="eastAsia"/>
                <w:vertAlign w:val="subscript"/>
              </w:rPr>
              <w:t>(</w:t>
            </w:r>
            <w:r>
              <w:t>mg/L</w:t>
            </w:r>
            <w:r>
              <w:rPr>
                <w:rFonts w:hint="eastAsia"/>
              </w:rPr>
              <w:t>)</w:t>
            </w:r>
          </w:p>
        </w:tc>
        <w:tc>
          <w:tcPr>
            <w:tcW w:w="1130" w:type="pct"/>
            <w:vAlign w:val="center"/>
          </w:tcPr>
          <w:p>
            <w:pPr>
              <w:pStyle w:val="105"/>
              <w:jc w:val="center"/>
            </w:pPr>
            <w:r>
              <w:rPr>
                <w:rFonts w:hint="eastAsia"/>
              </w:rPr>
              <w:t>6</w:t>
            </w:r>
            <w:r>
              <w:t>.34</w:t>
            </w:r>
            <w:r>
              <w:rPr>
                <w:rFonts w:hint="eastAsia"/>
              </w:rPr>
              <w:t>~6</w:t>
            </w:r>
            <w:r>
              <w:t>.30</w:t>
            </w:r>
          </w:p>
        </w:tc>
        <w:tc>
          <w:tcPr>
            <w:tcW w:w="1055" w:type="pct"/>
            <w:vAlign w:val="center"/>
          </w:tcPr>
          <w:p>
            <w:pPr>
              <w:pStyle w:val="105"/>
              <w:jc w:val="center"/>
            </w:pPr>
            <w:r>
              <w:rPr>
                <w:rFonts w:hint="eastAsia"/>
              </w:rPr>
              <w:t>6</w:t>
            </w:r>
            <w:r>
              <w:t>.30</w:t>
            </w:r>
            <w:r>
              <w:rPr>
                <w:rFonts w:hint="eastAsia"/>
              </w:rPr>
              <w:t>~</w:t>
            </w:r>
            <w:r>
              <w:t>4.15</w:t>
            </w:r>
          </w:p>
        </w:tc>
        <w:tc>
          <w:tcPr>
            <w:tcW w:w="980" w:type="pct"/>
            <w:vAlign w:val="center"/>
          </w:tcPr>
          <w:p>
            <w:pPr>
              <w:pStyle w:val="105"/>
              <w:jc w:val="center"/>
            </w:pPr>
            <w:r>
              <w:t>4.15</w:t>
            </w:r>
            <w:r>
              <w:rPr>
                <w:rFonts w:hint="eastAsia"/>
              </w:rPr>
              <w:t>~</w:t>
            </w:r>
            <w:r>
              <w:t>1.26</w:t>
            </w:r>
          </w:p>
        </w:tc>
        <w:tc>
          <w:tcPr>
            <w:tcW w:w="605" w:type="pct"/>
            <w:vAlign w:val="center"/>
          </w:tcPr>
          <w:p>
            <w:pPr>
              <w:pStyle w:val="105"/>
              <w:jc w:val="center"/>
            </w:pPr>
            <w:r>
              <w:rPr>
                <w:rFonts w:hint="eastAsia"/>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0" w:type="pct"/>
            <w:vAlign w:val="center"/>
          </w:tcPr>
          <w:p>
            <w:pPr>
              <w:pStyle w:val="105"/>
              <w:jc w:val="center"/>
            </w:pPr>
            <w:r>
              <w:t>石油类</w:t>
            </w:r>
            <w:r>
              <w:rPr>
                <w:rFonts w:hint="eastAsia"/>
              </w:rPr>
              <w:t>（</w:t>
            </w:r>
            <w:r>
              <w:t>mg/L</w:t>
            </w:r>
            <w:r>
              <w:rPr>
                <w:rFonts w:hint="eastAsia"/>
              </w:rPr>
              <w:t>）</w:t>
            </w:r>
          </w:p>
        </w:tc>
        <w:tc>
          <w:tcPr>
            <w:tcW w:w="1130" w:type="pct"/>
            <w:vAlign w:val="center"/>
          </w:tcPr>
          <w:p>
            <w:pPr>
              <w:pStyle w:val="105"/>
              <w:jc w:val="center"/>
            </w:pPr>
            <w:r>
              <w:t>2</w:t>
            </w:r>
            <w:r>
              <w:rPr>
                <w:rFonts w:hint="eastAsia"/>
              </w:rPr>
              <w:t>1</w:t>
            </w:r>
            <w:r>
              <w:t>.</w:t>
            </w:r>
            <w:r>
              <w:rPr>
                <w:rFonts w:hint="eastAsia"/>
              </w:rPr>
              <w:t>22~12.62</w:t>
            </w:r>
          </w:p>
        </w:tc>
        <w:tc>
          <w:tcPr>
            <w:tcW w:w="1055" w:type="pct"/>
            <w:vAlign w:val="center"/>
          </w:tcPr>
          <w:p>
            <w:pPr>
              <w:pStyle w:val="105"/>
              <w:jc w:val="center"/>
            </w:pPr>
            <w:r>
              <w:rPr>
                <w:rFonts w:hint="eastAsia"/>
              </w:rPr>
              <w:t>12.62~0.53</w:t>
            </w:r>
          </w:p>
        </w:tc>
        <w:tc>
          <w:tcPr>
            <w:tcW w:w="980" w:type="pct"/>
            <w:vAlign w:val="center"/>
          </w:tcPr>
          <w:p>
            <w:pPr>
              <w:pStyle w:val="105"/>
              <w:jc w:val="center"/>
            </w:pPr>
            <w:r>
              <w:rPr>
                <w:rFonts w:hint="eastAsia"/>
              </w:rPr>
              <w:t>0.53~</w:t>
            </w:r>
            <w:r>
              <w:t>0.</w:t>
            </w:r>
            <w:r>
              <w:rPr>
                <w:rFonts w:hint="eastAsia"/>
              </w:rPr>
              <w:t>04</w:t>
            </w:r>
          </w:p>
        </w:tc>
        <w:tc>
          <w:tcPr>
            <w:tcW w:w="605" w:type="pct"/>
            <w:vAlign w:val="center"/>
          </w:tcPr>
          <w:p>
            <w:pPr>
              <w:pStyle w:val="105"/>
              <w:jc w:val="center"/>
            </w:pPr>
            <w:r>
              <w:t>11.25</w:t>
            </w:r>
          </w:p>
        </w:tc>
      </w:tr>
    </w:tbl>
    <w:p>
      <w:pPr>
        <w:pStyle w:val="118"/>
        <w:spacing w:before="240"/>
      </w:pPr>
      <w:bookmarkStart w:id="358" w:name="_Toc439084126"/>
      <w:r>
        <w:t>大气污染源分析</w:t>
      </w:r>
      <w:bookmarkEnd w:id="358"/>
    </w:p>
    <w:p>
      <w:pPr>
        <w:ind w:firstLine="480"/>
      </w:pPr>
      <w:r>
        <w:t>（1）污染物源强计算公式</w:t>
      </w:r>
    </w:p>
    <w:p>
      <w:pPr>
        <w:ind w:firstLine="480"/>
      </w:pPr>
      <w:r>
        <w:t>本项目运营期环境空气污染源主要为机动车尾气，主要污染物为NO</w:t>
      </w:r>
      <w:r>
        <w:rPr>
          <w:vertAlign w:val="subscript"/>
        </w:rPr>
        <w:t>x</w:t>
      </w:r>
      <w:r>
        <w:t>、CO、THC（烃类）和烟尘等</w:t>
      </w:r>
      <w:r>
        <w:rPr>
          <w:rFonts w:hint="eastAsia"/>
        </w:rPr>
        <w:t>，</w:t>
      </w:r>
      <w:r>
        <w:t>汽车尾气污染物排放源源强按下式计算：</w:t>
      </w:r>
    </w:p>
    <w:p>
      <w:pPr>
        <w:spacing w:before="60" w:after="60"/>
        <w:ind w:firstLine="480"/>
        <w:jc w:val="center"/>
        <w:rPr>
          <w:rFonts w:hint="eastAsia" w:eastAsia="宋体"/>
          <w:lang w:eastAsia="zh-CN"/>
        </w:rPr>
      </w:pPr>
    </w:p>
    <w:p>
      <w:pPr>
        <w:ind w:firstLine="480"/>
      </w:pPr>
      <w:r>
        <w:t>式中：——类气态污染物排放源强度，mg/（s·m）；</w:t>
      </w:r>
    </w:p>
    <w:p>
      <w:pPr>
        <w:ind w:firstLine="1200" w:firstLineChars="500"/>
      </w:pPr>
      <w:r>
        <w:t>——型车预测年的小时交通量，辆/h；</w:t>
      </w:r>
    </w:p>
    <w:p>
      <w:pPr>
        <w:ind w:firstLine="1200" w:firstLineChars="500"/>
      </w:pPr>
      <w:r>
        <w:t>——汽车专用公路运行工况下型车类排放物在预测年的单车排放因子推荐值，mg/（辆·m）。</w:t>
      </w:r>
    </w:p>
    <w:p>
      <w:pPr>
        <w:ind w:firstLine="480"/>
      </w:pPr>
      <w:r>
        <w:t>（2）单车排放因子</w:t>
      </w:r>
    </w:p>
    <w:p>
      <w:pPr>
        <w:ind w:firstLine="480"/>
      </w:pPr>
      <w:r>
        <w:t>本项目计划</w:t>
      </w:r>
      <w:r>
        <w:rPr>
          <w:rFonts w:hint="eastAsia"/>
        </w:rPr>
        <w:t>至202</w:t>
      </w:r>
      <w:r>
        <w:t>6</w:t>
      </w:r>
      <w:r>
        <w:rPr>
          <w:rFonts w:hint="eastAsia"/>
        </w:rPr>
        <w:t>年年底通车。根据我国自2020年7月1日起实施的《轻型汽车污染物排放限值及测量方法（中国第六阶段）》（GB18352.6-2016），本次评价按照GB18352.6-2016的排放系数进行尾气污染物计算。项目社会车辆单车排放因子推荐值详见</w:t>
      </w:r>
      <w:r>
        <w:fldChar w:fldCharType="begin"/>
      </w:r>
      <w:r>
        <w:instrText xml:space="preserve"> </w:instrText>
      </w:r>
      <w:r>
        <w:rPr>
          <w:rFonts w:hint="eastAsia"/>
        </w:rPr>
        <w:instrText xml:space="preserve">REF _Ref141255726 \r \h</w:instrText>
      </w:r>
      <w:r>
        <w:instrText xml:space="preserve"> </w:instrText>
      </w:r>
      <w:r>
        <w:fldChar w:fldCharType="separate"/>
      </w:r>
      <w:r>
        <w:rPr>
          <w:rFonts w:hint="eastAsia"/>
        </w:rPr>
        <w:t>表3.9-4</w:t>
      </w:r>
      <w:r>
        <w:fldChar w:fldCharType="end"/>
      </w:r>
      <w:r>
        <w:rPr>
          <w:rFonts w:hint="eastAsia"/>
        </w:rPr>
        <w:t>。</w:t>
      </w:r>
    </w:p>
    <w:p>
      <w:pPr>
        <w:pStyle w:val="87"/>
        <w:spacing w:before="120"/>
      </w:pPr>
      <w:bookmarkStart w:id="359" w:name="_Ref141255726"/>
      <w:r>
        <w:rPr>
          <w:rFonts w:hint="eastAsia"/>
        </w:rPr>
        <w:t>机动车污染物</w:t>
      </w:r>
      <w:r>
        <w:t>NOx</w:t>
      </w:r>
      <w:r>
        <w:rPr>
          <w:rFonts w:hint="eastAsia"/>
        </w:rPr>
        <w:t>、</w:t>
      </w:r>
      <w:r>
        <w:t>CO</w:t>
      </w:r>
      <w:r>
        <w:rPr>
          <w:rFonts w:hint="eastAsia"/>
        </w:rPr>
        <w:t>的单车排放系数</w:t>
      </w:r>
      <w:bookmarkEnd w:id="359"/>
    </w:p>
    <w:tbl>
      <w:tblPr>
        <w:tblStyle w:val="5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316"/>
        <w:gridCol w:w="2108"/>
        <w:gridCol w:w="2097"/>
        <w:gridCol w:w="36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0" w:hRule="atLeast"/>
          <w:jc w:val="center"/>
        </w:trPr>
        <w:tc>
          <w:tcPr>
            <w:tcW w:w="1875" w:type="pct"/>
            <w:gridSpan w:val="2"/>
            <w:vMerge w:val="restart"/>
            <w:vAlign w:val="center"/>
          </w:tcPr>
          <w:p>
            <w:pPr>
              <w:pStyle w:val="105"/>
              <w:jc w:val="center"/>
            </w:pPr>
            <w:r>
              <w:rPr>
                <w:rFonts w:hint="eastAsia"/>
              </w:rPr>
              <w:t>车型</w:t>
            </w:r>
          </w:p>
        </w:tc>
        <w:tc>
          <w:tcPr>
            <w:tcW w:w="3125" w:type="pct"/>
            <w:gridSpan w:val="2"/>
            <w:vAlign w:val="center"/>
          </w:tcPr>
          <w:p>
            <w:pPr>
              <w:pStyle w:val="105"/>
              <w:jc w:val="center"/>
            </w:pPr>
            <w:r>
              <w:rPr>
                <w:rFonts w:hint="eastAsia"/>
              </w:rPr>
              <w:t>主要污染物（</w:t>
            </w:r>
            <w:r>
              <w:t>g/</w:t>
            </w:r>
            <w:r>
              <w:rPr>
                <w:rFonts w:hint="eastAsia"/>
              </w:rPr>
              <w:t>辆</w:t>
            </w:r>
            <w:r>
              <w:t>·km</w:t>
            </w:r>
            <w:r>
              <w:rPr>
                <w:rFonts w:hint="eastAsia"/>
              </w:rPr>
              <w:t>）（第六阶段）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0" w:hRule="atLeast"/>
          <w:jc w:val="center"/>
        </w:trPr>
        <w:tc>
          <w:tcPr>
            <w:tcW w:w="1875" w:type="pct"/>
            <w:gridSpan w:val="2"/>
            <w:vMerge w:val="continue"/>
            <w:vAlign w:val="center"/>
          </w:tcPr>
          <w:p>
            <w:pPr>
              <w:pStyle w:val="105"/>
              <w:jc w:val="center"/>
            </w:pPr>
          </w:p>
        </w:tc>
        <w:tc>
          <w:tcPr>
            <w:tcW w:w="1149" w:type="pct"/>
            <w:vAlign w:val="center"/>
          </w:tcPr>
          <w:p>
            <w:pPr>
              <w:pStyle w:val="105"/>
              <w:jc w:val="center"/>
            </w:pPr>
            <w:r>
              <w:t>CO</w:t>
            </w:r>
          </w:p>
        </w:tc>
        <w:tc>
          <w:tcPr>
            <w:tcW w:w="1976" w:type="pct"/>
            <w:vAlign w:val="center"/>
          </w:tcPr>
          <w:p>
            <w:pPr>
              <w:pStyle w:val="105"/>
              <w:jc w:val="center"/>
            </w:pPr>
            <w:r>
              <w:t>NOx</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0" w:hRule="atLeast"/>
          <w:jc w:val="center"/>
        </w:trPr>
        <w:tc>
          <w:tcPr>
            <w:tcW w:w="721" w:type="pct"/>
            <w:vMerge w:val="restart"/>
            <w:vAlign w:val="center"/>
          </w:tcPr>
          <w:p>
            <w:pPr>
              <w:pStyle w:val="105"/>
              <w:jc w:val="center"/>
            </w:pPr>
            <w:r>
              <w:rPr>
                <w:rFonts w:hint="eastAsia"/>
              </w:rPr>
              <w:t>汽油车</w:t>
            </w:r>
          </w:p>
        </w:tc>
        <w:tc>
          <w:tcPr>
            <w:tcW w:w="1155" w:type="pct"/>
            <w:vAlign w:val="center"/>
          </w:tcPr>
          <w:p>
            <w:pPr>
              <w:pStyle w:val="105"/>
              <w:jc w:val="center"/>
            </w:pPr>
            <w:r>
              <w:rPr>
                <w:rFonts w:hint="eastAsia"/>
              </w:rPr>
              <w:t>小型车</w:t>
            </w:r>
          </w:p>
        </w:tc>
        <w:tc>
          <w:tcPr>
            <w:tcW w:w="1149" w:type="pct"/>
            <w:vAlign w:val="center"/>
          </w:tcPr>
          <w:p>
            <w:pPr>
              <w:pStyle w:val="105"/>
              <w:jc w:val="center"/>
            </w:pPr>
            <w:r>
              <w:t>0.50</w:t>
            </w:r>
          </w:p>
        </w:tc>
        <w:tc>
          <w:tcPr>
            <w:tcW w:w="1976" w:type="pct"/>
            <w:vAlign w:val="center"/>
          </w:tcPr>
          <w:p>
            <w:pPr>
              <w:pStyle w:val="105"/>
              <w:jc w:val="center"/>
            </w:pPr>
            <w:r>
              <w:t>0.035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0" w:hRule="atLeast"/>
          <w:jc w:val="center"/>
        </w:trPr>
        <w:tc>
          <w:tcPr>
            <w:tcW w:w="721" w:type="pct"/>
            <w:vMerge w:val="continue"/>
            <w:vAlign w:val="center"/>
          </w:tcPr>
          <w:p>
            <w:pPr>
              <w:pStyle w:val="105"/>
              <w:jc w:val="center"/>
            </w:pPr>
          </w:p>
        </w:tc>
        <w:tc>
          <w:tcPr>
            <w:tcW w:w="1155" w:type="pct"/>
            <w:vAlign w:val="center"/>
          </w:tcPr>
          <w:p>
            <w:pPr>
              <w:pStyle w:val="105"/>
              <w:jc w:val="center"/>
            </w:pPr>
            <w:r>
              <w:rPr>
                <w:rFonts w:hint="eastAsia"/>
              </w:rPr>
              <w:t>中型车</w:t>
            </w:r>
          </w:p>
        </w:tc>
        <w:tc>
          <w:tcPr>
            <w:tcW w:w="1149" w:type="pct"/>
            <w:vAlign w:val="center"/>
          </w:tcPr>
          <w:p>
            <w:pPr>
              <w:pStyle w:val="105"/>
              <w:jc w:val="center"/>
            </w:pPr>
            <w:r>
              <w:t>0.63</w:t>
            </w:r>
          </w:p>
        </w:tc>
        <w:tc>
          <w:tcPr>
            <w:tcW w:w="1976" w:type="pct"/>
            <w:vAlign w:val="center"/>
          </w:tcPr>
          <w:p>
            <w:pPr>
              <w:pStyle w:val="105"/>
              <w:jc w:val="center"/>
            </w:pPr>
            <w:r>
              <w:t>0.045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0" w:hRule="atLeast"/>
          <w:jc w:val="center"/>
        </w:trPr>
        <w:tc>
          <w:tcPr>
            <w:tcW w:w="721" w:type="pct"/>
            <w:vMerge w:val="continue"/>
            <w:vAlign w:val="center"/>
          </w:tcPr>
          <w:p>
            <w:pPr>
              <w:pStyle w:val="105"/>
              <w:jc w:val="center"/>
            </w:pPr>
          </w:p>
        </w:tc>
        <w:tc>
          <w:tcPr>
            <w:tcW w:w="1155" w:type="pct"/>
            <w:vAlign w:val="center"/>
          </w:tcPr>
          <w:p>
            <w:pPr>
              <w:pStyle w:val="105"/>
              <w:jc w:val="center"/>
            </w:pPr>
            <w:r>
              <w:rPr>
                <w:rFonts w:hint="eastAsia"/>
              </w:rPr>
              <w:t>大型车</w:t>
            </w:r>
          </w:p>
        </w:tc>
        <w:tc>
          <w:tcPr>
            <w:tcW w:w="1149" w:type="pct"/>
            <w:vAlign w:val="center"/>
          </w:tcPr>
          <w:p>
            <w:pPr>
              <w:pStyle w:val="105"/>
              <w:jc w:val="center"/>
            </w:pPr>
            <w:r>
              <w:t>0.74</w:t>
            </w:r>
          </w:p>
        </w:tc>
        <w:tc>
          <w:tcPr>
            <w:tcW w:w="1976" w:type="pct"/>
            <w:vAlign w:val="center"/>
          </w:tcPr>
          <w:p>
            <w:pPr>
              <w:pStyle w:val="105"/>
              <w:jc w:val="center"/>
            </w:pPr>
            <w:r>
              <w:t>0.050</w:t>
            </w:r>
          </w:p>
        </w:tc>
      </w:tr>
    </w:tbl>
    <w:p>
      <w:pPr>
        <w:pStyle w:val="134"/>
        <w:ind w:firstLine="300"/>
      </w:pPr>
    </w:p>
    <w:p>
      <w:pPr>
        <w:ind w:firstLine="480"/>
      </w:pPr>
      <w:r>
        <w:t>（</w:t>
      </w:r>
      <w:r>
        <w:rPr>
          <w:rFonts w:hint="eastAsia"/>
        </w:rPr>
        <w:t>3</w:t>
      </w:r>
      <w:r>
        <w:t>）</w:t>
      </w:r>
      <w:r>
        <w:rPr>
          <w:rFonts w:hint="eastAsia"/>
        </w:rPr>
        <w:t>废气源强</w:t>
      </w:r>
    </w:p>
    <w:p>
      <w:pPr>
        <w:ind w:firstLine="480"/>
      </w:pPr>
      <w:r>
        <w:rPr>
          <w:rFonts w:hint="eastAsia"/>
        </w:rPr>
        <w:t>根据《环境影响评价技术导则大气环境》（HJ2.2-2018）：“对于一般的燃烧设备，在计算小时或日平均浓度时，可以假设NO</w:t>
      </w:r>
      <w:r>
        <w:rPr>
          <w:rFonts w:hint="eastAsia"/>
          <w:vertAlign w:val="subscript"/>
        </w:rPr>
        <w:t>2</w:t>
      </w:r>
      <w:r>
        <w:rPr>
          <w:rFonts w:hint="eastAsia"/>
        </w:rPr>
        <w:t>/NOx=0.9：1；在计算年平均浓度时，可假定NO</w:t>
      </w:r>
      <w:r>
        <w:rPr>
          <w:rFonts w:hint="eastAsia"/>
          <w:vertAlign w:val="subscript"/>
        </w:rPr>
        <w:t>2</w:t>
      </w:r>
      <w:r>
        <w:rPr>
          <w:rFonts w:hint="eastAsia"/>
        </w:rPr>
        <w:t>/NOx=0.75：1。在计算机动车排放NO</w:t>
      </w:r>
      <w:r>
        <w:rPr>
          <w:rFonts w:hint="eastAsia"/>
          <w:vertAlign w:val="subscript"/>
        </w:rPr>
        <w:t>2</w:t>
      </w:r>
      <w:r>
        <w:rPr>
          <w:rFonts w:hint="eastAsia"/>
        </w:rPr>
        <w:t>和NO</w:t>
      </w:r>
      <w:r>
        <w:rPr>
          <w:rFonts w:hint="eastAsia"/>
          <w:i/>
          <w:iCs/>
          <w:vertAlign w:val="subscript"/>
        </w:rPr>
        <w:t>x</w:t>
      </w:r>
      <w:r>
        <w:rPr>
          <w:rFonts w:hint="eastAsia"/>
        </w:rPr>
        <w:t>比例时，应根据不同车型的实际情况而定”。因此，本评价按NO</w:t>
      </w:r>
      <w:r>
        <w:rPr>
          <w:rFonts w:hint="eastAsia"/>
          <w:vertAlign w:val="subscript"/>
        </w:rPr>
        <w:t>2</w:t>
      </w:r>
      <w:r>
        <w:rPr>
          <w:rFonts w:hint="eastAsia"/>
        </w:rPr>
        <w:t>：NOx=0.</w:t>
      </w:r>
      <w:r>
        <w:t>9</w:t>
      </w:r>
      <w:r>
        <w:rPr>
          <w:rFonts w:hint="eastAsia"/>
        </w:rPr>
        <w:t>：l进行换算。根据本项目运营阶段不同时期的车流量计算汽车尾气中主要污染物的排放源强，计算得出汽车尾气污染源强估算结果，详见</w:t>
      </w:r>
      <w:r>
        <w:fldChar w:fldCharType="begin"/>
      </w:r>
      <w:r>
        <w:instrText xml:space="preserve"> </w:instrText>
      </w:r>
      <w:r>
        <w:rPr>
          <w:rFonts w:hint="eastAsia"/>
        </w:rPr>
        <w:instrText xml:space="preserve">REF _Ref141255720 \r \h</w:instrText>
      </w:r>
      <w:r>
        <w:instrText xml:space="preserve"> </w:instrText>
      </w:r>
      <w:r>
        <w:fldChar w:fldCharType="separate"/>
      </w:r>
      <w:r>
        <w:rPr>
          <w:rFonts w:hint="eastAsia"/>
        </w:rPr>
        <w:t>表3.9-5</w:t>
      </w:r>
      <w:r>
        <w:fldChar w:fldCharType="end"/>
      </w:r>
      <w:r>
        <w:t>。</w:t>
      </w:r>
    </w:p>
    <w:p>
      <w:pPr>
        <w:pStyle w:val="87"/>
        <w:spacing w:before="120"/>
      </w:pPr>
      <w:bookmarkStart w:id="360" w:name="_Ref141255720"/>
      <w:r>
        <w:t>各预测年汽车尾气污染源强估算结果单位：mg/m·s</w:t>
      </w:r>
      <w:bookmarkEnd w:id="360"/>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44"/>
        <w:gridCol w:w="1123"/>
        <w:gridCol w:w="916"/>
        <w:gridCol w:w="917"/>
        <w:gridCol w:w="916"/>
        <w:gridCol w:w="916"/>
        <w:gridCol w:w="916"/>
        <w:gridCol w:w="916"/>
        <w:gridCol w:w="916"/>
        <w:gridCol w:w="9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 w:hRule="atLeast"/>
          <w:tblHeader/>
          <w:jc w:val="center"/>
        </w:trPr>
        <w:tc>
          <w:tcPr>
            <w:tcW w:w="455" w:type="pct"/>
            <w:vMerge w:val="restart"/>
            <w:vAlign w:val="center"/>
          </w:tcPr>
          <w:p>
            <w:pPr>
              <w:pStyle w:val="105"/>
              <w:jc w:val="center"/>
            </w:pPr>
            <w:r>
              <w:rPr>
                <w:rFonts w:hint="eastAsia"/>
              </w:rPr>
              <w:t>路段</w:t>
            </w:r>
          </w:p>
        </w:tc>
        <w:tc>
          <w:tcPr>
            <w:tcW w:w="605" w:type="pct"/>
            <w:vMerge w:val="restart"/>
            <w:vAlign w:val="center"/>
          </w:tcPr>
          <w:p>
            <w:pPr>
              <w:pStyle w:val="105"/>
              <w:jc w:val="center"/>
            </w:pPr>
            <w:r>
              <w:rPr>
                <w:rFonts w:hint="eastAsia"/>
              </w:rPr>
              <w:t>特征年</w:t>
            </w:r>
          </w:p>
        </w:tc>
        <w:tc>
          <w:tcPr>
            <w:tcW w:w="987" w:type="pct"/>
            <w:gridSpan w:val="2"/>
            <w:vAlign w:val="center"/>
          </w:tcPr>
          <w:p>
            <w:pPr>
              <w:pStyle w:val="105"/>
              <w:jc w:val="center"/>
            </w:pPr>
            <w:r>
              <w:rPr>
                <w:rFonts w:hint="eastAsia"/>
              </w:rPr>
              <w:t>昼间平均</w:t>
            </w:r>
          </w:p>
        </w:tc>
        <w:tc>
          <w:tcPr>
            <w:tcW w:w="986" w:type="pct"/>
            <w:gridSpan w:val="2"/>
            <w:vAlign w:val="center"/>
          </w:tcPr>
          <w:p>
            <w:pPr>
              <w:pStyle w:val="105"/>
              <w:jc w:val="center"/>
            </w:pPr>
            <w:r>
              <w:rPr>
                <w:rFonts w:hint="eastAsia"/>
              </w:rPr>
              <w:t>夜间平均</w:t>
            </w:r>
          </w:p>
        </w:tc>
        <w:tc>
          <w:tcPr>
            <w:tcW w:w="986" w:type="pct"/>
            <w:gridSpan w:val="2"/>
            <w:vAlign w:val="center"/>
          </w:tcPr>
          <w:p>
            <w:pPr>
              <w:pStyle w:val="105"/>
              <w:jc w:val="center"/>
            </w:pPr>
            <w:r>
              <w:rPr>
                <w:rFonts w:hint="eastAsia"/>
              </w:rPr>
              <w:t>日平均</w:t>
            </w:r>
          </w:p>
        </w:tc>
        <w:tc>
          <w:tcPr>
            <w:tcW w:w="981" w:type="pct"/>
            <w:gridSpan w:val="2"/>
            <w:vAlign w:val="center"/>
          </w:tcPr>
          <w:p>
            <w:pPr>
              <w:pStyle w:val="105"/>
              <w:jc w:val="center"/>
            </w:pPr>
            <w:r>
              <w:rPr>
                <w:rFonts w:hint="eastAsia"/>
              </w:rPr>
              <w:t>高峰小时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 w:hRule="atLeast"/>
          <w:tblHeader/>
          <w:jc w:val="center"/>
        </w:trPr>
        <w:tc>
          <w:tcPr>
            <w:tcW w:w="455" w:type="pct"/>
            <w:vMerge w:val="continue"/>
            <w:vAlign w:val="center"/>
          </w:tcPr>
          <w:p>
            <w:pPr>
              <w:pStyle w:val="105"/>
              <w:jc w:val="center"/>
            </w:pPr>
          </w:p>
        </w:tc>
        <w:tc>
          <w:tcPr>
            <w:tcW w:w="605" w:type="pct"/>
            <w:vMerge w:val="continue"/>
            <w:vAlign w:val="center"/>
          </w:tcPr>
          <w:p>
            <w:pPr>
              <w:pStyle w:val="105"/>
              <w:jc w:val="center"/>
            </w:pPr>
          </w:p>
        </w:tc>
        <w:tc>
          <w:tcPr>
            <w:tcW w:w="493" w:type="pct"/>
            <w:vAlign w:val="center"/>
          </w:tcPr>
          <w:p>
            <w:pPr>
              <w:pStyle w:val="105"/>
              <w:jc w:val="center"/>
            </w:pPr>
            <w:r>
              <w:t>CO</w:t>
            </w:r>
          </w:p>
        </w:tc>
        <w:tc>
          <w:tcPr>
            <w:tcW w:w="494" w:type="pct"/>
            <w:vAlign w:val="center"/>
          </w:tcPr>
          <w:p>
            <w:pPr>
              <w:pStyle w:val="105"/>
              <w:jc w:val="center"/>
            </w:pPr>
            <w:r>
              <w:t>NO</w:t>
            </w:r>
            <w:r>
              <w:rPr>
                <w:vertAlign w:val="subscript"/>
              </w:rPr>
              <w:t>2</w:t>
            </w:r>
          </w:p>
        </w:tc>
        <w:tc>
          <w:tcPr>
            <w:tcW w:w="493" w:type="pct"/>
            <w:vAlign w:val="center"/>
          </w:tcPr>
          <w:p>
            <w:pPr>
              <w:pStyle w:val="105"/>
              <w:jc w:val="center"/>
            </w:pPr>
            <w:r>
              <w:t>CO</w:t>
            </w:r>
          </w:p>
        </w:tc>
        <w:tc>
          <w:tcPr>
            <w:tcW w:w="493" w:type="pct"/>
            <w:vAlign w:val="center"/>
          </w:tcPr>
          <w:p>
            <w:pPr>
              <w:pStyle w:val="105"/>
              <w:jc w:val="center"/>
            </w:pPr>
            <w:r>
              <w:t>NO2</w:t>
            </w:r>
          </w:p>
        </w:tc>
        <w:tc>
          <w:tcPr>
            <w:tcW w:w="493" w:type="pct"/>
            <w:vAlign w:val="center"/>
          </w:tcPr>
          <w:p>
            <w:pPr>
              <w:pStyle w:val="105"/>
              <w:jc w:val="center"/>
            </w:pPr>
            <w:r>
              <w:t>CO</w:t>
            </w:r>
          </w:p>
        </w:tc>
        <w:tc>
          <w:tcPr>
            <w:tcW w:w="493" w:type="pct"/>
            <w:vAlign w:val="center"/>
          </w:tcPr>
          <w:p>
            <w:pPr>
              <w:pStyle w:val="105"/>
              <w:jc w:val="center"/>
            </w:pPr>
            <w:r>
              <w:t>NO</w:t>
            </w:r>
            <w:r>
              <w:rPr>
                <w:vertAlign w:val="subscript"/>
              </w:rPr>
              <w:t>2</w:t>
            </w:r>
          </w:p>
        </w:tc>
        <w:tc>
          <w:tcPr>
            <w:tcW w:w="493" w:type="pct"/>
            <w:vAlign w:val="center"/>
          </w:tcPr>
          <w:p>
            <w:pPr>
              <w:pStyle w:val="105"/>
              <w:jc w:val="center"/>
            </w:pPr>
            <w:r>
              <w:t>CO</w:t>
            </w:r>
          </w:p>
        </w:tc>
        <w:tc>
          <w:tcPr>
            <w:tcW w:w="488" w:type="pct"/>
            <w:vAlign w:val="center"/>
          </w:tcPr>
          <w:p>
            <w:pPr>
              <w:pStyle w:val="105"/>
              <w:jc w:val="center"/>
            </w:pPr>
            <w:r>
              <w:t>NO</w:t>
            </w:r>
            <w:r>
              <w:rPr>
                <w:vertAlign w:val="sub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 w:hRule="atLeast"/>
          <w:jc w:val="center"/>
        </w:trPr>
        <w:tc>
          <w:tcPr>
            <w:tcW w:w="455" w:type="pct"/>
            <w:vMerge w:val="restart"/>
            <w:vAlign w:val="center"/>
          </w:tcPr>
          <w:p>
            <w:pPr>
              <w:pStyle w:val="105"/>
              <w:jc w:val="center"/>
            </w:pPr>
            <w:r>
              <w:rPr>
                <w:rFonts w:hint="eastAsia"/>
              </w:rPr>
              <w:t>全线</w:t>
            </w:r>
          </w:p>
        </w:tc>
        <w:tc>
          <w:tcPr>
            <w:tcW w:w="605" w:type="pct"/>
            <w:vAlign w:val="center"/>
          </w:tcPr>
          <w:p>
            <w:pPr>
              <w:pStyle w:val="105"/>
              <w:jc w:val="center"/>
            </w:pPr>
            <w:r>
              <w:t>2027</w:t>
            </w:r>
          </w:p>
        </w:tc>
        <w:tc>
          <w:tcPr>
            <w:tcW w:w="493" w:type="pct"/>
            <w:vAlign w:val="center"/>
          </w:tcPr>
          <w:p>
            <w:pPr>
              <w:pStyle w:val="105"/>
              <w:jc w:val="center"/>
              <w:rPr>
                <w:highlight w:val="yellow"/>
              </w:rPr>
            </w:pPr>
            <w:r>
              <w:rPr>
                <w:rFonts w:cs="Times New Roman"/>
                <w:b/>
                <w:bCs/>
                <w:szCs w:val="21"/>
              </w:rPr>
              <w:t>0.043</w:t>
            </w:r>
          </w:p>
        </w:tc>
        <w:tc>
          <w:tcPr>
            <w:tcW w:w="494" w:type="pct"/>
            <w:vAlign w:val="center"/>
          </w:tcPr>
          <w:p>
            <w:pPr>
              <w:pStyle w:val="105"/>
              <w:jc w:val="center"/>
              <w:rPr>
                <w:highlight w:val="yellow"/>
              </w:rPr>
            </w:pPr>
            <w:r>
              <w:rPr>
                <w:rFonts w:cs="Times New Roman"/>
                <w:b/>
                <w:bCs/>
                <w:szCs w:val="21"/>
              </w:rPr>
              <w:t>0.003</w:t>
            </w:r>
          </w:p>
        </w:tc>
        <w:tc>
          <w:tcPr>
            <w:tcW w:w="493" w:type="pct"/>
            <w:vAlign w:val="center"/>
          </w:tcPr>
          <w:p>
            <w:pPr>
              <w:pStyle w:val="105"/>
              <w:jc w:val="center"/>
              <w:rPr>
                <w:highlight w:val="yellow"/>
              </w:rPr>
            </w:pPr>
            <w:r>
              <w:rPr>
                <w:rFonts w:cs="Times New Roman"/>
                <w:b/>
                <w:bCs/>
                <w:szCs w:val="21"/>
              </w:rPr>
              <w:t>0.007</w:t>
            </w:r>
          </w:p>
        </w:tc>
        <w:tc>
          <w:tcPr>
            <w:tcW w:w="493" w:type="pct"/>
            <w:vAlign w:val="center"/>
          </w:tcPr>
          <w:p>
            <w:pPr>
              <w:pStyle w:val="105"/>
              <w:jc w:val="center"/>
              <w:rPr>
                <w:highlight w:val="yellow"/>
              </w:rPr>
            </w:pPr>
            <w:r>
              <w:rPr>
                <w:rFonts w:cs="Times New Roman"/>
                <w:b/>
                <w:bCs/>
                <w:szCs w:val="21"/>
              </w:rPr>
              <w:t>0.000</w:t>
            </w:r>
          </w:p>
        </w:tc>
        <w:tc>
          <w:tcPr>
            <w:tcW w:w="493" w:type="pct"/>
            <w:vAlign w:val="center"/>
          </w:tcPr>
          <w:p>
            <w:pPr>
              <w:pStyle w:val="105"/>
              <w:jc w:val="center"/>
              <w:rPr>
                <w:highlight w:val="yellow"/>
              </w:rPr>
            </w:pPr>
            <w:r>
              <w:rPr>
                <w:rFonts w:cs="Times New Roman"/>
                <w:b/>
                <w:bCs/>
                <w:szCs w:val="21"/>
              </w:rPr>
              <w:t>0.031</w:t>
            </w:r>
          </w:p>
        </w:tc>
        <w:tc>
          <w:tcPr>
            <w:tcW w:w="493" w:type="pct"/>
            <w:vAlign w:val="center"/>
          </w:tcPr>
          <w:p>
            <w:pPr>
              <w:pStyle w:val="105"/>
              <w:jc w:val="center"/>
              <w:rPr>
                <w:highlight w:val="yellow"/>
              </w:rPr>
            </w:pPr>
            <w:r>
              <w:rPr>
                <w:rFonts w:cs="Times New Roman"/>
                <w:b/>
                <w:bCs/>
                <w:szCs w:val="21"/>
              </w:rPr>
              <w:t>0.002</w:t>
            </w:r>
          </w:p>
        </w:tc>
        <w:tc>
          <w:tcPr>
            <w:tcW w:w="493" w:type="pct"/>
            <w:vAlign w:val="center"/>
          </w:tcPr>
          <w:p>
            <w:pPr>
              <w:pStyle w:val="105"/>
              <w:jc w:val="center"/>
              <w:rPr>
                <w:highlight w:val="yellow"/>
              </w:rPr>
            </w:pPr>
            <w:r>
              <w:rPr>
                <w:rFonts w:cs="Times New Roman"/>
                <w:b/>
                <w:bCs/>
                <w:szCs w:val="21"/>
              </w:rPr>
              <w:t>0.075</w:t>
            </w:r>
          </w:p>
        </w:tc>
        <w:tc>
          <w:tcPr>
            <w:tcW w:w="488" w:type="pct"/>
            <w:vAlign w:val="center"/>
          </w:tcPr>
          <w:p>
            <w:pPr>
              <w:pStyle w:val="105"/>
              <w:jc w:val="center"/>
              <w:rPr>
                <w:highlight w:val="yellow"/>
              </w:rPr>
            </w:pPr>
            <w:r>
              <w:rPr>
                <w:rFonts w:cs="Times New Roman"/>
                <w:b/>
                <w:bCs/>
                <w:szCs w:val="21"/>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 w:hRule="atLeast"/>
          <w:jc w:val="center"/>
        </w:trPr>
        <w:tc>
          <w:tcPr>
            <w:tcW w:w="455" w:type="pct"/>
            <w:vMerge w:val="continue"/>
            <w:vAlign w:val="center"/>
          </w:tcPr>
          <w:p>
            <w:pPr>
              <w:pStyle w:val="105"/>
              <w:jc w:val="center"/>
            </w:pPr>
          </w:p>
        </w:tc>
        <w:tc>
          <w:tcPr>
            <w:tcW w:w="605" w:type="pct"/>
            <w:vAlign w:val="center"/>
          </w:tcPr>
          <w:p>
            <w:pPr>
              <w:pStyle w:val="105"/>
              <w:jc w:val="center"/>
            </w:pPr>
            <w:r>
              <w:t>2033</w:t>
            </w:r>
          </w:p>
        </w:tc>
        <w:tc>
          <w:tcPr>
            <w:tcW w:w="493" w:type="pct"/>
            <w:vAlign w:val="center"/>
          </w:tcPr>
          <w:p>
            <w:pPr>
              <w:pStyle w:val="105"/>
              <w:jc w:val="center"/>
              <w:rPr>
                <w:highlight w:val="yellow"/>
              </w:rPr>
            </w:pPr>
            <w:r>
              <w:rPr>
                <w:rFonts w:cs="Times New Roman"/>
                <w:b/>
                <w:bCs/>
                <w:szCs w:val="21"/>
              </w:rPr>
              <w:t>0.050</w:t>
            </w:r>
          </w:p>
        </w:tc>
        <w:tc>
          <w:tcPr>
            <w:tcW w:w="494" w:type="pct"/>
            <w:vAlign w:val="center"/>
          </w:tcPr>
          <w:p>
            <w:pPr>
              <w:pStyle w:val="105"/>
              <w:jc w:val="center"/>
              <w:rPr>
                <w:highlight w:val="yellow"/>
              </w:rPr>
            </w:pPr>
            <w:r>
              <w:rPr>
                <w:rFonts w:cs="Times New Roman"/>
                <w:b/>
                <w:bCs/>
                <w:szCs w:val="21"/>
              </w:rPr>
              <w:t>0.003</w:t>
            </w:r>
          </w:p>
        </w:tc>
        <w:tc>
          <w:tcPr>
            <w:tcW w:w="493" w:type="pct"/>
            <w:vAlign w:val="center"/>
          </w:tcPr>
          <w:p>
            <w:pPr>
              <w:pStyle w:val="105"/>
              <w:jc w:val="center"/>
              <w:rPr>
                <w:highlight w:val="yellow"/>
              </w:rPr>
            </w:pPr>
            <w:r>
              <w:rPr>
                <w:rFonts w:cs="Times New Roman"/>
                <w:b/>
                <w:bCs/>
                <w:szCs w:val="21"/>
              </w:rPr>
              <w:t>0.009</w:t>
            </w:r>
          </w:p>
        </w:tc>
        <w:tc>
          <w:tcPr>
            <w:tcW w:w="493" w:type="pct"/>
            <w:vAlign w:val="center"/>
          </w:tcPr>
          <w:p>
            <w:pPr>
              <w:pStyle w:val="105"/>
              <w:jc w:val="center"/>
              <w:rPr>
                <w:highlight w:val="yellow"/>
              </w:rPr>
            </w:pPr>
            <w:r>
              <w:rPr>
                <w:rFonts w:cs="Times New Roman"/>
                <w:b/>
                <w:bCs/>
                <w:szCs w:val="21"/>
              </w:rPr>
              <w:t>0.001</w:t>
            </w:r>
          </w:p>
        </w:tc>
        <w:tc>
          <w:tcPr>
            <w:tcW w:w="493" w:type="pct"/>
            <w:vAlign w:val="center"/>
          </w:tcPr>
          <w:p>
            <w:pPr>
              <w:pStyle w:val="105"/>
              <w:jc w:val="center"/>
              <w:rPr>
                <w:highlight w:val="yellow"/>
              </w:rPr>
            </w:pPr>
            <w:r>
              <w:rPr>
                <w:rFonts w:cs="Times New Roman"/>
                <w:b/>
                <w:bCs/>
                <w:szCs w:val="21"/>
              </w:rPr>
              <w:t>0.036</w:t>
            </w:r>
          </w:p>
        </w:tc>
        <w:tc>
          <w:tcPr>
            <w:tcW w:w="493" w:type="pct"/>
            <w:vAlign w:val="center"/>
          </w:tcPr>
          <w:p>
            <w:pPr>
              <w:pStyle w:val="105"/>
              <w:jc w:val="center"/>
              <w:rPr>
                <w:highlight w:val="yellow"/>
              </w:rPr>
            </w:pPr>
            <w:r>
              <w:rPr>
                <w:rFonts w:cs="Times New Roman"/>
                <w:b/>
                <w:bCs/>
                <w:szCs w:val="21"/>
              </w:rPr>
              <w:t>0.002</w:t>
            </w:r>
          </w:p>
        </w:tc>
        <w:tc>
          <w:tcPr>
            <w:tcW w:w="493" w:type="pct"/>
            <w:vAlign w:val="center"/>
          </w:tcPr>
          <w:p>
            <w:pPr>
              <w:pStyle w:val="105"/>
              <w:jc w:val="center"/>
              <w:rPr>
                <w:highlight w:val="yellow"/>
              </w:rPr>
            </w:pPr>
            <w:r>
              <w:rPr>
                <w:rFonts w:cs="Times New Roman"/>
                <w:b/>
                <w:bCs/>
                <w:szCs w:val="21"/>
              </w:rPr>
              <w:t>0.087</w:t>
            </w:r>
          </w:p>
        </w:tc>
        <w:tc>
          <w:tcPr>
            <w:tcW w:w="488" w:type="pct"/>
            <w:vAlign w:val="center"/>
          </w:tcPr>
          <w:p>
            <w:pPr>
              <w:pStyle w:val="105"/>
              <w:jc w:val="center"/>
              <w:rPr>
                <w:highlight w:val="yellow"/>
              </w:rPr>
            </w:pPr>
            <w:r>
              <w:rPr>
                <w:rFonts w:cs="Times New Roman"/>
                <w:b/>
                <w:bCs/>
                <w:szCs w:val="21"/>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 w:hRule="atLeast"/>
          <w:jc w:val="center"/>
        </w:trPr>
        <w:tc>
          <w:tcPr>
            <w:tcW w:w="455" w:type="pct"/>
            <w:vMerge w:val="continue"/>
            <w:vAlign w:val="center"/>
          </w:tcPr>
          <w:p>
            <w:pPr>
              <w:pStyle w:val="105"/>
              <w:jc w:val="center"/>
            </w:pPr>
          </w:p>
        </w:tc>
        <w:tc>
          <w:tcPr>
            <w:tcW w:w="605" w:type="pct"/>
            <w:vAlign w:val="center"/>
          </w:tcPr>
          <w:p>
            <w:pPr>
              <w:pStyle w:val="105"/>
              <w:jc w:val="center"/>
            </w:pPr>
            <w:r>
              <w:t>2041</w:t>
            </w:r>
          </w:p>
        </w:tc>
        <w:tc>
          <w:tcPr>
            <w:tcW w:w="493" w:type="pct"/>
            <w:vAlign w:val="center"/>
          </w:tcPr>
          <w:p>
            <w:pPr>
              <w:pStyle w:val="105"/>
              <w:jc w:val="center"/>
              <w:rPr>
                <w:highlight w:val="yellow"/>
              </w:rPr>
            </w:pPr>
            <w:r>
              <w:rPr>
                <w:rFonts w:cs="Times New Roman"/>
                <w:b/>
                <w:bCs/>
                <w:szCs w:val="21"/>
              </w:rPr>
              <w:t>0.057</w:t>
            </w:r>
          </w:p>
        </w:tc>
        <w:tc>
          <w:tcPr>
            <w:tcW w:w="494" w:type="pct"/>
            <w:vAlign w:val="center"/>
          </w:tcPr>
          <w:p>
            <w:pPr>
              <w:pStyle w:val="105"/>
              <w:jc w:val="center"/>
              <w:rPr>
                <w:highlight w:val="yellow"/>
              </w:rPr>
            </w:pPr>
            <w:r>
              <w:rPr>
                <w:rFonts w:cs="Times New Roman"/>
                <w:b/>
                <w:bCs/>
                <w:szCs w:val="21"/>
              </w:rPr>
              <w:t>0.004</w:t>
            </w:r>
          </w:p>
        </w:tc>
        <w:tc>
          <w:tcPr>
            <w:tcW w:w="493" w:type="pct"/>
            <w:vAlign w:val="center"/>
          </w:tcPr>
          <w:p>
            <w:pPr>
              <w:pStyle w:val="105"/>
              <w:jc w:val="center"/>
              <w:rPr>
                <w:highlight w:val="yellow"/>
              </w:rPr>
            </w:pPr>
            <w:r>
              <w:rPr>
                <w:rFonts w:cs="Times New Roman"/>
                <w:b/>
                <w:bCs/>
                <w:szCs w:val="21"/>
              </w:rPr>
              <w:t>0.010</w:t>
            </w:r>
          </w:p>
        </w:tc>
        <w:tc>
          <w:tcPr>
            <w:tcW w:w="493" w:type="pct"/>
            <w:vAlign w:val="center"/>
          </w:tcPr>
          <w:p>
            <w:pPr>
              <w:pStyle w:val="105"/>
              <w:jc w:val="center"/>
              <w:rPr>
                <w:highlight w:val="yellow"/>
              </w:rPr>
            </w:pPr>
            <w:r>
              <w:rPr>
                <w:rFonts w:cs="Times New Roman"/>
                <w:b/>
                <w:bCs/>
                <w:szCs w:val="21"/>
              </w:rPr>
              <w:t>0.001</w:t>
            </w:r>
          </w:p>
        </w:tc>
        <w:tc>
          <w:tcPr>
            <w:tcW w:w="493" w:type="pct"/>
            <w:vAlign w:val="center"/>
          </w:tcPr>
          <w:p>
            <w:pPr>
              <w:pStyle w:val="105"/>
              <w:jc w:val="center"/>
              <w:rPr>
                <w:highlight w:val="yellow"/>
              </w:rPr>
            </w:pPr>
            <w:r>
              <w:rPr>
                <w:rFonts w:cs="Times New Roman"/>
                <w:b/>
                <w:bCs/>
                <w:szCs w:val="21"/>
              </w:rPr>
              <w:t>0.041</w:t>
            </w:r>
          </w:p>
        </w:tc>
        <w:tc>
          <w:tcPr>
            <w:tcW w:w="493" w:type="pct"/>
            <w:vAlign w:val="center"/>
          </w:tcPr>
          <w:p>
            <w:pPr>
              <w:pStyle w:val="105"/>
              <w:jc w:val="center"/>
              <w:rPr>
                <w:highlight w:val="yellow"/>
              </w:rPr>
            </w:pPr>
            <w:r>
              <w:rPr>
                <w:rFonts w:cs="Times New Roman"/>
                <w:b/>
                <w:bCs/>
                <w:szCs w:val="21"/>
              </w:rPr>
              <w:t>0.003</w:t>
            </w:r>
          </w:p>
        </w:tc>
        <w:tc>
          <w:tcPr>
            <w:tcW w:w="493" w:type="pct"/>
            <w:vAlign w:val="center"/>
          </w:tcPr>
          <w:p>
            <w:pPr>
              <w:pStyle w:val="105"/>
              <w:jc w:val="center"/>
              <w:rPr>
                <w:highlight w:val="yellow"/>
              </w:rPr>
            </w:pPr>
            <w:r>
              <w:rPr>
                <w:rFonts w:cs="Times New Roman"/>
                <w:b/>
                <w:bCs/>
                <w:szCs w:val="21"/>
              </w:rPr>
              <w:t>0.099</w:t>
            </w:r>
          </w:p>
        </w:tc>
        <w:tc>
          <w:tcPr>
            <w:tcW w:w="488" w:type="pct"/>
            <w:vAlign w:val="center"/>
          </w:tcPr>
          <w:p>
            <w:pPr>
              <w:pStyle w:val="105"/>
              <w:jc w:val="center"/>
              <w:rPr>
                <w:highlight w:val="yellow"/>
              </w:rPr>
            </w:pPr>
            <w:r>
              <w:rPr>
                <w:rFonts w:cs="Times New Roman"/>
                <w:b/>
                <w:bCs/>
                <w:szCs w:val="21"/>
              </w:rPr>
              <w:t>0.006</w:t>
            </w:r>
          </w:p>
        </w:tc>
      </w:tr>
    </w:tbl>
    <w:p>
      <w:pPr>
        <w:pStyle w:val="118"/>
        <w:spacing w:before="240"/>
      </w:pPr>
      <w:r>
        <w:t>噪声污染源分析</w:t>
      </w:r>
    </w:p>
    <w:p>
      <w:pPr>
        <w:ind w:firstLine="480"/>
      </w:pPr>
      <w:r>
        <w:t>（1）噪声源及其特征</w:t>
      </w:r>
    </w:p>
    <w:p>
      <w:pPr>
        <w:ind w:firstLine="480"/>
      </w:pPr>
      <w:r>
        <w:t>项目运营期噪声为车辆行驶产生的交通噪声。在路上行驶的机动车辆噪声源为非稳定态源。</w:t>
      </w:r>
      <w:r>
        <w:rPr>
          <w:rFonts w:hint="eastAsia" w:ascii="宋体" w:hAnsi="宋体"/>
        </w:rPr>
        <w:t>①</w:t>
      </w:r>
      <w:r>
        <w:rPr>
          <w:rFonts w:hint="eastAsia"/>
        </w:rPr>
        <w:t>公路运营后，车辆的发动机、冷却系统、传动系统等部件均会产生噪声。车辆行驶中引起的气流湍动、排气系统、轮胎与路面的摩擦等也会产生噪声。</w:t>
      </w:r>
      <w:r>
        <w:rPr>
          <w:rFonts w:hint="eastAsia" w:ascii="宋体" w:hAnsi="宋体"/>
        </w:rPr>
        <w:t>②</w:t>
      </w:r>
      <w:r>
        <w:rPr>
          <w:rFonts w:hint="eastAsia"/>
        </w:rPr>
        <w:t>另外，由于公路路面平整度等原因也会使行驶的汽车产生整车噪声。</w:t>
      </w:r>
      <w:r>
        <w:t>运营期交通噪声对路线附近居民点等声环境敏感点可能带来一定的不利影响。</w:t>
      </w:r>
      <w:r>
        <w:rPr>
          <w:rFonts w:hint="eastAsia"/>
          <w:szCs w:val="21"/>
        </w:rPr>
        <w:t>本评价预测年份为20</w:t>
      </w:r>
      <w:r>
        <w:rPr>
          <w:szCs w:val="21"/>
        </w:rPr>
        <w:t>27</w:t>
      </w:r>
      <w:r>
        <w:rPr>
          <w:rFonts w:hint="eastAsia"/>
          <w:szCs w:val="21"/>
        </w:rPr>
        <w:t>年、</w:t>
      </w:r>
      <w:r>
        <w:rPr>
          <w:szCs w:val="21"/>
        </w:rPr>
        <w:t>2033</w:t>
      </w:r>
      <w:r>
        <w:rPr>
          <w:rFonts w:hint="eastAsia"/>
          <w:szCs w:val="21"/>
        </w:rPr>
        <w:t>年、</w:t>
      </w:r>
      <w:r>
        <w:rPr>
          <w:szCs w:val="21"/>
        </w:rPr>
        <w:t>2041</w:t>
      </w:r>
      <w:r>
        <w:rPr>
          <w:rFonts w:hint="eastAsia"/>
          <w:szCs w:val="21"/>
        </w:rPr>
        <w:t>年。</w:t>
      </w:r>
    </w:p>
    <w:p>
      <w:pPr>
        <w:ind w:firstLine="480"/>
      </w:pPr>
      <w:r>
        <w:t>（2）各车型辐射声级计算</w:t>
      </w:r>
    </w:p>
    <w:p>
      <w:pPr>
        <w:ind w:firstLine="480"/>
        <w:rPr>
          <w:szCs w:val="24"/>
        </w:rPr>
      </w:pPr>
      <w:r>
        <w:rPr>
          <w:rFonts w:hint="eastAsia"/>
        </w:rPr>
        <w:t>本项目全线设计速度</w:t>
      </w:r>
      <w:r>
        <w:t>6</w:t>
      </w:r>
      <w:r>
        <w:rPr>
          <w:rFonts w:hint="eastAsia"/>
        </w:rPr>
        <w:t>0km/h，路基宽度为</w:t>
      </w:r>
      <w:r>
        <w:t>12</w:t>
      </w:r>
      <w:r>
        <w:rPr>
          <w:rFonts w:hint="eastAsia"/>
        </w:rPr>
        <w:t>m，双向二车道的二级公路标准进行建设，项目全线未来通道内车型比例详见</w:t>
      </w:r>
      <w:r>
        <w:fldChar w:fldCharType="begin"/>
      </w:r>
      <w:r>
        <w:instrText xml:space="preserve"> </w:instrText>
      </w:r>
      <w:r>
        <w:rPr>
          <w:rFonts w:hint="eastAsia"/>
        </w:rPr>
        <w:instrText xml:space="preserve">REF _Ref190253234 \r \h</w:instrText>
      </w:r>
      <w:r>
        <w:instrText xml:space="preserve">  \* MERGEFORMAT </w:instrText>
      </w:r>
      <w:r>
        <w:fldChar w:fldCharType="separate"/>
      </w:r>
      <w:r>
        <w:rPr>
          <w:rFonts w:hint="eastAsia"/>
        </w:rPr>
        <w:t>表3.8-5</w:t>
      </w:r>
      <w:r>
        <w:fldChar w:fldCharType="end"/>
      </w:r>
      <w:r>
        <w:rPr>
          <w:rFonts w:hint="eastAsia"/>
        </w:rPr>
        <w:t>，根据</w:t>
      </w:r>
      <w:r>
        <w:t>HJ1358—2024</w:t>
      </w:r>
      <w:r>
        <w:rPr>
          <w:rFonts w:hint="eastAsia"/>
        </w:rPr>
        <w:t>附录C，小型车比例大于7</w:t>
      </w:r>
      <w:r>
        <w:t>5%</w:t>
      </w:r>
      <w:r>
        <w:rPr>
          <w:rFonts w:hint="eastAsia"/>
        </w:rPr>
        <w:t>，平均车速可采用类比调查方式确定，</w:t>
      </w:r>
      <w:bookmarkStart w:id="361" w:name="_Hlk197442321"/>
      <w:r>
        <w:rPr>
          <w:rFonts w:hint="eastAsia"/>
        </w:rPr>
        <w:t>结合区域二级工程车速调查以及本项目线型、村庄分布，两车道二级公路小车车速一般为5</w:t>
      </w:r>
      <w:r>
        <w:t>0~55</w:t>
      </w:r>
      <w:r>
        <w:rPr>
          <w:rFonts w:hint="eastAsia"/>
        </w:rPr>
        <w:t>km/h，大中型车一般5</w:t>
      </w:r>
      <w:r>
        <w:t>0</w:t>
      </w:r>
      <w:r>
        <w:rPr>
          <w:rFonts w:hint="eastAsia"/>
        </w:rPr>
        <w:t>km/h以下，因此本项目保守采用设计6</w:t>
      </w:r>
      <w:r>
        <w:t>0</w:t>
      </w:r>
      <w:r>
        <w:rPr>
          <w:rFonts w:hint="eastAsia"/>
        </w:rPr>
        <w:t>km/h进行预测</w:t>
      </w:r>
      <w:r>
        <w:rPr>
          <w:szCs w:val="24"/>
        </w:rPr>
        <w:t>。</w:t>
      </w:r>
      <w:bookmarkEnd w:id="361"/>
      <w:r>
        <w:rPr>
          <w:rFonts w:hint="eastAsia"/>
          <w:szCs w:val="24"/>
        </w:rPr>
        <w:t>本项目公路夜间有照明，因此，保守夜间修正系数取1</w:t>
      </w:r>
      <w:r>
        <w:rPr>
          <w:szCs w:val="24"/>
        </w:rPr>
        <w:t>.0</w:t>
      </w:r>
      <w:r>
        <w:rPr>
          <w:rFonts w:hint="eastAsia"/>
          <w:szCs w:val="24"/>
        </w:rPr>
        <w:t>。</w:t>
      </w:r>
    </w:p>
    <w:p>
      <w:pPr>
        <w:pStyle w:val="87"/>
        <w:spacing w:before="120"/>
      </w:pPr>
      <w:bookmarkStart w:id="362" w:name="_Ref151018884"/>
      <w:r>
        <w:rPr>
          <w:rFonts w:hint="eastAsia"/>
        </w:rPr>
        <w:t>实际行车速度</w:t>
      </w:r>
      <w:bookmarkEnd w:id="362"/>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658"/>
        <w:gridCol w:w="1196"/>
        <w:gridCol w:w="1068"/>
        <w:gridCol w:w="1070"/>
        <w:gridCol w:w="1068"/>
        <w:gridCol w:w="1070"/>
        <w:gridCol w:w="1068"/>
        <w:gridCol w:w="108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893" w:type="pct"/>
            <w:vMerge w:val="restart"/>
            <w:vAlign w:val="center"/>
          </w:tcPr>
          <w:p>
            <w:pPr>
              <w:pStyle w:val="105"/>
            </w:pPr>
            <w:r>
              <w:rPr>
                <w:rFonts w:hint="eastAsia"/>
              </w:rPr>
              <w:t>路段</w:t>
            </w:r>
          </w:p>
        </w:tc>
        <w:tc>
          <w:tcPr>
            <w:tcW w:w="4107" w:type="pct"/>
            <w:gridSpan w:val="7"/>
            <w:shd w:val="clear" w:color="auto" w:fill="auto"/>
            <w:noWrap/>
            <w:vAlign w:val="center"/>
          </w:tcPr>
          <w:p>
            <w:pPr>
              <w:pStyle w:val="105"/>
            </w:pPr>
            <w:r>
              <w:rPr>
                <w:rFonts w:hint="eastAsia"/>
              </w:rPr>
              <w:t>各车型的实际车速</w:t>
            </w:r>
            <w:r>
              <w:t>Vi</w:t>
            </w:r>
            <w:r>
              <w:rPr>
                <w:rFonts w:hint="eastAsia"/>
              </w:rPr>
              <w:t>（</w:t>
            </w:r>
            <w:r>
              <w:t>km/h</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893" w:type="pct"/>
            <w:vMerge w:val="continue"/>
            <w:vAlign w:val="center"/>
          </w:tcPr>
          <w:p>
            <w:pPr>
              <w:pStyle w:val="105"/>
            </w:pPr>
          </w:p>
        </w:tc>
        <w:tc>
          <w:tcPr>
            <w:tcW w:w="644" w:type="pct"/>
            <w:vMerge w:val="restart"/>
            <w:shd w:val="clear" w:color="auto" w:fill="auto"/>
            <w:noWrap/>
            <w:vAlign w:val="center"/>
          </w:tcPr>
          <w:p>
            <w:pPr>
              <w:pStyle w:val="105"/>
            </w:pPr>
            <w:r>
              <w:rPr>
                <w:rFonts w:hint="eastAsia"/>
              </w:rPr>
              <w:t>车型</w:t>
            </w:r>
          </w:p>
        </w:tc>
        <w:tc>
          <w:tcPr>
            <w:tcW w:w="1151" w:type="pct"/>
            <w:gridSpan w:val="2"/>
            <w:shd w:val="clear" w:color="auto" w:fill="auto"/>
            <w:noWrap/>
            <w:vAlign w:val="center"/>
          </w:tcPr>
          <w:p>
            <w:pPr>
              <w:pStyle w:val="105"/>
            </w:pPr>
            <w:r>
              <w:t>2027</w:t>
            </w:r>
            <w:r>
              <w:rPr>
                <w:rFonts w:hint="eastAsia"/>
              </w:rPr>
              <w:t>年</w:t>
            </w:r>
          </w:p>
        </w:tc>
        <w:tc>
          <w:tcPr>
            <w:tcW w:w="1151" w:type="pct"/>
            <w:gridSpan w:val="2"/>
            <w:shd w:val="clear" w:color="auto" w:fill="auto"/>
            <w:noWrap/>
            <w:vAlign w:val="center"/>
          </w:tcPr>
          <w:p>
            <w:pPr>
              <w:pStyle w:val="105"/>
            </w:pPr>
            <w:r>
              <w:t>2033</w:t>
            </w:r>
            <w:r>
              <w:rPr>
                <w:rFonts w:hint="eastAsia"/>
              </w:rPr>
              <w:t>年</w:t>
            </w:r>
          </w:p>
        </w:tc>
        <w:tc>
          <w:tcPr>
            <w:tcW w:w="1161" w:type="pct"/>
            <w:gridSpan w:val="2"/>
            <w:shd w:val="clear" w:color="auto" w:fill="auto"/>
            <w:noWrap/>
            <w:vAlign w:val="center"/>
          </w:tcPr>
          <w:p>
            <w:pPr>
              <w:pStyle w:val="105"/>
            </w:pPr>
            <w:r>
              <w:t>2041</w:t>
            </w:r>
            <w:r>
              <w:rPr>
                <w:rFonts w:hint="eastAsia"/>
              </w:rPr>
              <w:t>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893" w:type="pct"/>
            <w:vMerge w:val="continue"/>
            <w:vAlign w:val="center"/>
          </w:tcPr>
          <w:p>
            <w:pPr>
              <w:pStyle w:val="105"/>
            </w:pPr>
          </w:p>
        </w:tc>
        <w:tc>
          <w:tcPr>
            <w:tcW w:w="644" w:type="pct"/>
            <w:vMerge w:val="continue"/>
            <w:shd w:val="clear" w:color="auto" w:fill="auto"/>
            <w:vAlign w:val="center"/>
          </w:tcPr>
          <w:p>
            <w:pPr>
              <w:pStyle w:val="105"/>
            </w:pPr>
          </w:p>
        </w:tc>
        <w:tc>
          <w:tcPr>
            <w:tcW w:w="575" w:type="pct"/>
            <w:shd w:val="clear" w:color="auto" w:fill="auto"/>
            <w:noWrap/>
            <w:vAlign w:val="center"/>
          </w:tcPr>
          <w:p>
            <w:pPr>
              <w:pStyle w:val="105"/>
            </w:pPr>
            <w:r>
              <w:rPr>
                <w:rFonts w:hint="eastAsia"/>
              </w:rPr>
              <w:t>昼间</w:t>
            </w:r>
          </w:p>
        </w:tc>
        <w:tc>
          <w:tcPr>
            <w:tcW w:w="576" w:type="pct"/>
            <w:shd w:val="clear" w:color="auto" w:fill="auto"/>
            <w:noWrap/>
            <w:vAlign w:val="center"/>
          </w:tcPr>
          <w:p>
            <w:pPr>
              <w:pStyle w:val="105"/>
            </w:pPr>
            <w:r>
              <w:rPr>
                <w:rFonts w:hint="eastAsia"/>
              </w:rPr>
              <w:t>夜间</w:t>
            </w:r>
          </w:p>
        </w:tc>
        <w:tc>
          <w:tcPr>
            <w:tcW w:w="575" w:type="pct"/>
            <w:shd w:val="clear" w:color="auto" w:fill="auto"/>
            <w:noWrap/>
            <w:vAlign w:val="center"/>
          </w:tcPr>
          <w:p>
            <w:pPr>
              <w:pStyle w:val="105"/>
            </w:pPr>
            <w:r>
              <w:rPr>
                <w:rFonts w:hint="eastAsia"/>
              </w:rPr>
              <w:t>昼间</w:t>
            </w:r>
          </w:p>
        </w:tc>
        <w:tc>
          <w:tcPr>
            <w:tcW w:w="576" w:type="pct"/>
            <w:shd w:val="clear" w:color="auto" w:fill="auto"/>
            <w:noWrap/>
            <w:vAlign w:val="center"/>
          </w:tcPr>
          <w:p>
            <w:pPr>
              <w:pStyle w:val="105"/>
            </w:pPr>
            <w:r>
              <w:rPr>
                <w:rFonts w:hint="eastAsia"/>
              </w:rPr>
              <w:t>夜间</w:t>
            </w:r>
          </w:p>
        </w:tc>
        <w:tc>
          <w:tcPr>
            <w:tcW w:w="575" w:type="pct"/>
            <w:shd w:val="clear" w:color="auto" w:fill="auto"/>
            <w:noWrap/>
            <w:vAlign w:val="center"/>
          </w:tcPr>
          <w:p>
            <w:pPr>
              <w:pStyle w:val="105"/>
            </w:pPr>
            <w:r>
              <w:rPr>
                <w:rFonts w:hint="eastAsia"/>
              </w:rPr>
              <w:t>昼间</w:t>
            </w:r>
          </w:p>
        </w:tc>
        <w:tc>
          <w:tcPr>
            <w:tcW w:w="586" w:type="pct"/>
            <w:shd w:val="clear" w:color="auto" w:fill="auto"/>
            <w:noWrap/>
            <w:vAlign w:val="center"/>
          </w:tcPr>
          <w:p>
            <w:pPr>
              <w:pStyle w:val="105"/>
            </w:pPr>
            <w:r>
              <w:rPr>
                <w:rFonts w:hint="eastAsia"/>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893" w:type="pct"/>
            <w:vMerge w:val="restart"/>
            <w:vAlign w:val="center"/>
          </w:tcPr>
          <w:p>
            <w:pPr>
              <w:pStyle w:val="105"/>
            </w:pPr>
            <w:r>
              <w:rPr>
                <w:rFonts w:hint="eastAsia"/>
              </w:rPr>
              <w:t>全线</w:t>
            </w:r>
          </w:p>
        </w:tc>
        <w:tc>
          <w:tcPr>
            <w:tcW w:w="644" w:type="pct"/>
            <w:shd w:val="clear" w:color="auto" w:fill="auto"/>
            <w:noWrap/>
            <w:vAlign w:val="center"/>
          </w:tcPr>
          <w:p>
            <w:pPr>
              <w:pStyle w:val="105"/>
            </w:pPr>
            <w:r>
              <w:rPr>
                <w:rFonts w:hint="eastAsia"/>
              </w:rPr>
              <w:t>小车</w:t>
            </w:r>
          </w:p>
        </w:tc>
        <w:tc>
          <w:tcPr>
            <w:tcW w:w="575" w:type="pct"/>
            <w:shd w:val="clear" w:color="auto" w:fill="auto"/>
            <w:noWrap/>
            <w:vAlign w:val="center"/>
          </w:tcPr>
          <w:p>
            <w:pPr>
              <w:pStyle w:val="105"/>
              <w:jc w:val="center"/>
            </w:pPr>
            <w:r>
              <w:rPr>
                <w:rFonts w:hint="eastAsia"/>
              </w:rPr>
              <w:t>6</w:t>
            </w:r>
            <w:r>
              <w:t>0.0</w:t>
            </w:r>
          </w:p>
        </w:tc>
        <w:tc>
          <w:tcPr>
            <w:tcW w:w="576" w:type="pct"/>
            <w:shd w:val="clear" w:color="auto" w:fill="auto"/>
            <w:noWrap/>
          </w:tcPr>
          <w:p>
            <w:pPr>
              <w:pStyle w:val="105"/>
              <w:jc w:val="center"/>
            </w:pPr>
            <w:r>
              <w:rPr>
                <w:rFonts w:hint="eastAsia"/>
              </w:rPr>
              <w:t>6</w:t>
            </w:r>
            <w:r>
              <w:t>0.0</w:t>
            </w:r>
          </w:p>
        </w:tc>
        <w:tc>
          <w:tcPr>
            <w:tcW w:w="575" w:type="pct"/>
            <w:shd w:val="clear" w:color="auto" w:fill="auto"/>
            <w:noWrap/>
          </w:tcPr>
          <w:p>
            <w:pPr>
              <w:pStyle w:val="105"/>
              <w:jc w:val="center"/>
            </w:pPr>
            <w:r>
              <w:rPr>
                <w:rFonts w:hint="eastAsia"/>
              </w:rPr>
              <w:t>6</w:t>
            </w:r>
            <w:r>
              <w:t>0.0</w:t>
            </w:r>
          </w:p>
        </w:tc>
        <w:tc>
          <w:tcPr>
            <w:tcW w:w="576" w:type="pct"/>
            <w:shd w:val="clear" w:color="auto" w:fill="auto"/>
            <w:noWrap/>
          </w:tcPr>
          <w:p>
            <w:pPr>
              <w:pStyle w:val="105"/>
              <w:jc w:val="center"/>
            </w:pPr>
            <w:r>
              <w:rPr>
                <w:rFonts w:hint="eastAsia"/>
              </w:rPr>
              <w:t>6</w:t>
            </w:r>
            <w:r>
              <w:t>0.0</w:t>
            </w:r>
          </w:p>
        </w:tc>
        <w:tc>
          <w:tcPr>
            <w:tcW w:w="575" w:type="pct"/>
            <w:shd w:val="clear" w:color="auto" w:fill="auto"/>
            <w:noWrap/>
          </w:tcPr>
          <w:p>
            <w:pPr>
              <w:pStyle w:val="105"/>
              <w:jc w:val="center"/>
            </w:pPr>
            <w:r>
              <w:rPr>
                <w:rFonts w:hint="eastAsia"/>
              </w:rPr>
              <w:t>6</w:t>
            </w:r>
            <w:r>
              <w:t>0.0</w:t>
            </w:r>
          </w:p>
        </w:tc>
        <w:tc>
          <w:tcPr>
            <w:tcW w:w="586" w:type="pct"/>
            <w:shd w:val="clear" w:color="auto" w:fill="auto"/>
            <w:noWrap/>
          </w:tcPr>
          <w:p>
            <w:pPr>
              <w:pStyle w:val="105"/>
              <w:jc w:val="center"/>
            </w:pPr>
            <w:r>
              <w:rPr>
                <w:rFonts w:hint="eastAsia"/>
              </w:rPr>
              <w:t>6</w:t>
            </w:r>
            <w:r>
              <w:t>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893" w:type="pct"/>
            <w:vMerge w:val="continue"/>
            <w:vAlign w:val="center"/>
          </w:tcPr>
          <w:p>
            <w:pPr>
              <w:pStyle w:val="105"/>
            </w:pPr>
          </w:p>
        </w:tc>
        <w:tc>
          <w:tcPr>
            <w:tcW w:w="644" w:type="pct"/>
            <w:shd w:val="clear" w:color="auto" w:fill="auto"/>
            <w:noWrap/>
            <w:vAlign w:val="center"/>
          </w:tcPr>
          <w:p>
            <w:pPr>
              <w:pStyle w:val="105"/>
            </w:pPr>
            <w:r>
              <w:rPr>
                <w:rFonts w:hint="eastAsia"/>
              </w:rPr>
              <w:t>中车</w:t>
            </w:r>
          </w:p>
        </w:tc>
        <w:tc>
          <w:tcPr>
            <w:tcW w:w="575" w:type="pct"/>
            <w:shd w:val="clear" w:color="auto" w:fill="auto"/>
            <w:noWrap/>
          </w:tcPr>
          <w:p>
            <w:pPr>
              <w:pStyle w:val="105"/>
              <w:jc w:val="center"/>
            </w:pPr>
            <w:r>
              <w:rPr>
                <w:rFonts w:hint="eastAsia"/>
              </w:rPr>
              <w:t>6</w:t>
            </w:r>
            <w:r>
              <w:t>0.0</w:t>
            </w:r>
          </w:p>
        </w:tc>
        <w:tc>
          <w:tcPr>
            <w:tcW w:w="576" w:type="pct"/>
            <w:shd w:val="clear" w:color="auto" w:fill="auto"/>
            <w:noWrap/>
          </w:tcPr>
          <w:p>
            <w:pPr>
              <w:pStyle w:val="105"/>
              <w:jc w:val="center"/>
            </w:pPr>
            <w:r>
              <w:rPr>
                <w:rFonts w:hint="eastAsia"/>
              </w:rPr>
              <w:t>6</w:t>
            </w:r>
            <w:r>
              <w:t>0.0</w:t>
            </w:r>
          </w:p>
        </w:tc>
        <w:tc>
          <w:tcPr>
            <w:tcW w:w="575" w:type="pct"/>
            <w:shd w:val="clear" w:color="auto" w:fill="auto"/>
            <w:noWrap/>
          </w:tcPr>
          <w:p>
            <w:pPr>
              <w:pStyle w:val="105"/>
              <w:jc w:val="center"/>
            </w:pPr>
            <w:r>
              <w:rPr>
                <w:rFonts w:hint="eastAsia"/>
              </w:rPr>
              <w:t>6</w:t>
            </w:r>
            <w:r>
              <w:t>0.0</w:t>
            </w:r>
          </w:p>
        </w:tc>
        <w:tc>
          <w:tcPr>
            <w:tcW w:w="576" w:type="pct"/>
            <w:shd w:val="clear" w:color="auto" w:fill="auto"/>
            <w:noWrap/>
          </w:tcPr>
          <w:p>
            <w:pPr>
              <w:pStyle w:val="105"/>
              <w:jc w:val="center"/>
            </w:pPr>
            <w:r>
              <w:rPr>
                <w:rFonts w:hint="eastAsia"/>
              </w:rPr>
              <w:t>6</w:t>
            </w:r>
            <w:r>
              <w:t>0.0</w:t>
            </w:r>
          </w:p>
        </w:tc>
        <w:tc>
          <w:tcPr>
            <w:tcW w:w="575" w:type="pct"/>
            <w:shd w:val="clear" w:color="auto" w:fill="auto"/>
            <w:noWrap/>
          </w:tcPr>
          <w:p>
            <w:pPr>
              <w:pStyle w:val="105"/>
              <w:jc w:val="center"/>
            </w:pPr>
            <w:r>
              <w:rPr>
                <w:rFonts w:hint="eastAsia"/>
              </w:rPr>
              <w:t>6</w:t>
            </w:r>
            <w:r>
              <w:t>0.0</w:t>
            </w:r>
          </w:p>
        </w:tc>
        <w:tc>
          <w:tcPr>
            <w:tcW w:w="586" w:type="pct"/>
            <w:shd w:val="clear" w:color="auto" w:fill="auto"/>
            <w:noWrap/>
          </w:tcPr>
          <w:p>
            <w:pPr>
              <w:pStyle w:val="105"/>
              <w:jc w:val="center"/>
            </w:pPr>
            <w:r>
              <w:rPr>
                <w:rFonts w:hint="eastAsia"/>
              </w:rPr>
              <w:t>6</w:t>
            </w:r>
            <w:r>
              <w:t>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893" w:type="pct"/>
            <w:vMerge w:val="continue"/>
            <w:vAlign w:val="center"/>
          </w:tcPr>
          <w:p>
            <w:pPr>
              <w:pStyle w:val="105"/>
            </w:pPr>
          </w:p>
        </w:tc>
        <w:tc>
          <w:tcPr>
            <w:tcW w:w="644" w:type="pct"/>
            <w:shd w:val="clear" w:color="auto" w:fill="auto"/>
            <w:noWrap/>
            <w:vAlign w:val="center"/>
          </w:tcPr>
          <w:p>
            <w:pPr>
              <w:pStyle w:val="105"/>
            </w:pPr>
            <w:r>
              <w:rPr>
                <w:rFonts w:hint="eastAsia"/>
              </w:rPr>
              <w:t>大车</w:t>
            </w:r>
          </w:p>
        </w:tc>
        <w:tc>
          <w:tcPr>
            <w:tcW w:w="575" w:type="pct"/>
            <w:shd w:val="clear" w:color="auto" w:fill="auto"/>
            <w:noWrap/>
          </w:tcPr>
          <w:p>
            <w:pPr>
              <w:pStyle w:val="105"/>
              <w:jc w:val="center"/>
            </w:pPr>
            <w:r>
              <w:rPr>
                <w:rFonts w:hint="eastAsia"/>
              </w:rPr>
              <w:t>6</w:t>
            </w:r>
            <w:r>
              <w:t>0.0</w:t>
            </w:r>
          </w:p>
        </w:tc>
        <w:tc>
          <w:tcPr>
            <w:tcW w:w="576" w:type="pct"/>
            <w:shd w:val="clear" w:color="auto" w:fill="auto"/>
            <w:noWrap/>
          </w:tcPr>
          <w:p>
            <w:pPr>
              <w:pStyle w:val="105"/>
              <w:jc w:val="center"/>
            </w:pPr>
            <w:r>
              <w:rPr>
                <w:rFonts w:hint="eastAsia"/>
              </w:rPr>
              <w:t>6</w:t>
            </w:r>
            <w:r>
              <w:t>0.0</w:t>
            </w:r>
          </w:p>
        </w:tc>
        <w:tc>
          <w:tcPr>
            <w:tcW w:w="575" w:type="pct"/>
            <w:shd w:val="clear" w:color="auto" w:fill="auto"/>
            <w:noWrap/>
          </w:tcPr>
          <w:p>
            <w:pPr>
              <w:pStyle w:val="105"/>
              <w:jc w:val="center"/>
            </w:pPr>
            <w:r>
              <w:rPr>
                <w:rFonts w:hint="eastAsia"/>
              </w:rPr>
              <w:t>6</w:t>
            </w:r>
            <w:r>
              <w:t>0.0</w:t>
            </w:r>
          </w:p>
        </w:tc>
        <w:tc>
          <w:tcPr>
            <w:tcW w:w="576" w:type="pct"/>
            <w:shd w:val="clear" w:color="auto" w:fill="auto"/>
            <w:noWrap/>
          </w:tcPr>
          <w:p>
            <w:pPr>
              <w:pStyle w:val="105"/>
              <w:jc w:val="center"/>
            </w:pPr>
            <w:r>
              <w:rPr>
                <w:rFonts w:hint="eastAsia"/>
              </w:rPr>
              <w:t>6</w:t>
            </w:r>
            <w:r>
              <w:t>0.0</w:t>
            </w:r>
          </w:p>
        </w:tc>
        <w:tc>
          <w:tcPr>
            <w:tcW w:w="575" w:type="pct"/>
            <w:shd w:val="clear" w:color="auto" w:fill="auto"/>
            <w:noWrap/>
          </w:tcPr>
          <w:p>
            <w:pPr>
              <w:pStyle w:val="105"/>
              <w:jc w:val="center"/>
            </w:pPr>
            <w:r>
              <w:rPr>
                <w:rFonts w:hint="eastAsia"/>
              </w:rPr>
              <w:t>6</w:t>
            </w:r>
            <w:r>
              <w:t>0.0</w:t>
            </w:r>
          </w:p>
        </w:tc>
        <w:tc>
          <w:tcPr>
            <w:tcW w:w="586" w:type="pct"/>
            <w:shd w:val="clear" w:color="auto" w:fill="auto"/>
            <w:noWrap/>
          </w:tcPr>
          <w:p>
            <w:pPr>
              <w:pStyle w:val="105"/>
              <w:jc w:val="center"/>
            </w:pPr>
            <w:r>
              <w:rPr>
                <w:rFonts w:hint="eastAsia"/>
              </w:rPr>
              <w:t>6</w:t>
            </w:r>
            <w:r>
              <w:t>0.0</w:t>
            </w:r>
          </w:p>
        </w:tc>
      </w:tr>
    </w:tbl>
    <w:p>
      <w:pPr>
        <w:pStyle w:val="134"/>
        <w:ind w:firstLine="300"/>
      </w:pPr>
    </w:p>
    <w:p>
      <w:pPr>
        <w:ind w:firstLine="480"/>
      </w:pPr>
      <w:r>
        <w:rPr>
          <w:rFonts w:hint="eastAsia" w:ascii="宋体" w:hAnsi="宋体"/>
        </w:rPr>
        <w:t>②</w:t>
      </w:r>
      <w:r>
        <w:t>单车辐射声级</w:t>
      </w:r>
    </w:p>
    <w:p>
      <w:pPr>
        <w:ind w:firstLine="480"/>
      </w:pPr>
      <w:r>
        <w:rPr>
          <w:rFonts w:hint="eastAsia"/>
        </w:rPr>
        <w:t>交通噪声的大小与车速、车流量、机动车类型、公路结构、公路表面覆盖物、公路两侧建筑物、地形等多因素有关。</w:t>
      </w:r>
      <w:r>
        <w:t>HJ1358—2024</w:t>
      </w:r>
      <w:r>
        <w:rPr>
          <w:rFonts w:hint="eastAsia"/>
        </w:rPr>
        <w:t>没有直接明确</w:t>
      </w:r>
      <w:r>
        <w:t>单车辐射声</w:t>
      </w:r>
      <w:r>
        <w:rPr>
          <w:rFonts w:hint="eastAsia"/>
        </w:rPr>
        <w:t>级计算模式，常见</w:t>
      </w:r>
      <w:r>
        <w:t>单车辐射声</w:t>
      </w:r>
      <w:r>
        <w:rPr>
          <w:rFonts w:hint="eastAsia"/>
        </w:rPr>
        <w:t>级计算模式为</w:t>
      </w:r>
      <w:r>
        <w:rPr>
          <w:rFonts w:hint="eastAsia"/>
          <w:lang w:eastAsia="zh-CN"/>
        </w:rPr>
        <w:t>交通运输部</w:t>
      </w:r>
      <w:r>
        <w:rPr>
          <w:rFonts w:hint="eastAsia"/>
        </w:rPr>
        <w:t>发布的(JTJ 005 -96)规范、(JTG B03</w:t>
      </w:r>
      <w:r>
        <w:t>–</w:t>
      </w:r>
      <w:r>
        <w:rPr>
          <w:rFonts w:hint="eastAsia"/>
        </w:rPr>
        <w:t>2006)规范，本次评价结合2个规范单车辐射噪声级计算模式的适用条件及适用车速范围进行优化选取，综合JTG B03</w:t>
      </w:r>
      <w:r>
        <w:t>–</w:t>
      </w:r>
      <w:r>
        <w:rPr>
          <w:rFonts w:hint="eastAsia"/>
        </w:rPr>
        <w:t>2006和JTJ 005 -96单车辐射噪声试验车型数量、年份及适用车速，评价优先采用JTG B03</w:t>
      </w:r>
      <w:r>
        <w:t>–</w:t>
      </w:r>
      <w:r>
        <w:rPr>
          <w:rFonts w:hint="eastAsia"/>
        </w:rPr>
        <w:t>2006。但考虑到项目设计车速为6</w:t>
      </w:r>
      <w:r>
        <w:t>0</w:t>
      </w:r>
      <w:r>
        <w:rPr>
          <w:rFonts w:hint="eastAsia"/>
        </w:rPr>
        <w:t>km/h，略超出JTG B03</w:t>
      </w:r>
      <w:r>
        <w:t>–</w:t>
      </w:r>
      <w:r>
        <w:rPr>
          <w:rFonts w:hint="eastAsia"/>
        </w:rPr>
        <w:t>2006小型车适用范围，综合2个规范计算结果（JTG B03</w:t>
      </w:r>
      <w:r>
        <w:t>–</w:t>
      </w:r>
      <w:r>
        <w:rPr>
          <w:rFonts w:hint="eastAsia"/>
        </w:rPr>
        <w:t>2006车速6</w:t>
      </w:r>
      <w:r>
        <w:t>0</w:t>
      </w:r>
      <w:r>
        <w:rPr>
          <w:rFonts w:hint="eastAsia"/>
        </w:rPr>
        <w:t>km/h时小车单车辐射声级7</w:t>
      </w:r>
      <w:r>
        <w:t>4.4</w:t>
      </w:r>
      <w:r>
        <w:rPr>
          <w:rFonts w:hint="eastAsia"/>
        </w:rPr>
        <w:t xml:space="preserve"> d</w:t>
      </w:r>
      <w:r>
        <w:t>B</w:t>
      </w:r>
      <w:r>
        <w:rPr>
          <w:rFonts w:hint="eastAsia"/>
        </w:rPr>
        <w:t>，JTJ 005 -96车速6</w:t>
      </w:r>
      <w:r>
        <w:t>0</w:t>
      </w:r>
      <w:r>
        <w:rPr>
          <w:rFonts w:hint="eastAsia"/>
        </w:rPr>
        <w:t>km/h时小车单车辐射声级</w:t>
      </w:r>
      <w:r>
        <w:t>73.2</w:t>
      </w:r>
      <w:r>
        <w:rPr>
          <w:rFonts w:hint="eastAsia"/>
        </w:rPr>
        <w:t>d</w:t>
      </w:r>
      <w:r>
        <w:t>B</w:t>
      </w:r>
      <w:r>
        <w:rPr>
          <w:rFonts w:hint="eastAsia"/>
        </w:rPr>
        <w:t>），本项目保守取大值进行预测，即采用JTG B03</w:t>
      </w:r>
      <w:r>
        <w:t>–</w:t>
      </w:r>
      <w:r>
        <w:rPr>
          <w:rFonts w:hint="eastAsia"/>
        </w:rPr>
        <w:t>2006表3.9-7 单车辐射噪声级计算模式。</w:t>
      </w:r>
    </w:p>
    <w:p>
      <w:pPr>
        <w:ind w:firstLine="480"/>
      </w:pPr>
    </w:p>
    <w:p>
      <w:pPr>
        <w:ind w:firstLine="480"/>
      </w:pPr>
    </w:p>
    <w:p>
      <w:pPr>
        <w:ind w:firstLine="480"/>
      </w:pPr>
    </w:p>
    <w:p>
      <w:pPr>
        <w:pStyle w:val="87"/>
        <w:spacing w:before="120"/>
      </w:pPr>
      <w:r>
        <w:rPr>
          <w:rFonts w:hint="eastAsia"/>
        </w:rPr>
        <w:t>单车辐射噪声级计算模式</w:t>
      </w:r>
    </w:p>
    <w:tbl>
      <w:tblPr>
        <w:tblStyle w:val="14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48"/>
        <w:gridCol w:w="2833"/>
        <w:gridCol w:w="992"/>
        <w:gridCol w:w="35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pStyle w:val="105"/>
              <w:jc w:val="center"/>
              <w:rPr>
                <w:snapToGrid w:val="0"/>
              </w:rPr>
            </w:pPr>
            <w:r>
              <w:rPr>
                <w:rFonts w:hint="eastAsia"/>
                <w:snapToGrid w:val="0"/>
              </w:rPr>
              <w:t>计算公示来源</w:t>
            </w:r>
          </w:p>
        </w:tc>
        <w:tc>
          <w:tcPr>
            <w:tcW w:w="850" w:type="dxa"/>
            <w:vAlign w:val="center"/>
          </w:tcPr>
          <w:p>
            <w:pPr>
              <w:pStyle w:val="105"/>
              <w:jc w:val="center"/>
              <w:rPr>
                <w:snapToGrid w:val="0"/>
              </w:rPr>
            </w:pPr>
            <w:r>
              <w:rPr>
                <w:rFonts w:hint="eastAsia"/>
                <w:snapToGrid w:val="0"/>
              </w:rPr>
              <w:t>车型</w:t>
            </w:r>
          </w:p>
        </w:tc>
        <w:tc>
          <w:tcPr>
            <w:tcW w:w="2835" w:type="dxa"/>
            <w:vAlign w:val="center"/>
          </w:tcPr>
          <w:p>
            <w:pPr>
              <w:pStyle w:val="105"/>
              <w:jc w:val="center"/>
              <w:rPr>
                <w:snapToGrid w:val="0"/>
              </w:rPr>
            </w:pPr>
            <w:r>
              <w:rPr>
                <w:rFonts w:hint="eastAsia"/>
                <w:snapToGrid w:val="0"/>
              </w:rPr>
              <w:t>辐射噪声级（L</w:t>
            </w:r>
            <w:r>
              <w:rPr>
                <w:rFonts w:hint="eastAsia"/>
                <w:snapToGrid w:val="0"/>
                <w:vertAlign w:val="subscript"/>
              </w:rPr>
              <w:t>0</w:t>
            </w:r>
            <w:r>
              <w:rPr>
                <w:snapToGrid w:val="0"/>
                <w:vertAlign w:val="subscript"/>
              </w:rPr>
              <w:t>E</w:t>
            </w:r>
            <w:r>
              <w:rPr>
                <w:rFonts w:hint="eastAsia"/>
                <w:snapToGrid w:val="0"/>
              </w:rPr>
              <w:t>）</w:t>
            </w:r>
            <w:r>
              <w:rPr>
                <w:rFonts w:hint="eastAsia"/>
                <w:i/>
                <w:iCs/>
                <w:snapToGrid w:val="0"/>
                <w:vertAlign w:val="subscript"/>
              </w:rPr>
              <w:t>i</w:t>
            </w:r>
            <w:r>
              <w:rPr>
                <w:rFonts w:hint="eastAsia"/>
                <w:snapToGrid w:val="0"/>
              </w:rPr>
              <w:t>计算公式</w:t>
            </w:r>
          </w:p>
        </w:tc>
        <w:tc>
          <w:tcPr>
            <w:tcW w:w="993" w:type="dxa"/>
            <w:vAlign w:val="center"/>
          </w:tcPr>
          <w:p>
            <w:pPr>
              <w:pStyle w:val="105"/>
              <w:jc w:val="center"/>
              <w:rPr>
                <w:snapToGrid w:val="0"/>
              </w:rPr>
            </w:pPr>
            <w:r>
              <w:rPr>
                <w:rFonts w:hint="eastAsia"/>
                <w:snapToGrid w:val="0"/>
              </w:rPr>
              <w:t>适用车速km/h</w:t>
            </w:r>
          </w:p>
        </w:tc>
        <w:tc>
          <w:tcPr>
            <w:tcW w:w="3531" w:type="dxa"/>
            <w:vAlign w:val="center"/>
          </w:tcPr>
          <w:p>
            <w:pPr>
              <w:pStyle w:val="105"/>
              <w:jc w:val="center"/>
              <w:rPr>
                <w:snapToGrid w:val="0"/>
              </w:rPr>
            </w:pPr>
            <w:r>
              <w:rPr>
                <w:rFonts w:hint="eastAsia"/>
                <w:snapToGrid w:val="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pPr>
              <w:pStyle w:val="105"/>
              <w:jc w:val="center"/>
              <w:rPr>
                <w:snapToGrid w:val="0"/>
              </w:rPr>
            </w:pPr>
            <w:r>
              <w:rPr>
                <w:rFonts w:hint="eastAsia"/>
                <w:snapToGrid w:val="0"/>
              </w:rPr>
              <w:t>JTG B03</w:t>
            </w:r>
            <w:r>
              <w:rPr>
                <w:snapToGrid w:val="0"/>
              </w:rPr>
              <w:t>–</w:t>
            </w:r>
            <w:r>
              <w:rPr>
                <w:rFonts w:hint="eastAsia"/>
                <w:snapToGrid w:val="0"/>
              </w:rPr>
              <w:t>2006</w:t>
            </w:r>
          </w:p>
        </w:tc>
        <w:tc>
          <w:tcPr>
            <w:tcW w:w="850" w:type="dxa"/>
            <w:vAlign w:val="center"/>
          </w:tcPr>
          <w:p>
            <w:pPr>
              <w:pStyle w:val="105"/>
              <w:jc w:val="center"/>
              <w:rPr>
                <w:snapToGrid w:val="0"/>
              </w:rPr>
            </w:pPr>
            <w:r>
              <w:rPr>
                <w:rFonts w:hint="eastAsia"/>
                <w:snapToGrid w:val="0"/>
              </w:rPr>
              <w:t>小车</w:t>
            </w:r>
          </w:p>
        </w:tc>
        <w:tc>
          <w:tcPr>
            <w:tcW w:w="2835" w:type="dxa"/>
            <w:vAlign w:val="center"/>
          </w:tcPr>
          <w:p>
            <w:pPr>
              <w:pStyle w:val="105"/>
              <w:jc w:val="center"/>
              <w:rPr>
                <w:snapToGrid w:val="0"/>
              </w:rPr>
            </w:pPr>
            <w:r>
              <w:rPr>
                <w:snapToGrid w:val="0"/>
              </w:rPr>
              <w:t>Lo</w:t>
            </w:r>
            <w:r>
              <w:rPr>
                <w:snapToGrid w:val="0"/>
                <w:vertAlign w:val="subscript"/>
              </w:rPr>
              <w:t>S</w:t>
            </w:r>
            <w:r>
              <w:rPr>
                <w:snapToGrid w:val="0"/>
              </w:rPr>
              <w:t>=12.6+34.73lgV</w:t>
            </w:r>
            <w:r>
              <w:rPr>
                <w:snapToGrid w:val="0"/>
                <w:vertAlign w:val="subscript"/>
              </w:rPr>
              <w:t>S</w:t>
            </w:r>
            <w:r>
              <w:rPr>
                <w:snapToGrid w:val="0"/>
              </w:rPr>
              <w:t>+</w:t>
            </w:r>
            <w:r>
              <w:rPr>
                <w:rFonts w:hAnsi="宋体"/>
                <w:snapToGrid w:val="0"/>
              </w:rPr>
              <w:t>△</w:t>
            </w:r>
            <w:r>
              <w:rPr>
                <w:snapToGrid w:val="0"/>
              </w:rPr>
              <w:t>L</w:t>
            </w:r>
            <w:r>
              <w:rPr>
                <w:rFonts w:hAnsi="宋体"/>
                <w:snapToGrid w:val="0"/>
                <w:vertAlign w:val="subscript"/>
              </w:rPr>
              <w:t>路面</w:t>
            </w:r>
          </w:p>
        </w:tc>
        <w:tc>
          <w:tcPr>
            <w:tcW w:w="993" w:type="dxa"/>
            <w:vAlign w:val="center"/>
          </w:tcPr>
          <w:p>
            <w:pPr>
              <w:pStyle w:val="105"/>
              <w:jc w:val="center"/>
              <w:rPr>
                <w:rFonts w:cs="Times New Roman"/>
                <w:snapToGrid w:val="0"/>
              </w:rPr>
            </w:pPr>
            <w:r>
              <w:rPr>
                <w:rFonts w:cs="Times New Roman"/>
                <w:snapToGrid w:val="0"/>
              </w:rPr>
              <w:t>63~140</w:t>
            </w:r>
          </w:p>
        </w:tc>
        <w:tc>
          <w:tcPr>
            <w:tcW w:w="3531" w:type="dxa"/>
            <w:vMerge w:val="restart"/>
            <w:vAlign w:val="center"/>
          </w:tcPr>
          <w:p>
            <w:pPr>
              <w:pStyle w:val="105"/>
              <w:jc w:val="center"/>
              <w:rPr>
                <w:snapToGrid w:val="0"/>
              </w:rPr>
            </w:pPr>
            <w:r>
              <w:rPr>
                <w:rFonts w:hint="eastAsia"/>
                <w:snapToGrid w:val="0"/>
              </w:rPr>
              <w:t>(JTG B03-2006)推荐,选择有代表性的大、中、小三类公路行驶车辆,在已建成的高速公路和普通公路,进行大量数据(小车 997 组，中车 448组，大车486 组)测试来研究车外噪声与行驶速度之间的关系,进行统计回归分析而得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pStyle w:val="105"/>
              <w:jc w:val="center"/>
              <w:rPr>
                <w:snapToGrid w:val="0"/>
              </w:rPr>
            </w:pPr>
          </w:p>
        </w:tc>
        <w:tc>
          <w:tcPr>
            <w:tcW w:w="850" w:type="dxa"/>
            <w:vAlign w:val="center"/>
          </w:tcPr>
          <w:p>
            <w:pPr>
              <w:pStyle w:val="105"/>
              <w:jc w:val="center"/>
              <w:rPr>
                <w:snapToGrid w:val="0"/>
              </w:rPr>
            </w:pPr>
            <w:r>
              <w:rPr>
                <w:rFonts w:hint="eastAsia"/>
                <w:snapToGrid w:val="0"/>
              </w:rPr>
              <w:t>中车</w:t>
            </w:r>
          </w:p>
        </w:tc>
        <w:tc>
          <w:tcPr>
            <w:tcW w:w="2835" w:type="dxa"/>
            <w:vAlign w:val="center"/>
          </w:tcPr>
          <w:p>
            <w:pPr>
              <w:pStyle w:val="105"/>
              <w:jc w:val="center"/>
              <w:rPr>
                <w:snapToGrid w:val="0"/>
              </w:rPr>
            </w:pPr>
            <w:r>
              <w:rPr>
                <w:snapToGrid w:val="0"/>
              </w:rPr>
              <w:t>Lo</w:t>
            </w:r>
            <w:r>
              <w:rPr>
                <w:snapToGrid w:val="0"/>
                <w:vertAlign w:val="subscript"/>
              </w:rPr>
              <w:t>M</w:t>
            </w:r>
            <w:r>
              <w:rPr>
                <w:snapToGrid w:val="0"/>
              </w:rPr>
              <w:t>=8.8+40.48lgV</w:t>
            </w:r>
            <w:r>
              <w:rPr>
                <w:snapToGrid w:val="0"/>
                <w:vertAlign w:val="subscript"/>
              </w:rPr>
              <w:t>M</w:t>
            </w:r>
            <w:r>
              <w:rPr>
                <w:snapToGrid w:val="0"/>
              </w:rPr>
              <w:t>+</w:t>
            </w:r>
            <w:r>
              <w:rPr>
                <w:rFonts w:hAnsi="宋体"/>
                <w:snapToGrid w:val="0"/>
              </w:rPr>
              <w:t>△</w:t>
            </w:r>
            <w:r>
              <w:rPr>
                <w:snapToGrid w:val="0"/>
              </w:rPr>
              <w:t>L</w:t>
            </w:r>
            <w:r>
              <w:rPr>
                <w:rFonts w:hAnsi="宋体"/>
                <w:snapToGrid w:val="0"/>
                <w:vertAlign w:val="subscript"/>
              </w:rPr>
              <w:t>纵坡</w:t>
            </w:r>
            <w:r>
              <w:rPr>
                <w:rFonts w:hint="eastAsia" w:hAnsi="宋体"/>
                <w:snapToGrid w:val="0"/>
                <w:vertAlign w:val="subscript"/>
              </w:rPr>
              <w:t xml:space="preserve"> </w:t>
            </w:r>
            <w:r>
              <w:rPr>
                <w:rFonts w:hAnsi="宋体"/>
                <w:snapToGrid w:val="0"/>
                <w:vertAlign w:val="subscript"/>
              </w:rPr>
              <w:t xml:space="preserve"> </w:t>
            </w:r>
          </w:p>
        </w:tc>
        <w:tc>
          <w:tcPr>
            <w:tcW w:w="993" w:type="dxa"/>
            <w:vAlign w:val="center"/>
          </w:tcPr>
          <w:p>
            <w:pPr>
              <w:pStyle w:val="105"/>
              <w:jc w:val="center"/>
              <w:rPr>
                <w:rFonts w:cs="Times New Roman"/>
                <w:snapToGrid w:val="0"/>
              </w:rPr>
            </w:pPr>
            <w:r>
              <w:rPr>
                <w:rFonts w:cs="Times New Roman"/>
                <w:snapToGrid w:val="0"/>
              </w:rPr>
              <w:t>53~100</w:t>
            </w:r>
          </w:p>
        </w:tc>
        <w:tc>
          <w:tcPr>
            <w:tcW w:w="3531" w:type="dxa"/>
            <w:vMerge w:val="continue"/>
            <w:vAlign w:val="center"/>
          </w:tcPr>
          <w:p>
            <w:pPr>
              <w:pStyle w:val="105"/>
              <w:jc w:val="center"/>
              <w:rPr>
                <w:snapToGrid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pStyle w:val="105"/>
              <w:jc w:val="center"/>
              <w:rPr>
                <w:snapToGrid w:val="0"/>
              </w:rPr>
            </w:pPr>
          </w:p>
        </w:tc>
        <w:tc>
          <w:tcPr>
            <w:tcW w:w="850" w:type="dxa"/>
            <w:vAlign w:val="center"/>
          </w:tcPr>
          <w:p>
            <w:pPr>
              <w:pStyle w:val="105"/>
              <w:jc w:val="center"/>
              <w:rPr>
                <w:snapToGrid w:val="0"/>
              </w:rPr>
            </w:pPr>
            <w:r>
              <w:rPr>
                <w:rFonts w:hint="eastAsia"/>
                <w:snapToGrid w:val="0"/>
              </w:rPr>
              <w:t>大车</w:t>
            </w:r>
          </w:p>
        </w:tc>
        <w:tc>
          <w:tcPr>
            <w:tcW w:w="2835" w:type="dxa"/>
            <w:vAlign w:val="center"/>
          </w:tcPr>
          <w:p>
            <w:pPr>
              <w:pStyle w:val="105"/>
              <w:jc w:val="center"/>
              <w:rPr>
                <w:snapToGrid w:val="0"/>
              </w:rPr>
            </w:pPr>
            <w:r>
              <w:rPr>
                <w:snapToGrid w:val="0"/>
              </w:rPr>
              <w:t>Lo</w:t>
            </w:r>
            <w:r>
              <w:rPr>
                <w:snapToGrid w:val="0"/>
                <w:vertAlign w:val="subscript"/>
              </w:rPr>
              <w:t>L</w:t>
            </w:r>
            <w:r>
              <w:rPr>
                <w:snapToGrid w:val="0"/>
              </w:rPr>
              <w:t>=22.0+36.32lgV</w:t>
            </w:r>
            <w:r>
              <w:rPr>
                <w:snapToGrid w:val="0"/>
                <w:vertAlign w:val="subscript"/>
              </w:rPr>
              <w:t>L</w:t>
            </w:r>
            <w:r>
              <w:rPr>
                <w:snapToGrid w:val="0"/>
              </w:rPr>
              <w:t>+</w:t>
            </w:r>
            <w:r>
              <w:rPr>
                <w:rFonts w:hAnsi="宋体"/>
                <w:snapToGrid w:val="0"/>
              </w:rPr>
              <w:t>△</w:t>
            </w:r>
            <w:r>
              <w:rPr>
                <w:snapToGrid w:val="0"/>
              </w:rPr>
              <w:t>L</w:t>
            </w:r>
            <w:r>
              <w:rPr>
                <w:rFonts w:hAnsi="宋体"/>
                <w:snapToGrid w:val="0"/>
                <w:vertAlign w:val="subscript"/>
              </w:rPr>
              <w:t>纵坡</w:t>
            </w:r>
          </w:p>
        </w:tc>
        <w:tc>
          <w:tcPr>
            <w:tcW w:w="993" w:type="dxa"/>
            <w:vAlign w:val="center"/>
          </w:tcPr>
          <w:p>
            <w:pPr>
              <w:pStyle w:val="105"/>
              <w:jc w:val="center"/>
              <w:rPr>
                <w:rFonts w:cs="Times New Roman"/>
                <w:snapToGrid w:val="0"/>
              </w:rPr>
            </w:pPr>
            <w:r>
              <w:rPr>
                <w:rFonts w:cs="Times New Roman"/>
                <w:snapToGrid w:val="0"/>
              </w:rPr>
              <w:t>48~90</w:t>
            </w:r>
          </w:p>
        </w:tc>
        <w:tc>
          <w:tcPr>
            <w:tcW w:w="3531" w:type="dxa"/>
            <w:vMerge w:val="continue"/>
            <w:vAlign w:val="center"/>
          </w:tcPr>
          <w:p>
            <w:pPr>
              <w:pStyle w:val="105"/>
              <w:jc w:val="center"/>
              <w:rPr>
                <w:snapToGrid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pPr>
              <w:pStyle w:val="105"/>
              <w:jc w:val="center"/>
              <w:rPr>
                <w:snapToGrid w:val="0"/>
              </w:rPr>
            </w:pPr>
            <w:r>
              <w:rPr>
                <w:rFonts w:hint="eastAsia"/>
                <w:snapToGrid w:val="0"/>
              </w:rPr>
              <w:t>JTJ 005 -96</w:t>
            </w:r>
          </w:p>
        </w:tc>
        <w:tc>
          <w:tcPr>
            <w:tcW w:w="850" w:type="dxa"/>
            <w:vAlign w:val="center"/>
          </w:tcPr>
          <w:p>
            <w:pPr>
              <w:pStyle w:val="105"/>
              <w:jc w:val="center"/>
              <w:rPr>
                <w:snapToGrid w:val="0"/>
              </w:rPr>
            </w:pPr>
            <w:r>
              <w:rPr>
                <w:rFonts w:hint="eastAsia"/>
                <w:snapToGrid w:val="0"/>
              </w:rPr>
              <w:t>小车</w:t>
            </w:r>
          </w:p>
        </w:tc>
        <w:tc>
          <w:tcPr>
            <w:tcW w:w="2835" w:type="dxa"/>
            <w:vAlign w:val="center"/>
          </w:tcPr>
          <w:p>
            <w:pPr>
              <w:pStyle w:val="105"/>
              <w:jc w:val="center"/>
              <w:rPr>
                <w:snapToGrid w:val="0"/>
              </w:rPr>
            </w:pPr>
            <w:r>
              <w:rPr>
                <w:snapToGrid w:val="0"/>
              </w:rPr>
              <w:t>Lo</w:t>
            </w:r>
            <w:r>
              <w:rPr>
                <w:snapToGrid w:val="0"/>
                <w:vertAlign w:val="subscript"/>
              </w:rPr>
              <w:t>S</w:t>
            </w:r>
            <w:r>
              <w:rPr>
                <w:snapToGrid w:val="0"/>
              </w:rPr>
              <w:t>= 59.3+0.23V</w:t>
            </w:r>
            <w:r>
              <w:rPr>
                <w:snapToGrid w:val="0"/>
                <w:vertAlign w:val="subscript"/>
              </w:rPr>
              <w:t>S</w:t>
            </w:r>
          </w:p>
        </w:tc>
        <w:tc>
          <w:tcPr>
            <w:tcW w:w="993" w:type="dxa"/>
            <w:vMerge w:val="restart"/>
            <w:vAlign w:val="center"/>
          </w:tcPr>
          <w:p>
            <w:pPr>
              <w:pStyle w:val="105"/>
              <w:jc w:val="center"/>
              <w:rPr>
                <w:snapToGrid w:val="0"/>
              </w:rPr>
            </w:pPr>
            <w:r>
              <w:rPr>
                <w:rFonts w:hint="eastAsia"/>
                <w:snapToGrid w:val="0"/>
              </w:rPr>
              <w:t>20</w:t>
            </w:r>
            <w:r>
              <w:rPr>
                <w:snapToGrid w:val="0"/>
              </w:rPr>
              <w:t>~100</w:t>
            </w:r>
          </w:p>
        </w:tc>
        <w:tc>
          <w:tcPr>
            <w:tcW w:w="3531" w:type="dxa"/>
            <w:vMerge w:val="restart"/>
            <w:vAlign w:val="center"/>
          </w:tcPr>
          <w:p>
            <w:pPr>
              <w:pStyle w:val="105"/>
              <w:jc w:val="center"/>
              <w:rPr>
                <w:snapToGrid w:val="0"/>
              </w:rPr>
            </w:pPr>
            <w:r>
              <w:rPr>
                <w:rFonts w:hint="eastAsia"/>
                <w:snapToGrid w:val="0"/>
              </w:rPr>
              <w:t>(JTJ005-96)推荐,根据《1993年全国民用汽车保有量统计资料》选择具有代表性且保有量大的大型车、中型车和小型车各27 辆,进行了209 次车辆噪声排放测试,从中选取了24 250个数据进行分析研究的统计结果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pStyle w:val="105"/>
              <w:jc w:val="center"/>
              <w:rPr>
                <w:snapToGrid w:val="0"/>
              </w:rPr>
            </w:pPr>
          </w:p>
        </w:tc>
        <w:tc>
          <w:tcPr>
            <w:tcW w:w="850" w:type="dxa"/>
            <w:vAlign w:val="center"/>
          </w:tcPr>
          <w:p>
            <w:pPr>
              <w:pStyle w:val="105"/>
              <w:jc w:val="center"/>
              <w:rPr>
                <w:snapToGrid w:val="0"/>
              </w:rPr>
            </w:pPr>
            <w:r>
              <w:rPr>
                <w:rFonts w:hint="eastAsia"/>
                <w:snapToGrid w:val="0"/>
              </w:rPr>
              <w:t>中车</w:t>
            </w:r>
          </w:p>
        </w:tc>
        <w:tc>
          <w:tcPr>
            <w:tcW w:w="2835" w:type="dxa"/>
            <w:vAlign w:val="center"/>
          </w:tcPr>
          <w:p>
            <w:pPr>
              <w:pStyle w:val="105"/>
              <w:jc w:val="center"/>
              <w:rPr>
                <w:snapToGrid w:val="0"/>
              </w:rPr>
            </w:pPr>
            <w:r>
              <w:rPr>
                <w:snapToGrid w:val="0"/>
              </w:rPr>
              <w:t>Lo</w:t>
            </w:r>
            <w:r>
              <w:rPr>
                <w:snapToGrid w:val="0"/>
                <w:vertAlign w:val="subscript"/>
              </w:rPr>
              <w:t>M</w:t>
            </w:r>
            <w:r>
              <w:rPr>
                <w:snapToGrid w:val="0"/>
              </w:rPr>
              <w:t>= 62.6+0.32V</w:t>
            </w:r>
            <w:r>
              <w:rPr>
                <w:snapToGrid w:val="0"/>
                <w:vertAlign w:val="subscript"/>
              </w:rPr>
              <w:t>M</w:t>
            </w:r>
          </w:p>
        </w:tc>
        <w:tc>
          <w:tcPr>
            <w:tcW w:w="993" w:type="dxa"/>
            <w:vMerge w:val="continue"/>
            <w:vAlign w:val="center"/>
          </w:tcPr>
          <w:p>
            <w:pPr>
              <w:pStyle w:val="105"/>
              <w:jc w:val="center"/>
              <w:rPr>
                <w:snapToGrid w:val="0"/>
              </w:rPr>
            </w:pPr>
          </w:p>
        </w:tc>
        <w:tc>
          <w:tcPr>
            <w:tcW w:w="3531" w:type="dxa"/>
            <w:vMerge w:val="continue"/>
            <w:vAlign w:val="center"/>
          </w:tcPr>
          <w:p>
            <w:pPr>
              <w:pStyle w:val="105"/>
              <w:jc w:val="center"/>
              <w:rPr>
                <w:snapToGrid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pStyle w:val="105"/>
              <w:jc w:val="center"/>
              <w:rPr>
                <w:snapToGrid w:val="0"/>
              </w:rPr>
            </w:pPr>
          </w:p>
        </w:tc>
        <w:tc>
          <w:tcPr>
            <w:tcW w:w="850" w:type="dxa"/>
            <w:vAlign w:val="center"/>
          </w:tcPr>
          <w:p>
            <w:pPr>
              <w:pStyle w:val="105"/>
              <w:jc w:val="center"/>
              <w:rPr>
                <w:snapToGrid w:val="0"/>
              </w:rPr>
            </w:pPr>
            <w:r>
              <w:rPr>
                <w:rFonts w:hint="eastAsia"/>
                <w:snapToGrid w:val="0"/>
              </w:rPr>
              <w:t>大车</w:t>
            </w:r>
          </w:p>
        </w:tc>
        <w:tc>
          <w:tcPr>
            <w:tcW w:w="2835" w:type="dxa"/>
            <w:vAlign w:val="center"/>
          </w:tcPr>
          <w:p>
            <w:pPr>
              <w:pStyle w:val="105"/>
              <w:jc w:val="center"/>
              <w:rPr>
                <w:snapToGrid w:val="0"/>
              </w:rPr>
            </w:pPr>
            <w:r>
              <w:rPr>
                <w:snapToGrid w:val="0"/>
              </w:rPr>
              <w:t>Lo</w:t>
            </w:r>
            <w:r>
              <w:rPr>
                <w:snapToGrid w:val="0"/>
                <w:vertAlign w:val="subscript"/>
              </w:rPr>
              <w:t>L</w:t>
            </w:r>
            <w:r>
              <w:rPr>
                <w:snapToGrid w:val="0"/>
              </w:rPr>
              <w:t>= 77.2+0.18V</w:t>
            </w:r>
            <w:r>
              <w:rPr>
                <w:snapToGrid w:val="0"/>
                <w:vertAlign w:val="subscript"/>
              </w:rPr>
              <w:t>L</w:t>
            </w:r>
          </w:p>
        </w:tc>
        <w:tc>
          <w:tcPr>
            <w:tcW w:w="993" w:type="dxa"/>
            <w:vMerge w:val="continue"/>
            <w:vAlign w:val="center"/>
          </w:tcPr>
          <w:p>
            <w:pPr>
              <w:pStyle w:val="105"/>
              <w:jc w:val="center"/>
              <w:rPr>
                <w:snapToGrid w:val="0"/>
              </w:rPr>
            </w:pPr>
          </w:p>
        </w:tc>
        <w:tc>
          <w:tcPr>
            <w:tcW w:w="3531" w:type="dxa"/>
            <w:vMerge w:val="continue"/>
            <w:vAlign w:val="center"/>
          </w:tcPr>
          <w:p>
            <w:pPr>
              <w:pStyle w:val="105"/>
              <w:jc w:val="center"/>
              <w:rPr>
                <w:snapToGrid w:val="0"/>
              </w:rPr>
            </w:pPr>
          </w:p>
        </w:tc>
      </w:tr>
    </w:tbl>
    <w:p>
      <w:pPr>
        <w:pStyle w:val="124"/>
      </w:pPr>
      <w:r>
        <w:rPr>
          <w:rFonts w:hint="eastAsia"/>
        </w:rPr>
        <w:t>③噪声</w:t>
      </w:r>
      <w:r>
        <w:t>源强</w:t>
      </w:r>
    </w:p>
    <w:p>
      <w:pPr>
        <w:ind w:firstLine="480"/>
        <w:rPr>
          <w:szCs w:val="24"/>
        </w:rPr>
      </w:pPr>
      <w:r>
        <w:rPr>
          <w:rFonts w:hint="eastAsia"/>
          <w:szCs w:val="24"/>
        </w:rPr>
        <w:t>根据车流量计算得到距离等效行车线7.5m处的各车型等效连续A声级，作为交通噪声源强。工程各预测年份各路段L</w:t>
      </w:r>
      <w:r>
        <w:rPr>
          <w:szCs w:val="24"/>
          <w:vertAlign w:val="subscript"/>
        </w:rPr>
        <w:t>0</w:t>
      </w:r>
      <w:r>
        <w:rPr>
          <w:rFonts w:hint="eastAsia"/>
          <w:szCs w:val="24"/>
          <w:vertAlign w:val="subscript"/>
        </w:rPr>
        <w:t>E</w:t>
      </w:r>
      <w:r>
        <w:rPr>
          <w:rFonts w:hint="eastAsia"/>
          <w:szCs w:val="24"/>
        </w:rPr>
        <w:t>—7.5m计算值见</w:t>
      </w:r>
      <w:r>
        <w:rPr>
          <w:szCs w:val="24"/>
        </w:rPr>
        <w:fldChar w:fldCharType="begin"/>
      </w:r>
      <w:r>
        <w:rPr>
          <w:szCs w:val="24"/>
        </w:rPr>
        <w:instrText xml:space="preserve"> </w:instrText>
      </w:r>
      <w:r>
        <w:rPr>
          <w:rFonts w:hint="eastAsia"/>
          <w:szCs w:val="24"/>
        </w:rPr>
        <w:instrText xml:space="preserve">REF _Ref151018893 \r \h</w:instrText>
      </w:r>
      <w:r>
        <w:rPr>
          <w:szCs w:val="24"/>
        </w:rPr>
        <w:instrText xml:space="preserve"> </w:instrText>
      </w:r>
      <w:r>
        <w:rPr>
          <w:szCs w:val="24"/>
        </w:rPr>
        <w:fldChar w:fldCharType="separate"/>
      </w:r>
      <w:r>
        <w:rPr>
          <w:rFonts w:hint="eastAsia"/>
          <w:szCs w:val="24"/>
        </w:rPr>
        <w:t>表3.9-8</w:t>
      </w:r>
      <w:r>
        <w:rPr>
          <w:szCs w:val="24"/>
        </w:rPr>
        <w:fldChar w:fldCharType="end"/>
      </w:r>
      <w:r>
        <w:rPr>
          <w:rFonts w:hint="eastAsia"/>
          <w:szCs w:val="24"/>
        </w:rPr>
        <w:t>。</w:t>
      </w:r>
    </w:p>
    <w:p>
      <w:pPr>
        <w:pStyle w:val="87"/>
        <w:spacing w:before="120"/>
      </w:pPr>
      <w:bookmarkStart w:id="363" w:name="_Ref151018893"/>
      <w:r>
        <w:rPr>
          <w:rFonts w:hint="eastAsia"/>
        </w:rPr>
        <w:t>公路噪声源强调查清单</w:t>
      </w:r>
      <w:bookmarkEnd w:id="363"/>
    </w:p>
    <w:tbl>
      <w:tblPr>
        <w:tblStyle w:val="5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
        <w:gridCol w:w="433"/>
        <w:gridCol w:w="385"/>
        <w:gridCol w:w="453"/>
        <w:gridCol w:w="438"/>
        <w:gridCol w:w="425"/>
        <w:gridCol w:w="425"/>
        <w:gridCol w:w="426"/>
        <w:gridCol w:w="425"/>
        <w:gridCol w:w="425"/>
        <w:gridCol w:w="425"/>
        <w:gridCol w:w="444"/>
        <w:gridCol w:w="409"/>
        <w:gridCol w:w="409"/>
        <w:gridCol w:w="409"/>
        <w:gridCol w:w="409"/>
        <w:gridCol w:w="409"/>
        <w:gridCol w:w="409"/>
        <w:gridCol w:w="409"/>
        <w:gridCol w:w="409"/>
        <w:gridCol w:w="409"/>
        <w:gridCol w:w="4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76" w:type="dxa"/>
            <w:vMerge w:val="restart"/>
            <w:vAlign w:val="center"/>
          </w:tcPr>
          <w:p>
            <w:pPr>
              <w:pStyle w:val="105"/>
              <w:ind w:left="-120" w:leftChars="-50" w:right="-120" w:rightChars="-50"/>
              <w:jc w:val="center"/>
              <w:rPr>
                <w:sz w:val="18"/>
                <w:szCs w:val="18"/>
              </w:rPr>
            </w:pPr>
            <w:r>
              <w:rPr>
                <w:rFonts w:hint="eastAsia"/>
                <w:sz w:val="18"/>
                <w:szCs w:val="18"/>
              </w:rPr>
              <w:t>路</w:t>
            </w:r>
          </w:p>
          <w:p>
            <w:pPr>
              <w:pStyle w:val="105"/>
              <w:ind w:left="-120" w:leftChars="-50" w:right="-120" w:rightChars="-50"/>
              <w:jc w:val="center"/>
              <w:rPr>
                <w:sz w:val="18"/>
                <w:szCs w:val="18"/>
              </w:rPr>
            </w:pPr>
            <w:r>
              <w:rPr>
                <w:rFonts w:hint="eastAsia"/>
                <w:sz w:val="18"/>
                <w:szCs w:val="18"/>
              </w:rPr>
              <w:t>段</w:t>
            </w:r>
          </w:p>
        </w:tc>
        <w:tc>
          <w:tcPr>
            <w:tcW w:w="433" w:type="dxa"/>
            <w:vMerge w:val="restart"/>
            <w:vAlign w:val="center"/>
          </w:tcPr>
          <w:p>
            <w:pPr>
              <w:pStyle w:val="105"/>
              <w:ind w:left="-120" w:leftChars="-50" w:right="-120" w:rightChars="-50"/>
              <w:jc w:val="center"/>
              <w:rPr>
                <w:sz w:val="18"/>
                <w:szCs w:val="18"/>
              </w:rPr>
            </w:pPr>
            <w:r>
              <w:rPr>
                <w:rFonts w:hint="eastAsia"/>
                <w:sz w:val="18"/>
                <w:szCs w:val="18"/>
              </w:rPr>
              <w:t>时期</w:t>
            </w:r>
          </w:p>
        </w:tc>
        <w:tc>
          <w:tcPr>
            <w:tcW w:w="3402" w:type="dxa"/>
            <w:gridSpan w:val="8"/>
            <w:vAlign w:val="center"/>
          </w:tcPr>
          <w:p>
            <w:pPr>
              <w:pStyle w:val="105"/>
              <w:ind w:left="-120" w:leftChars="-50" w:right="-120" w:rightChars="-50"/>
              <w:jc w:val="center"/>
              <w:rPr>
                <w:sz w:val="18"/>
                <w:szCs w:val="18"/>
              </w:rPr>
            </w:pPr>
            <w:r>
              <w:rPr>
                <w:rFonts w:hint="eastAsia"/>
                <w:sz w:val="18"/>
                <w:szCs w:val="18"/>
              </w:rPr>
              <w:t>车流量/（辆/h）</w:t>
            </w:r>
          </w:p>
        </w:tc>
        <w:tc>
          <w:tcPr>
            <w:tcW w:w="2505" w:type="dxa"/>
            <w:gridSpan w:val="6"/>
            <w:shd w:val="clear" w:color="auto" w:fill="auto"/>
            <w:noWrap/>
            <w:vAlign w:val="center"/>
          </w:tcPr>
          <w:p>
            <w:pPr>
              <w:pStyle w:val="105"/>
              <w:ind w:left="-120" w:leftChars="-50" w:right="-120" w:rightChars="-50"/>
              <w:jc w:val="center"/>
              <w:rPr>
                <w:sz w:val="18"/>
                <w:szCs w:val="18"/>
              </w:rPr>
            </w:pPr>
            <w:r>
              <w:rPr>
                <w:rFonts w:hint="eastAsia"/>
                <w:sz w:val="18"/>
                <w:szCs w:val="18"/>
              </w:rPr>
              <w:t>车速/(km/h)</w:t>
            </w:r>
          </w:p>
        </w:tc>
        <w:tc>
          <w:tcPr>
            <w:tcW w:w="2454" w:type="dxa"/>
            <w:gridSpan w:val="6"/>
            <w:vAlign w:val="center"/>
          </w:tcPr>
          <w:p>
            <w:pPr>
              <w:pStyle w:val="105"/>
              <w:ind w:left="-120" w:leftChars="-50" w:right="-120" w:rightChars="-50"/>
              <w:jc w:val="center"/>
              <w:rPr>
                <w:sz w:val="18"/>
                <w:szCs w:val="18"/>
              </w:rPr>
            </w:pPr>
            <w:r>
              <w:rPr>
                <w:rFonts w:hint="eastAsia"/>
                <w:sz w:val="18"/>
                <w:szCs w:val="18"/>
              </w:rPr>
              <w:t>源强/dB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76" w:type="dxa"/>
            <w:vMerge w:val="continue"/>
            <w:vAlign w:val="center"/>
          </w:tcPr>
          <w:p>
            <w:pPr>
              <w:pStyle w:val="105"/>
              <w:ind w:left="-120" w:leftChars="-50" w:right="-120" w:rightChars="-50"/>
              <w:jc w:val="center"/>
              <w:rPr>
                <w:sz w:val="18"/>
                <w:szCs w:val="18"/>
              </w:rPr>
            </w:pPr>
          </w:p>
        </w:tc>
        <w:tc>
          <w:tcPr>
            <w:tcW w:w="433" w:type="dxa"/>
            <w:vMerge w:val="continue"/>
            <w:vAlign w:val="center"/>
          </w:tcPr>
          <w:p>
            <w:pPr>
              <w:pStyle w:val="105"/>
              <w:ind w:left="-120" w:leftChars="-50" w:right="-120" w:rightChars="-50"/>
              <w:jc w:val="center"/>
              <w:rPr>
                <w:sz w:val="18"/>
                <w:szCs w:val="18"/>
              </w:rPr>
            </w:pPr>
          </w:p>
        </w:tc>
        <w:tc>
          <w:tcPr>
            <w:tcW w:w="838" w:type="dxa"/>
            <w:gridSpan w:val="2"/>
            <w:shd w:val="clear" w:color="auto" w:fill="auto"/>
            <w:noWrap/>
            <w:vAlign w:val="center"/>
          </w:tcPr>
          <w:p>
            <w:pPr>
              <w:pStyle w:val="105"/>
              <w:ind w:left="-120" w:leftChars="-50" w:right="-120" w:rightChars="-50"/>
              <w:jc w:val="center"/>
              <w:rPr>
                <w:sz w:val="18"/>
                <w:szCs w:val="18"/>
              </w:rPr>
            </w:pPr>
            <w:r>
              <w:rPr>
                <w:rFonts w:hint="eastAsia"/>
                <w:sz w:val="18"/>
                <w:szCs w:val="18"/>
              </w:rPr>
              <w:t>小型车</w:t>
            </w:r>
          </w:p>
        </w:tc>
        <w:tc>
          <w:tcPr>
            <w:tcW w:w="863" w:type="dxa"/>
            <w:gridSpan w:val="2"/>
            <w:vAlign w:val="center"/>
          </w:tcPr>
          <w:p>
            <w:pPr>
              <w:pStyle w:val="105"/>
              <w:ind w:left="-120" w:leftChars="-50" w:right="-120" w:rightChars="-50"/>
              <w:jc w:val="center"/>
              <w:rPr>
                <w:sz w:val="18"/>
                <w:szCs w:val="18"/>
              </w:rPr>
            </w:pPr>
            <w:r>
              <w:rPr>
                <w:rFonts w:hint="eastAsia"/>
                <w:sz w:val="18"/>
                <w:szCs w:val="18"/>
              </w:rPr>
              <w:t>中型车</w:t>
            </w:r>
          </w:p>
        </w:tc>
        <w:tc>
          <w:tcPr>
            <w:tcW w:w="851" w:type="dxa"/>
            <w:gridSpan w:val="2"/>
            <w:vAlign w:val="center"/>
          </w:tcPr>
          <w:p>
            <w:pPr>
              <w:pStyle w:val="105"/>
              <w:ind w:left="-120" w:leftChars="-50" w:right="-120" w:rightChars="-50"/>
              <w:jc w:val="center"/>
              <w:rPr>
                <w:sz w:val="18"/>
                <w:szCs w:val="18"/>
              </w:rPr>
            </w:pPr>
            <w:r>
              <w:rPr>
                <w:rFonts w:hint="eastAsia"/>
                <w:sz w:val="18"/>
                <w:szCs w:val="18"/>
              </w:rPr>
              <w:t>大型车</w:t>
            </w:r>
          </w:p>
        </w:tc>
        <w:tc>
          <w:tcPr>
            <w:tcW w:w="850" w:type="dxa"/>
            <w:gridSpan w:val="2"/>
            <w:shd w:val="clear" w:color="auto" w:fill="auto"/>
            <w:vAlign w:val="center"/>
          </w:tcPr>
          <w:p>
            <w:pPr>
              <w:pStyle w:val="105"/>
              <w:ind w:left="-120" w:leftChars="-50" w:right="-120" w:rightChars="-50"/>
              <w:jc w:val="center"/>
              <w:rPr>
                <w:sz w:val="18"/>
                <w:szCs w:val="18"/>
              </w:rPr>
            </w:pPr>
            <w:r>
              <w:rPr>
                <w:rFonts w:hint="eastAsia"/>
                <w:sz w:val="18"/>
                <w:szCs w:val="18"/>
              </w:rPr>
              <w:t>合计</w:t>
            </w:r>
          </w:p>
        </w:tc>
        <w:tc>
          <w:tcPr>
            <w:tcW w:w="869" w:type="dxa"/>
            <w:gridSpan w:val="2"/>
            <w:shd w:val="clear" w:color="auto" w:fill="auto"/>
            <w:noWrap/>
            <w:vAlign w:val="center"/>
          </w:tcPr>
          <w:p>
            <w:pPr>
              <w:pStyle w:val="105"/>
              <w:ind w:left="-120" w:leftChars="-50" w:right="-120" w:rightChars="-50"/>
              <w:jc w:val="center"/>
              <w:rPr>
                <w:sz w:val="18"/>
                <w:szCs w:val="18"/>
              </w:rPr>
            </w:pPr>
            <w:r>
              <w:rPr>
                <w:rFonts w:hint="eastAsia"/>
                <w:sz w:val="18"/>
                <w:szCs w:val="18"/>
              </w:rPr>
              <w:t>小型车</w:t>
            </w:r>
          </w:p>
        </w:tc>
        <w:tc>
          <w:tcPr>
            <w:tcW w:w="818" w:type="dxa"/>
            <w:gridSpan w:val="2"/>
            <w:vAlign w:val="center"/>
          </w:tcPr>
          <w:p>
            <w:pPr>
              <w:pStyle w:val="105"/>
              <w:ind w:left="-120" w:leftChars="-50" w:right="-120" w:rightChars="-50"/>
              <w:jc w:val="center"/>
              <w:rPr>
                <w:sz w:val="18"/>
                <w:szCs w:val="18"/>
              </w:rPr>
            </w:pPr>
            <w:r>
              <w:rPr>
                <w:rFonts w:hint="eastAsia"/>
                <w:sz w:val="18"/>
                <w:szCs w:val="18"/>
              </w:rPr>
              <w:t>中型车</w:t>
            </w:r>
          </w:p>
        </w:tc>
        <w:tc>
          <w:tcPr>
            <w:tcW w:w="818" w:type="dxa"/>
            <w:gridSpan w:val="2"/>
            <w:vAlign w:val="center"/>
          </w:tcPr>
          <w:p>
            <w:pPr>
              <w:pStyle w:val="105"/>
              <w:ind w:left="-120" w:leftChars="-50" w:right="-120" w:rightChars="-50"/>
              <w:jc w:val="center"/>
              <w:rPr>
                <w:sz w:val="18"/>
                <w:szCs w:val="18"/>
              </w:rPr>
            </w:pPr>
            <w:r>
              <w:rPr>
                <w:rFonts w:hint="eastAsia"/>
                <w:sz w:val="18"/>
                <w:szCs w:val="18"/>
              </w:rPr>
              <w:t>大型车</w:t>
            </w:r>
          </w:p>
        </w:tc>
        <w:tc>
          <w:tcPr>
            <w:tcW w:w="818" w:type="dxa"/>
            <w:gridSpan w:val="2"/>
            <w:vAlign w:val="center"/>
          </w:tcPr>
          <w:p>
            <w:pPr>
              <w:pStyle w:val="105"/>
              <w:ind w:left="-120" w:leftChars="-50" w:right="-120" w:rightChars="-50"/>
              <w:jc w:val="center"/>
              <w:rPr>
                <w:sz w:val="18"/>
                <w:szCs w:val="18"/>
              </w:rPr>
            </w:pPr>
            <w:r>
              <w:rPr>
                <w:rFonts w:hint="eastAsia"/>
                <w:sz w:val="18"/>
                <w:szCs w:val="18"/>
              </w:rPr>
              <w:t>小型车</w:t>
            </w:r>
          </w:p>
        </w:tc>
        <w:tc>
          <w:tcPr>
            <w:tcW w:w="818" w:type="dxa"/>
            <w:gridSpan w:val="2"/>
            <w:vAlign w:val="center"/>
          </w:tcPr>
          <w:p>
            <w:pPr>
              <w:pStyle w:val="105"/>
              <w:ind w:left="-120" w:leftChars="-50" w:right="-120" w:rightChars="-50"/>
              <w:jc w:val="center"/>
              <w:rPr>
                <w:sz w:val="18"/>
                <w:szCs w:val="18"/>
              </w:rPr>
            </w:pPr>
            <w:r>
              <w:rPr>
                <w:rFonts w:hint="eastAsia"/>
                <w:sz w:val="18"/>
                <w:szCs w:val="18"/>
              </w:rPr>
              <w:t>中型车</w:t>
            </w:r>
          </w:p>
        </w:tc>
        <w:tc>
          <w:tcPr>
            <w:tcW w:w="818" w:type="dxa"/>
            <w:gridSpan w:val="2"/>
            <w:vAlign w:val="center"/>
          </w:tcPr>
          <w:p>
            <w:pPr>
              <w:pStyle w:val="105"/>
              <w:ind w:left="-120" w:leftChars="-50" w:right="-120" w:rightChars="-50"/>
              <w:jc w:val="center"/>
              <w:rPr>
                <w:sz w:val="18"/>
                <w:szCs w:val="18"/>
              </w:rPr>
            </w:pPr>
            <w:r>
              <w:rPr>
                <w:rFonts w:hint="eastAsia"/>
                <w:sz w:val="18"/>
                <w:szCs w:val="18"/>
              </w:rPr>
              <w:t>大型车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76" w:type="dxa"/>
            <w:vMerge w:val="continue"/>
            <w:vAlign w:val="center"/>
          </w:tcPr>
          <w:p>
            <w:pPr>
              <w:pStyle w:val="105"/>
              <w:ind w:left="-120" w:leftChars="-50" w:right="-120" w:rightChars="-50"/>
              <w:jc w:val="center"/>
              <w:rPr>
                <w:sz w:val="18"/>
                <w:szCs w:val="18"/>
              </w:rPr>
            </w:pPr>
          </w:p>
        </w:tc>
        <w:tc>
          <w:tcPr>
            <w:tcW w:w="433" w:type="dxa"/>
            <w:vMerge w:val="continue"/>
            <w:vAlign w:val="center"/>
          </w:tcPr>
          <w:p>
            <w:pPr>
              <w:pStyle w:val="105"/>
              <w:ind w:left="-120" w:leftChars="-50" w:right="-120" w:rightChars="-50"/>
              <w:jc w:val="center"/>
              <w:rPr>
                <w:sz w:val="18"/>
                <w:szCs w:val="18"/>
              </w:rPr>
            </w:pPr>
          </w:p>
        </w:tc>
        <w:tc>
          <w:tcPr>
            <w:tcW w:w="385" w:type="dxa"/>
            <w:shd w:val="clear" w:color="auto" w:fill="auto"/>
            <w:noWrap/>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53" w:type="dxa"/>
            <w:shd w:val="clear" w:color="auto" w:fill="auto"/>
            <w:noWrap/>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c>
          <w:tcPr>
            <w:tcW w:w="438" w:type="dxa"/>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25" w:type="dxa"/>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c>
          <w:tcPr>
            <w:tcW w:w="425" w:type="dxa"/>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26" w:type="dxa"/>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c>
          <w:tcPr>
            <w:tcW w:w="425" w:type="dxa"/>
            <w:shd w:val="clear" w:color="auto" w:fill="auto"/>
            <w:noWrap/>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25" w:type="dxa"/>
            <w:shd w:val="clear" w:color="auto" w:fill="auto"/>
            <w:noWrap/>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c>
          <w:tcPr>
            <w:tcW w:w="425" w:type="dxa"/>
            <w:shd w:val="clear" w:color="auto" w:fill="auto"/>
            <w:noWrap/>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44" w:type="dxa"/>
            <w:shd w:val="clear" w:color="auto" w:fill="auto"/>
            <w:noWrap/>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昼</w:t>
            </w:r>
          </w:p>
          <w:p>
            <w:pPr>
              <w:pStyle w:val="105"/>
              <w:ind w:left="-120" w:leftChars="-50" w:right="-120" w:rightChars="-50"/>
              <w:jc w:val="center"/>
              <w:rPr>
                <w:sz w:val="18"/>
                <w:szCs w:val="18"/>
              </w:rPr>
            </w:pPr>
            <w:r>
              <w:rPr>
                <w:rFonts w:hint="eastAsia"/>
                <w:sz w:val="18"/>
                <w:szCs w:val="18"/>
              </w:rPr>
              <w:t>间</w:t>
            </w:r>
          </w:p>
        </w:tc>
        <w:tc>
          <w:tcPr>
            <w:tcW w:w="409" w:type="dxa"/>
            <w:vAlign w:val="center"/>
          </w:tcPr>
          <w:p>
            <w:pPr>
              <w:pStyle w:val="105"/>
              <w:ind w:left="-120" w:leftChars="-50" w:right="-120" w:rightChars="-50"/>
              <w:jc w:val="center"/>
              <w:rPr>
                <w:sz w:val="18"/>
                <w:szCs w:val="18"/>
              </w:rPr>
            </w:pPr>
            <w:r>
              <w:rPr>
                <w:rFonts w:hint="eastAsia"/>
                <w:sz w:val="18"/>
                <w:szCs w:val="18"/>
              </w:rPr>
              <w:t>夜</w:t>
            </w:r>
          </w:p>
          <w:p>
            <w:pPr>
              <w:pStyle w:val="105"/>
              <w:ind w:left="-120" w:leftChars="-50" w:right="-120" w:rightChars="-50"/>
              <w:jc w:val="center"/>
              <w:rPr>
                <w:sz w:val="18"/>
                <w:szCs w:val="18"/>
              </w:rPr>
            </w:pPr>
            <w:r>
              <w:rPr>
                <w:rFonts w:hint="eastAsia"/>
                <w:sz w:val="18"/>
                <w:szCs w:val="18"/>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76" w:type="dxa"/>
            <w:vMerge w:val="restart"/>
            <w:vAlign w:val="center"/>
          </w:tcPr>
          <w:p>
            <w:pPr>
              <w:pStyle w:val="105"/>
              <w:ind w:left="-120" w:leftChars="-50" w:right="-120" w:rightChars="-50"/>
              <w:jc w:val="center"/>
              <w:rPr>
                <w:sz w:val="18"/>
                <w:szCs w:val="18"/>
              </w:rPr>
            </w:pPr>
            <w:r>
              <w:rPr>
                <w:rFonts w:hint="eastAsia"/>
                <w:sz w:val="18"/>
                <w:szCs w:val="18"/>
              </w:rPr>
              <w:t>全线</w:t>
            </w:r>
          </w:p>
        </w:tc>
        <w:tc>
          <w:tcPr>
            <w:tcW w:w="433" w:type="dxa"/>
            <w:vAlign w:val="center"/>
          </w:tcPr>
          <w:p>
            <w:pPr>
              <w:pStyle w:val="105"/>
              <w:ind w:left="-120" w:leftChars="-50" w:right="-120" w:rightChars="-50"/>
              <w:jc w:val="center"/>
              <w:rPr>
                <w:sz w:val="18"/>
                <w:szCs w:val="18"/>
              </w:rPr>
            </w:pPr>
            <w:r>
              <w:rPr>
                <w:rFonts w:hint="eastAsia"/>
                <w:sz w:val="18"/>
                <w:szCs w:val="18"/>
              </w:rPr>
              <w:t>近期</w:t>
            </w:r>
          </w:p>
        </w:tc>
        <w:tc>
          <w:tcPr>
            <w:tcW w:w="385" w:type="dxa"/>
            <w:shd w:val="clear" w:color="auto" w:fill="auto"/>
            <w:noWrap/>
            <w:vAlign w:val="center"/>
          </w:tcPr>
          <w:p>
            <w:pPr>
              <w:pStyle w:val="105"/>
              <w:ind w:left="-120" w:leftChars="-50" w:right="-120" w:rightChars="-50"/>
              <w:jc w:val="center"/>
              <w:rPr>
                <w:sz w:val="18"/>
                <w:szCs w:val="18"/>
              </w:rPr>
            </w:pPr>
            <w:r>
              <w:rPr>
                <w:rFonts w:cs="Times New Roman"/>
                <w:sz w:val="18"/>
                <w:szCs w:val="18"/>
              </w:rPr>
              <w:t>249</w:t>
            </w:r>
          </w:p>
        </w:tc>
        <w:tc>
          <w:tcPr>
            <w:tcW w:w="453" w:type="dxa"/>
            <w:shd w:val="clear" w:color="auto" w:fill="auto"/>
            <w:noWrap/>
            <w:vAlign w:val="center"/>
          </w:tcPr>
          <w:p>
            <w:pPr>
              <w:pStyle w:val="105"/>
              <w:ind w:left="-120" w:leftChars="-50" w:right="-120" w:rightChars="-50"/>
              <w:jc w:val="center"/>
              <w:rPr>
                <w:sz w:val="18"/>
                <w:szCs w:val="18"/>
              </w:rPr>
            </w:pPr>
            <w:r>
              <w:rPr>
                <w:rFonts w:cs="Times New Roman"/>
                <w:sz w:val="18"/>
                <w:szCs w:val="18"/>
              </w:rPr>
              <w:t>43</w:t>
            </w:r>
          </w:p>
        </w:tc>
        <w:tc>
          <w:tcPr>
            <w:tcW w:w="438" w:type="dxa"/>
            <w:vAlign w:val="center"/>
          </w:tcPr>
          <w:p>
            <w:pPr>
              <w:pStyle w:val="105"/>
              <w:ind w:left="-120" w:leftChars="-50" w:right="-120" w:rightChars="-50"/>
              <w:jc w:val="center"/>
              <w:rPr>
                <w:sz w:val="18"/>
                <w:szCs w:val="18"/>
              </w:rPr>
            </w:pPr>
            <w:r>
              <w:rPr>
                <w:rFonts w:cs="Times New Roman"/>
                <w:sz w:val="18"/>
                <w:szCs w:val="18"/>
              </w:rPr>
              <w:t>23</w:t>
            </w:r>
          </w:p>
        </w:tc>
        <w:tc>
          <w:tcPr>
            <w:tcW w:w="425" w:type="dxa"/>
            <w:vAlign w:val="center"/>
          </w:tcPr>
          <w:p>
            <w:pPr>
              <w:pStyle w:val="105"/>
              <w:ind w:left="-120" w:leftChars="-50" w:right="-120" w:rightChars="-50"/>
              <w:jc w:val="center"/>
              <w:rPr>
                <w:sz w:val="18"/>
                <w:szCs w:val="18"/>
              </w:rPr>
            </w:pPr>
            <w:r>
              <w:rPr>
                <w:rFonts w:cs="Times New Roman"/>
                <w:sz w:val="18"/>
                <w:szCs w:val="18"/>
              </w:rPr>
              <w:t>4</w:t>
            </w:r>
          </w:p>
        </w:tc>
        <w:tc>
          <w:tcPr>
            <w:tcW w:w="425" w:type="dxa"/>
            <w:vAlign w:val="center"/>
          </w:tcPr>
          <w:p>
            <w:pPr>
              <w:pStyle w:val="105"/>
              <w:ind w:left="-120" w:leftChars="-50" w:right="-120" w:rightChars="-50"/>
              <w:jc w:val="center"/>
              <w:rPr>
                <w:sz w:val="18"/>
                <w:szCs w:val="18"/>
              </w:rPr>
            </w:pPr>
            <w:r>
              <w:rPr>
                <w:rFonts w:cs="Times New Roman"/>
                <w:sz w:val="18"/>
                <w:szCs w:val="18"/>
              </w:rPr>
              <w:t>21</w:t>
            </w:r>
          </w:p>
        </w:tc>
        <w:tc>
          <w:tcPr>
            <w:tcW w:w="426" w:type="dxa"/>
            <w:vAlign w:val="center"/>
          </w:tcPr>
          <w:p>
            <w:pPr>
              <w:pStyle w:val="105"/>
              <w:ind w:left="-120" w:leftChars="-50" w:right="-120" w:rightChars="-50"/>
              <w:jc w:val="center"/>
              <w:rPr>
                <w:sz w:val="18"/>
                <w:szCs w:val="18"/>
              </w:rPr>
            </w:pPr>
            <w:r>
              <w:rPr>
                <w:rFonts w:cs="Times New Roman"/>
                <w:sz w:val="18"/>
                <w:szCs w:val="18"/>
              </w:rPr>
              <w:t>4</w:t>
            </w:r>
          </w:p>
        </w:tc>
        <w:tc>
          <w:tcPr>
            <w:tcW w:w="425" w:type="dxa"/>
            <w:shd w:val="clear" w:color="auto" w:fill="auto"/>
            <w:noWrap/>
            <w:vAlign w:val="center"/>
          </w:tcPr>
          <w:p>
            <w:pPr>
              <w:pStyle w:val="105"/>
              <w:ind w:left="-120" w:leftChars="-50" w:right="-120" w:rightChars="-50"/>
              <w:jc w:val="center"/>
              <w:rPr>
                <w:sz w:val="18"/>
                <w:szCs w:val="18"/>
              </w:rPr>
            </w:pPr>
            <w:r>
              <w:rPr>
                <w:rFonts w:cs="Times New Roman"/>
                <w:sz w:val="18"/>
                <w:szCs w:val="18"/>
              </w:rPr>
              <w:t>293</w:t>
            </w:r>
          </w:p>
        </w:tc>
        <w:tc>
          <w:tcPr>
            <w:tcW w:w="425" w:type="dxa"/>
            <w:shd w:val="clear" w:color="auto" w:fill="auto"/>
            <w:noWrap/>
            <w:vAlign w:val="center"/>
          </w:tcPr>
          <w:p>
            <w:pPr>
              <w:pStyle w:val="105"/>
              <w:ind w:left="-120" w:leftChars="-50" w:right="-120" w:rightChars="-50"/>
              <w:jc w:val="center"/>
              <w:rPr>
                <w:sz w:val="18"/>
                <w:szCs w:val="18"/>
              </w:rPr>
            </w:pPr>
            <w:r>
              <w:rPr>
                <w:rFonts w:cs="Times New Roman"/>
                <w:sz w:val="18"/>
                <w:szCs w:val="18"/>
              </w:rPr>
              <w:t>51</w:t>
            </w:r>
          </w:p>
        </w:tc>
        <w:tc>
          <w:tcPr>
            <w:tcW w:w="425" w:type="dxa"/>
            <w:shd w:val="clear" w:color="auto" w:fill="auto"/>
            <w:noWrap/>
            <w:vAlign w:val="center"/>
          </w:tcPr>
          <w:p>
            <w:pPr>
              <w:pStyle w:val="105"/>
              <w:ind w:left="-120" w:leftChars="-50" w:right="-120" w:rightChars="-50"/>
              <w:jc w:val="center"/>
              <w:rPr>
                <w:sz w:val="18"/>
                <w:szCs w:val="18"/>
              </w:rPr>
            </w:pPr>
            <w:r>
              <w:rPr>
                <w:rFonts w:cs="Times New Roman"/>
                <w:sz w:val="18"/>
                <w:szCs w:val="18"/>
              </w:rPr>
              <w:t xml:space="preserve">60.0 </w:t>
            </w:r>
          </w:p>
        </w:tc>
        <w:tc>
          <w:tcPr>
            <w:tcW w:w="444" w:type="dxa"/>
            <w:shd w:val="clear" w:color="auto" w:fill="auto"/>
            <w:noWrap/>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74.4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74.4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80.8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80.8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86.6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86.6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76" w:type="dxa"/>
            <w:vMerge w:val="continue"/>
            <w:vAlign w:val="center"/>
          </w:tcPr>
          <w:p>
            <w:pPr>
              <w:pStyle w:val="105"/>
              <w:ind w:left="-120" w:leftChars="-50" w:right="-120" w:rightChars="-50"/>
              <w:jc w:val="center"/>
              <w:rPr>
                <w:sz w:val="18"/>
                <w:szCs w:val="18"/>
              </w:rPr>
            </w:pPr>
          </w:p>
        </w:tc>
        <w:tc>
          <w:tcPr>
            <w:tcW w:w="433" w:type="dxa"/>
            <w:vAlign w:val="center"/>
          </w:tcPr>
          <w:p>
            <w:pPr>
              <w:pStyle w:val="105"/>
              <w:ind w:left="-120" w:leftChars="-50" w:right="-120" w:rightChars="-50"/>
              <w:jc w:val="center"/>
              <w:rPr>
                <w:sz w:val="18"/>
                <w:szCs w:val="18"/>
              </w:rPr>
            </w:pPr>
            <w:r>
              <w:rPr>
                <w:rFonts w:hint="eastAsia"/>
                <w:sz w:val="18"/>
                <w:szCs w:val="18"/>
              </w:rPr>
              <w:t>中期</w:t>
            </w:r>
          </w:p>
        </w:tc>
        <w:tc>
          <w:tcPr>
            <w:tcW w:w="385" w:type="dxa"/>
            <w:shd w:val="clear" w:color="auto" w:fill="auto"/>
            <w:noWrap/>
            <w:vAlign w:val="center"/>
          </w:tcPr>
          <w:p>
            <w:pPr>
              <w:pStyle w:val="105"/>
              <w:ind w:left="-120" w:leftChars="-50" w:right="-120" w:rightChars="-50"/>
              <w:jc w:val="center"/>
              <w:rPr>
                <w:sz w:val="18"/>
                <w:szCs w:val="18"/>
              </w:rPr>
            </w:pPr>
            <w:r>
              <w:rPr>
                <w:rFonts w:cs="Times New Roman"/>
                <w:sz w:val="18"/>
                <w:szCs w:val="18"/>
              </w:rPr>
              <w:t>296</w:t>
            </w:r>
          </w:p>
        </w:tc>
        <w:tc>
          <w:tcPr>
            <w:tcW w:w="453" w:type="dxa"/>
            <w:shd w:val="clear" w:color="auto" w:fill="auto"/>
            <w:noWrap/>
            <w:vAlign w:val="center"/>
          </w:tcPr>
          <w:p>
            <w:pPr>
              <w:pStyle w:val="105"/>
              <w:ind w:left="-120" w:leftChars="-50" w:right="-120" w:rightChars="-50"/>
              <w:jc w:val="center"/>
              <w:rPr>
                <w:sz w:val="18"/>
                <w:szCs w:val="18"/>
              </w:rPr>
            </w:pPr>
            <w:r>
              <w:rPr>
                <w:rFonts w:cs="Times New Roman"/>
                <w:sz w:val="18"/>
                <w:szCs w:val="18"/>
              </w:rPr>
              <w:t>52</w:t>
            </w:r>
          </w:p>
        </w:tc>
        <w:tc>
          <w:tcPr>
            <w:tcW w:w="438" w:type="dxa"/>
            <w:vAlign w:val="center"/>
          </w:tcPr>
          <w:p>
            <w:pPr>
              <w:pStyle w:val="105"/>
              <w:ind w:left="-120" w:leftChars="-50" w:right="-120" w:rightChars="-50"/>
              <w:jc w:val="center"/>
              <w:rPr>
                <w:sz w:val="18"/>
                <w:szCs w:val="18"/>
              </w:rPr>
            </w:pPr>
            <w:r>
              <w:rPr>
                <w:rFonts w:cs="Times New Roman"/>
                <w:sz w:val="18"/>
                <w:szCs w:val="18"/>
              </w:rPr>
              <w:t>23</w:t>
            </w:r>
          </w:p>
        </w:tc>
        <w:tc>
          <w:tcPr>
            <w:tcW w:w="425" w:type="dxa"/>
            <w:vAlign w:val="center"/>
          </w:tcPr>
          <w:p>
            <w:pPr>
              <w:pStyle w:val="105"/>
              <w:ind w:left="-120" w:leftChars="-50" w:right="-120" w:rightChars="-50"/>
              <w:jc w:val="center"/>
              <w:rPr>
                <w:sz w:val="18"/>
                <w:szCs w:val="18"/>
              </w:rPr>
            </w:pPr>
            <w:r>
              <w:rPr>
                <w:rFonts w:cs="Times New Roman"/>
                <w:sz w:val="18"/>
                <w:szCs w:val="18"/>
              </w:rPr>
              <w:t>4</w:t>
            </w:r>
          </w:p>
        </w:tc>
        <w:tc>
          <w:tcPr>
            <w:tcW w:w="425" w:type="dxa"/>
            <w:vAlign w:val="center"/>
          </w:tcPr>
          <w:p>
            <w:pPr>
              <w:pStyle w:val="105"/>
              <w:ind w:left="-120" w:leftChars="-50" w:right="-120" w:rightChars="-50"/>
              <w:jc w:val="center"/>
              <w:rPr>
                <w:sz w:val="18"/>
                <w:szCs w:val="18"/>
              </w:rPr>
            </w:pPr>
            <w:r>
              <w:rPr>
                <w:rFonts w:cs="Times New Roman"/>
                <w:sz w:val="18"/>
                <w:szCs w:val="18"/>
              </w:rPr>
              <w:t>23</w:t>
            </w:r>
          </w:p>
        </w:tc>
        <w:tc>
          <w:tcPr>
            <w:tcW w:w="426" w:type="dxa"/>
            <w:vAlign w:val="center"/>
          </w:tcPr>
          <w:p>
            <w:pPr>
              <w:pStyle w:val="105"/>
              <w:ind w:left="-120" w:leftChars="-50" w:right="-120" w:rightChars="-50"/>
              <w:jc w:val="center"/>
              <w:rPr>
                <w:sz w:val="18"/>
                <w:szCs w:val="18"/>
              </w:rPr>
            </w:pPr>
            <w:r>
              <w:rPr>
                <w:rFonts w:cs="Times New Roman"/>
                <w:sz w:val="18"/>
                <w:szCs w:val="18"/>
              </w:rPr>
              <w:t>4</w:t>
            </w:r>
          </w:p>
        </w:tc>
        <w:tc>
          <w:tcPr>
            <w:tcW w:w="425" w:type="dxa"/>
            <w:shd w:val="clear" w:color="auto" w:fill="auto"/>
            <w:noWrap/>
            <w:vAlign w:val="center"/>
          </w:tcPr>
          <w:p>
            <w:pPr>
              <w:pStyle w:val="105"/>
              <w:ind w:left="-120" w:leftChars="-50" w:right="-120" w:rightChars="-50"/>
              <w:jc w:val="center"/>
              <w:rPr>
                <w:sz w:val="18"/>
                <w:szCs w:val="18"/>
              </w:rPr>
            </w:pPr>
            <w:r>
              <w:rPr>
                <w:rFonts w:cs="Times New Roman"/>
                <w:sz w:val="18"/>
                <w:szCs w:val="18"/>
              </w:rPr>
              <w:t>343</w:t>
            </w:r>
          </w:p>
        </w:tc>
        <w:tc>
          <w:tcPr>
            <w:tcW w:w="425" w:type="dxa"/>
            <w:shd w:val="clear" w:color="auto" w:fill="auto"/>
            <w:noWrap/>
            <w:vAlign w:val="center"/>
          </w:tcPr>
          <w:p>
            <w:pPr>
              <w:pStyle w:val="105"/>
              <w:ind w:left="-120" w:leftChars="-50" w:right="-120" w:rightChars="-50"/>
              <w:jc w:val="center"/>
              <w:rPr>
                <w:sz w:val="18"/>
                <w:szCs w:val="18"/>
              </w:rPr>
            </w:pPr>
            <w:r>
              <w:rPr>
                <w:rFonts w:cs="Times New Roman"/>
                <w:sz w:val="18"/>
                <w:szCs w:val="18"/>
              </w:rPr>
              <w:t>60</w:t>
            </w:r>
          </w:p>
        </w:tc>
        <w:tc>
          <w:tcPr>
            <w:tcW w:w="425" w:type="dxa"/>
            <w:shd w:val="clear" w:color="auto" w:fill="auto"/>
            <w:noWrap/>
            <w:vAlign w:val="center"/>
          </w:tcPr>
          <w:p>
            <w:pPr>
              <w:pStyle w:val="105"/>
              <w:ind w:left="-120" w:leftChars="-50" w:right="-120" w:rightChars="-50"/>
              <w:jc w:val="center"/>
              <w:rPr>
                <w:sz w:val="18"/>
                <w:szCs w:val="18"/>
              </w:rPr>
            </w:pPr>
            <w:r>
              <w:rPr>
                <w:rFonts w:cs="Times New Roman"/>
                <w:sz w:val="18"/>
                <w:szCs w:val="18"/>
              </w:rPr>
              <w:t xml:space="preserve">60.0 </w:t>
            </w:r>
          </w:p>
        </w:tc>
        <w:tc>
          <w:tcPr>
            <w:tcW w:w="444" w:type="dxa"/>
            <w:shd w:val="clear" w:color="auto" w:fill="auto"/>
            <w:noWrap/>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74.4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74.4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80.8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80.8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86.6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86.6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76" w:type="dxa"/>
            <w:vMerge w:val="continue"/>
            <w:vAlign w:val="center"/>
          </w:tcPr>
          <w:p>
            <w:pPr>
              <w:pStyle w:val="105"/>
              <w:ind w:left="-120" w:leftChars="-50" w:right="-120" w:rightChars="-50"/>
              <w:jc w:val="center"/>
              <w:rPr>
                <w:sz w:val="18"/>
                <w:szCs w:val="18"/>
              </w:rPr>
            </w:pPr>
          </w:p>
        </w:tc>
        <w:tc>
          <w:tcPr>
            <w:tcW w:w="433" w:type="dxa"/>
            <w:vAlign w:val="center"/>
          </w:tcPr>
          <w:p>
            <w:pPr>
              <w:pStyle w:val="105"/>
              <w:ind w:left="-120" w:leftChars="-50" w:right="-120" w:rightChars="-50"/>
              <w:jc w:val="center"/>
              <w:rPr>
                <w:sz w:val="18"/>
                <w:szCs w:val="18"/>
              </w:rPr>
            </w:pPr>
            <w:r>
              <w:rPr>
                <w:rFonts w:hint="eastAsia"/>
                <w:sz w:val="18"/>
                <w:szCs w:val="18"/>
              </w:rPr>
              <w:t>远期</w:t>
            </w:r>
          </w:p>
        </w:tc>
        <w:tc>
          <w:tcPr>
            <w:tcW w:w="385" w:type="dxa"/>
            <w:shd w:val="clear" w:color="auto" w:fill="auto"/>
            <w:noWrap/>
            <w:vAlign w:val="center"/>
          </w:tcPr>
          <w:p>
            <w:pPr>
              <w:pStyle w:val="105"/>
              <w:ind w:left="-120" w:leftChars="-50" w:right="-120" w:rightChars="-50"/>
              <w:jc w:val="center"/>
              <w:rPr>
                <w:sz w:val="18"/>
                <w:szCs w:val="18"/>
              </w:rPr>
            </w:pPr>
            <w:r>
              <w:rPr>
                <w:rFonts w:cs="Times New Roman"/>
                <w:sz w:val="18"/>
                <w:szCs w:val="18"/>
              </w:rPr>
              <w:t>351</w:t>
            </w:r>
          </w:p>
        </w:tc>
        <w:tc>
          <w:tcPr>
            <w:tcW w:w="453" w:type="dxa"/>
            <w:shd w:val="clear" w:color="auto" w:fill="auto"/>
            <w:noWrap/>
            <w:vAlign w:val="center"/>
          </w:tcPr>
          <w:p>
            <w:pPr>
              <w:pStyle w:val="105"/>
              <w:ind w:left="-120" w:leftChars="-50" w:right="-120" w:rightChars="-50"/>
              <w:jc w:val="center"/>
              <w:rPr>
                <w:sz w:val="18"/>
                <w:szCs w:val="18"/>
              </w:rPr>
            </w:pPr>
            <w:r>
              <w:rPr>
                <w:rFonts w:cs="Times New Roman"/>
                <w:sz w:val="18"/>
                <w:szCs w:val="18"/>
              </w:rPr>
              <w:t>61</w:t>
            </w:r>
          </w:p>
        </w:tc>
        <w:tc>
          <w:tcPr>
            <w:tcW w:w="438" w:type="dxa"/>
            <w:vAlign w:val="center"/>
          </w:tcPr>
          <w:p>
            <w:pPr>
              <w:pStyle w:val="105"/>
              <w:ind w:left="-120" w:leftChars="-50" w:right="-120" w:rightChars="-50"/>
              <w:jc w:val="center"/>
              <w:rPr>
                <w:sz w:val="18"/>
                <w:szCs w:val="18"/>
              </w:rPr>
            </w:pPr>
            <w:r>
              <w:rPr>
                <w:rFonts w:cs="Times New Roman"/>
                <w:sz w:val="18"/>
                <w:szCs w:val="18"/>
              </w:rPr>
              <w:t>21</w:t>
            </w:r>
          </w:p>
        </w:tc>
        <w:tc>
          <w:tcPr>
            <w:tcW w:w="425" w:type="dxa"/>
            <w:vAlign w:val="center"/>
          </w:tcPr>
          <w:p>
            <w:pPr>
              <w:pStyle w:val="105"/>
              <w:ind w:left="-120" w:leftChars="-50" w:right="-120" w:rightChars="-50"/>
              <w:jc w:val="center"/>
              <w:rPr>
                <w:sz w:val="18"/>
                <w:szCs w:val="18"/>
              </w:rPr>
            </w:pPr>
            <w:r>
              <w:rPr>
                <w:rFonts w:cs="Times New Roman"/>
                <w:sz w:val="18"/>
                <w:szCs w:val="18"/>
              </w:rPr>
              <w:t>4</w:t>
            </w:r>
          </w:p>
        </w:tc>
        <w:tc>
          <w:tcPr>
            <w:tcW w:w="425" w:type="dxa"/>
            <w:vAlign w:val="center"/>
          </w:tcPr>
          <w:p>
            <w:pPr>
              <w:pStyle w:val="105"/>
              <w:ind w:left="-120" w:leftChars="-50" w:right="-120" w:rightChars="-50"/>
              <w:jc w:val="center"/>
              <w:rPr>
                <w:sz w:val="18"/>
                <w:szCs w:val="18"/>
              </w:rPr>
            </w:pPr>
            <w:r>
              <w:rPr>
                <w:rFonts w:cs="Times New Roman"/>
                <w:sz w:val="18"/>
                <w:szCs w:val="18"/>
              </w:rPr>
              <w:t>23</w:t>
            </w:r>
          </w:p>
        </w:tc>
        <w:tc>
          <w:tcPr>
            <w:tcW w:w="426" w:type="dxa"/>
            <w:vAlign w:val="center"/>
          </w:tcPr>
          <w:p>
            <w:pPr>
              <w:pStyle w:val="105"/>
              <w:ind w:left="-120" w:leftChars="-50" w:right="-120" w:rightChars="-50"/>
              <w:jc w:val="center"/>
              <w:rPr>
                <w:sz w:val="18"/>
                <w:szCs w:val="18"/>
              </w:rPr>
            </w:pPr>
            <w:r>
              <w:rPr>
                <w:rFonts w:cs="Times New Roman"/>
                <w:sz w:val="18"/>
                <w:szCs w:val="18"/>
              </w:rPr>
              <w:t>4</w:t>
            </w:r>
          </w:p>
        </w:tc>
        <w:tc>
          <w:tcPr>
            <w:tcW w:w="425" w:type="dxa"/>
            <w:shd w:val="clear" w:color="auto" w:fill="auto"/>
            <w:noWrap/>
            <w:vAlign w:val="center"/>
          </w:tcPr>
          <w:p>
            <w:pPr>
              <w:pStyle w:val="105"/>
              <w:ind w:left="-120" w:leftChars="-50" w:right="-120" w:rightChars="-50"/>
              <w:jc w:val="center"/>
              <w:rPr>
                <w:sz w:val="18"/>
                <w:szCs w:val="18"/>
              </w:rPr>
            </w:pPr>
            <w:r>
              <w:rPr>
                <w:rFonts w:cs="Times New Roman"/>
                <w:sz w:val="18"/>
                <w:szCs w:val="18"/>
              </w:rPr>
              <w:t>395</w:t>
            </w:r>
          </w:p>
        </w:tc>
        <w:tc>
          <w:tcPr>
            <w:tcW w:w="425" w:type="dxa"/>
            <w:shd w:val="clear" w:color="auto" w:fill="auto"/>
            <w:noWrap/>
            <w:vAlign w:val="center"/>
          </w:tcPr>
          <w:p>
            <w:pPr>
              <w:pStyle w:val="105"/>
              <w:ind w:left="-120" w:leftChars="-50" w:right="-120" w:rightChars="-50"/>
              <w:jc w:val="center"/>
              <w:rPr>
                <w:sz w:val="18"/>
                <w:szCs w:val="18"/>
              </w:rPr>
            </w:pPr>
            <w:r>
              <w:rPr>
                <w:rFonts w:cs="Times New Roman"/>
                <w:sz w:val="18"/>
                <w:szCs w:val="18"/>
              </w:rPr>
              <w:t>69</w:t>
            </w:r>
          </w:p>
        </w:tc>
        <w:tc>
          <w:tcPr>
            <w:tcW w:w="425" w:type="dxa"/>
            <w:shd w:val="clear" w:color="auto" w:fill="auto"/>
            <w:noWrap/>
            <w:vAlign w:val="center"/>
          </w:tcPr>
          <w:p>
            <w:pPr>
              <w:pStyle w:val="105"/>
              <w:ind w:left="-120" w:leftChars="-50" w:right="-120" w:rightChars="-50"/>
              <w:jc w:val="center"/>
              <w:rPr>
                <w:sz w:val="18"/>
                <w:szCs w:val="18"/>
              </w:rPr>
            </w:pPr>
            <w:r>
              <w:rPr>
                <w:rFonts w:cs="Times New Roman"/>
                <w:sz w:val="18"/>
                <w:szCs w:val="18"/>
              </w:rPr>
              <w:t xml:space="preserve">60.0 </w:t>
            </w:r>
          </w:p>
        </w:tc>
        <w:tc>
          <w:tcPr>
            <w:tcW w:w="444" w:type="dxa"/>
            <w:shd w:val="clear" w:color="auto" w:fill="auto"/>
            <w:noWrap/>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60.0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74.4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74.4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80.8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80.8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86.6 </w:t>
            </w:r>
          </w:p>
        </w:tc>
        <w:tc>
          <w:tcPr>
            <w:tcW w:w="409" w:type="dxa"/>
            <w:vAlign w:val="center"/>
          </w:tcPr>
          <w:p>
            <w:pPr>
              <w:pStyle w:val="105"/>
              <w:ind w:left="-120" w:leftChars="-50" w:right="-120" w:rightChars="-50"/>
              <w:jc w:val="center"/>
              <w:rPr>
                <w:sz w:val="18"/>
                <w:szCs w:val="18"/>
              </w:rPr>
            </w:pPr>
            <w:r>
              <w:rPr>
                <w:rFonts w:cs="Times New Roman"/>
                <w:sz w:val="18"/>
                <w:szCs w:val="18"/>
              </w:rPr>
              <w:t xml:space="preserve">86.6 </w:t>
            </w:r>
          </w:p>
        </w:tc>
      </w:tr>
    </w:tbl>
    <w:p>
      <w:pPr>
        <w:pStyle w:val="118"/>
      </w:pPr>
      <w:r>
        <w:rPr>
          <w:rFonts w:hint="eastAsia"/>
        </w:rPr>
        <w:t>固废</w:t>
      </w:r>
    </w:p>
    <w:p>
      <w:pPr>
        <w:ind w:firstLine="480"/>
      </w:pPr>
      <w:r>
        <w:rPr>
          <w:rFonts w:hint="eastAsia"/>
        </w:rPr>
        <w:t>本项目运营期的固体废物主要为汽车装载货物的洒落物、汽车轮胎挟带的泥沙、过往车辆丢弃的饮料瓶及废纸盒等生活垃圾，在整个</w:t>
      </w:r>
      <w:bookmarkStart w:id="364" w:name="_Hlk150781539"/>
      <w:r>
        <w:rPr>
          <w:rFonts w:hint="eastAsia"/>
        </w:rPr>
        <w:t>公路</w:t>
      </w:r>
      <w:bookmarkEnd w:id="364"/>
      <w:r>
        <w:rPr>
          <w:rFonts w:hint="eastAsia"/>
        </w:rPr>
        <w:t>沿线随机分散产生，且产生量较小。这些固体废物经环卫部门负责定期清除、收集、外运，保证日产日清、路面清洁，不会对道路沿线环境造成大的影响。</w:t>
      </w:r>
    </w:p>
    <w:p>
      <w:pPr>
        <w:pStyle w:val="118"/>
      </w:pPr>
      <w:r>
        <w:rPr>
          <w:rFonts w:hint="eastAsia"/>
        </w:rPr>
        <w:t>环境风险源</w:t>
      </w:r>
    </w:p>
    <w:p>
      <w:pPr>
        <w:ind w:firstLine="480"/>
      </w:pPr>
      <w:r>
        <w:rPr>
          <w:rFonts w:hint="eastAsia"/>
        </w:rPr>
        <w:t>运营期还可能产生一定的运输事故和环境风险，对沿线地表水环境将造成一定影响，虽然环境风险的概率相对较低，但仍必须配套设置严格的事故防范措施，制定环境风险事故应急预案。</w:t>
      </w:r>
    </w:p>
    <w:p>
      <w:pPr>
        <w:pStyle w:val="120"/>
        <w:rPr>
          <w:color w:val="auto"/>
        </w:rPr>
      </w:pPr>
      <w:r>
        <w:rPr>
          <w:rFonts w:hint="eastAsia"/>
          <w:color w:val="auto"/>
        </w:rPr>
        <w:t>生态影响因素分析</w:t>
      </w:r>
    </w:p>
    <w:p>
      <w:pPr>
        <w:pStyle w:val="118"/>
      </w:pPr>
      <w:r>
        <w:rPr>
          <w:rFonts w:hint="eastAsia"/>
        </w:rPr>
        <w:t>施工期</w:t>
      </w:r>
    </w:p>
    <w:p>
      <w:pPr>
        <w:ind w:firstLine="480"/>
      </w:pPr>
      <w:r>
        <w:rPr>
          <w:rFonts w:hint="eastAsia"/>
        </w:rPr>
        <w:t>（1）工程占地对动植物的影响</w:t>
      </w:r>
    </w:p>
    <w:p>
      <w:pPr>
        <w:ind w:firstLine="466"/>
      </w:pPr>
      <w:r>
        <w:rPr>
          <w:rFonts w:hint="eastAsia"/>
          <w:spacing w:val="-7"/>
        </w:rPr>
        <w:t xml:space="preserve">本项目总占地面积 </w:t>
      </w:r>
      <w:r>
        <w:rPr>
          <w:spacing w:val="-7"/>
        </w:rPr>
        <w:t>15.3517</w:t>
      </w:r>
      <w:r>
        <w:rPr>
          <w:rFonts w:hint="eastAsia"/>
          <w:spacing w:val="-7"/>
        </w:rPr>
        <w:t>hm</w:t>
      </w:r>
      <w:r>
        <w:rPr>
          <w:rFonts w:hint="eastAsia"/>
          <w:spacing w:val="-7"/>
          <w:vertAlign w:val="superscript"/>
        </w:rPr>
        <w:t>2</w:t>
      </w:r>
      <w:r>
        <w:rPr>
          <w:rFonts w:hint="eastAsia"/>
          <w:spacing w:val="-7"/>
        </w:rPr>
        <w:t xml:space="preserve">，其中永久占地 </w:t>
      </w:r>
      <w:r>
        <w:rPr>
          <w:spacing w:val="-7"/>
        </w:rPr>
        <w:t>1</w:t>
      </w:r>
      <w:r>
        <w:rPr>
          <w:rFonts w:hint="eastAsia"/>
          <w:spacing w:val="-7"/>
        </w:rPr>
        <w:t>4.</w:t>
      </w:r>
      <w:r>
        <w:rPr>
          <w:spacing w:val="-7"/>
        </w:rPr>
        <w:t>6617</w:t>
      </w:r>
      <w:r>
        <w:rPr>
          <w:rFonts w:hint="eastAsia"/>
          <w:spacing w:val="-7"/>
        </w:rPr>
        <w:t>hm</w:t>
      </w:r>
      <w:r>
        <w:rPr>
          <w:rFonts w:hint="eastAsia"/>
          <w:spacing w:val="-7"/>
          <w:vertAlign w:val="superscript"/>
        </w:rPr>
        <w:t>2</w:t>
      </w:r>
      <w:r>
        <w:rPr>
          <w:rFonts w:hint="eastAsia"/>
          <w:spacing w:val="-7"/>
        </w:rPr>
        <w:t xml:space="preserve"> ，临时占地 新增</w:t>
      </w:r>
      <w:r>
        <w:rPr>
          <w:spacing w:val="-7"/>
        </w:rPr>
        <w:t>0.69</w:t>
      </w:r>
      <w:r>
        <w:rPr>
          <w:rFonts w:hint="eastAsia"/>
          <w:spacing w:val="-7"/>
        </w:rPr>
        <w:t>hm</w:t>
      </w:r>
      <w:r>
        <w:rPr>
          <w:rFonts w:hint="eastAsia"/>
          <w:spacing w:val="-7"/>
          <w:vertAlign w:val="superscript"/>
        </w:rPr>
        <w:t>2</w:t>
      </w:r>
      <w:r>
        <w:rPr>
          <w:rFonts w:hint="eastAsia"/>
          <w:spacing w:val="-7"/>
        </w:rPr>
        <w:t>。</w:t>
      </w:r>
      <w:r>
        <w:rPr>
          <w:rFonts w:hint="eastAsia"/>
        </w:rPr>
        <w:t>包括耕地、园地、林地、建设用地等等，工程建设将导致土地利用方式永久变更或造成土地利用现状临时改变，并对植被资源、动物生境和生态功能产生一定的不利影响。</w:t>
      </w:r>
    </w:p>
    <w:p>
      <w:pPr>
        <w:ind w:firstLine="480"/>
      </w:pPr>
      <w:r>
        <w:rPr>
          <w:rFonts w:hint="eastAsia"/>
        </w:rPr>
        <w:t>（</w:t>
      </w:r>
      <w:r>
        <w:t>2</w:t>
      </w:r>
      <w:r>
        <w:rPr>
          <w:rFonts w:hint="eastAsia"/>
        </w:rPr>
        <w:t>）水土流失</w:t>
      </w:r>
    </w:p>
    <w:p>
      <w:pPr>
        <w:ind w:firstLine="480"/>
      </w:pPr>
      <w:r>
        <w:rPr>
          <w:rFonts w:hint="eastAsia"/>
        </w:rPr>
        <w:t>在公路建设过程中，由于堆填地基构筑人工边坡，从而造成原地貌的破坏，同时废弃物的松散性及不整合性，降低或丧失了原地貌的水土保持功能，导致水土流失的发生和发展。</w:t>
      </w:r>
    </w:p>
    <w:p>
      <w:pPr>
        <w:pStyle w:val="118"/>
      </w:pPr>
      <w:r>
        <w:rPr>
          <w:rFonts w:hint="eastAsia"/>
        </w:rPr>
        <w:t>运营期</w:t>
      </w:r>
    </w:p>
    <w:p>
      <w:pPr>
        <w:ind w:firstLine="480"/>
      </w:pPr>
      <w:r>
        <w:rPr>
          <w:rFonts w:hint="eastAsia"/>
        </w:rPr>
        <w:t>工程建成运行后对生态环境的影响主要表现：一是因公路分隔了生态环境，从而对野生动物产生阻隔影响；二是公路建成运行产生的环境污染对沿线动植物、生态公益林等环境敏感区的影响。</w:t>
      </w:r>
    </w:p>
    <w:p>
      <w:pPr>
        <w:pStyle w:val="116"/>
      </w:pPr>
      <w:bookmarkStart w:id="365" w:name="_Toc149645939"/>
      <w:bookmarkStart w:id="366" w:name="_Toc88864657"/>
      <w:bookmarkStart w:id="367" w:name="_Toc154668033"/>
      <w:bookmarkStart w:id="368" w:name="_Toc204676240"/>
      <w:bookmarkStart w:id="369" w:name="_Toc88764851"/>
      <w:bookmarkStart w:id="370" w:name="_Toc159405467"/>
      <w:r>
        <w:rPr>
          <w:rFonts w:hint="eastAsia"/>
        </w:rPr>
        <w:t>环境可行性分析</w:t>
      </w:r>
      <w:bookmarkEnd w:id="365"/>
      <w:bookmarkEnd w:id="366"/>
      <w:bookmarkEnd w:id="367"/>
      <w:bookmarkEnd w:id="368"/>
      <w:bookmarkEnd w:id="369"/>
      <w:bookmarkEnd w:id="370"/>
    </w:p>
    <w:p>
      <w:pPr>
        <w:pStyle w:val="120"/>
        <w:rPr>
          <w:color w:val="auto"/>
        </w:rPr>
      </w:pPr>
      <w:r>
        <w:rPr>
          <w:color w:val="auto"/>
        </w:rPr>
        <w:t>产业政策符合性分析</w:t>
      </w:r>
    </w:p>
    <w:p>
      <w:pPr>
        <w:ind w:firstLine="476"/>
      </w:pPr>
      <w:r>
        <w:rPr>
          <w:rFonts w:hint="eastAsia" w:cs="Times New Roman"/>
          <w:spacing w:val="-2"/>
          <w:szCs w:val="24"/>
        </w:rPr>
        <w:t>本项目为旅游公路工程，不属于《产业结构调整指导目录（2</w:t>
      </w:r>
      <w:r>
        <w:rPr>
          <w:rFonts w:cs="Times New Roman"/>
          <w:spacing w:val="-2"/>
          <w:szCs w:val="24"/>
        </w:rPr>
        <w:t>024</w:t>
      </w:r>
      <w:r>
        <w:rPr>
          <w:rFonts w:hint="eastAsia" w:cs="Times New Roman"/>
          <w:spacing w:val="-2"/>
          <w:szCs w:val="24"/>
        </w:rPr>
        <w:t>年本）》中限制类、淘汰类，工程的建设符合国家产业政策。</w:t>
      </w:r>
    </w:p>
    <w:p>
      <w:pPr>
        <w:pStyle w:val="120"/>
        <w:rPr>
          <w:color w:val="auto"/>
        </w:rPr>
      </w:pPr>
      <w:r>
        <w:rPr>
          <w:rFonts w:hint="eastAsia"/>
          <w:color w:val="auto"/>
        </w:rPr>
        <w:t>项目建设必要性</w:t>
      </w:r>
    </w:p>
    <w:p>
      <w:pPr>
        <w:ind w:firstLine="480"/>
      </w:pPr>
      <w:r>
        <w:rPr>
          <w:rFonts w:hint="eastAsia"/>
        </w:rPr>
        <w:t>（1）完善福清市综合交通运输体系的需要。</w:t>
      </w:r>
    </w:p>
    <w:p>
      <w:pPr>
        <w:ind w:firstLine="480"/>
      </w:pPr>
      <w:r>
        <w:rPr>
          <w:rFonts w:hint="eastAsia"/>
        </w:rPr>
        <w:t>本项目贯彻习近平总书记提出了</w:t>
      </w:r>
      <w:r>
        <w:rPr>
          <w:rFonts w:hint="eastAsia"/>
          <w:lang w:eastAsia="zh-CN"/>
        </w:rPr>
        <w:t>创新、协调、绿色、开放、共享</w:t>
      </w:r>
      <w:r>
        <w:rPr>
          <w:rFonts w:hint="eastAsia"/>
        </w:rPr>
        <w:t>的新发展理念。坚持社会主义市场经济改革方向，坚持高水平对外开放，加快构建以国内大循环为主体、国内国际双循环相互促进的新发展格局。本项目的建设，将完善福清市综合交通运输体系，是福清市综合交通运输体系建设的重要组成部分。</w:t>
      </w:r>
    </w:p>
    <w:p>
      <w:pPr>
        <w:ind w:firstLine="480"/>
      </w:pPr>
      <w:r>
        <w:rPr>
          <w:rFonts w:hint="eastAsia"/>
        </w:rPr>
        <w:t>（2）完善黄檗山万福寺对外快捷联系通道的需要</w:t>
      </w:r>
    </w:p>
    <w:p>
      <w:pPr>
        <w:ind w:firstLine="480"/>
      </w:pPr>
      <w:r>
        <w:rPr>
          <w:rFonts w:hint="eastAsia"/>
        </w:rPr>
        <w:t>目前万福寺仅依靠现状村道与外界衔接，道路状况较差，亟需新建一条便捷通道。本项目的建设对于改善万福寺及沿线交通出行条件、整合旅游资源、完善交通网络、缓解交通压力等都具有重要的作用。</w:t>
      </w:r>
    </w:p>
    <w:p>
      <w:pPr>
        <w:ind w:firstLine="480"/>
      </w:pPr>
      <w:r>
        <w:rPr>
          <w:rFonts w:hint="eastAsia"/>
        </w:rPr>
        <w:t>（3）是推进乡村振兴，助力高质量发展的需要。</w:t>
      </w:r>
    </w:p>
    <w:p>
      <w:pPr>
        <w:ind w:firstLine="480"/>
      </w:pPr>
      <w:r>
        <w:rPr>
          <w:rFonts w:hint="eastAsia"/>
        </w:rPr>
        <w:t>本项目的建设将实现渔溪镇西部村庄与G324的快捷联通，大大便捷渔溪镇西部村庄的交通条件，促进农村经济协调发展，改善区域交通发展不平衡问题，推进城乡基本公共服务均等化，快速衔接农业</w:t>
      </w:r>
      <w:r>
        <w:rPr>
          <w:rFonts w:hint="eastAsia"/>
          <w:lang w:eastAsia="zh-CN"/>
        </w:rPr>
        <w:t>以及</w:t>
      </w:r>
      <w:r>
        <w:rPr>
          <w:rFonts w:hint="eastAsia"/>
        </w:rPr>
        <w:t>旅游文化产业和其他重点产业的串联，对实现乡村振兴有着重要意义。</w:t>
      </w:r>
    </w:p>
    <w:p>
      <w:pPr>
        <w:ind w:firstLine="480"/>
      </w:pPr>
      <w:r>
        <w:rPr>
          <w:rFonts w:hint="eastAsia"/>
        </w:rPr>
        <w:t>（4）促进区域社会经济发展和城市化发展的需要。</w:t>
      </w:r>
    </w:p>
    <w:p>
      <w:pPr>
        <w:ind w:firstLine="480"/>
      </w:pPr>
      <w:r>
        <w:rPr>
          <w:rFonts w:hint="eastAsia"/>
        </w:rPr>
        <w:t>福清市位于福建省东部、福州市南部，地处闽东山地与闽东南沿海丘陵平原过渡地带，属南亚热带海洋性气候，毗邻6个区、县，总面积2430平方千米。根据中国信息通信研究院发布的《中国县域工业经济发展报告（2022）》，2022年“中国创新百强县”名单中，福清市位列第26名。更加完善的综合交通运输体系，有助于助力福清市社会经济和城市化的发展。</w:t>
      </w:r>
    </w:p>
    <w:p>
      <w:pPr>
        <w:ind w:firstLine="480"/>
      </w:pPr>
      <w:r>
        <w:rPr>
          <w:rFonts w:hint="eastAsia"/>
        </w:rPr>
        <w:t>综上所述，本项目的建设是必要的，并且也是迫切的。</w:t>
      </w:r>
    </w:p>
    <w:p>
      <w:pPr>
        <w:pStyle w:val="120"/>
        <w:rPr>
          <w:color w:val="auto"/>
        </w:rPr>
      </w:pPr>
      <w:bookmarkStart w:id="371" w:name="_Hlk143511110"/>
      <w:r>
        <w:rPr>
          <w:rFonts w:hint="eastAsia"/>
          <w:color w:val="auto"/>
        </w:rPr>
        <w:t>选址选线环境合理性分析</w:t>
      </w:r>
    </w:p>
    <w:bookmarkEnd w:id="371"/>
    <w:p>
      <w:pPr>
        <w:pStyle w:val="118"/>
      </w:pPr>
      <w:r>
        <w:rPr>
          <w:rFonts w:hint="eastAsia"/>
        </w:rPr>
        <w:t>线路选线合理性</w:t>
      </w:r>
    </w:p>
    <w:p>
      <w:pPr>
        <w:ind w:firstLine="480"/>
      </w:pPr>
      <w:r>
        <w:rPr>
          <w:rFonts w:hint="eastAsia"/>
        </w:rPr>
        <w:t>本项目作为连接万福寺旅游公路，建设选址和线路走向已取得</w:t>
      </w:r>
      <w:r>
        <w:rPr>
          <w:lang w:val="zh-CN"/>
        </w:rPr>
        <w:t>福清市发展和改革局</w:t>
      </w:r>
      <w:r>
        <w:rPr>
          <w:rFonts w:hint="eastAsia"/>
        </w:rPr>
        <w:t>、</w:t>
      </w:r>
      <w:r>
        <w:rPr>
          <w:lang w:val="zh-CN"/>
        </w:rPr>
        <w:t>福州市交通运输局出具</w:t>
      </w:r>
      <w:r>
        <w:rPr>
          <w:rFonts w:hint="eastAsia"/>
        </w:rPr>
        <w:t>、福建省林业局、福清市自然资源局等各相关部门的同意，实施建设。</w:t>
      </w:r>
    </w:p>
    <w:p>
      <w:pPr>
        <w:ind w:firstLine="480"/>
        <w:rPr>
          <w:kern w:val="0"/>
          <w:szCs w:val="24"/>
          <w:lang w:val="zh-CN"/>
        </w:rPr>
      </w:pPr>
      <w:r>
        <w:rPr>
          <w:rFonts w:hint="eastAsia"/>
        </w:rPr>
        <w:t>同时，根据比选方案论证，项目推荐线路具有</w:t>
      </w:r>
      <w:r>
        <w:t>线形较好</w:t>
      </w:r>
      <w:r>
        <w:rPr>
          <w:rFonts w:hint="eastAsia"/>
        </w:rPr>
        <w:t>、</w:t>
      </w:r>
      <w:r>
        <w:t>可实施性更强</w:t>
      </w:r>
      <w:r>
        <w:rPr>
          <w:rFonts w:hint="eastAsia"/>
        </w:rPr>
        <w:t>等优点。且方案不涉及占用生态保护红线、基本农田，项目实施对环境影响在采取相应措施后，对环境影响可控，因此从生态保护角度分析，线路选线可行</w:t>
      </w:r>
      <w:r>
        <w:rPr>
          <w:rFonts w:hint="eastAsia"/>
          <w:kern w:val="0"/>
          <w:szCs w:val="24"/>
          <w:lang w:val="zh-CN"/>
        </w:rPr>
        <w:t>。</w:t>
      </w:r>
    </w:p>
    <w:p>
      <w:pPr>
        <w:ind w:firstLine="480"/>
      </w:pPr>
      <w:r>
        <w:rPr>
          <w:rFonts w:hint="eastAsia"/>
        </w:rPr>
        <w:t>本项目推荐线路路线平纵线形合理，避免了穿越成片农田，尽量少占耕地和林地，对基本农田、生态保护红线等生态环境敏感目标予以绕避。项目对于平面交叉线路，合理布置通道，以保证群众正常的生产、生活交往的需要。重视工程对地表水资源的保护，保持原有的水网体系和灌排体系，使新建的桥涵、排水沟、截水沟等排水设施形成完整的排水系统。重视环境保护，尽量少破坏或不破坏原有的自然生态，与周围环境、景观相协调。</w:t>
      </w:r>
    </w:p>
    <w:p>
      <w:pPr>
        <w:ind w:firstLine="480"/>
      </w:pPr>
      <w:r>
        <w:rPr>
          <w:rFonts w:hint="eastAsia"/>
        </w:rPr>
        <w:t>综上所述，本项目建设符合国家产业政策、区域规划，工程选线较为合理。</w:t>
      </w:r>
    </w:p>
    <w:p>
      <w:pPr>
        <w:pStyle w:val="118"/>
      </w:pPr>
      <w:r>
        <w:t>与环境功能区划的相容性分析</w:t>
      </w:r>
    </w:p>
    <w:p>
      <w:pPr>
        <w:ind w:firstLine="480"/>
      </w:pPr>
      <w:r>
        <w:t>项目周边地表水体主要为</w:t>
      </w:r>
      <w:r>
        <w:rPr>
          <w:rFonts w:hint="eastAsia"/>
        </w:rPr>
        <w:t>迳江及福渠</w:t>
      </w:r>
      <w:r>
        <w:t>，项目评价范围内所涉及河段水环境功能区类别为Ⅲ类，执行《地表水环境质量标准》（GB3838-2002）中的Ⅲ类标准。项目所经区域属环境空气质量二类功能区，沿线空气环境执行《环境空气质量标准》（GB3095-2012）中的二级标准。</w:t>
      </w:r>
    </w:p>
    <w:p>
      <w:pPr>
        <w:ind w:firstLine="480"/>
      </w:pPr>
      <w:r>
        <w:rPr>
          <w:rFonts w:hint="eastAsia"/>
        </w:rPr>
        <w:t xml:space="preserve">项目位于渔溪镇及上迳镇，区域声环境现状位于2类区。项目属于二级公路（交通干线），根据《声环境功能区划分技术规范》（GB/T 15190-2014），将交通干线边界线外一定距离内的区域划分为4a 类声环境功能区：相邻区域为 2 类声环境功能区，距离为 </w:t>
      </w:r>
      <w:r>
        <w:t>35</w:t>
      </w:r>
      <w:r>
        <w:rPr>
          <w:rFonts w:hint="eastAsia"/>
        </w:rPr>
        <w:t>m；当临街建筑高于三层楼房以上（含三层）时，将临街建筑面向交通干线一侧至交通干线边界线的区域定为4a 类声环境功能区。</w:t>
      </w:r>
    </w:p>
    <w:p>
      <w:pPr>
        <w:ind w:firstLine="480"/>
      </w:pPr>
      <w:r>
        <w:t>项目为生态型建设项目，属于公路工程，根据工程建设的环境影响分析，项目对公路沿线声环境、生态环境、大气环境以及水环境等的影响范围和影响程度均不大，不会导致区域环境功能区划属性和功能要求的改变。因此，本工程建设满足环境功能区划的要求。</w:t>
      </w:r>
    </w:p>
    <w:p>
      <w:pPr>
        <w:pStyle w:val="118"/>
      </w:pPr>
      <w:bookmarkStart w:id="372" w:name="2.9.3.2与规划的符合性分析"/>
      <w:bookmarkEnd w:id="372"/>
      <w:bookmarkStart w:id="373" w:name="2.9.3.1与环境功能区划的相容性分析"/>
      <w:bookmarkEnd w:id="373"/>
      <w:bookmarkStart w:id="374" w:name="2.9.1占地合理性分析"/>
      <w:bookmarkEnd w:id="374"/>
      <w:r>
        <w:t>用地合理性</w:t>
      </w:r>
    </w:p>
    <w:p>
      <w:pPr>
        <w:ind w:firstLine="480"/>
        <w:rPr>
          <w:spacing w:val="-2"/>
        </w:rPr>
      </w:pPr>
      <w:r>
        <w:rPr>
          <w:rFonts w:hint="eastAsia" w:cs="Times New Roman"/>
          <w:shd w:val="clear" w:color="auto" w:fill="FFFFFF"/>
        </w:rPr>
        <w:t>路线起于上迳镇牌边村，起点与G324平交，终点至黄檗山万福寺，设置接线接入规划黄檗文化产业园</w:t>
      </w:r>
      <w:r>
        <w:t>，</w:t>
      </w:r>
      <w:r>
        <w:rPr>
          <w:rFonts w:hint="eastAsia"/>
        </w:rPr>
        <w:t>路线全长5.200km</w:t>
      </w:r>
      <w:r>
        <w:rPr>
          <w:lang w:val="zh-CN"/>
        </w:rPr>
        <w:t>，</w:t>
      </w:r>
      <w:r>
        <w:rPr>
          <w:rFonts w:hint="eastAsia"/>
          <w:spacing w:val="-7"/>
        </w:rPr>
        <w:t xml:space="preserve">项目总占地面积 </w:t>
      </w:r>
      <w:r>
        <w:rPr>
          <w:spacing w:val="-7"/>
        </w:rPr>
        <w:t>15.3517</w:t>
      </w:r>
      <w:r>
        <w:rPr>
          <w:rFonts w:hint="eastAsia"/>
          <w:spacing w:val="-7"/>
        </w:rPr>
        <w:t>hm</w:t>
      </w:r>
      <w:r>
        <w:rPr>
          <w:rFonts w:hint="eastAsia"/>
          <w:spacing w:val="-7"/>
          <w:vertAlign w:val="superscript"/>
        </w:rPr>
        <w:t>2</w:t>
      </w:r>
      <w:r>
        <w:rPr>
          <w:rFonts w:hint="eastAsia"/>
          <w:spacing w:val="-7"/>
        </w:rPr>
        <w:t xml:space="preserve">，其中永久占地 </w:t>
      </w:r>
      <w:r>
        <w:rPr>
          <w:spacing w:val="-7"/>
        </w:rPr>
        <w:t>1</w:t>
      </w:r>
      <w:r>
        <w:rPr>
          <w:rFonts w:hint="eastAsia"/>
          <w:spacing w:val="-7"/>
        </w:rPr>
        <w:t>4.</w:t>
      </w:r>
      <w:r>
        <w:rPr>
          <w:spacing w:val="-7"/>
        </w:rPr>
        <w:t>6617</w:t>
      </w:r>
      <w:r>
        <w:rPr>
          <w:rFonts w:hint="eastAsia"/>
          <w:spacing w:val="-7"/>
        </w:rPr>
        <w:t>hm</w:t>
      </w:r>
      <w:r>
        <w:rPr>
          <w:rFonts w:hint="eastAsia"/>
          <w:spacing w:val="-7"/>
          <w:vertAlign w:val="superscript"/>
        </w:rPr>
        <w:t>2</w:t>
      </w:r>
      <w:r>
        <w:rPr>
          <w:rFonts w:hint="eastAsia"/>
          <w:spacing w:val="-7"/>
        </w:rPr>
        <w:t xml:space="preserve"> ，临时占地 新增</w:t>
      </w:r>
      <w:r>
        <w:rPr>
          <w:spacing w:val="-7"/>
        </w:rPr>
        <w:t>0.69</w:t>
      </w:r>
      <w:r>
        <w:rPr>
          <w:rFonts w:hint="eastAsia"/>
          <w:spacing w:val="-7"/>
        </w:rPr>
        <w:t>hm</w:t>
      </w:r>
      <w:r>
        <w:rPr>
          <w:rFonts w:hint="eastAsia"/>
          <w:spacing w:val="-7"/>
          <w:vertAlign w:val="superscript"/>
        </w:rPr>
        <w:t>2</w:t>
      </w:r>
      <w:r>
        <w:rPr>
          <w:spacing w:val="-2"/>
        </w:rPr>
        <w:t>，主要占地面积为</w:t>
      </w:r>
      <w:r>
        <w:rPr>
          <w:rFonts w:hint="eastAsia"/>
          <w:spacing w:val="-2"/>
        </w:rPr>
        <w:t>耕地</w:t>
      </w:r>
      <w:r>
        <w:rPr>
          <w:spacing w:val="-2"/>
        </w:rPr>
        <w:t>、林地、园地、建设用地，不涉及</w:t>
      </w:r>
      <w:r>
        <w:rPr>
          <w:rFonts w:hint="eastAsia"/>
          <w:spacing w:val="-2"/>
        </w:rPr>
        <w:t>生态保护红线和</w:t>
      </w:r>
      <w:r>
        <w:rPr>
          <w:spacing w:val="-2"/>
        </w:rPr>
        <w:t>基本农田，所占用农用地主要为水田、旱地，为一般耕地，工程在选线中最大限度地降低了对当地农业生产</w:t>
      </w:r>
      <w:r>
        <w:rPr>
          <w:spacing w:val="-6"/>
        </w:rPr>
        <w:t>的影响。</w:t>
      </w:r>
      <w:r>
        <w:t>项目永久占地涉及</w:t>
      </w:r>
      <w:r>
        <w:rPr>
          <w:rFonts w:hint="eastAsia"/>
        </w:rPr>
        <w:t>少</w:t>
      </w:r>
      <w:r>
        <w:t>部分</w:t>
      </w:r>
      <w:r>
        <w:rPr>
          <w:rFonts w:hint="eastAsia"/>
          <w:lang w:eastAsia="zh-CN"/>
        </w:rPr>
        <w:t>二级</w:t>
      </w:r>
      <w:r>
        <w:rPr>
          <w:lang w:val="zh-CN"/>
        </w:rPr>
        <w:t>生态公益林，</w:t>
      </w:r>
      <w:r>
        <w:t>已取得福建省林业局出具的使用林地审核同意书（附件8），</w:t>
      </w:r>
      <w:r>
        <w:rPr>
          <w:spacing w:val="-6"/>
        </w:rPr>
        <w:t>项目选线对沿线的资源占用较合理</w:t>
      </w:r>
      <w:r>
        <w:rPr>
          <w:spacing w:val="-2"/>
        </w:rPr>
        <w:t>。</w:t>
      </w:r>
    </w:p>
    <w:p>
      <w:pPr>
        <w:pStyle w:val="118"/>
      </w:pPr>
      <w:r>
        <w:rPr>
          <w:rFonts w:hint="eastAsia"/>
        </w:rPr>
        <w:t>项目建设环境影响合理性分析</w:t>
      </w:r>
    </w:p>
    <w:p>
      <w:pPr>
        <w:ind w:firstLine="476"/>
        <w:rPr>
          <w:spacing w:val="-2"/>
        </w:rPr>
      </w:pPr>
      <w:r>
        <w:rPr>
          <w:rFonts w:hint="eastAsia"/>
          <w:spacing w:val="-2"/>
        </w:rPr>
        <w:t>（1）施工期</w:t>
      </w:r>
    </w:p>
    <w:p>
      <w:pPr>
        <w:ind w:firstLine="476"/>
        <w:rPr>
          <w:spacing w:val="-2"/>
        </w:rPr>
      </w:pPr>
      <w:r>
        <w:rPr>
          <w:rFonts w:hint="eastAsia"/>
          <w:spacing w:val="-2"/>
        </w:rPr>
        <w:t>本项目公路建设施工期主要影响为：施工生活生产废水、施工粉尘、施工噪声、</w:t>
      </w:r>
      <w:r>
        <w:rPr>
          <w:rFonts w:hint="eastAsia"/>
        </w:rPr>
        <w:t>固体废物以及施工期生态环境影响（土地占用、动植物影响、生态公益林、水土流失等）</w:t>
      </w:r>
      <w:r>
        <w:rPr>
          <w:rFonts w:hint="eastAsia"/>
          <w:spacing w:val="-2"/>
        </w:rPr>
        <w:t>。从环境影响分析：（1）施工期落实好施工废水</w:t>
      </w:r>
      <w:r>
        <w:t>经</w:t>
      </w:r>
      <w:r>
        <w:rPr>
          <w:rFonts w:hint="eastAsia"/>
        </w:rPr>
        <w:t>简单</w:t>
      </w:r>
      <w:r>
        <w:t>隔油沉淀后循环使用</w:t>
      </w:r>
      <w:r>
        <w:rPr>
          <w:rFonts w:hint="eastAsia"/>
        </w:rPr>
        <w:t>，不外排，施工生活污水纳入区域排污系统；施工污废水经采取相应措施后，对周边水环境影响较小；（2）施工扬尘在采取洒水降尘、施工围挡、遮盖等防护措施后，对沿线环境空气质量的影响可控；（3）施工期生活垃圾委托当地环卫部门及时清运，土石方经项目综合利用后，剩余弃方拟运往福清市城市管理委员会批准的余方指定堆放点进行综合利用。（4）施工期施工噪声对周边敏感点存在一定影响，因此，施工单位在组织施工时，选用低噪声的设备，合理规划施工时间，夜间禁止施工，同时在施工场界做围挡措施。（5）生态影响：项目永久性占地的主要类型是林地和耕地，其次为园地、</w:t>
      </w:r>
      <w:r>
        <w:rPr>
          <w:rFonts w:hint="eastAsia"/>
          <w:spacing w:val="-7"/>
        </w:rPr>
        <w:t>其他农用地</w:t>
      </w:r>
      <w:r>
        <w:rPr>
          <w:rFonts w:hint="eastAsia"/>
        </w:rPr>
        <w:t>，各类土地面积占直接影响区相应地类总量的比例都较小不会导致沿线土地利用结构发生重大改变；工程涉及植物均为常见、广布植被或人工植被，在项目区周边地区尚有大量分布，工程破坏不会造成区域物种灭绝或植被类型丧失，对区域总体的植物资源物种多样性和群落多样性影响不大；工程共占用生态公益林面积</w:t>
      </w:r>
      <w:r>
        <w:rPr>
          <w:rFonts w:hint="eastAsia"/>
          <w:spacing w:val="-7"/>
        </w:rPr>
        <w:t>0</w:t>
      </w:r>
      <w:r>
        <w:rPr>
          <w:spacing w:val="-7"/>
        </w:rPr>
        <w:t>.5538</w:t>
      </w:r>
      <w:r>
        <w:rPr>
          <w:rFonts w:hint="eastAsia"/>
          <w:spacing w:val="-7"/>
        </w:rPr>
        <w:t xml:space="preserve"> </w:t>
      </w:r>
      <w:r>
        <w:rPr>
          <w:rFonts w:hint="eastAsia"/>
        </w:rPr>
        <w:t>hm</w:t>
      </w:r>
      <w:r>
        <w:rPr>
          <w:rFonts w:hint="eastAsia"/>
          <w:vertAlign w:val="superscript"/>
        </w:rPr>
        <w:t>2</w:t>
      </w:r>
      <w:r>
        <w:rPr>
          <w:rFonts w:hint="eastAsia"/>
        </w:rPr>
        <w:t>，在设计、施工和运行阶段采取积极有效的生态环境管理措施、环境预防和补偿措施后，可有效减轻工程建设带来的负面影响。</w:t>
      </w:r>
    </w:p>
    <w:p>
      <w:pPr>
        <w:ind w:firstLine="480"/>
        <w:rPr>
          <w:szCs w:val="24"/>
        </w:rPr>
      </w:pPr>
      <w:r>
        <w:rPr>
          <w:rFonts w:hint="eastAsia"/>
          <w:szCs w:val="24"/>
        </w:rPr>
        <w:t>（2）</w:t>
      </w:r>
      <w:r>
        <w:rPr>
          <w:rFonts w:hint="eastAsia"/>
          <w:spacing w:val="-2"/>
        </w:rPr>
        <w:t>本项目建设运营期主要环境影响为交通噪声对周边声环境敏感目标的影响，</w:t>
      </w:r>
      <w:r>
        <w:rPr>
          <w:rFonts w:hint="eastAsia"/>
        </w:rPr>
        <w:t>从预测结果可以看出，项目运营期沿线敏感目标受交通噪声影响不大，仅部分敏感点夜间出现部分超标，因此，针对部分超标路段及敏感目标应采取相应措施。</w:t>
      </w:r>
    </w:p>
    <w:p>
      <w:pPr>
        <w:ind w:firstLine="480"/>
        <w:rPr>
          <w:spacing w:val="-2"/>
        </w:rPr>
      </w:pPr>
      <w:r>
        <w:rPr>
          <w:rFonts w:hint="eastAsia"/>
          <w:szCs w:val="24"/>
        </w:rPr>
        <w:t>综上分析，从环境影响评价分析，项目施工过程中采取有效的生态环境保护措施、恢复措施和水土保持措施后，可将项目施工中对生态环境带来的负面影响减轻到最低；运营期，</w:t>
      </w:r>
      <w:r>
        <w:rPr>
          <w:rFonts w:hint="eastAsia"/>
        </w:rPr>
        <w:t>在土地利用规划中落实噪声防护控制距离，</w:t>
      </w:r>
      <w:r>
        <w:rPr>
          <w:rFonts w:hint="eastAsia"/>
          <w:szCs w:val="24"/>
        </w:rPr>
        <w:t>黄檗山万福寺旅游公路选线</w:t>
      </w:r>
      <w:r>
        <w:rPr>
          <w:rFonts w:hint="eastAsia"/>
        </w:rPr>
        <w:t>基本合理。</w:t>
      </w:r>
    </w:p>
    <w:p>
      <w:pPr>
        <w:pStyle w:val="118"/>
      </w:pPr>
      <w:r>
        <w:rPr>
          <w:rFonts w:hint="eastAsia"/>
        </w:rPr>
        <w:t>项目临时占地选址合理性分析</w:t>
      </w:r>
    </w:p>
    <w:p>
      <w:pPr>
        <w:ind w:firstLine="480"/>
      </w:pPr>
      <w:r>
        <w:rPr>
          <w:rFonts w:hint="eastAsia"/>
        </w:rPr>
        <w:t>本项目拟设置</w:t>
      </w:r>
      <w:r>
        <w:t>1</w:t>
      </w:r>
      <w:r>
        <w:rPr>
          <w:rFonts w:hint="eastAsia"/>
        </w:rPr>
        <w:t>处施工场地，</w:t>
      </w:r>
      <w:r>
        <w:t>3</w:t>
      </w:r>
      <w:r>
        <w:rPr>
          <w:rFonts w:hint="eastAsia"/>
        </w:rPr>
        <w:t>处表土堆场，施工场地现状敏感性及选址合理性分析详见</w:t>
      </w:r>
      <w:r>
        <w:fldChar w:fldCharType="begin"/>
      </w:r>
      <w:r>
        <w:instrText xml:space="preserve"> </w:instrText>
      </w:r>
      <w:r>
        <w:rPr>
          <w:rFonts w:hint="eastAsia"/>
        </w:rPr>
        <w:instrText xml:space="preserve">REF _Ref80609698 \r \h</w:instrText>
      </w:r>
      <w:r>
        <w:instrText xml:space="preserve">  \* MERGEFORMAT </w:instrText>
      </w:r>
      <w:r>
        <w:fldChar w:fldCharType="separate"/>
      </w:r>
      <w:r>
        <w:rPr>
          <w:rFonts w:hint="eastAsia"/>
        </w:rPr>
        <w:t>表3.10-1</w:t>
      </w:r>
      <w:r>
        <w:fldChar w:fldCharType="end"/>
      </w:r>
      <w:r>
        <w:rPr>
          <w:rFonts w:hint="eastAsia"/>
        </w:rPr>
        <w:t>。</w:t>
      </w:r>
    </w:p>
    <w:p>
      <w:pPr>
        <w:ind w:firstLine="480"/>
        <w:rPr>
          <w:sz w:val="18"/>
        </w:rPr>
      </w:pPr>
      <w:bookmarkStart w:id="375" w:name="_Hlk148346355"/>
      <w:r>
        <w:rPr>
          <w:rFonts w:hint="eastAsia"/>
        </w:rPr>
        <w:t>根据线路施工占地与生态敏感目标分布图综合分析，区域地势平缓地区多开垦耕种，拟建项目两侧分布着大量基本农田，因此，项目施工场地和表土堆场选址受区域地形、基本农田、村庄等诸多因素限制。其中项目沿线在临近大埔大桥处设置1</w:t>
      </w:r>
      <w:r>
        <w:t>#施工</w:t>
      </w:r>
      <w:r>
        <w:rPr>
          <w:rFonts w:hint="eastAsia"/>
        </w:rPr>
        <w:t>场地，用于大埔大桥桥梁预制场、钢筋加工厂等，选址不涉及生态保护红线、基本农田，周边1</w:t>
      </w:r>
      <w:r>
        <w:t>00</w:t>
      </w:r>
      <w:r>
        <w:rPr>
          <w:rFonts w:hint="eastAsia"/>
        </w:rPr>
        <w:t>m范围无村庄居住点，选址合理；但考虑到四周临近基本农田，因此施工场地应严格控制施工边界，施工场地边界设置围墙围挡措施，严禁超范围占地，严禁向农田等随意倾倒垃圾和弃土、弃渣和施工废水。综合分析，综上，本项目设置临时施工场地选址较为合理。</w:t>
      </w:r>
    </w:p>
    <w:p>
      <w:pPr>
        <w:ind w:firstLine="480"/>
      </w:pPr>
      <w:r>
        <w:rPr>
          <w:rFonts w:hint="eastAsia"/>
        </w:rPr>
        <w:t>项目拟定的3处表土堆场，表土堆场分别分布在线路前段、中段及后端，</w:t>
      </w:r>
      <w:r>
        <w:t>2处临时堆土场</w:t>
      </w:r>
      <w:r>
        <w:rPr>
          <w:rFonts w:hint="eastAsia"/>
        </w:rPr>
        <w:t>，均位于道路征地红线范围内</w:t>
      </w:r>
      <w:r>
        <w:t>，施工时进行挖方后随即在临时堆土场内进行临时堆存，然后进行覆土</w:t>
      </w:r>
      <w:r>
        <w:rPr>
          <w:rFonts w:hint="eastAsia"/>
        </w:rPr>
        <w:t>，选址较为合理。</w:t>
      </w:r>
      <w:bookmarkEnd w:id="375"/>
    </w:p>
    <w:p>
      <w:pPr>
        <w:pStyle w:val="87"/>
        <w:spacing w:before="120"/>
      </w:pPr>
      <w:bookmarkStart w:id="376" w:name="_Ref80609698"/>
      <w:r>
        <w:rPr>
          <w:rFonts w:hint="eastAsia"/>
        </w:rPr>
        <w:t>各临时占地设置合理性分析</w:t>
      </w:r>
      <w:r>
        <w:t>表</w:t>
      </w:r>
      <w:bookmarkEnd w:id="376"/>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6"/>
        <w:gridCol w:w="724"/>
        <w:gridCol w:w="726"/>
        <w:gridCol w:w="724"/>
        <w:gridCol w:w="871"/>
        <w:gridCol w:w="2758"/>
        <w:gridCol w:w="28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15" w:type="pct"/>
            <w:vAlign w:val="center"/>
          </w:tcPr>
          <w:p>
            <w:pPr>
              <w:pStyle w:val="105"/>
              <w:jc w:val="center"/>
              <w:rPr>
                <w:snapToGrid w:val="0"/>
                <w:sz w:val="18"/>
                <w:szCs w:val="18"/>
              </w:rPr>
            </w:pPr>
            <w:bookmarkStart w:id="377" w:name="_Hlk148344636"/>
            <w:r>
              <w:rPr>
                <w:snapToGrid w:val="0"/>
                <w:sz w:val="18"/>
                <w:szCs w:val="18"/>
              </w:rPr>
              <w:t>项目</w:t>
            </w:r>
          </w:p>
        </w:tc>
        <w:tc>
          <w:tcPr>
            <w:tcW w:w="390" w:type="pct"/>
            <w:vAlign w:val="center"/>
          </w:tcPr>
          <w:p>
            <w:pPr>
              <w:pStyle w:val="105"/>
              <w:jc w:val="center"/>
              <w:rPr>
                <w:snapToGrid w:val="0"/>
                <w:sz w:val="18"/>
                <w:szCs w:val="18"/>
              </w:rPr>
            </w:pPr>
            <w:r>
              <w:rPr>
                <w:snapToGrid w:val="0"/>
                <w:sz w:val="18"/>
                <w:szCs w:val="18"/>
              </w:rPr>
              <w:t>位置</w:t>
            </w:r>
          </w:p>
        </w:tc>
        <w:tc>
          <w:tcPr>
            <w:tcW w:w="391" w:type="pct"/>
            <w:vAlign w:val="center"/>
          </w:tcPr>
          <w:p>
            <w:pPr>
              <w:pStyle w:val="105"/>
              <w:jc w:val="center"/>
              <w:rPr>
                <w:snapToGrid w:val="0"/>
                <w:sz w:val="18"/>
                <w:szCs w:val="18"/>
              </w:rPr>
            </w:pPr>
            <w:r>
              <w:rPr>
                <w:snapToGrid w:val="0"/>
                <w:sz w:val="18"/>
                <w:szCs w:val="18"/>
              </w:rPr>
              <w:t>面积（hm</w:t>
            </w:r>
            <w:r>
              <w:rPr>
                <w:snapToGrid w:val="0"/>
                <w:sz w:val="18"/>
                <w:szCs w:val="18"/>
                <w:vertAlign w:val="superscript"/>
              </w:rPr>
              <w:t>2</w:t>
            </w:r>
            <w:r>
              <w:rPr>
                <w:snapToGrid w:val="0"/>
                <w:sz w:val="18"/>
                <w:szCs w:val="18"/>
              </w:rPr>
              <w:t>）</w:t>
            </w:r>
          </w:p>
        </w:tc>
        <w:tc>
          <w:tcPr>
            <w:tcW w:w="390" w:type="pct"/>
            <w:vAlign w:val="center"/>
          </w:tcPr>
          <w:p>
            <w:pPr>
              <w:pStyle w:val="105"/>
              <w:jc w:val="center"/>
              <w:rPr>
                <w:snapToGrid w:val="0"/>
                <w:sz w:val="18"/>
                <w:szCs w:val="18"/>
              </w:rPr>
            </w:pPr>
            <w:r>
              <w:rPr>
                <w:rFonts w:hint="eastAsia"/>
                <w:snapToGrid w:val="0"/>
                <w:sz w:val="18"/>
                <w:szCs w:val="18"/>
              </w:rPr>
              <w:t>占地</w:t>
            </w:r>
          </w:p>
          <w:p>
            <w:pPr>
              <w:pStyle w:val="105"/>
              <w:jc w:val="center"/>
              <w:rPr>
                <w:snapToGrid w:val="0"/>
                <w:sz w:val="18"/>
                <w:szCs w:val="18"/>
              </w:rPr>
            </w:pPr>
            <w:r>
              <w:rPr>
                <w:rFonts w:hint="eastAsia"/>
                <w:snapToGrid w:val="0"/>
                <w:sz w:val="18"/>
                <w:szCs w:val="18"/>
              </w:rPr>
              <w:t>类型</w:t>
            </w:r>
          </w:p>
        </w:tc>
        <w:tc>
          <w:tcPr>
            <w:tcW w:w="469" w:type="pct"/>
            <w:vAlign w:val="center"/>
          </w:tcPr>
          <w:p>
            <w:pPr>
              <w:pStyle w:val="105"/>
              <w:jc w:val="center"/>
              <w:rPr>
                <w:snapToGrid w:val="0"/>
                <w:sz w:val="18"/>
                <w:szCs w:val="18"/>
              </w:rPr>
            </w:pPr>
            <w:r>
              <w:rPr>
                <w:rFonts w:hint="eastAsia"/>
                <w:snapToGrid w:val="0"/>
                <w:sz w:val="18"/>
                <w:szCs w:val="18"/>
              </w:rPr>
              <w:t>场地用途</w:t>
            </w:r>
          </w:p>
        </w:tc>
        <w:tc>
          <w:tcPr>
            <w:tcW w:w="1485" w:type="pct"/>
            <w:vAlign w:val="center"/>
          </w:tcPr>
          <w:p>
            <w:pPr>
              <w:pStyle w:val="105"/>
              <w:jc w:val="center"/>
              <w:rPr>
                <w:snapToGrid w:val="0"/>
                <w:sz w:val="18"/>
                <w:szCs w:val="18"/>
              </w:rPr>
            </w:pPr>
            <w:r>
              <w:rPr>
                <w:rFonts w:hint="eastAsia"/>
                <w:snapToGrid w:val="0"/>
                <w:sz w:val="18"/>
                <w:szCs w:val="18"/>
              </w:rPr>
              <w:t>主要环境现状及周边敏感目标分布</w:t>
            </w:r>
          </w:p>
        </w:tc>
        <w:tc>
          <w:tcPr>
            <w:tcW w:w="1561" w:type="pct"/>
            <w:vAlign w:val="center"/>
          </w:tcPr>
          <w:p>
            <w:pPr>
              <w:pStyle w:val="105"/>
              <w:jc w:val="center"/>
              <w:rPr>
                <w:snapToGrid w:val="0"/>
                <w:sz w:val="18"/>
                <w:szCs w:val="18"/>
              </w:rPr>
            </w:pPr>
            <w:r>
              <w:rPr>
                <w:rFonts w:hint="eastAsia"/>
                <w:snapToGrid w:val="0"/>
                <w:sz w:val="18"/>
                <w:szCs w:val="18"/>
              </w:rPr>
              <w:t>合理性分析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15" w:type="pct"/>
            <w:vAlign w:val="center"/>
          </w:tcPr>
          <w:p>
            <w:pPr>
              <w:pStyle w:val="105"/>
              <w:jc w:val="center"/>
              <w:rPr>
                <w:snapToGrid w:val="0"/>
                <w:sz w:val="18"/>
                <w:szCs w:val="18"/>
              </w:rPr>
            </w:pPr>
            <w:r>
              <w:rPr>
                <w:snapToGrid w:val="0"/>
                <w:sz w:val="18"/>
                <w:szCs w:val="18"/>
              </w:rPr>
              <w:t>1#</w:t>
            </w:r>
            <w:r>
              <w:rPr>
                <w:rFonts w:hint="eastAsia"/>
                <w:snapToGrid w:val="0"/>
                <w:sz w:val="18"/>
                <w:szCs w:val="18"/>
              </w:rPr>
              <w:t>施工场地</w:t>
            </w:r>
          </w:p>
        </w:tc>
        <w:tc>
          <w:tcPr>
            <w:tcW w:w="390" w:type="pct"/>
            <w:vAlign w:val="center"/>
          </w:tcPr>
          <w:p>
            <w:pPr>
              <w:pStyle w:val="105"/>
              <w:jc w:val="center"/>
              <w:rPr>
                <w:snapToGrid w:val="0"/>
                <w:sz w:val="18"/>
                <w:szCs w:val="18"/>
              </w:rPr>
            </w:pPr>
            <w:r>
              <w:rPr>
                <w:rFonts w:hint="eastAsia"/>
                <w:snapToGrid w:val="0"/>
                <w:sz w:val="18"/>
                <w:szCs w:val="18"/>
              </w:rPr>
              <w:t>K1+894右侧</w:t>
            </w:r>
          </w:p>
        </w:tc>
        <w:tc>
          <w:tcPr>
            <w:tcW w:w="391" w:type="pct"/>
            <w:vAlign w:val="center"/>
          </w:tcPr>
          <w:p>
            <w:pPr>
              <w:pStyle w:val="105"/>
              <w:jc w:val="center"/>
              <w:rPr>
                <w:snapToGrid w:val="0"/>
                <w:sz w:val="18"/>
                <w:szCs w:val="18"/>
              </w:rPr>
            </w:pPr>
            <w:r>
              <w:rPr>
                <w:snapToGrid w:val="0"/>
                <w:sz w:val="18"/>
                <w:szCs w:val="18"/>
              </w:rPr>
              <w:t>0.70</w:t>
            </w:r>
          </w:p>
        </w:tc>
        <w:tc>
          <w:tcPr>
            <w:tcW w:w="390" w:type="pct"/>
            <w:vAlign w:val="center"/>
          </w:tcPr>
          <w:p>
            <w:pPr>
              <w:pStyle w:val="105"/>
              <w:jc w:val="center"/>
              <w:rPr>
                <w:snapToGrid w:val="0"/>
                <w:sz w:val="18"/>
                <w:szCs w:val="18"/>
              </w:rPr>
            </w:pPr>
            <w:r>
              <w:rPr>
                <w:rFonts w:hint="eastAsia"/>
                <w:snapToGrid w:val="0"/>
                <w:sz w:val="18"/>
                <w:szCs w:val="18"/>
              </w:rPr>
              <w:t>土地利用类型</w:t>
            </w:r>
            <w:r>
              <w:rPr>
                <w:snapToGrid w:val="0"/>
                <w:sz w:val="18"/>
                <w:szCs w:val="18"/>
              </w:rPr>
              <w:t>为</w:t>
            </w:r>
            <w:r>
              <w:rPr>
                <w:rFonts w:hint="eastAsia"/>
                <w:snapToGrid w:val="0"/>
                <w:sz w:val="18"/>
                <w:szCs w:val="18"/>
              </w:rPr>
              <w:t>其他草地和其他林地</w:t>
            </w:r>
          </w:p>
        </w:tc>
        <w:tc>
          <w:tcPr>
            <w:tcW w:w="469" w:type="pct"/>
            <w:vAlign w:val="center"/>
          </w:tcPr>
          <w:p>
            <w:pPr>
              <w:pStyle w:val="105"/>
              <w:jc w:val="center"/>
              <w:rPr>
                <w:snapToGrid w:val="0"/>
                <w:sz w:val="18"/>
                <w:szCs w:val="18"/>
              </w:rPr>
            </w:pPr>
            <w:r>
              <w:rPr>
                <w:rFonts w:hint="eastAsia"/>
                <w:snapToGrid w:val="0"/>
                <w:sz w:val="18"/>
                <w:szCs w:val="18"/>
              </w:rPr>
              <w:t>钢筋加工场、预制场、存梁区、材料堆场、小型构件预制场、临时办公值班房等</w:t>
            </w:r>
          </w:p>
        </w:tc>
        <w:tc>
          <w:tcPr>
            <w:tcW w:w="1485" w:type="pct"/>
            <w:vAlign w:val="center"/>
          </w:tcPr>
          <w:p>
            <w:pPr>
              <w:pStyle w:val="105"/>
              <w:jc w:val="center"/>
              <w:rPr>
                <w:snapToGrid w:val="0"/>
                <w:sz w:val="18"/>
                <w:szCs w:val="18"/>
              </w:rPr>
            </w:pPr>
            <w:r>
              <w:rPr>
                <w:rFonts w:hint="eastAsia"/>
                <w:snapToGrid w:val="0"/>
              </w:rPr>
              <w:t>现状为杂草地和一般林地（稀疏桉树）</w:t>
            </w:r>
            <w:r>
              <w:rPr>
                <w:rFonts w:hint="eastAsia"/>
                <w:snapToGrid w:val="0"/>
                <w:sz w:val="18"/>
                <w:szCs w:val="18"/>
              </w:rPr>
              <w:t>，不涉及基本农田、生态公益林、生态保护红线等生态敏感区。</w:t>
            </w:r>
          </w:p>
          <w:p>
            <w:pPr>
              <w:pStyle w:val="105"/>
              <w:jc w:val="center"/>
              <w:rPr>
                <w:snapToGrid w:val="0"/>
                <w:sz w:val="18"/>
                <w:szCs w:val="18"/>
              </w:rPr>
            </w:pPr>
            <w:r>
              <w:rPr>
                <w:rFonts w:hint="eastAsia"/>
                <w:snapToGrid w:val="0"/>
                <w:sz w:val="18"/>
                <w:szCs w:val="18"/>
              </w:rPr>
              <w:t>敏感目标：周边1</w:t>
            </w:r>
            <w:r>
              <w:rPr>
                <w:snapToGrid w:val="0"/>
                <w:sz w:val="18"/>
                <w:szCs w:val="18"/>
              </w:rPr>
              <w:t>00</w:t>
            </w:r>
            <w:r>
              <w:rPr>
                <w:rFonts w:hint="eastAsia"/>
                <w:snapToGrid w:val="0"/>
                <w:sz w:val="18"/>
                <w:szCs w:val="18"/>
              </w:rPr>
              <w:t>m无居民点，最近敏感点为东北侧1</w:t>
            </w:r>
            <w:r>
              <w:rPr>
                <w:snapToGrid w:val="0"/>
                <w:sz w:val="18"/>
                <w:szCs w:val="18"/>
              </w:rPr>
              <w:t>30</w:t>
            </w:r>
            <w:r>
              <w:rPr>
                <w:rFonts w:hint="eastAsia"/>
                <w:snapToGrid w:val="0"/>
                <w:sz w:val="18"/>
                <w:szCs w:val="18"/>
              </w:rPr>
              <w:t>m的基督教洋下堂和西南侧</w:t>
            </w:r>
            <w:r>
              <w:rPr>
                <w:snapToGrid w:val="0"/>
                <w:sz w:val="18"/>
                <w:szCs w:val="18"/>
              </w:rPr>
              <w:t>141</w:t>
            </w:r>
            <w:r>
              <w:rPr>
                <w:rFonts w:hint="eastAsia"/>
                <w:snapToGrid w:val="0"/>
                <w:sz w:val="18"/>
                <w:szCs w:val="18"/>
              </w:rPr>
              <w:t>m火烧埔。</w:t>
            </w:r>
          </w:p>
          <w:p>
            <w:pPr>
              <w:pStyle w:val="105"/>
              <w:jc w:val="left"/>
              <w:rPr>
                <w:snapToGrid w:val="0"/>
                <w:sz w:val="18"/>
                <w:szCs w:val="18"/>
              </w:rPr>
            </w:pPr>
            <w:r>
              <w:rPr>
                <w:snapToGrid w:val="0"/>
                <w:sz w:val="18"/>
                <w:szCs w:val="18"/>
              </w:rPr>
              <w:t>1#</w:t>
            </w:r>
            <w:r>
              <w:rPr>
                <w:rFonts w:hint="eastAsia"/>
                <w:snapToGrid w:val="0"/>
                <w:sz w:val="18"/>
                <w:szCs w:val="18"/>
              </w:rPr>
              <w:t>施工场地虽然占地不涉及永久基本农田，但周边临近用地分布有基本农田。</w:t>
            </w:r>
          </w:p>
        </w:tc>
        <w:tc>
          <w:tcPr>
            <w:tcW w:w="1561" w:type="pct"/>
            <w:vAlign w:val="center"/>
          </w:tcPr>
          <w:p>
            <w:pPr>
              <w:pStyle w:val="105"/>
              <w:jc w:val="left"/>
              <w:rPr>
                <w:snapToGrid w:val="0"/>
                <w:sz w:val="18"/>
                <w:szCs w:val="18"/>
              </w:rPr>
            </w:pPr>
            <w:r>
              <w:rPr>
                <w:rFonts w:hint="eastAsia"/>
                <w:snapToGrid w:val="0"/>
                <w:sz w:val="18"/>
                <w:szCs w:val="18"/>
              </w:rPr>
              <w:t>①生态影响方面：施工场地不涉及生态敏感目标，不占用基本农田，用地为杂草地和一般林地，用地不敏感，选址基本合理，但考虑到四周临近基本农田，因此施工场地应严格控制施工边界，施工场地边界设置围墙围挡措施，严禁超范围占地，严禁向农田等随意倾倒垃圾和弃土、弃渣和施工废水；</w:t>
            </w:r>
          </w:p>
          <w:p>
            <w:pPr>
              <w:pStyle w:val="105"/>
              <w:jc w:val="left"/>
              <w:rPr>
                <w:snapToGrid w:val="0"/>
                <w:sz w:val="18"/>
                <w:szCs w:val="18"/>
              </w:rPr>
            </w:pPr>
            <w:r>
              <w:rPr>
                <w:rFonts w:hint="eastAsia"/>
                <w:snapToGrid w:val="0"/>
                <w:sz w:val="18"/>
                <w:szCs w:val="18"/>
              </w:rPr>
              <w:t>②施工噪声、粉尘影响方面：</w:t>
            </w:r>
            <w:r>
              <w:rPr>
                <w:snapToGrid w:val="0"/>
                <w:sz w:val="18"/>
                <w:szCs w:val="18"/>
              </w:rPr>
              <w:t>1</w:t>
            </w:r>
            <w:r>
              <w:rPr>
                <w:rFonts w:hint="eastAsia"/>
                <w:snapToGrid w:val="0"/>
                <w:sz w:val="18"/>
                <w:szCs w:val="18"/>
              </w:rPr>
              <w:t>#施工场地作为周边1</w:t>
            </w:r>
            <w:r>
              <w:rPr>
                <w:snapToGrid w:val="0"/>
                <w:sz w:val="18"/>
                <w:szCs w:val="18"/>
              </w:rPr>
              <w:t>00</w:t>
            </w:r>
            <w:r>
              <w:rPr>
                <w:rFonts w:hint="eastAsia"/>
                <w:snapToGrid w:val="0"/>
                <w:sz w:val="18"/>
                <w:szCs w:val="18"/>
              </w:rPr>
              <w:t>m无居民点，因此，施工过程落实报告提出针对性的措施，施工噪声及扬尘对周边环境影响较小，选址基本合理。</w:t>
            </w:r>
          </w:p>
          <w:p>
            <w:pPr>
              <w:pStyle w:val="105"/>
              <w:jc w:val="left"/>
              <w:rPr>
                <w:snapToGrid w:val="0"/>
                <w:sz w:val="18"/>
                <w:szCs w:val="18"/>
              </w:rPr>
            </w:pPr>
            <w:r>
              <w:rPr>
                <w:rFonts w:hint="eastAsia"/>
                <w:snapToGrid w:val="0"/>
                <w:sz w:val="18"/>
                <w:szCs w:val="18"/>
              </w:rPr>
              <w:t>综上分析，</w:t>
            </w:r>
            <w:r>
              <w:rPr>
                <w:snapToGrid w:val="0"/>
                <w:sz w:val="18"/>
                <w:szCs w:val="18"/>
              </w:rPr>
              <w:t>1</w:t>
            </w:r>
            <w:r>
              <w:rPr>
                <w:rFonts w:hint="eastAsia"/>
                <w:snapToGrid w:val="0"/>
                <w:sz w:val="18"/>
                <w:szCs w:val="18"/>
              </w:rPr>
              <w:t>#施工场地距离敏感目标较远，在严格控制施工边界，落实本次评价提出的环保措施的前提下，选址基本合理。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15" w:type="pct"/>
            <w:vAlign w:val="center"/>
          </w:tcPr>
          <w:p>
            <w:pPr>
              <w:pStyle w:val="105"/>
              <w:jc w:val="center"/>
              <w:rPr>
                <w:snapToGrid w:val="0"/>
                <w:sz w:val="18"/>
                <w:szCs w:val="18"/>
              </w:rPr>
            </w:pPr>
            <w:r>
              <w:rPr>
                <w:rFonts w:hint="eastAsia"/>
                <w:snapToGrid w:val="0"/>
                <w:sz w:val="18"/>
                <w:szCs w:val="18"/>
              </w:rPr>
              <w:t>1</w:t>
            </w:r>
            <w:r>
              <w:rPr>
                <w:snapToGrid w:val="0"/>
                <w:sz w:val="18"/>
                <w:szCs w:val="18"/>
              </w:rPr>
              <w:t>#</w:t>
            </w:r>
            <w:r>
              <w:rPr>
                <w:rFonts w:hint="eastAsia"/>
                <w:snapToGrid w:val="0"/>
                <w:sz w:val="18"/>
                <w:szCs w:val="18"/>
              </w:rPr>
              <w:t>表土堆场</w:t>
            </w:r>
          </w:p>
        </w:tc>
        <w:tc>
          <w:tcPr>
            <w:tcW w:w="390" w:type="pct"/>
            <w:vAlign w:val="center"/>
          </w:tcPr>
          <w:p>
            <w:pPr>
              <w:pStyle w:val="105"/>
              <w:jc w:val="center"/>
              <w:rPr>
                <w:snapToGrid w:val="0"/>
                <w:sz w:val="18"/>
                <w:szCs w:val="18"/>
              </w:rPr>
            </w:pPr>
            <w:r>
              <w:rPr>
                <w:rFonts w:eastAsia="Times New Roman" w:cs="Times New Roman"/>
                <w:snapToGrid w:val="0"/>
                <w:spacing w:val="-1"/>
                <w:sz w:val="18"/>
                <w:szCs w:val="22"/>
              </w:rPr>
              <w:t>K0+620</w:t>
            </w:r>
            <w:r>
              <w:rPr>
                <w:rFonts w:hint="eastAsia"/>
                <w:snapToGrid w:val="0"/>
                <w:spacing w:val="-1"/>
                <w:sz w:val="18"/>
                <w:szCs w:val="22"/>
              </w:rPr>
              <w:t>~</w:t>
            </w:r>
            <w:r>
              <w:rPr>
                <w:rFonts w:eastAsia="Times New Roman" w:cs="Times New Roman"/>
                <w:snapToGrid w:val="0"/>
                <w:spacing w:val="-1"/>
                <w:sz w:val="18"/>
                <w:szCs w:val="22"/>
              </w:rPr>
              <w:t xml:space="preserve"> K0+780</w:t>
            </w:r>
            <w:r>
              <w:rPr>
                <w:rFonts w:hint="eastAsia"/>
                <w:snapToGrid w:val="0"/>
                <w:spacing w:val="-1"/>
                <w:sz w:val="18"/>
                <w:szCs w:val="22"/>
              </w:rPr>
              <w:t>路基红线</w:t>
            </w:r>
          </w:p>
        </w:tc>
        <w:tc>
          <w:tcPr>
            <w:tcW w:w="391" w:type="pct"/>
            <w:vAlign w:val="center"/>
          </w:tcPr>
          <w:p>
            <w:pPr>
              <w:pStyle w:val="105"/>
              <w:jc w:val="center"/>
              <w:rPr>
                <w:snapToGrid w:val="0"/>
                <w:sz w:val="18"/>
                <w:szCs w:val="18"/>
              </w:rPr>
            </w:pPr>
            <w:r>
              <w:rPr>
                <w:rFonts w:eastAsia="Times New Roman" w:cs="Times New Roman"/>
                <w:snapToGrid w:val="0"/>
                <w:sz w:val="18"/>
                <w:szCs w:val="22"/>
              </w:rPr>
              <w:t>0.32</w:t>
            </w:r>
          </w:p>
        </w:tc>
        <w:tc>
          <w:tcPr>
            <w:tcW w:w="390" w:type="pct"/>
            <w:vAlign w:val="center"/>
          </w:tcPr>
          <w:p>
            <w:pPr>
              <w:pStyle w:val="105"/>
              <w:jc w:val="center"/>
              <w:rPr>
                <w:snapToGrid w:val="0"/>
                <w:sz w:val="18"/>
                <w:szCs w:val="18"/>
              </w:rPr>
            </w:pPr>
            <w:r>
              <w:rPr>
                <w:rFonts w:hint="eastAsia"/>
                <w:snapToGrid w:val="0"/>
                <w:sz w:val="18"/>
                <w:szCs w:val="22"/>
              </w:rPr>
              <w:t>耕地（旱地）</w:t>
            </w:r>
          </w:p>
        </w:tc>
        <w:tc>
          <w:tcPr>
            <w:tcW w:w="469" w:type="pct"/>
            <w:vAlign w:val="center"/>
          </w:tcPr>
          <w:p>
            <w:pPr>
              <w:pStyle w:val="105"/>
              <w:jc w:val="center"/>
              <w:rPr>
                <w:snapToGrid w:val="0"/>
                <w:sz w:val="18"/>
                <w:szCs w:val="18"/>
              </w:rPr>
            </w:pPr>
            <w:r>
              <w:rPr>
                <w:rFonts w:hint="eastAsia"/>
                <w:snapToGrid w:val="0"/>
                <w:sz w:val="18"/>
                <w:szCs w:val="18"/>
              </w:rPr>
              <w:t>表土堆放</w:t>
            </w:r>
          </w:p>
        </w:tc>
        <w:tc>
          <w:tcPr>
            <w:tcW w:w="1485" w:type="pct"/>
            <w:vAlign w:val="center"/>
          </w:tcPr>
          <w:p>
            <w:pPr>
              <w:pStyle w:val="105"/>
              <w:jc w:val="center"/>
              <w:rPr>
                <w:snapToGrid w:val="0"/>
                <w:sz w:val="18"/>
                <w:szCs w:val="22"/>
              </w:rPr>
            </w:pPr>
            <w:r>
              <w:rPr>
                <w:rFonts w:hint="eastAsia"/>
                <w:snapToGrid w:val="0"/>
                <w:sz w:val="18"/>
                <w:szCs w:val="22"/>
              </w:rPr>
              <w:t>现状为耕地（旱地），不涉及基本农田、生态公益林、生态保护红线等生态敏感区。</w:t>
            </w:r>
          </w:p>
          <w:p>
            <w:pPr>
              <w:pStyle w:val="105"/>
              <w:jc w:val="center"/>
              <w:rPr>
                <w:snapToGrid w:val="0"/>
                <w:sz w:val="18"/>
                <w:szCs w:val="18"/>
              </w:rPr>
            </w:pPr>
            <w:r>
              <w:rPr>
                <w:rFonts w:hint="eastAsia"/>
                <w:snapToGrid w:val="0"/>
                <w:sz w:val="18"/>
                <w:szCs w:val="18"/>
              </w:rPr>
              <w:t>敏感目标：</w:t>
            </w:r>
            <w:r>
              <w:rPr>
                <w:rFonts w:hint="eastAsia"/>
                <w:snapToGrid w:val="0"/>
                <w:sz w:val="18"/>
                <w:szCs w:val="22"/>
              </w:rPr>
              <w:t>北侧</w:t>
            </w:r>
            <w:r>
              <w:rPr>
                <w:snapToGrid w:val="0"/>
                <w:sz w:val="18"/>
                <w:szCs w:val="22"/>
              </w:rPr>
              <w:t>30m为</w:t>
            </w:r>
            <w:r>
              <w:rPr>
                <w:rFonts w:hint="eastAsia"/>
                <w:snapToGrid w:val="0"/>
                <w:sz w:val="18"/>
                <w:szCs w:val="22"/>
              </w:rPr>
              <w:t>鳗鱼养殖，南侧5</w:t>
            </w:r>
            <w:r>
              <w:rPr>
                <w:snapToGrid w:val="0"/>
                <w:sz w:val="18"/>
                <w:szCs w:val="22"/>
              </w:rPr>
              <w:t>5</w:t>
            </w:r>
            <w:r>
              <w:rPr>
                <w:rFonts w:hint="eastAsia"/>
                <w:snapToGrid w:val="0"/>
                <w:sz w:val="18"/>
                <w:szCs w:val="22"/>
              </w:rPr>
              <w:t>m</w:t>
            </w:r>
            <w:r>
              <w:rPr>
                <w:snapToGrid w:val="0"/>
                <w:sz w:val="18"/>
                <w:szCs w:val="22"/>
              </w:rPr>
              <w:t>为</w:t>
            </w:r>
            <w:r>
              <w:rPr>
                <w:rFonts w:hint="eastAsia"/>
                <w:snapToGrid w:val="0"/>
                <w:sz w:val="18"/>
                <w:szCs w:val="22"/>
              </w:rPr>
              <w:t>上张村林泉。</w:t>
            </w:r>
          </w:p>
        </w:tc>
        <w:tc>
          <w:tcPr>
            <w:tcW w:w="1561" w:type="pct"/>
            <w:vAlign w:val="center"/>
          </w:tcPr>
          <w:p>
            <w:pPr>
              <w:pStyle w:val="105"/>
              <w:jc w:val="center"/>
              <w:rPr>
                <w:snapToGrid w:val="0"/>
                <w:sz w:val="18"/>
                <w:szCs w:val="18"/>
              </w:rPr>
            </w:pPr>
            <w:r>
              <w:rPr>
                <w:rFonts w:hint="eastAsia"/>
                <w:snapToGrid w:val="0"/>
                <w:sz w:val="18"/>
                <w:szCs w:val="18"/>
              </w:rPr>
              <w:t>现状占地为</w:t>
            </w:r>
            <w:r>
              <w:rPr>
                <w:rFonts w:hint="eastAsia"/>
                <w:snapToGrid w:val="0"/>
                <w:sz w:val="18"/>
                <w:szCs w:val="22"/>
              </w:rPr>
              <w:t>耕地（旱地）</w:t>
            </w:r>
            <w:r>
              <w:rPr>
                <w:snapToGrid w:val="0"/>
                <w:sz w:val="18"/>
                <w:szCs w:val="18"/>
              </w:rPr>
              <w:t>（红线范围内，不涉及新增占地）</w:t>
            </w:r>
            <w:r>
              <w:rPr>
                <w:rFonts w:hint="eastAsia"/>
                <w:snapToGrid w:val="0"/>
                <w:sz w:val="18"/>
                <w:szCs w:val="18"/>
              </w:rPr>
              <w:t>，不涉及基本农田和生态保护红线，虽然该处距离</w:t>
            </w:r>
            <w:r>
              <w:rPr>
                <w:rFonts w:hint="eastAsia"/>
                <w:snapToGrid w:val="0"/>
                <w:sz w:val="18"/>
                <w:szCs w:val="22"/>
              </w:rPr>
              <w:t>鳗鱼养殖场和</w:t>
            </w:r>
            <w:r>
              <w:rPr>
                <w:rFonts w:hint="eastAsia"/>
                <w:snapToGrid w:val="0"/>
              </w:rPr>
              <w:t>上张村林泉</w:t>
            </w:r>
            <w:r>
              <w:rPr>
                <w:rFonts w:hint="eastAsia"/>
                <w:snapToGrid w:val="0"/>
                <w:sz w:val="18"/>
                <w:szCs w:val="18"/>
              </w:rPr>
              <w:t>较近，但是作为表土堆场，在落实表土袋装、遮盖拦挡措施后，不会对其造成影响。因此，选址基本合理。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15" w:type="pct"/>
            <w:vAlign w:val="center"/>
          </w:tcPr>
          <w:p>
            <w:pPr>
              <w:pStyle w:val="105"/>
              <w:jc w:val="center"/>
              <w:rPr>
                <w:snapToGrid w:val="0"/>
                <w:sz w:val="18"/>
                <w:szCs w:val="18"/>
              </w:rPr>
            </w:pPr>
            <w:r>
              <w:rPr>
                <w:snapToGrid w:val="0"/>
                <w:sz w:val="18"/>
                <w:szCs w:val="18"/>
              </w:rPr>
              <w:t>2#</w:t>
            </w:r>
            <w:r>
              <w:rPr>
                <w:rFonts w:hint="eastAsia"/>
                <w:snapToGrid w:val="0"/>
                <w:sz w:val="18"/>
                <w:szCs w:val="18"/>
              </w:rPr>
              <w:t>表土堆场</w:t>
            </w:r>
          </w:p>
        </w:tc>
        <w:tc>
          <w:tcPr>
            <w:tcW w:w="390" w:type="pct"/>
            <w:vAlign w:val="center"/>
          </w:tcPr>
          <w:p>
            <w:pPr>
              <w:pStyle w:val="105"/>
              <w:jc w:val="center"/>
              <w:rPr>
                <w:snapToGrid w:val="0"/>
                <w:sz w:val="18"/>
                <w:szCs w:val="18"/>
              </w:rPr>
            </w:pPr>
            <w:r>
              <w:rPr>
                <w:rFonts w:eastAsia="Times New Roman" w:cs="Times New Roman"/>
                <w:snapToGrid w:val="0"/>
                <w:sz w:val="18"/>
                <w:szCs w:val="22"/>
              </w:rPr>
              <w:t xml:space="preserve">K3+510~620 </w:t>
            </w:r>
            <w:r>
              <w:rPr>
                <w:rFonts w:hint="eastAsia" w:ascii="宋体" w:hAnsi="宋体"/>
                <w:snapToGrid w:val="0"/>
                <w:sz w:val="18"/>
                <w:szCs w:val="22"/>
              </w:rPr>
              <w:t>左侧</w:t>
            </w:r>
            <w:r>
              <w:rPr>
                <w:rFonts w:hint="eastAsia"/>
                <w:snapToGrid w:val="0"/>
                <w:spacing w:val="-1"/>
                <w:sz w:val="18"/>
                <w:szCs w:val="22"/>
              </w:rPr>
              <w:t>路基</w:t>
            </w:r>
          </w:p>
        </w:tc>
        <w:tc>
          <w:tcPr>
            <w:tcW w:w="391" w:type="pct"/>
            <w:vAlign w:val="center"/>
          </w:tcPr>
          <w:p>
            <w:pPr>
              <w:pStyle w:val="105"/>
              <w:jc w:val="center"/>
              <w:rPr>
                <w:snapToGrid w:val="0"/>
                <w:sz w:val="18"/>
                <w:szCs w:val="18"/>
              </w:rPr>
            </w:pPr>
            <w:r>
              <w:rPr>
                <w:rFonts w:eastAsia="Times New Roman" w:cs="Times New Roman"/>
                <w:snapToGrid w:val="0"/>
                <w:sz w:val="18"/>
                <w:szCs w:val="22"/>
              </w:rPr>
              <w:t>0.30</w:t>
            </w:r>
          </w:p>
        </w:tc>
        <w:tc>
          <w:tcPr>
            <w:tcW w:w="390" w:type="pct"/>
            <w:vAlign w:val="center"/>
          </w:tcPr>
          <w:p>
            <w:pPr>
              <w:pStyle w:val="105"/>
              <w:jc w:val="center"/>
              <w:rPr>
                <w:snapToGrid w:val="0"/>
                <w:sz w:val="18"/>
                <w:szCs w:val="18"/>
              </w:rPr>
            </w:pPr>
            <w:r>
              <w:rPr>
                <w:rFonts w:hint="eastAsia"/>
                <w:snapToGrid w:val="0"/>
                <w:spacing w:val="-7"/>
                <w:sz w:val="18"/>
                <w:szCs w:val="22"/>
              </w:rPr>
              <w:t>园地</w:t>
            </w:r>
          </w:p>
        </w:tc>
        <w:tc>
          <w:tcPr>
            <w:tcW w:w="469" w:type="pct"/>
            <w:vAlign w:val="center"/>
          </w:tcPr>
          <w:p>
            <w:pPr>
              <w:pStyle w:val="105"/>
              <w:jc w:val="center"/>
              <w:rPr>
                <w:snapToGrid w:val="0"/>
                <w:sz w:val="18"/>
                <w:szCs w:val="18"/>
              </w:rPr>
            </w:pPr>
            <w:r>
              <w:rPr>
                <w:rFonts w:hint="eastAsia"/>
                <w:snapToGrid w:val="0"/>
                <w:sz w:val="18"/>
                <w:szCs w:val="18"/>
              </w:rPr>
              <w:t>表土堆放</w:t>
            </w:r>
          </w:p>
        </w:tc>
        <w:tc>
          <w:tcPr>
            <w:tcW w:w="1485" w:type="pct"/>
            <w:vAlign w:val="center"/>
          </w:tcPr>
          <w:p>
            <w:pPr>
              <w:pStyle w:val="105"/>
              <w:jc w:val="center"/>
              <w:rPr>
                <w:snapToGrid w:val="0"/>
                <w:sz w:val="18"/>
                <w:szCs w:val="22"/>
              </w:rPr>
            </w:pPr>
            <w:r>
              <w:rPr>
                <w:rFonts w:hint="eastAsia"/>
                <w:snapToGrid w:val="0"/>
                <w:sz w:val="18"/>
                <w:szCs w:val="22"/>
              </w:rPr>
              <w:t>现状为</w:t>
            </w:r>
            <w:r>
              <w:rPr>
                <w:rFonts w:hint="eastAsia"/>
                <w:snapToGrid w:val="0"/>
                <w:spacing w:val="-7"/>
                <w:sz w:val="18"/>
                <w:szCs w:val="22"/>
              </w:rPr>
              <w:t>园地</w:t>
            </w:r>
            <w:r>
              <w:rPr>
                <w:rFonts w:hint="eastAsia"/>
                <w:snapToGrid w:val="0"/>
                <w:sz w:val="18"/>
                <w:szCs w:val="22"/>
              </w:rPr>
              <w:t>，不涉及基本农田、生态公益林、生态保护红线等生态敏感区。</w:t>
            </w:r>
          </w:p>
          <w:p>
            <w:pPr>
              <w:pStyle w:val="105"/>
              <w:jc w:val="center"/>
              <w:rPr>
                <w:snapToGrid w:val="0"/>
                <w:szCs w:val="18"/>
              </w:rPr>
            </w:pPr>
            <w:r>
              <w:rPr>
                <w:rFonts w:hint="eastAsia"/>
                <w:snapToGrid w:val="0"/>
                <w:sz w:val="18"/>
                <w:szCs w:val="22"/>
              </w:rPr>
              <w:t>敏感目标：北侧</w:t>
            </w:r>
            <w:r>
              <w:rPr>
                <w:snapToGrid w:val="0"/>
                <w:sz w:val="18"/>
                <w:szCs w:val="22"/>
              </w:rPr>
              <w:t>40m为</w:t>
            </w:r>
            <w:r>
              <w:rPr>
                <w:rFonts w:hint="eastAsia"/>
                <w:snapToGrid w:val="0"/>
                <w:sz w:val="18"/>
                <w:szCs w:val="22"/>
              </w:rPr>
              <w:t>木厝洋，东南侧1</w:t>
            </w:r>
            <w:r>
              <w:rPr>
                <w:snapToGrid w:val="0"/>
                <w:sz w:val="18"/>
                <w:szCs w:val="22"/>
              </w:rPr>
              <w:t>36m为</w:t>
            </w:r>
            <w:r>
              <w:rPr>
                <w:snapToGrid w:val="0"/>
              </w:rPr>
              <w:t>联华村西山</w:t>
            </w:r>
            <w:r>
              <w:rPr>
                <w:rFonts w:hint="eastAsia"/>
                <w:snapToGrid w:val="0"/>
                <w:sz w:val="18"/>
                <w:szCs w:val="22"/>
              </w:rPr>
              <w:t>。</w:t>
            </w:r>
          </w:p>
        </w:tc>
        <w:tc>
          <w:tcPr>
            <w:tcW w:w="1561" w:type="pct"/>
            <w:vAlign w:val="center"/>
          </w:tcPr>
          <w:p>
            <w:pPr>
              <w:pStyle w:val="105"/>
              <w:jc w:val="center"/>
              <w:rPr>
                <w:snapToGrid w:val="0"/>
                <w:sz w:val="18"/>
                <w:szCs w:val="18"/>
              </w:rPr>
            </w:pPr>
            <w:r>
              <w:rPr>
                <w:rFonts w:hint="eastAsia"/>
                <w:snapToGrid w:val="0"/>
                <w:sz w:val="18"/>
                <w:szCs w:val="18"/>
              </w:rPr>
              <w:t>现状占地为</w:t>
            </w:r>
            <w:r>
              <w:rPr>
                <w:rFonts w:hint="eastAsia"/>
                <w:snapToGrid w:val="0"/>
                <w:sz w:val="18"/>
                <w:szCs w:val="22"/>
              </w:rPr>
              <w:t>园地</w:t>
            </w:r>
            <w:r>
              <w:rPr>
                <w:snapToGrid w:val="0"/>
                <w:sz w:val="18"/>
                <w:szCs w:val="18"/>
              </w:rPr>
              <w:t>（红线范围内，不涉及新增占地）</w:t>
            </w:r>
            <w:r>
              <w:rPr>
                <w:rFonts w:hint="eastAsia"/>
                <w:snapToGrid w:val="0"/>
                <w:sz w:val="18"/>
                <w:szCs w:val="18"/>
              </w:rPr>
              <w:t>，不涉及基本农田和生态保护红线。受周边用地限制（基本农田及耕地），该表土堆场距离居民区较近，但是作为表土堆场，在落实表土袋装、遮盖拦挡措施后，对居民区影响可控，综上选址基本合理。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15" w:type="pct"/>
            <w:vAlign w:val="center"/>
          </w:tcPr>
          <w:p>
            <w:pPr>
              <w:pStyle w:val="105"/>
              <w:jc w:val="center"/>
              <w:rPr>
                <w:snapToGrid w:val="0"/>
                <w:sz w:val="18"/>
                <w:szCs w:val="18"/>
              </w:rPr>
            </w:pPr>
            <w:r>
              <w:rPr>
                <w:snapToGrid w:val="0"/>
                <w:sz w:val="18"/>
                <w:szCs w:val="18"/>
              </w:rPr>
              <w:t>3#</w:t>
            </w:r>
            <w:r>
              <w:rPr>
                <w:rFonts w:hint="eastAsia"/>
                <w:snapToGrid w:val="0"/>
                <w:sz w:val="18"/>
                <w:szCs w:val="18"/>
              </w:rPr>
              <w:t>表土堆场</w:t>
            </w:r>
          </w:p>
        </w:tc>
        <w:tc>
          <w:tcPr>
            <w:tcW w:w="390" w:type="pct"/>
            <w:vAlign w:val="center"/>
          </w:tcPr>
          <w:p>
            <w:pPr>
              <w:pStyle w:val="105"/>
              <w:jc w:val="center"/>
              <w:rPr>
                <w:snapToGrid w:val="0"/>
                <w:sz w:val="18"/>
                <w:szCs w:val="18"/>
              </w:rPr>
            </w:pPr>
            <w:r>
              <w:rPr>
                <w:rFonts w:eastAsia="Times New Roman" w:cs="Times New Roman"/>
                <w:snapToGrid w:val="0"/>
                <w:spacing w:val="-1"/>
                <w:sz w:val="18"/>
                <w:szCs w:val="22"/>
              </w:rPr>
              <w:t>K4+300~ K4+420</w:t>
            </w:r>
            <w:r>
              <w:rPr>
                <w:rFonts w:hint="eastAsia" w:ascii="宋体" w:hAnsi="宋体"/>
                <w:snapToGrid w:val="0"/>
                <w:spacing w:val="-1"/>
                <w:sz w:val="18"/>
                <w:szCs w:val="22"/>
              </w:rPr>
              <w:t>右侧</w:t>
            </w:r>
            <w:r>
              <w:rPr>
                <w:rFonts w:hint="eastAsia"/>
                <w:snapToGrid w:val="0"/>
                <w:spacing w:val="-1"/>
                <w:sz w:val="18"/>
                <w:szCs w:val="22"/>
              </w:rPr>
              <w:t>路基</w:t>
            </w:r>
          </w:p>
        </w:tc>
        <w:tc>
          <w:tcPr>
            <w:tcW w:w="391" w:type="pct"/>
            <w:vAlign w:val="center"/>
          </w:tcPr>
          <w:p>
            <w:pPr>
              <w:pStyle w:val="105"/>
              <w:jc w:val="center"/>
              <w:rPr>
                <w:snapToGrid w:val="0"/>
                <w:sz w:val="18"/>
                <w:szCs w:val="18"/>
              </w:rPr>
            </w:pPr>
            <w:r>
              <w:rPr>
                <w:rFonts w:eastAsia="Times New Roman" w:cs="Times New Roman"/>
                <w:snapToGrid w:val="0"/>
                <w:sz w:val="18"/>
                <w:szCs w:val="22"/>
              </w:rPr>
              <w:t>0.32</w:t>
            </w:r>
          </w:p>
        </w:tc>
        <w:tc>
          <w:tcPr>
            <w:tcW w:w="390" w:type="pct"/>
            <w:vAlign w:val="center"/>
          </w:tcPr>
          <w:p>
            <w:pPr>
              <w:pStyle w:val="105"/>
              <w:jc w:val="center"/>
              <w:rPr>
                <w:snapToGrid w:val="0"/>
                <w:sz w:val="18"/>
                <w:szCs w:val="18"/>
              </w:rPr>
            </w:pPr>
            <w:r>
              <w:rPr>
                <w:rFonts w:hint="eastAsia"/>
                <w:snapToGrid w:val="0"/>
                <w:sz w:val="18"/>
                <w:szCs w:val="22"/>
              </w:rPr>
              <w:t>林地</w:t>
            </w:r>
          </w:p>
        </w:tc>
        <w:tc>
          <w:tcPr>
            <w:tcW w:w="469" w:type="pct"/>
            <w:vAlign w:val="center"/>
          </w:tcPr>
          <w:p>
            <w:pPr>
              <w:pStyle w:val="105"/>
              <w:jc w:val="center"/>
              <w:rPr>
                <w:snapToGrid w:val="0"/>
                <w:sz w:val="18"/>
                <w:szCs w:val="18"/>
              </w:rPr>
            </w:pPr>
            <w:r>
              <w:rPr>
                <w:rFonts w:hint="eastAsia"/>
                <w:snapToGrid w:val="0"/>
                <w:sz w:val="18"/>
                <w:szCs w:val="18"/>
              </w:rPr>
              <w:t>表土堆放</w:t>
            </w:r>
          </w:p>
        </w:tc>
        <w:tc>
          <w:tcPr>
            <w:tcW w:w="1485" w:type="pct"/>
            <w:vAlign w:val="center"/>
          </w:tcPr>
          <w:p>
            <w:pPr>
              <w:pStyle w:val="105"/>
              <w:jc w:val="center"/>
              <w:rPr>
                <w:snapToGrid w:val="0"/>
                <w:sz w:val="18"/>
                <w:szCs w:val="22"/>
              </w:rPr>
            </w:pPr>
            <w:r>
              <w:rPr>
                <w:rFonts w:hint="eastAsia"/>
                <w:snapToGrid w:val="0"/>
                <w:sz w:val="18"/>
                <w:szCs w:val="22"/>
              </w:rPr>
              <w:t>现状为林地，不涉及基本农田、生态公益林、生态保护红线等生态敏感区。</w:t>
            </w:r>
          </w:p>
          <w:p>
            <w:pPr>
              <w:pStyle w:val="105"/>
              <w:jc w:val="center"/>
              <w:rPr>
                <w:snapToGrid w:val="0"/>
                <w:sz w:val="18"/>
                <w:szCs w:val="18"/>
              </w:rPr>
            </w:pPr>
            <w:r>
              <w:rPr>
                <w:rFonts w:hint="eastAsia"/>
                <w:snapToGrid w:val="0"/>
                <w:sz w:val="18"/>
                <w:szCs w:val="18"/>
              </w:rPr>
              <w:t>敏感目标：2</w:t>
            </w:r>
            <w:r>
              <w:rPr>
                <w:snapToGrid w:val="0"/>
                <w:sz w:val="18"/>
                <w:szCs w:val="18"/>
              </w:rPr>
              <w:t>00m范围无居民居住点，</w:t>
            </w:r>
            <w:r>
              <w:rPr>
                <w:rFonts w:hint="eastAsia"/>
                <w:snapToGrid w:val="0"/>
                <w:sz w:val="18"/>
                <w:szCs w:val="18"/>
              </w:rPr>
              <w:t>西</w:t>
            </w:r>
            <w:r>
              <w:rPr>
                <w:snapToGrid w:val="0"/>
                <w:sz w:val="18"/>
                <w:szCs w:val="18"/>
              </w:rPr>
              <w:t>南侧</w:t>
            </w:r>
            <w:r>
              <w:rPr>
                <w:rFonts w:hint="eastAsia"/>
                <w:snapToGrid w:val="0"/>
                <w:sz w:val="18"/>
                <w:szCs w:val="18"/>
              </w:rPr>
              <w:t>5</w:t>
            </w:r>
            <w:r>
              <w:rPr>
                <w:snapToGrid w:val="0"/>
                <w:sz w:val="18"/>
                <w:szCs w:val="18"/>
              </w:rPr>
              <w:t>0m为玉山文创农业公司（</w:t>
            </w:r>
            <w:r>
              <w:rPr>
                <w:rFonts w:hint="eastAsia"/>
                <w:snapToGrid w:val="0"/>
                <w:sz w:val="18"/>
                <w:szCs w:val="18"/>
              </w:rPr>
              <w:t>景观园艺种植加工</w:t>
            </w:r>
            <w:r>
              <w:rPr>
                <w:snapToGrid w:val="0"/>
                <w:sz w:val="18"/>
                <w:szCs w:val="18"/>
              </w:rPr>
              <w:t>）</w:t>
            </w:r>
            <w:r>
              <w:rPr>
                <w:rFonts w:hint="eastAsia"/>
                <w:snapToGrid w:val="0"/>
                <w:sz w:val="18"/>
                <w:szCs w:val="18"/>
              </w:rPr>
              <w:t>，</w:t>
            </w:r>
            <w:r>
              <w:rPr>
                <w:snapToGrid w:val="0"/>
                <w:sz w:val="18"/>
                <w:szCs w:val="18"/>
              </w:rPr>
              <w:t>南侧85m为</w:t>
            </w:r>
            <w:r>
              <w:rPr>
                <w:rFonts w:hint="eastAsia"/>
                <w:snapToGrid w:val="0"/>
                <w:sz w:val="18"/>
                <w:szCs w:val="18"/>
              </w:rPr>
              <w:t>骨灰堂。</w:t>
            </w:r>
          </w:p>
        </w:tc>
        <w:tc>
          <w:tcPr>
            <w:tcW w:w="1561" w:type="pct"/>
            <w:vAlign w:val="center"/>
          </w:tcPr>
          <w:p>
            <w:pPr>
              <w:pStyle w:val="105"/>
              <w:jc w:val="center"/>
              <w:rPr>
                <w:snapToGrid w:val="0"/>
                <w:sz w:val="18"/>
                <w:szCs w:val="18"/>
              </w:rPr>
            </w:pPr>
            <w:r>
              <w:rPr>
                <w:rFonts w:hint="eastAsia"/>
                <w:snapToGrid w:val="0"/>
                <w:sz w:val="18"/>
                <w:szCs w:val="18"/>
              </w:rPr>
              <w:t>现状占地为</w:t>
            </w:r>
            <w:r>
              <w:rPr>
                <w:rFonts w:hint="eastAsia"/>
                <w:snapToGrid w:val="0"/>
                <w:sz w:val="18"/>
                <w:szCs w:val="22"/>
              </w:rPr>
              <w:t>林地</w:t>
            </w:r>
            <w:r>
              <w:rPr>
                <w:snapToGrid w:val="0"/>
                <w:sz w:val="18"/>
                <w:szCs w:val="18"/>
              </w:rPr>
              <w:t>（红线范围内，不涉及新增占地）</w:t>
            </w:r>
            <w:r>
              <w:rPr>
                <w:rFonts w:hint="eastAsia"/>
                <w:snapToGrid w:val="0"/>
                <w:sz w:val="18"/>
                <w:szCs w:val="18"/>
              </w:rPr>
              <w:t>，不涉及基本农田和生态保护红线。在落实表土袋装、遮盖拦挡措施后，对周边环境影响可控，综上选址基本合理。</w:t>
            </w:r>
          </w:p>
        </w:tc>
      </w:tr>
      <w:bookmarkEnd w:id="377"/>
    </w:tbl>
    <w:p>
      <w:pPr>
        <w:pStyle w:val="124"/>
      </w:pPr>
      <w:r>
        <w:rPr>
          <w:rFonts w:hint="eastAsia"/>
        </w:rPr>
        <w:t>综上，本项目设置临时施工场地和表土堆场选址基本合理，考虑到施工期间施工临时占地设置存在的不确定性，施工阶段施工场地和表土堆场调整及设置要求提出原则性限制条件，主要有：</w:t>
      </w:r>
    </w:p>
    <w:p>
      <w:pPr>
        <w:ind w:firstLine="480"/>
      </w:pPr>
      <w:r>
        <w:rPr>
          <w:rFonts w:hint="eastAsia"/>
        </w:rPr>
        <w:t>①严禁在生态保护红线、生态公益林、基本农田和河道岸线等保护范围内设置施工场地、表土堆场等临时占地；</w:t>
      </w:r>
    </w:p>
    <w:p>
      <w:pPr>
        <w:ind w:firstLine="480"/>
      </w:pPr>
      <w:r>
        <w:rPr>
          <w:rFonts w:hint="eastAsia"/>
        </w:rPr>
        <w:t>②施工场地涉及预制梁场等产生粉尘、高噪声设施应尽量远离居民区，否则应采取严格的粉尘和减噪措施；</w:t>
      </w:r>
    </w:p>
    <w:p>
      <w:pPr>
        <w:ind w:firstLine="480"/>
      </w:pPr>
      <w:r>
        <w:rPr>
          <w:rFonts w:hint="eastAsia"/>
        </w:rPr>
        <w:t>③各类施工场地设置使用期间，施工废水经处理后回用，不得外排；</w:t>
      </w:r>
    </w:p>
    <w:p>
      <w:pPr>
        <w:ind w:firstLine="480"/>
      </w:pPr>
      <w:r>
        <w:rPr>
          <w:rFonts w:hint="eastAsia"/>
        </w:rPr>
        <w:t>④施工期废气要做到达标排放，要加强洒水降尘，施工场地噪声要满足《建设施工场界环境噪声排放标准》的要求。</w:t>
      </w:r>
    </w:p>
    <w:p>
      <w:pPr>
        <w:pStyle w:val="118"/>
      </w:pPr>
      <w:r>
        <w:rPr>
          <w:rFonts w:hint="eastAsia"/>
        </w:rPr>
        <w:t>路由与</w:t>
      </w:r>
      <w:r>
        <w:t>生态公益林</w:t>
      </w:r>
      <w:r>
        <w:rPr>
          <w:rFonts w:hint="eastAsia"/>
        </w:rPr>
        <w:t>保护要求</w:t>
      </w:r>
      <w:r>
        <w:t>符合性分析</w:t>
      </w:r>
    </w:p>
    <w:p>
      <w:pPr>
        <w:ind w:firstLine="480"/>
      </w:pPr>
      <w:r>
        <w:rPr>
          <w:rFonts w:hint="eastAsia"/>
        </w:rPr>
        <w:t>根据《建设项目使用林地审核审批管理办法》（国家林业局第35号令）要求，其中“第四条占用和临时占用林地的建设项目应当遵守林地分级管理的规定：（二）国务院批准、同意的建设项目，国务院有关部门和省级人民政府及其有关部门批准的基础设施、公共事业、民生建设项目，可以使用Ⅱ级及其以下保护林地。”</w:t>
      </w:r>
    </w:p>
    <w:p>
      <w:pPr>
        <w:ind w:firstLine="480"/>
      </w:pPr>
      <w:r>
        <w:rPr>
          <w:rFonts w:hint="eastAsia"/>
        </w:rPr>
        <w:t>《国家级公益林管理办法》（2017年4月28日）：第九条“严格控制勘查、开采矿藏和工程建设使用国家级公益林地。确需使用的，严格按照《建设项目使用林地审核审批管理办法》有关规定办理使用林地手续。涉及林木采伐的，按相关规定依法办理林木采伐手续。经审核审批同意使用的国家级公益林地，可按照本办法第十八条、第十九条的规定实行占补平衡，并按本办法第二十三条的规定报告国家林业局和财政部。”</w:t>
      </w:r>
    </w:p>
    <w:p>
      <w:pPr>
        <w:ind w:firstLine="480"/>
      </w:pPr>
      <w:r>
        <w:rPr>
          <w:rFonts w:hint="eastAsia"/>
        </w:rPr>
        <w:t>协调性分析：</w:t>
      </w:r>
      <w:r>
        <w:rPr>
          <w:rFonts w:hint="eastAsia"/>
          <w:szCs w:val="24"/>
        </w:rPr>
        <w:t>本工程</w:t>
      </w:r>
      <w:r>
        <w:rPr>
          <w:rFonts w:hint="eastAsia"/>
        </w:rPr>
        <w:t>用地</w:t>
      </w:r>
      <w:r>
        <w:t>不可避免</w:t>
      </w:r>
      <w:r>
        <w:rPr>
          <w:rFonts w:hint="eastAsia"/>
        </w:rPr>
        <w:t>地</w:t>
      </w:r>
      <w:r>
        <w:t>占用到</w:t>
      </w:r>
      <w:r>
        <w:rPr>
          <w:rFonts w:hint="eastAsia"/>
        </w:rPr>
        <w:t>生态公益林（</w:t>
      </w:r>
      <w:r>
        <w:rPr>
          <w:rFonts w:hint="eastAsia"/>
          <w:lang w:eastAsia="zh-CN"/>
        </w:rPr>
        <w:t>二级</w:t>
      </w:r>
      <w:r>
        <w:rPr>
          <w:rFonts w:hint="eastAsia"/>
        </w:rPr>
        <w:t>），面积共</w:t>
      </w:r>
      <w:r>
        <w:t>0.5538</w:t>
      </w:r>
      <w:r>
        <w:rPr>
          <w:rFonts w:hint="eastAsia"/>
        </w:rPr>
        <w:t>hm</w:t>
      </w:r>
      <w:r>
        <w:rPr>
          <w:vertAlign w:val="superscript"/>
        </w:rPr>
        <w:t>2</w:t>
      </w:r>
      <w:r>
        <w:rPr>
          <w:rFonts w:hint="eastAsia"/>
        </w:rPr>
        <w:t>，</w:t>
      </w:r>
      <w:r>
        <w:t>工程作为</w:t>
      </w:r>
      <w:r>
        <w:rPr>
          <w:rFonts w:hint="eastAsia"/>
        </w:rPr>
        <w:t>区域交通基础设施</w:t>
      </w:r>
      <w:r>
        <w:t>项目，</w:t>
      </w:r>
      <w:r>
        <w:rPr>
          <w:rFonts w:hint="eastAsia"/>
        </w:rPr>
        <w:t>占用生态公益林面积相对福清市总体比例很小，不会损害其主导生态功能的持续发挥，对其整体生态服务能力影响不大；同时通过现场调查，拟建公路周边林区附近有与拟占用生态公益林结构类似或更优的相同植被类型的分布，经“占一补一”后，区域生态公益林的生态服务能力不会有较大变化。202</w:t>
      </w:r>
      <w:r>
        <w:t>4</w:t>
      </w:r>
      <w:r>
        <w:rPr>
          <w:rFonts w:hint="eastAsia"/>
        </w:rPr>
        <w:t>年</w:t>
      </w:r>
      <w:r>
        <w:t>9</w:t>
      </w:r>
      <w:r>
        <w:rPr>
          <w:rFonts w:hint="eastAsia"/>
        </w:rPr>
        <w:t>月</w:t>
      </w:r>
      <w:r>
        <w:t>30</w:t>
      </w:r>
      <w:r>
        <w:rPr>
          <w:rFonts w:hint="eastAsia"/>
        </w:rPr>
        <w:t>日，福建省林业局批复了使用林地审核同意书（附件</w:t>
      </w:r>
      <w:r>
        <w:t>8</w:t>
      </w:r>
      <w:r>
        <w:rPr>
          <w:rFonts w:hint="eastAsia"/>
        </w:rPr>
        <w:t>），同意本项目使用林地。因此，本项目符合</w:t>
      </w:r>
      <w:r>
        <w:t>生态公益林</w:t>
      </w:r>
      <w:r>
        <w:rPr>
          <w:rFonts w:hint="eastAsia"/>
        </w:rPr>
        <w:t>保护要求。</w:t>
      </w:r>
    </w:p>
    <w:p>
      <w:pPr>
        <w:pStyle w:val="118"/>
      </w:pPr>
      <w:bookmarkStart w:id="378" w:name="_Hlk143545967"/>
      <w:r>
        <w:rPr>
          <w:rFonts w:hint="eastAsia"/>
        </w:rPr>
        <w:t>路由与古树名木保护要求的协调性分析</w:t>
      </w:r>
    </w:p>
    <w:p>
      <w:pPr>
        <w:ind w:firstLine="480"/>
      </w:pPr>
      <w:r>
        <w:rPr>
          <w:rFonts w:hint="eastAsia"/>
        </w:rPr>
        <w:t>根据《福建省古树名木保护管理办法》（福建省人民政府令第</w:t>
      </w:r>
      <w:r>
        <w:t>217</w:t>
      </w:r>
      <w:r>
        <w:rPr>
          <w:rFonts w:hint="eastAsia"/>
        </w:rPr>
        <w:t>号，</w:t>
      </w:r>
      <w:r>
        <w:t>2021</w:t>
      </w:r>
      <w:r>
        <w:rPr>
          <w:rFonts w:hint="eastAsia"/>
        </w:rPr>
        <w:t>年）相关保护内容：“第二十七条古树名木按照不小于树冠垂直投影外5米划定保护范围。</w:t>
      </w:r>
      <w:r>
        <w:rPr>
          <w:rFonts w:hint="eastAsia"/>
          <w:b/>
          <w:bCs/>
        </w:rPr>
        <w:t>第二十九条</w:t>
      </w:r>
      <w:r>
        <w:rPr>
          <w:rFonts w:hint="eastAsia"/>
        </w:rPr>
        <w:t>　禁止在古树名木保护范围内新建、扩建建筑物或者构筑物。国家和省重点基础设施、民生保障以及公共事业项目确需在古树名木保护范围内进行建设施工，无法避让的，建设单位应当在施工前制定古树名木保护方案，并报所在地县级人民政府古树名木主管部门备案。县级人民政府古树名木主管部门应当对保护方案的制定和落实进行指导、监督。第三十条　有下列情形之一的，可以申请对古树名木进行移植，实行异地保护：（一）生存环境已不适宜古树名木继续生长，可能导致古树名木死亡的；（二）古树名木的生长状况对公众生命、财产安全可能造成危害，且采取防护措施后仍无法消除隐患的； （三）因国家和省重点基础设施、民生保障及公共事业项目建设确实无法避让的。移植古树名木应当制定移植方案，并依法审批。第三十一条　移植古树名木应当落实移植费用以及移植后不少于5年的养护费用，属于本办法第三十条第一款第一项、第二项情形的，由县级人民政府承担；属于本办法第三十条第一款第三项情形的，由申请移植人承担。”</w:t>
      </w:r>
    </w:p>
    <w:p>
      <w:pPr>
        <w:ind w:firstLine="480"/>
        <w:rPr>
          <w:shd w:val="clear" w:color="auto" w:fill="FFFFFF"/>
        </w:rPr>
      </w:pPr>
      <w:r>
        <w:rPr>
          <w:rFonts w:hint="eastAsia"/>
        </w:rPr>
        <w:t>根据《古树名木保护条例》（国令第800号，</w:t>
      </w:r>
      <w:r>
        <w:rPr>
          <w:rFonts w:hint="eastAsia"/>
          <w:shd w:val="clear" w:color="auto" w:fill="FFFFFF"/>
        </w:rPr>
        <w:t>2025年1月25日</w:t>
      </w:r>
      <w:r>
        <w:rPr>
          <w:rFonts w:hint="eastAsia"/>
        </w:rPr>
        <w:t>）相关保护内容：“第八条：</w:t>
      </w:r>
      <w:r>
        <w:rPr>
          <w:rFonts w:hint="eastAsia"/>
          <w:shd w:val="clear" w:color="auto" w:fill="FFFFFF"/>
        </w:rPr>
        <w:t>对古树按照下列标准实行分级保护，（三）树龄100年以上不满300年的，实行三级保护。……对名木均实行一级保护，不受树龄限制。第十五条：古树名木原则上实行原地保护，不得移植。有下列情形之一，确需移植古树名木的，建设单位应当提出移植申请并提交相应的移植和养护方案，按照涉及古树名木的最高保护等级，经认定该古树名木的县级以上地方人民政府古树名木主管部门审核并报本级人民政府批准：（一）国家能源、交通、水利、军事设施等重点建设项目选址确实无法避让古树名木；（二）省、自治区、直辖市能源、交通、水利等重点建设项目选址确实无法避让实行二级保护、三级保护的古树；（三）其他基础设施建设项目选址确实无法避让实行三级保护的古树。第十六条：移植古树名木应当就近实施。第十八条　建设项目选址、建设，应当避开古树名木保护范围；因特殊情况不能避开，确需在古树名木保护范围内新建、扩建建筑物、构筑物或者铺设管线的，应当在施工前报告县级以上地方人民政府古树名木主管部门，并按照要求采取必要的工程措施，尽可能减轻对古树名木及其生长环境的损害。”</w:t>
      </w:r>
    </w:p>
    <w:p>
      <w:pPr>
        <w:ind w:firstLine="482"/>
        <w:rPr>
          <w:bCs/>
        </w:rPr>
      </w:pPr>
      <w:r>
        <w:rPr>
          <w:rFonts w:hint="eastAsia"/>
          <w:b/>
        </w:rPr>
        <w:t>符合性分析：</w:t>
      </w:r>
      <w:r>
        <w:rPr>
          <w:rFonts w:hint="eastAsia"/>
          <w:bCs/>
        </w:rPr>
        <w:t>根据调查，项目占地红线范围内不涉及挂牌古树名木</w:t>
      </w:r>
      <w:r>
        <w:rPr>
          <w:rFonts w:hint="eastAsia"/>
        </w:rPr>
        <w:t>，施工场地、表土堆场等临时占地周边亦不涉及古树名木，但项目3</w:t>
      </w:r>
      <w:r>
        <w:t>00</w:t>
      </w:r>
      <w:r>
        <w:rPr>
          <w:rFonts w:hint="eastAsia"/>
        </w:rPr>
        <w:t>m评价范围内涉及</w:t>
      </w:r>
      <w:r>
        <w:t>8</w:t>
      </w:r>
      <w:r>
        <w:rPr>
          <w:rFonts w:hint="eastAsia"/>
        </w:rPr>
        <w:t>株挂牌古树，最近距离本项目用地红线为</w:t>
      </w:r>
      <w:r>
        <w:t>90</w:t>
      </w:r>
      <w:r>
        <w:rPr>
          <w:rFonts w:hint="eastAsia"/>
        </w:rPr>
        <w:t>m，并且远离项目各类临时占地，因此，项目实施时严格施工边界，不会对区域古树名木造成影响，</w:t>
      </w:r>
      <w:r>
        <w:rPr>
          <w:rFonts w:hint="eastAsia"/>
          <w:bCs/>
        </w:rPr>
        <w:t>项目建设</w:t>
      </w:r>
      <w:r>
        <w:rPr>
          <w:bCs/>
        </w:rPr>
        <w:t>与</w:t>
      </w:r>
      <w:r>
        <w:rPr>
          <w:rFonts w:hint="eastAsia"/>
          <w:bCs/>
        </w:rPr>
        <w:t>《福建省古树名木保护管理办法》可以</w:t>
      </w:r>
      <w:r>
        <w:rPr>
          <w:bCs/>
        </w:rPr>
        <w:t>协调。</w:t>
      </w:r>
    </w:p>
    <w:bookmarkEnd w:id="378"/>
    <w:p>
      <w:pPr>
        <w:pStyle w:val="118"/>
      </w:pPr>
      <w:r>
        <w:rPr>
          <w:rFonts w:hint="eastAsia"/>
        </w:rPr>
        <w:t>路由与湿地保护符合性分析</w:t>
      </w:r>
    </w:p>
    <w:p>
      <w:pPr>
        <w:ind w:firstLine="480"/>
      </w:pPr>
      <w:r>
        <w:rPr>
          <w:rFonts w:hint="eastAsia"/>
        </w:rPr>
        <w:t>（1）湿地保护相关规定</w:t>
      </w:r>
    </w:p>
    <w:p>
      <w:pPr>
        <w:ind w:firstLine="480"/>
      </w:pPr>
      <w:r>
        <w:rPr>
          <w:rFonts w:hint="eastAsia"/>
        </w:rPr>
        <w:t>2021年12月24日，中华人民共和国第十三届全国人民代表大会常务委员会第三十二次会议通过《中华人民共和国湿地保护法》，自2022年6月1日起施行。《中华人民共和国湿地保护法》第十九条提出：“国家严格控制占用湿地。禁止占用国家重要湿地，国家重大项目、防灾减灾项目、重要水利及保护设施项目、湿地保护项目等除外。建设项目选址、选线应当避让湿地，无法避让的应当尽量减少占用，并采取必要措施减轻对湿地生态功能的不利影响。建设项目规划选址、选线审批或者核准时，涉及国家重要湿地的，应当征求国务院林业草原主管部门的意见；涉及省级重要湿地或者一般湿地的，应当按照管理权限，征求县级以上地方人民政府授权的部门的意见。”</w:t>
      </w:r>
    </w:p>
    <w:p>
      <w:pPr>
        <w:ind w:firstLine="480"/>
      </w:pPr>
      <w:r>
        <w:rPr>
          <w:rFonts w:hint="eastAsia"/>
        </w:rPr>
        <w:t>《福建省湿地保护条例》（2022年11月24日修订）第十七条“建设项目选址、选线应当避让湿地，无法避让的应当尽量减少占用，并采取必要措施减轻对湿地生态功能的不利影响。建设项目规划选址、选线审批或者核准时，涉及省级重要湿地的，应当按照管理权限，征求省人民政府授权部门的意见，在省人民政府授权部门出具意见前，应当组织湿地保护专家论证；涉及一般湿地的，应当按照管理权限，征求县级人民政府授权部门的意见。”</w:t>
      </w:r>
    </w:p>
    <w:p>
      <w:pPr>
        <w:ind w:firstLine="480"/>
      </w:pPr>
      <w:r>
        <w:rPr>
          <w:rFonts w:hint="eastAsia"/>
        </w:rPr>
        <w:t>（2）符合性分析</w:t>
      </w:r>
    </w:p>
    <w:p>
      <w:pPr>
        <w:ind w:firstLine="480"/>
      </w:pPr>
      <w:r>
        <w:rPr>
          <w:rFonts w:hint="eastAsia"/>
        </w:rPr>
        <w:t>本项目为公路工程，根据《</w:t>
      </w:r>
      <w:r>
        <w:rPr>
          <w:rFonts w:cs="Times New Roman"/>
          <w:kern w:val="0"/>
          <w:szCs w:val="24"/>
          <w:lang w:val="zh-CN"/>
        </w:rPr>
        <w:t>黄檗山万福寺旅游公路项目对福清市一般湿地生态功能影响评价报告》及叠图分析，该项目涉及占用一般湿地面积9060</w:t>
      </w:r>
      <w:r>
        <w:rPr>
          <w:rFonts w:hint="eastAsia" w:cs="Times New Roman"/>
          <w:kern w:val="0"/>
          <w:szCs w:val="24"/>
          <w:lang w:val="zh-CN"/>
        </w:rPr>
        <w:t>m</w:t>
      </w:r>
      <w:r>
        <w:rPr>
          <w:rFonts w:cs="Times New Roman"/>
          <w:kern w:val="0"/>
          <w:szCs w:val="24"/>
          <w:vertAlign w:val="superscript"/>
          <w:lang w:val="zh-CN"/>
        </w:rPr>
        <w:t>2</w:t>
      </w:r>
      <w:r>
        <w:rPr>
          <w:rFonts w:cs="Times New Roman"/>
          <w:kern w:val="0"/>
          <w:szCs w:val="24"/>
          <w:lang w:val="zh-CN"/>
        </w:rPr>
        <w:t>（其中：一般湿地名录面积697</w:t>
      </w:r>
      <w:r>
        <w:rPr>
          <w:rFonts w:hint="eastAsia" w:cs="Times New Roman"/>
          <w:kern w:val="0"/>
          <w:szCs w:val="24"/>
          <w:lang w:val="zh-CN"/>
        </w:rPr>
        <w:t xml:space="preserve"> m</w:t>
      </w:r>
      <w:r>
        <w:rPr>
          <w:rFonts w:cs="Times New Roman"/>
          <w:kern w:val="0"/>
          <w:szCs w:val="24"/>
          <w:vertAlign w:val="superscript"/>
          <w:lang w:val="zh-CN"/>
        </w:rPr>
        <w:t>2</w:t>
      </w:r>
      <w:r>
        <w:rPr>
          <w:rFonts w:cs="Times New Roman"/>
          <w:kern w:val="0"/>
          <w:szCs w:val="24"/>
          <w:lang w:val="zh-CN"/>
        </w:rPr>
        <w:t>），类型为沟渠、河流水面、坑塘水面和内陆滩涂</w:t>
      </w:r>
      <w:r>
        <w:rPr>
          <w:rFonts w:hint="eastAsia"/>
        </w:rPr>
        <w:t>，详见</w:t>
      </w:r>
      <w:r>
        <w:fldChar w:fldCharType="begin"/>
      </w:r>
      <w:r>
        <w:instrText xml:space="preserve"> </w:instrText>
      </w:r>
      <w:r>
        <w:rPr>
          <w:rFonts w:hint="eastAsia"/>
        </w:rPr>
        <w:instrText xml:space="preserve">REF _Ref192516652 \r \h</w:instrText>
      </w:r>
      <w:r>
        <w:instrText xml:space="preserve"> </w:instrText>
      </w:r>
      <w:r>
        <w:fldChar w:fldCharType="separate"/>
      </w:r>
      <w:r>
        <w:rPr>
          <w:rFonts w:hint="eastAsia"/>
        </w:rPr>
        <w:t>表2.7-5</w:t>
      </w:r>
      <w:r>
        <w:fldChar w:fldCharType="end"/>
      </w:r>
      <w:r>
        <w:rPr>
          <w:rFonts w:hint="eastAsia"/>
        </w:rPr>
        <w:t>），未占用国家重要湿地。</w:t>
      </w:r>
    </w:p>
    <w:p>
      <w:pPr>
        <w:ind w:firstLine="480"/>
      </w:pPr>
      <w:r>
        <w:rPr>
          <w:rFonts w:hint="eastAsia"/>
        </w:rPr>
        <w:t>根据《</w:t>
      </w:r>
      <w:r>
        <w:rPr>
          <w:rFonts w:cs="Times New Roman"/>
          <w:kern w:val="0"/>
          <w:szCs w:val="24"/>
          <w:lang w:val="zh-CN"/>
        </w:rPr>
        <w:t>黄檗山万福寺旅游公路项目对福清市一般湿地生态功能影响评价报告</w:t>
      </w:r>
      <w:r>
        <w:rPr>
          <w:rFonts w:hint="eastAsia" w:cs="Times New Roman"/>
          <w:kern w:val="0"/>
          <w:szCs w:val="24"/>
          <w:lang w:val="zh-CN"/>
        </w:rPr>
        <w:t>》的评价结论：</w:t>
      </w:r>
      <w:r>
        <w:rPr>
          <w:rFonts w:hint="eastAsia"/>
        </w:rPr>
        <w:t>项目对湿地生态功能影响评价指标主要包括：对湿地生态环境的影响、对湿地支持服务功能的影响、对湿地调节服务功能的影响、对湿地供给服务功能的影响、对湿地文化服务功能的影响等。①对湿地生态环境的影响评价指标包括：湿地重要程度、湿地类型、面积；湿地斑块破碎化程度；湿地水环境；湿地土壤环境。通过对以上各指标的综合分析，该工程对一般湿地生态环境总的影响为中低度影响。②对湿地支持服务功能的影响评价指标包括：维持生物多样性。该工程对一般湿地支持服务功能总的影响为中低度影响。③对湿地调节服务功能影响评价指标包括：调节洪水；补充地下水；保持土壤；消浪护岸；净化水质；固碳释氧；调节气候。通过对以上各指标的综合分析，该工程对一般湿地调节服务功能总的影响为中低度影响。④对湿地供给服务功能影响评价指标包括：食物生产；水资源供给；原材料供给。通过对以上各指标的综合分析，该工程对一般湿地供给服务功能总的影响为中低度影响。⑤对湿地文化服务功能影响评价指标包括：游娱休疗；科普宣教。通过对以上各指标的综合分析，该工程对一般湿地文化服务功能总的影响为中低度影响。综上所述，黄檗山万福寺旅游公路工程对福清市一般湿地生态功能影响总体评价为中低度影响。并且项目已取得《</w:t>
      </w:r>
      <w:r>
        <w:rPr>
          <w:rFonts w:cs="Times New Roman"/>
          <w:kern w:val="0"/>
          <w:szCs w:val="24"/>
          <w:lang w:val="zh-CN"/>
        </w:rPr>
        <w:t>福清市自然资源和规划局关于黄檗山万福寺旅游公路项目使用湿地的意见函</w:t>
      </w:r>
      <w:r>
        <w:rPr>
          <w:rFonts w:hint="eastAsia"/>
        </w:rPr>
        <w:t>》</w:t>
      </w:r>
      <w:r>
        <w:rPr>
          <w:rFonts w:cs="Times New Roman"/>
          <w:kern w:val="0"/>
          <w:szCs w:val="24"/>
          <w:lang w:val="zh-CN"/>
        </w:rPr>
        <w:t>融自然函（2024</w:t>
      </w:r>
      <w:r>
        <w:rPr>
          <w:rFonts w:hint="eastAsia" w:cs="Times New Roman"/>
          <w:kern w:val="0"/>
          <w:szCs w:val="24"/>
          <w:lang w:val="zh-CN"/>
        </w:rPr>
        <w:t>）</w:t>
      </w:r>
      <w:r>
        <w:rPr>
          <w:rFonts w:cs="Times New Roman"/>
          <w:kern w:val="0"/>
          <w:szCs w:val="24"/>
          <w:lang w:val="zh-CN"/>
        </w:rPr>
        <w:t>723 号</w:t>
      </w:r>
      <w:r>
        <w:rPr>
          <w:rFonts w:hint="eastAsia"/>
        </w:rPr>
        <w:t>）、</w:t>
      </w:r>
      <w:r>
        <w:rPr>
          <w:rFonts w:cs="Times New Roman"/>
          <w:kern w:val="0"/>
          <w:szCs w:val="24"/>
          <w:lang w:val="zh-CN"/>
        </w:rPr>
        <w:t>福清市水利局《关于同意黄檗山万福寺旅游公路项目使用河流水面、内陆滩涂、坑塘水面和沟渠的意见》（融水利</w:t>
      </w:r>
      <w:r>
        <w:rPr>
          <w:rFonts w:hint="eastAsia" w:cs="Times New Roman"/>
          <w:kern w:val="0"/>
          <w:szCs w:val="24"/>
          <w:lang w:val="zh-CN"/>
        </w:rPr>
        <w:t>〔2024〕582号</w:t>
      </w:r>
      <w:r>
        <w:rPr>
          <w:rFonts w:cs="Times New Roman"/>
          <w:kern w:val="0"/>
          <w:szCs w:val="24"/>
          <w:lang w:val="zh-CN"/>
        </w:rPr>
        <w:t>）</w:t>
      </w:r>
      <w:r>
        <w:rPr>
          <w:rFonts w:hint="eastAsia"/>
        </w:rPr>
        <w:t>：原则同意该项目占用湿地。因此，项目建设与《中华人民共和国湿地保护法》《福建省湿地保护条例》不相冲突。</w:t>
      </w:r>
    </w:p>
    <w:p>
      <w:pPr>
        <w:pStyle w:val="120"/>
        <w:rPr>
          <w:color w:val="auto"/>
        </w:rPr>
      </w:pPr>
      <w:r>
        <w:rPr>
          <w:rFonts w:hint="eastAsia"/>
          <w:color w:val="auto"/>
        </w:rPr>
        <w:t>与生态功能区划符合性分析</w:t>
      </w:r>
    </w:p>
    <w:p>
      <w:pPr>
        <w:ind w:firstLine="480"/>
      </w:pPr>
      <w:r>
        <w:rPr>
          <w:rFonts w:hint="eastAsia"/>
        </w:rPr>
        <w:t>根据《福建省生态功能区划》，本项目线路所经过的地区属于线路所在地的生态功能单元为“</w:t>
      </w:r>
      <w:r>
        <w:rPr>
          <w:rFonts w:cs="Times New Roman"/>
          <w:kern w:val="0"/>
          <w:szCs w:val="24"/>
          <w:lang w:val="zh-CN"/>
        </w:rPr>
        <w:t>Ⅱ闽东南生态区</w:t>
      </w:r>
      <w:r>
        <w:rPr>
          <w:rFonts w:hint="eastAsia" w:cs="Times New Roman"/>
          <w:kern w:val="0"/>
          <w:szCs w:val="24"/>
          <w:lang w:val="zh-CN"/>
        </w:rPr>
        <w:t>——</w:t>
      </w:r>
      <w:r>
        <w:rPr>
          <w:rFonts w:cs="Times New Roman"/>
          <w:kern w:val="0"/>
          <w:szCs w:val="24"/>
          <w:lang w:val="zh-CN"/>
        </w:rPr>
        <w:t>Ⅱ</w:t>
      </w:r>
      <w:r>
        <w:rPr>
          <w:rFonts w:cs="Times New Roman"/>
          <w:kern w:val="0"/>
          <w:szCs w:val="24"/>
          <w:vertAlign w:val="subscript"/>
          <w:lang w:val="zh-CN"/>
        </w:rPr>
        <w:t>2</w:t>
      </w:r>
      <w:r>
        <w:rPr>
          <w:rFonts w:cs="Times New Roman"/>
          <w:kern w:val="0"/>
          <w:szCs w:val="24"/>
          <w:lang w:val="zh-CN"/>
        </w:rPr>
        <w:t>闽东南沿海台丘平原与近岸海域生态</w:t>
      </w:r>
      <w:r>
        <w:rPr>
          <w:rFonts w:hint="eastAsia"/>
          <w:kern w:val="0"/>
          <w:szCs w:val="24"/>
          <w:lang w:val="zh-CN"/>
        </w:rPr>
        <w:t>亚</w:t>
      </w:r>
      <w:r>
        <w:rPr>
          <w:kern w:val="0"/>
          <w:szCs w:val="24"/>
          <w:lang w:val="zh-CN"/>
        </w:rPr>
        <w:t>区</w:t>
      </w:r>
      <w:r>
        <w:rPr>
          <w:rFonts w:hint="eastAsia"/>
          <w:kern w:val="0"/>
          <w:szCs w:val="24"/>
          <w:lang w:val="zh-CN"/>
        </w:rPr>
        <w:t>——</w:t>
      </w:r>
      <w:r>
        <w:rPr>
          <w:rFonts w:cs="Times New Roman"/>
          <w:kern w:val="0"/>
          <w:szCs w:val="24"/>
          <w:lang w:val="zh-CN"/>
        </w:rPr>
        <w:t>5203 福 清一平潭城镇和集约化高优农</w:t>
      </w:r>
      <w:r>
        <w:t>业生态功能区</w:t>
      </w:r>
      <w:r>
        <w:rPr>
          <w:rFonts w:hint="eastAsia"/>
        </w:rPr>
        <w:t>”，根据《福清市生态功能区划》，本项目线路位于福清西南部城镇与工业环境</w:t>
      </w:r>
      <w:r>
        <w:rPr>
          <w:rFonts w:hint="eastAsia"/>
          <w:lang w:eastAsia="zh-CN"/>
        </w:rPr>
        <w:t>生态</w:t>
      </w:r>
      <w:r>
        <w:rPr>
          <w:rFonts w:hint="eastAsia"/>
        </w:rPr>
        <w:t>功能小区（520118108）和兴化湾渔业养殖与旅游环境生态功能小区（520118112）。</w:t>
      </w:r>
      <w:r>
        <w:t>项目与</w:t>
      </w:r>
      <w:r>
        <w:rPr>
          <w:rFonts w:hint="eastAsia"/>
        </w:rPr>
        <w:t>福建省</w:t>
      </w:r>
      <w:r>
        <w:t>生态功能区划位置关系图详见</w:t>
      </w:r>
      <w:r>
        <w:fldChar w:fldCharType="begin"/>
      </w:r>
      <w:r>
        <w:instrText xml:space="preserve"> REF _Ref148946245 \r \h  \* MERGEFORMAT </w:instrText>
      </w:r>
      <w:r>
        <w:fldChar w:fldCharType="separate"/>
      </w:r>
      <w:r>
        <w:rPr>
          <w:rFonts w:hint="eastAsia"/>
        </w:rPr>
        <w:t>图3.10-1</w:t>
      </w:r>
      <w:r>
        <w:fldChar w:fldCharType="end"/>
      </w:r>
      <w:r>
        <w:rPr>
          <w:rFonts w:hint="eastAsia"/>
        </w:rPr>
        <w:t>，与福清市生态功能区划位置关系详见</w:t>
      </w:r>
      <w:r>
        <w:fldChar w:fldCharType="begin"/>
      </w:r>
      <w:r>
        <w:instrText xml:space="preserve"> </w:instrText>
      </w:r>
      <w:r>
        <w:rPr>
          <w:rFonts w:hint="eastAsia"/>
        </w:rPr>
        <w:instrText xml:space="preserve">REF _Ref148946289 \r \h</w:instrText>
      </w:r>
      <w:r>
        <w:instrText xml:space="preserve">  \* MERGEFORMAT </w:instrText>
      </w:r>
      <w:r>
        <w:fldChar w:fldCharType="separate"/>
      </w:r>
      <w:r>
        <w:rPr>
          <w:rFonts w:hint="eastAsia"/>
        </w:rPr>
        <w:t>图3.10-2</w:t>
      </w:r>
      <w:r>
        <w:fldChar w:fldCharType="end"/>
      </w:r>
      <w:r>
        <w:t>。</w:t>
      </w:r>
    </w:p>
    <w:p>
      <w:pPr>
        <w:ind w:firstLine="480"/>
      </w:pPr>
      <w:r>
        <w:t>由表可知，</w:t>
      </w:r>
      <w:r>
        <w:rPr>
          <w:rFonts w:hint="eastAsia"/>
        </w:rPr>
        <w:t>本项目建设在采取合理的防护和恢复措施后，不会加剧区域生态环境问题，也不会对该生态功能区的生态保护措施和发展方向产生大的影响，因此，本次评价认为</w:t>
      </w:r>
      <w:r>
        <w:t>项目建设</w:t>
      </w:r>
      <w:r>
        <w:rPr>
          <w:rFonts w:hint="eastAsia"/>
        </w:rPr>
        <w:t>与</w:t>
      </w:r>
      <w:r>
        <w:t>《福建省生态功能区划</w:t>
      </w:r>
      <w:r>
        <w:rPr>
          <w:rFonts w:hint="eastAsia"/>
        </w:rPr>
        <w:t>》《福清市生态功能区划》是相互协调的</w:t>
      </w:r>
      <w:r>
        <w:t>。</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87"/>
        <w:spacing w:before="120"/>
        <w:ind w:firstLine="360"/>
      </w:pPr>
      <w:r>
        <w:rPr>
          <w:rFonts w:hint="eastAsia"/>
        </w:rPr>
        <w:t>与福建省生态功能区划符合性分析表</w:t>
      </w:r>
    </w:p>
    <w:tbl>
      <w:tblPr>
        <w:tblStyle w:val="15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37"/>
        <w:gridCol w:w="579"/>
        <w:gridCol w:w="721"/>
        <w:gridCol w:w="1013"/>
        <w:gridCol w:w="1386"/>
        <w:gridCol w:w="826"/>
        <w:gridCol w:w="735"/>
        <w:gridCol w:w="1963"/>
        <w:gridCol w:w="14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gridSpan w:val="3"/>
            <w:tcMar>
              <w:left w:w="57" w:type="dxa"/>
              <w:right w:w="57" w:type="dxa"/>
            </w:tcMar>
            <w:vAlign w:val="center"/>
          </w:tcPr>
          <w:p>
            <w:pPr>
              <w:pStyle w:val="105"/>
              <w:widowControl w:val="0"/>
              <w:jc w:val="center"/>
              <w:rPr>
                <w:rFonts w:eastAsia="Times New Roman"/>
                <w:sz w:val="18"/>
                <w:szCs w:val="22"/>
              </w:rPr>
            </w:pPr>
            <w:r>
              <w:rPr>
                <w:rFonts w:hint="eastAsia"/>
                <w:sz w:val="18"/>
                <w:szCs w:val="22"/>
              </w:rPr>
              <w:t>生态功能单元分区</w:t>
            </w:r>
          </w:p>
        </w:tc>
        <w:tc>
          <w:tcPr>
            <w:tcW w:w="1013" w:type="dxa"/>
            <w:tcMar>
              <w:left w:w="57" w:type="dxa"/>
              <w:right w:w="57" w:type="dxa"/>
            </w:tcMar>
            <w:vAlign w:val="center"/>
          </w:tcPr>
          <w:p>
            <w:pPr>
              <w:pStyle w:val="105"/>
              <w:widowControl w:val="0"/>
              <w:jc w:val="center"/>
              <w:rPr>
                <w:rFonts w:eastAsia="Times New Roman"/>
                <w:sz w:val="18"/>
                <w:szCs w:val="22"/>
              </w:rPr>
            </w:pPr>
            <w:r>
              <w:rPr>
                <w:rFonts w:hint="eastAsia"/>
                <w:sz w:val="18"/>
                <w:szCs w:val="22"/>
              </w:rPr>
              <w:t>所在区域与面积</w:t>
            </w:r>
          </w:p>
        </w:tc>
        <w:tc>
          <w:tcPr>
            <w:tcW w:w="1386" w:type="dxa"/>
            <w:tcMar>
              <w:left w:w="57" w:type="dxa"/>
              <w:right w:w="57" w:type="dxa"/>
            </w:tcMar>
            <w:vAlign w:val="center"/>
          </w:tcPr>
          <w:p>
            <w:pPr>
              <w:pStyle w:val="105"/>
              <w:widowControl w:val="0"/>
              <w:jc w:val="center"/>
              <w:rPr>
                <w:sz w:val="18"/>
                <w:szCs w:val="22"/>
                <w:lang w:val="zh-TW" w:eastAsia="zh-TW"/>
              </w:rPr>
            </w:pPr>
            <w:r>
              <w:rPr>
                <w:rFonts w:hint="eastAsia"/>
                <w:sz w:val="18"/>
                <w:szCs w:val="22"/>
                <w:lang w:val="zh-TW" w:eastAsia="zh-TW"/>
              </w:rPr>
              <w:t>主要生态环境问题</w:t>
            </w:r>
          </w:p>
        </w:tc>
        <w:tc>
          <w:tcPr>
            <w:tcW w:w="826" w:type="dxa"/>
            <w:tcMar>
              <w:left w:w="57" w:type="dxa"/>
              <w:right w:w="57" w:type="dxa"/>
            </w:tcMar>
            <w:vAlign w:val="center"/>
          </w:tcPr>
          <w:p>
            <w:pPr>
              <w:pStyle w:val="105"/>
              <w:widowControl w:val="0"/>
              <w:jc w:val="center"/>
              <w:rPr>
                <w:sz w:val="18"/>
                <w:szCs w:val="22"/>
                <w:lang w:val="zh-TW" w:eastAsia="zh-TW"/>
              </w:rPr>
            </w:pPr>
            <w:r>
              <w:rPr>
                <w:rFonts w:hint="eastAsia"/>
                <w:sz w:val="18"/>
                <w:szCs w:val="22"/>
                <w:lang w:val="zh-TW" w:eastAsia="zh-TW"/>
              </w:rPr>
              <w:t>生态环境敏感性</w:t>
            </w:r>
          </w:p>
        </w:tc>
        <w:tc>
          <w:tcPr>
            <w:tcW w:w="735" w:type="dxa"/>
            <w:tcMar>
              <w:left w:w="57" w:type="dxa"/>
              <w:right w:w="57" w:type="dxa"/>
            </w:tcMar>
            <w:vAlign w:val="center"/>
          </w:tcPr>
          <w:p>
            <w:pPr>
              <w:pStyle w:val="105"/>
              <w:widowControl w:val="0"/>
              <w:jc w:val="center"/>
              <w:rPr>
                <w:sz w:val="18"/>
                <w:szCs w:val="22"/>
                <w:lang w:val="zh-TW" w:eastAsia="zh-TW"/>
              </w:rPr>
            </w:pPr>
            <w:r>
              <w:rPr>
                <w:rFonts w:hint="eastAsia"/>
                <w:sz w:val="18"/>
                <w:szCs w:val="22"/>
                <w:lang w:val="zh-TW" w:eastAsia="zh-TW"/>
              </w:rPr>
              <w:t>主要生态系统服务和功能</w:t>
            </w:r>
          </w:p>
        </w:tc>
        <w:tc>
          <w:tcPr>
            <w:tcW w:w="1963" w:type="dxa"/>
            <w:tcMar>
              <w:left w:w="57" w:type="dxa"/>
              <w:right w:w="57" w:type="dxa"/>
            </w:tcMar>
            <w:vAlign w:val="center"/>
          </w:tcPr>
          <w:p>
            <w:pPr>
              <w:pStyle w:val="105"/>
              <w:widowControl w:val="0"/>
              <w:jc w:val="center"/>
              <w:rPr>
                <w:rFonts w:eastAsia="PMingLiU"/>
                <w:sz w:val="18"/>
                <w:szCs w:val="22"/>
                <w:lang w:val="zh-TW" w:eastAsia="zh-TW"/>
              </w:rPr>
            </w:pPr>
            <w:r>
              <w:rPr>
                <w:rFonts w:hint="eastAsia"/>
                <w:sz w:val="18"/>
                <w:szCs w:val="22"/>
                <w:lang w:val="zh-TW" w:eastAsia="zh-TW"/>
              </w:rPr>
              <w:t>保护措施与</w:t>
            </w:r>
          </w:p>
          <w:p>
            <w:pPr>
              <w:pStyle w:val="105"/>
              <w:widowControl w:val="0"/>
              <w:jc w:val="center"/>
              <w:rPr>
                <w:rFonts w:eastAsia="PMingLiU"/>
                <w:sz w:val="18"/>
                <w:szCs w:val="22"/>
                <w:lang w:val="zh-TW" w:eastAsia="zh-TW"/>
              </w:rPr>
            </w:pPr>
            <w:r>
              <w:rPr>
                <w:rFonts w:hint="eastAsia"/>
                <w:sz w:val="18"/>
                <w:szCs w:val="22"/>
                <w:lang w:val="zh-TW" w:eastAsia="zh-TW"/>
              </w:rPr>
              <w:t>发展方向</w:t>
            </w:r>
          </w:p>
        </w:tc>
        <w:tc>
          <w:tcPr>
            <w:tcW w:w="1410" w:type="dxa"/>
            <w:tcMar>
              <w:left w:w="57" w:type="dxa"/>
              <w:right w:w="57" w:type="dxa"/>
            </w:tcMar>
            <w:vAlign w:val="center"/>
          </w:tcPr>
          <w:p>
            <w:pPr>
              <w:pStyle w:val="105"/>
              <w:widowControl w:val="0"/>
              <w:jc w:val="center"/>
              <w:rPr>
                <w:sz w:val="18"/>
                <w:szCs w:val="22"/>
                <w:lang w:val="zh-TW" w:eastAsia="zh-TW"/>
              </w:rPr>
            </w:pPr>
            <w:r>
              <w:rPr>
                <w:rFonts w:hint="eastAsia"/>
                <w:sz w:val="18"/>
                <w:szCs w:val="22"/>
                <w:lang w:val="zh-TW" w:eastAsia="zh-TW"/>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7" w:type="dxa"/>
            <w:tcMar>
              <w:left w:w="57" w:type="dxa"/>
              <w:right w:w="57" w:type="dxa"/>
            </w:tcMar>
            <w:vAlign w:val="center"/>
          </w:tcPr>
          <w:p>
            <w:pPr>
              <w:pStyle w:val="105"/>
              <w:widowControl w:val="0"/>
              <w:jc w:val="center"/>
              <w:rPr>
                <w:sz w:val="18"/>
                <w:szCs w:val="22"/>
              </w:rPr>
            </w:pPr>
            <w:r>
              <w:rPr>
                <w:sz w:val="18"/>
                <w:szCs w:val="22"/>
              </w:rPr>
              <w:t>Ⅱ闽东南生态区</w:t>
            </w:r>
          </w:p>
        </w:tc>
        <w:tc>
          <w:tcPr>
            <w:tcW w:w="579" w:type="dxa"/>
            <w:tcMar>
              <w:left w:w="57" w:type="dxa"/>
              <w:right w:w="57" w:type="dxa"/>
            </w:tcMar>
            <w:vAlign w:val="center"/>
          </w:tcPr>
          <w:p>
            <w:pPr>
              <w:pStyle w:val="105"/>
              <w:widowControl w:val="0"/>
              <w:jc w:val="center"/>
              <w:rPr>
                <w:sz w:val="18"/>
                <w:szCs w:val="22"/>
              </w:rPr>
            </w:pPr>
            <w:r>
              <w:rPr>
                <w:sz w:val="18"/>
                <w:szCs w:val="22"/>
              </w:rPr>
              <w:t>Ⅱ2闽东南沿海台丘平原与近岸海域生态亚区</w:t>
            </w:r>
          </w:p>
        </w:tc>
        <w:tc>
          <w:tcPr>
            <w:tcW w:w="721" w:type="dxa"/>
            <w:tcMar>
              <w:left w:w="57" w:type="dxa"/>
              <w:right w:w="57" w:type="dxa"/>
            </w:tcMar>
            <w:vAlign w:val="center"/>
          </w:tcPr>
          <w:p>
            <w:pPr>
              <w:pStyle w:val="105"/>
              <w:widowControl w:val="0"/>
              <w:jc w:val="center"/>
              <w:rPr>
                <w:sz w:val="18"/>
                <w:szCs w:val="22"/>
              </w:rPr>
            </w:pPr>
            <w:r>
              <w:rPr>
                <w:sz w:val="18"/>
                <w:szCs w:val="22"/>
              </w:rPr>
              <w:t>5203 福 清一平潭城镇和集约化高优农业生态功能区</w:t>
            </w:r>
          </w:p>
        </w:tc>
        <w:tc>
          <w:tcPr>
            <w:tcW w:w="1013" w:type="dxa"/>
            <w:tcMar>
              <w:left w:w="57" w:type="dxa"/>
              <w:right w:w="57" w:type="dxa"/>
            </w:tcMar>
            <w:vAlign w:val="center"/>
          </w:tcPr>
          <w:p>
            <w:pPr>
              <w:pStyle w:val="105"/>
              <w:widowControl w:val="0"/>
              <w:jc w:val="center"/>
              <w:rPr>
                <w:sz w:val="18"/>
                <w:szCs w:val="22"/>
              </w:rPr>
            </w:pPr>
            <w:r>
              <w:rPr>
                <w:sz w:val="18"/>
                <w:szCs w:val="22"/>
              </w:rPr>
              <w:t>福清市大部分乡镇和平潭全县，面积 1163.15km2</w:t>
            </w:r>
          </w:p>
        </w:tc>
        <w:tc>
          <w:tcPr>
            <w:tcW w:w="1386" w:type="dxa"/>
            <w:tcMar>
              <w:left w:w="57" w:type="dxa"/>
              <w:right w:w="57" w:type="dxa"/>
            </w:tcMar>
            <w:vAlign w:val="center"/>
          </w:tcPr>
          <w:p>
            <w:pPr>
              <w:pStyle w:val="105"/>
              <w:widowControl w:val="0"/>
              <w:jc w:val="center"/>
              <w:rPr>
                <w:sz w:val="18"/>
                <w:szCs w:val="22"/>
              </w:rPr>
            </w:pPr>
            <w:r>
              <w:rPr>
                <w:sz w:val="18"/>
                <w:szCs w:val="22"/>
              </w:rPr>
              <w:t>水资源短缺；工业点源污染和城镇生活废弃物污染严重，龙江水质恶化；农业面源污染和规模化畜禽养殖污染均很突出；丘陵坡地植被严重退化，土壤侵蚀较严重，石漠化威胁加大。部分木麻黄林老化枯死，防风固沙林防护功能下降，砂矿开采毁林、破坏旅游景点，风沙威胁加大。</w:t>
            </w:r>
          </w:p>
        </w:tc>
        <w:tc>
          <w:tcPr>
            <w:tcW w:w="826" w:type="dxa"/>
            <w:tcMar>
              <w:left w:w="57" w:type="dxa"/>
              <w:right w:w="57" w:type="dxa"/>
            </w:tcMar>
            <w:vAlign w:val="center"/>
          </w:tcPr>
          <w:p>
            <w:pPr>
              <w:pStyle w:val="105"/>
              <w:widowControl w:val="0"/>
              <w:jc w:val="center"/>
              <w:rPr>
                <w:sz w:val="18"/>
                <w:szCs w:val="22"/>
              </w:rPr>
            </w:pPr>
            <w:r>
              <w:rPr>
                <w:rFonts w:hint="eastAsia"/>
                <w:sz w:val="18"/>
                <w:szCs w:val="22"/>
              </w:rPr>
              <w:t>土壤侵蚀轻度敏感与敏感相间分布、酸雨轻度敏感与敏感相间分布、地质灾害轻度敏感与敏感</w:t>
            </w:r>
          </w:p>
        </w:tc>
        <w:tc>
          <w:tcPr>
            <w:tcW w:w="735" w:type="dxa"/>
            <w:tcMar>
              <w:left w:w="57" w:type="dxa"/>
              <w:right w:w="57" w:type="dxa"/>
            </w:tcMar>
            <w:vAlign w:val="center"/>
          </w:tcPr>
          <w:p>
            <w:pPr>
              <w:pStyle w:val="105"/>
              <w:widowControl w:val="0"/>
              <w:jc w:val="center"/>
              <w:rPr>
                <w:sz w:val="18"/>
                <w:szCs w:val="22"/>
              </w:rPr>
            </w:pPr>
            <w:r>
              <w:rPr>
                <w:rFonts w:hint="eastAsia"/>
                <w:sz w:val="18"/>
                <w:szCs w:val="22"/>
              </w:rPr>
              <w:t>福清城镇和集约化高优农业生态功能区</w:t>
            </w:r>
          </w:p>
        </w:tc>
        <w:tc>
          <w:tcPr>
            <w:tcW w:w="1963" w:type="dxa"/>
            <w:tcMar>
              <w:left w:w="57" w:type="dxa"/>
              <w:right w:w="57" w:type="dxa"/>
            </w:tcMar>
            <w:vAlign w:val="center"/>
          </w:tcPr>
          <w:p>
            <w:pPr>
              <w:pStyle w:val="105"/>
              <w:widowControl w:val="0"/>
              <w:jc w:val="center"/>
              <w:rPr>
                <w:sz w:val="18"/>
                <w:szCs w:val="22"/>
              </w:rPr>
            </w:pPr>
            <w:r>
              <w:rPr>
                <w:rFonts w:hint="eastAsia"/>
                <w:sz w:val="18"/>
                <w:szCs w:val="22"/>
              </w:rPr>
              <w:t>建设生态城镇和生态工业区，发展循环经济和清洁生产，加快城镇环保设施建设，重点治理工业废水和城镇生活废水污染，改善龙江水质；对重点工业区进行空气污染监控；加大污染废弃物的处置力度；增加城镇绿地面积。发展生态农业，控制农业面源污染和规模化畜禽养殖污染；加强丘陵坡地植被恢复和水土流失综合治理；加强324国道和福泉高速路等重要交通干线两侧一重山视域景观建设。平潭岛大规模开发要高度重视风沙和石漠化防治，加强水资源保护，合理发展生态旅游。</w:t>
            </w:r>
          </w:p>
        </w:tc>
        <w:tc>
          <w:tcPr>
            <w:tcW w:w="1410" w:type="dxa"/>
            <w:tcMar>
              <w:left w:w="57" w:type="dxa"/>
              <w:right w:w="57" w:type="dxa"/>
            </w:tcMar>
            <w:vAlign w:val="center"/>
          </w:tcPr>
          <w:p>
            <w:pPr>
              <w:pStyle w:val="105"/>
              <w:widowControl w:val="0"/>
              <w:jc w:val="center"/>
              <w:rPr>
                <w:sz w:val="18"/>
                <w:szCs w:val="22"/>
              </w:rPr>
            </w:pPr>
            <w:r>
              <w:rPr>
                <w:rFonts w:hint="eastAsia"/>
                <w:sz w:val="18"/>
                <w:szCs w:val="22"/>
              </w:rPr>
              <w:t>工程的建设期间会造成一定的水土流失，但在积极落实各项水土保持措施的情况下，工程施工造成的水土流失是可以得到控制的；工程建成后，随着复绿、复耕措施的实施，区域生态环境将会在一定程度上得以改善。</w:t>
            </w:r>
          </w:p>
          <w:p>
            <w:pPr>
              <w:pStyle w:val="105"/>
              <w:widowControl w:val="0"/>
              <w:jc w:val="center"/>
              <w:rPr>
                <w:sz w:val="18"/>
                <w:szCs w:val="22"/>
              </w:rPr>
            </w:pPr>
            <w:r>
              <w:rPr>
                <w:rFonts w:hint="eastAsia"/>
                <w:sz w:val="18"/>
                <w:szCs w:val="22"/>
              </w:rPr>
              <w:t>本项目为旅游公路，项目建设促进区域旅游发展，符合小区生态环境建设。</w:t>
            </w:r>
          </w:p>
        </w:tc>
      </w:tr>
    </w:tbl>
    <w:p>
      <w:pPr>
        <w:pStyle w:val="87"/>
        <w:spacing w:before="120"/>
        <w:ind w:firstLine="360"/>
      </w:pPr>
      <w:r>
        <w:rPr>
          <w:rFonts w:hint="eastAsia"/>
        </w:rPr>
        <w:t>与福清市生态功能区划符合性分析表</w:t>
      </w:r>
    </w:p>
    <w:tbl>
      <w:tblPr>
        <w:tblStyle w:val="15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76"/>
        <w:gridCol w:w="1134"/>
        <w:gridCol w:w="567"/>
        <w:gridCol w:w="992"/>
        <w:gridCol w:w="3969"/>
        <w:gridCol w:w="113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276" w:type="dxa"/>
            <w:vAlign w:val="center"/>
          </w:tcPr>
          <w:p>
            <w:pPr>
              <w:pStyle w:val="105"/>
              <w:jc w:val="center"/>
              <w:rPr>
                <w:sz w:val="18"/>
                <w:szCs w:val="22"/>
              </w:rPr>
            </w:pPr>
            <w:r>
              <w:rPr>
                <w:rFonts w:hint="eastAsia"/>
                <w:sz w:val="18"/>
                <w:szCs w:val="22"/>
              </w:rPr>
              <w:t>生态功能单元分区</w:t>
            </w:r>
          </w:p>
        </w:tc>
        <w:tc>
          <w:tcPr>
            <w:tcW w:w="1134" w:type="dxa"/>
            <w:vAlign w:val="center"/>
          </w:tcPr>
          <w:p>
            <w:pPr>
              <w:pStyle w:val="105"/>
              <w:jc w:val="center"/>
              <w:rPr>
                <w:sz w:val="18"/>
                <w:szCs w:val="22"/>
              </w:rPr>
            </w:pPr>
            <w:r>
              <w:rPr>
                <w:rFonts w:hint="eastAsia"/>
                <w:sz w:val="18"/>
                <w:szCs w:val="22"/>
              </w:rPr>
              <w:t>范围</w:t>
            </w:r>
          </w:p>
        </w:tc>
        <w:tc>
          <w:tcPr>
            <w:tcW w:w="567" w:type="dxa"/>
            <w:vAlign w:val="center"/>
          </w:tcPr>
          <w:p>
            <w:pPr>
              <w:pStyle w:val="105"/>
              <w:jc w:val="center"/>
              <w:rPr>
                <w:sz w:val="18"/>
                <w:szCs w:val="22"/>
              </w:rPr>
            </w:pPr>
            <w:r>
              <w:rPr>
                <w:rFonts w:hint="eastAsia"/>
                <w:sz w:val="18"/>
                <w:szCs w:val="22"/>
              </w:rPr>
              <w:t>主导</w:t>
            </w:r>
          </w:p>
          <w:p>
            <w:pPr>
              <w:pStyle w:val="105"/>
              <w:jc w:val="center"/>
              <w:rPr>
                <w:sz w:val="18"/>
                <w:szCs w:val="22"/>
              </w:rPr>
            </w:pPr>
            <w:r>
              <w:rPr>
                <w:rFonts w:hint="eastAsia"/>
                <w:sz w:val="18"/>
                <w:szCs w:val="22"/>
              </w:rPr>
              <w:t>功能</w:t>
            </w:r>
          </w:p>
        </w:tc>
        <w:tc>
          <w:tcPr>
            <w:tcW w:w="992" w:type="dxa"/>
            <w:vAlign w:val="center"/>
          </w:tcPr>
          <w:p>
            <w:pPr>
              <w:pStyle w:val="105"/>
              <w:jc w:val="center"/>
              <w:rPr>
                <w:sz w:val="18"/>
                <w:szCs w:val="22"/>
              </w:rPr>
            </w:pPr>
            <w:r>
              <w:rPr>
                <w:rFonts w:hint="eastAsia"/>
                <w:sz w:val="18"/>
                <w:szCs w:val="22"/>
              </w:rPr>
              <w:t>辅助</w:t>
            </w:r>
          </w:p>
          <w:p>
            <w:pPr>
              <w:pStyle w:val="105"/>
              <w:jc w:val="center"/>
              <w:rPr>
                <w:sz w:val="18"/>
                <w:szCs w:val="22"/>
              </w:rPr>
            </w:pPr>
            <w:r>
              <w:rPr>
                <w:rFonts w:hint="eastAsia"/>
                <w:sz w:val="18"/>
                <w:szCs w:val="22"/>
              </w:rPr>
              <w:t>功能</w:t>
            </w:r>
          </w:p>
        </w:tc>
        <w:tc>
          <w:tcPr>
            <w:tcW w:w="3969" w:type="dxa"/>
            <w:vAlign w:val="center"/>
          </w:tcPr>
          <w:p>
            <w:pPr>
              <w:pStyle w:val="105"/>
              <w:jc w:val="center"/>
              <w:rPr>
                <w:sz w:val="18"/>
                <w:szCs w:val="22"/>
              </w:rPr>
            </w:pPr>
            <w:r>
              <w:rPr>
                <w:rFonts w:hint="eastAsia"/>
                <w:sz w:val="18"/>
                <w:szCs w:val="22"/>
              </w:rPr>
              <w:t>生态保育和建设方向</w:t>
            </w:r>
          </w:p>
        </w:tc>
        <w:tc>
          <w:tcPr>
            <w:tcW w:w="1132" w:type="dxa"/>
            <w:vAlign w:val="center"/>
          </w:tcPr>
          <w:p>
            <w:pPr>
              <w:pStyle w:val="105"/>
              <w:jc w:val="center"/>
              <w:rPr>
                <w:sz w:val="18"/>
                <w:szCs w:val="22"/>
              </w:rPr>
            </w:pPr>
            <w:r>
              <w:rPr>
                <w:rFonts w:hint="eastAsia"/>
                <w:sz w:val="18"/>
                <w:szCs w:val="22"/>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276" w:type="dxa"/>
            <w:vAlign w:val="center"/>
          </w:tcPr>
          <w:p>
            <w:pPr>
              <w:pStyle w:val="105"/>
              <w:jc w:val="center"/>
              <w:rPr>
                <w:sz w:val="18"/>
                <w:szCs w:val="22"/>
              </w:rPr>
            </w:pPr>
            <w:r>
              <w:rPr>
                <w:rFonts w:hint="eastAsia"/>
                <w:sz w:val="18"/>
                <w:szCs w:val="22"/>
              </w:rPr>
              <w:t>福清西南部城镇与工业环境</w:t>
            </w:r>
            <w:r>
              <w:rPr>
                <w:rFonts w:hint="eastAsia"/>
                <w:sz w:val="18"/>
                <w:szCs w:val="22"/>
                <w:lang w:eastAsia="zh-CN"/>
              </w:rPr>
              <w:t>生态</w:t>
            </w:r>
            <w:r>
              <w:rPr>
                <w:rFonts w:hint="eastAsia"/>
                <w:sz w:val="18"/>
                <w:szCs w:val="22"/>
              </w:rPr>
              <w:t>功能小区（520118108）</w:t>
            </w:r>
          </w:p>
        </w:tc>
        <w:tc>
          <w:tcPr>
            <w:tcW w:w="1134" w:type="dxa"/>
            <w:vAlign w:val="center"/>
          </w:tcPr>
          <w:p>
            <w:pPr>
              <w:pStyle w:val="105"/>
              <w:jc w:val="center"/>
              <w:rPr>
                <w:sz w:val="18"/>
                <w:szCs w:val="22"/>
              </w:rPr>
            </w:pPr>
            <w:r>
              <w:rPr>
                <w:rFonts w:hint="eastAsia"/>
                <w:sz w:val="18"/>
                <w:szCs w:val="22"/>
              </w:rPr>
              <w:t>渔溪、上迳、新厝三镇以及江阴岛</w:t>
            </w:r>
          </w:p>
        </w:tc>
        <w:tc>
          <w:tcPr>
            <w:tcW w:w="567" w:type="dxa"/>
            <w:vAlign w:val="center"/>
          </w:tcPr>
          <w:p>
            <w:pPr>
              <w:pStyle w:val="105"/>
              <w:jc w:val="center"/>
              <w:rPr>
                <w:sz w:val="18"/>
                <w:szCs w:val="22"/>
              </w:rPr>
            </w:pPr>
            <w:r>
              <w:rPr>
                <w:rFonts w:hint="eastAsia"/>
                <w:sz w:val="18"/>
                <w:szCs w:val="22"/>
              </w:rPr>
              <w:t>城镇生态环境</w:t>
            </w:r>
          </w:p>
        </w:tc>
        <w:tc>
          <w:tcPr>
            <w:tcW w:w="992" w:type="dxa"/>
            <w:vAlign w:val="center"/>
          </w:tcPr>
          <w:p>
            <w:pPr>
              <w:pStyle w:val="105"/>
              <w:jc w:val="center"/>
              <w:rPr>
                <w:sz w:val="18"/>
                <w:szCs w:val="22"/>
              </w:rPr>
            </w:pPr>
            <w:r>
              <w:rPr>
                <w:rFonts w:hint="eastAsia"/>
                <w:sz w:val="18"/>
                <w:szCs w:val="22"/>
              </w:rPr>
              <w:t>交通干线视域景观生态、农业生态环境、沿海防风固沙</w:t>
            </w:r>
          </w:p>
        </w:tc>
        <w:tc>
          <w:tcPr>
            <w:tcW w:w="3969" w:type="dxa"/>
            <w:vAlign w:val="center"/>
          </w:tcPr>
          <w:p>
            <w:pPr>
              <w:pStyle w:val="105"/>
              <w:jc w:val="center"/>
              <w:rPr>
                <w:sz w:val="18"/>
                <w:szCs w:val="22"/>
              </w:rPr>
            </w:pPr>
            <w:r>
              <w:rPr>
                <w:rFonts w:hint="eastAsia"/>
                <w:sz w:val="18"/>
                <w:szCs w:val="22"/>
              </w:rPr>
              <w:t>①重点：大气污染重点监控，生态城镇与工业区规划和建设，乡镇企业污染和农业面源污染的治理和控制；</w:t>
            </w:r>
          </w:p>
          <w:p>
            <w:pPr>
              <w:pStyle w:val="105"/>
              <w:jc w:val="center"/>
              <w:rPr>
                <w:sz w:val="18"/>
                <w:szCs w:val="22"/>
              </w:rPr>
            </w:pPr>
            <w:r>
              <w:rPr>
                <w:rFonts w:hint="eastAsia"/>
                <w:sz w:val="18"/>
                <w:szCs w:val="22"/>
              </w:rPr>
              <w:t>②其他相关任务：夏秋台风大潮时海堤的监护和滨海围垦地潮灾的防御，沿海风沙防护林建设。</w:t>
            </w:r>
          </w:p>
        </w:tc>
        <w:tc>
          <w:tcPr>
            <w:tcW w:w="1132" w:type="dxa"/>
            <w:vMerge w:val="restart"/>
            <w:vAlign w:val="center"/>
          </w:tcPr>
          <w:p>
            <w:pPr>
              <w:pStyle w:val="105"/>
              <w:jc w:val="center"/>
              <w:rPr>
                <w:sz w:val="18"/>
                <w:szCs w:val="22"/>
              </w:rPr>
            </w:pPr>
            <w:r>
              <w:rPr>
                <w:rFonts w:hint="eastAsia"/>
                <w:sz w:val="18"/>
                <w:szCs w:val="22"/>
              </w:rPr>
              <w:t>本项目建设不会加剧所属生态功能区的生态环境问题，也不会对该生态功能区的生态保育和建设方向产生大的影响。项目建设促进区域旅游发展，符合小区生态环境建设。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276" w:type="dxa"/>
            <w:vAlign w:val="center"/>
          </w:tcPr>
          <w:p>
            <w:pPr>
              <w:pStyle w:val="105"/>
              <w:jc w:val="center"/>
              <w:rPr>
                <w:sz w:val="18"/>
                <w:szCs w:val="22"/>
              </w:rPr>
            </w:pPr>
            <w:r>
              <w:rPr>
                <w:rFonts w:hint="eastAsia"/>
                <w:sz w:val="18"/>
                <w:szCs w:val="22"/>
              </w:rPr>
              <w:t>兴化湾渔业养殖与旅游环境生态功能小区（520118112）</w:t>
            </w:r>
          </w:p>
        </w:tc>
        <w:tc>
          <w:tcPr>
            <w:tcW w:w="1134" w:type="dxa"/>
            <w:vAlign w:val="center"/>
          </w:tcPr>
          <w:p>
            <w:pPr>
              <w:pStyle w:val="105"/>
              <w:jc w:val="center"/>
              <w:rPr>
                <w:sz w:val="18"/>
                <w:szCs w:val="22"/>
              </w:rPr>
            </w:pPr>
            <w:r>
              <w:rPr>
                <w:rFonts w:hint="eastAsia"/>
                <w:sz w:val="18"/>
                <w:szCs w:val="22"/>
              </w:rPr>
              <w:t>市境中南部，包括江镜、上迳、渔溪、江阴、新厝等镇海域</w:t>
            </w:r>
          </w:p>
        </w:tc>
        <w:tc>
          <w:tcPr>
            <w:tcW w:w="567" w:type="dxa"/>
            <w:vAlign w:val="center"/>
          </w:tcPr>
          <w:p>
            <w:pPr>
              <w:pStyle w:val="105"/>
              <w:jc w:val="center"/>
              <w:rPr>
                <w:sz w:val="18"/>
                <w:szCs w:val="22"/>
              </w:rPr>
            </w:pPr>
            <w:r>
              <w:rPr>
                <w:rFonts w:hint="eastAsia"/>
                <w:sz w:val="18"/>
                <w:szCs w:val="22"/>
              </w:rPr>
              <w:t>渔业养殖和海滨旅游区</w:t>
            </w:r>
          </w:p>
        </w:tc>
        <w:tc>
          <w:tcPr>
            <w:tcW w:w="992" w:type="dxa"/>
            <w:vAlign w:val="center"/>
          </w:tcPr>
          <w:p>
            <w:pPr>
              <w:pStyle w:val="105"/>
              <w:jc w:val="center"/>
              <w:rPr>
                <w:sz w:val="18"/>
                <w:szCs w:val="22"/>
              </w:rPr>
            </w:pPr>
            <w:r>
              <w:rPr>
                <w:rFonts w:hint="eastAsia"/>
                <w:sz w:val="18"/>
                <w:szCs w:val="22"/>
              </w:rPr>
              <w:t>——</w:t>
            </w:r>
          </w:p>
        </w:tc>
        <w:tc>
          <w:tcPr>
            <w:tcW w:w="3969" w:type="dxa"/>
            <w:vAlign w:val="center"/>
          </w:tcPr>
          <w:p>
            <w:pPr>
              <w:pStyle w:val="105"/>
              <w:jc w:val="center"/>
              <w:rPr>
                <w:sz w:val="18"/>
                <w:szCs w:val="22"/>
              </w:rPr>
            </w:pPr>
            <w:r>
              <w:rPr>
                <w:rFonts w:hint="eastAsia"/>
                <w:sz w:val="18"/>
                <w:szCs w:val="22"/>
              </w:rPr>
              <w:t>①重点：根据养殖容量合理布局养殖品种和数量，控制养殖密度，防止养殖自源污染，做好病害防治工作，严格控制周边污染物排放，保护养殖区生态环境，保证海水水质符合养殖标准。②其他相关任务：按承载力确定游客数量，维护用于海上旅游活动的海水水质，建设与旅游度假相关的环境设施。抓紧编制旅游区开发规划，合理开发旅游资源，防止资源破坏，注意保护生态环境。</w:t>
            </w:r>
          </w:p>
        </w:tc>
        <w:tc>
          <w:tcPr>
            <w:tcW w:w="1132" w:type="dxa"/>
            <w:vMerge w:val="continue"/>
            <w:vAlign w:val="center"/>
          </w:tcPr>
          <w:p>
            <w:pPr>
              <w:pStyle w:val="105"/>
              <w:jc w:val="center"/>
              <w:rPr>
                <w:sz w:val="18"/>
                <w:szCs w:val="22"/>
              </w:rPr>
            </w:pPr>
          </w:p>
        </w:tc>
      </w:tr>
    </w:tbl>
    <w:p>
      <w:pPr>
        <w:pStyle w:val="105"/>
        <w:spacing w:before="240"/>
        <w:ind w:left="1" w:leftChars="-236" w:hanging="567" w:hangingChars="270"/>
        <w:rPr>
          <w:rFonts w:hint="eastAsia" w:eastAsia="宋体"/>
          <w:lang w:eastAsia="zh-CN"/>
        </w:rPr>
      </w:pPr>
      <w:r>
        <mc:AlternateContent>
          <mc:Choice Requires="wps">
            <w:drawing>
              <wp:anchor distT="0" distB="0" distL="114300" distR="114300" simplePos="0" relativeHeight="251722752" behindDoc="0" locked="0" layoutInCell="1" allowOverlap="1">
                <wp:simplePos x="0" y="0"/>
                <wp:positionH relativeFrom="column">
                  <wp:posOffset>906145</wp:posOffset>
                </wp:positionH>
                <wp:positionV relativeFrom="paragraph">
                  <wp:posOffset>3078480</wp:posOffset>
                </wp:positionV>
                <wp:extent cx="473710" cy="248920"/>
                <wp:effectExtent l="495300" t="0" r="21590" b="341630"/>
                <wp:wrapNone/>
                <wp:docPr id="1622346450" name="对话气泡: 矩形 11"/>
                <wp:cNvGraphicFramePr/>
                <a:graphic xmlns:a="http://schemas.openxmlformats.org/drawingml/2006/main">
                  <a:graphicData uri="http://schemas.microsoft.com/office/word/2010/wordprocessingShape">
                    <wps:wsp>
                      <wps:cNvSpPr/>
                      <wps:spPr>
                        <a:xfrm>
                          <a:off x="0" y="0"/>
                          <a:ext cx="473710" cy="248920"/>
                        </a:xfrm>
                        <a:prstGeom prst="wedgeRectCallout">
                          <a:avLst>
                            <a:gd name="adj1" fmla="val -146204"/>
                            <a:gd name="adj2" fmla="val 164836"/>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100" w:beforeAutospacing="1" w:after="100" w:afterAutospacing="1"/>
                              <w:rPr>
                                <w:b/>
                                <w:bCs/>
                                <w:color w:val="FF0000"/>
                                <w:sz w:val="20"/>
                                <w:szCs w:val="24"/>
                              </w:rPr>
                            </w:pPr>
                            <w:r>
                              <w:rPr>
                                <w:rFonts w:hint="eastAsia"/>
                                <w:b/>
                                <w:bCs/>
                                <w:color w:val="FF0000"/>
                                <w:sz w:val="20"/>
                                <w:szCs w:val="24"/>
                              </w:rPr>
                              <w:t>线路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1" o:spid="_x0000_s1026" o:spt="61" type="#_x0000_t61" style="position:absolute;left:0pt;margin-left:71.35pt;margin-top:242.4pt;height:19.6pt;width:37.3pt;z-index:251722752;v-text-anchor:middle;mso-width-relative:page;mso-height-relative:page;" fillcolor="#FFFFFF [3212]" filled="t" stroked="t" coordsize="21600,21600" o:gfxdata="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VldEV2QAAAAsBAAAP&#10;AAAAAAAAAAEAIAAAACIAAABkcnMvZG93bnJldi54bWxQSwECFAAUAAAACACHTuJAvABuhsICAAB1&#10;BQAADgAAAAAAAAABACAAAAAoAQAAZHJzL2Uyb0RvYy54bWxQSwUGAAAAAAYABgBZAQAAXAYAAAAA&#10;" adj="-20780,46405">
                <v:fill on="t" focussize="0,0"/>
                <v:stroke weight="0.25pt" color="#000000 [3213]" miterlimit="8" joinstyle="miter"/>
                <v:imagedata o:title=""/>
                <o:lock v:ext="edit" aspectratio="f"/>
                <v:textbox>
                  <w:txbxContent>
                    <w:p>
                      <w:pPr>
                        <w:pStyle w:val="105"/>
                        <w:spacing w:before="100" w:beforeAutospacing="1" w:after="100" w:afterAutospacing="1"/>
                        <w:rPr>
                          <w:b/>
                          <w:bCs/>
                          <w:color w:val="FF0000"/>
                          <w:sz w:val="20"/>
                          <w:szCs w:val="24"/>
                        </w:rPr>
                      </w:pPr>
                      <w:r>
                        <w:rPr>
                          <w:rFonts w:hint="eastAsia"/>
                          <w:b/>
                          <w:bCs/>
                          <w:color w:val="FF0000"/>
                          <w:sz w:val="20"/>
                          <w:szCs w:val="24"/>
                        </w:rPr>
                        <w:t>线路</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margin">
                  <wp:posOffset>-872490</wp:posOffset>
                </wp:positionH>
                <wp:positionV relativeFrom="paragraph">
                  <wp:posOffset>2407285</wp:posOffset>
                </wp:positionV>
                <wp:extent cx="3418205" cy="2372995"/>
                <wp:effectExtent l="0" t="0" r="0" b="0"/>
                <wp:wrapNone/>
                <wp:docPr id="50" name="矩形 50"/>
                <wp:cNvGraphicFramePr/>
                <a:graphic xmlns:a="http://schemas.openxmlformats.org/drawingml/2006/main">
                  <a:graphicData uri="http://schemas.microsoft.com/office/word/2010/wordprocessingShape">
                    <wps:wsp>
                      <wps:cNvSpPr/>
                      <wps:spPr>
                        <a:xfrm>
                          <a:off x="0" y="0"/>
                          <a:ext cx="3418205" cy="23729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00" w:beforeAutospacing="1" w:after="100" w:afterAutospacing="1" w:line="240" w:lineRule="auto"/>
                              <w:ind w:left="-120" w:leftChars="-50" w:right="-120" w:rightChars="-50" w:firstLine="0" w:firstLineChars="0"/>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7pt;margin-top:189.55pt;height:186.85pt;width:269.15pt;mso-position-horizontal-relative:margin;z-index:251718656;v-text-anchor:middle;mso-width-relative:page;mso-height-relative:page;" filled="f" stroked="f" coordsize="21600,21600" o:gfxdata="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ooQ3XbAAAADAEAAA8AAAAAAAAAAQAgAAAAIgAAAGRycy9kb3ducmV2LnhtbFBLAQIU&#10;ABQAAAAIAIdO4kD9oGmSYgIAALAEAAAOAAAAAAAAAAEAIAAAACoBAABkcnMvZTJvRG9jLnhtbFBL&#10;BQYAAAAABgAGAFkBAAD+BQAAAAA=&#10;">
                <v:fill on="f" focussize="0,0"/>
                <v:stroke on="f" weight="1pt" miterlimit="8" joinstyle="miter"/>
                <v:imagedata o:title=""/>
                <o:lock v:ext="edit" aspectratio="f"/>
                <v:textbox>
                  <w:txbxContent>
                    <w:p>
                      <w:pPr>
                        <w:spacing w:before="100" w:beforeAutospacing="1" w:after="100" w:afterAutospacing="1" w:line="240" w:lineRule="auto"/>
                        <w:ind w:left="-120" w:leftChars="-50" w:right="-120" w:rightChars="-50" w:firstLine="0" w:firstLineChars="0"/>
                        <w:jc w:val="center"/>
                        <w:rPr>
                          <w:rFonts w:hint="eastAsia" w:eastAsia="宋体"/>
                          <w:lang w:eastAsia="zh-CN"/>
                        </w:rPr>
                      </w:pPr>
                    </w:p>
                  </w:txbxContent>
                </v:textbox>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2880995</wp:posOffset>
                </wp:positionH>
                <wp:positionV relativeFrom="paragraph">
                  <wp:posOffset>1874520</wp:posOffset>
                </wp:positionV>
                <wp:extent cx="473710" cy="248920"/>
                <wp:effectExtent l="495300" t="0" r="21590" b="341630"/>
                <wp:wrapNone/>
                <wp:docPr id="62" name="对话气泡: 矩形 11"/>
                <wp:cNvGraphicFramePr/>
                <a:graphic xmlns:a="http://schemas.openxmlformats.org/drawingml/2006/main">
                  <a:graphicData uri="http://schemas.microsoft.com/office/word/2010/wordprocessingShape">
                    <wps:wsp>
                      <wps:cNvSpPr/>
                      <wps:spPr>
                        <a:xfrm>
                          <a:off x="0" y="0"/>
                          <a:ext cx="473710" cy="248920"/>
                        </a:xfrm>
                        <a:prstGeom prst="wedgeRectCallout">
                          <a:avLst>
                            <a:gd name="adj1" fmla="val -146204"/>
                            <a:gd name="adj2" fmla="val 164836"/>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100" w:beforeAutospacing="1" w:after="100" w:afterAutospacing="1"/>
                              <w:rPr>
                                <w:b/>
                                <w:bCs/>
                                <w:color w:val="FF0000"/>
                                <w:sz w:val="20"/>
                                <w:szCs w:val="24"/>
                              </w:rPr>
                            </w:pPr>
                            <w:r>
                              <w:rPr>
                                <w:rFonts w:hint="eastAsia"/>
                                <w:b/>
                                <w:bCs/>
                                <w:color w:val="FF0000"/>
                                <w:sz w:val="20"/>
                                <w:szCs w:val="24"/>
                              </w:rPr>
                              <w:t>线路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1" o:spid="_x0000_s1026" o:spt="61" type="#_x0000_t61" style="position:absolute;left:0pt;margin-left:226.85pt;margin-top:147.6pt;height:19.6pt;width:37.3pt;z-index:251720704;v-text-anchor:middle;mso-width-relative:page;mso-height-relative:page;" fillcolor="#FFFFFF [3212]" filled="t" stroked="t" coordsize="21600,21600" o:gfxdata="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KZeEjrbAAAACwEAAA8AAAAA&#10;AAAAAQAgAAAAIgAAAGRycy9kb3ducmV2LnhtbFBLAQIUABQAAAAIAIdO4kCct5QlvAIAAG0FAAAO&#10;AAAAAAAAAAEAIAAAACoBAABkcnMvZTJvRG9jLnhtbFBLBQYAAAAABgAGAFkBAABYBgAAAAA=&#10;" adj="-20780,46405">
                <v:fill on="t" focussize="0,0"/>
                <v:stroke weight="0.25pt" color="#000000 [3213]" miterlimit="8" joinstyle="miter"/>
                <v:imagedata o:title=""/>
                <o:lock v:ext="edit" aspectratio="f"/>
                <v:textbox>
                  <w:txbxContent>
                    <w:p>
                      <w:pPr>
                        <w:pStyle w:val="105"/>
                        <w:spacing w:before="100" w:beforeAutospacing="1" w:after="100" w:afterAutospacing="1"/>
                        <w:rPr>
                          <w:b/>
                          <w:bCs/>
                          <w:color w:val="FF0000"/>
                          <w:sz w:val="20"/>
                          <w:szCs w:val="24"/>
                        </w:rPr>
                      </w:pPr>
                      <w:r>
                        <w:rPr>
                          <w:rFonts w:hint="eastAsia"/>
                          <w:b/>
                          <w:bCs/>
                          <w:color w:val="FF0000"/>
                          <w:sz w:val="20"/>
                          <w:szCs w:val="24"/>
                        </w:rPr>
                        <w:t>线路</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2406650</wp:posOffset>
                </wp:positionH>
                <wp:positionV relativeFrom="paragraph">
                  <wp:posOffset>2369185</wp:posOffset>
                </wp:positionV>
                <wp:extent cx="45720" cy="45720"/>
                <wp:effectExtent l="38100" t="38100" r="50165" b="50165"/>
                <wp:wrapNone/>
                <wp:docPr id="9" name="星形: 四角 9"/>
                <wp:cNvGraphicFramePr/>
                <a:graphic xmlns:a="http://schemas.openxmlformats.org/drawingml/2006/main">
                  <a:graphicData uri="http://schemas.microsoft.com/office/word/2010/wordprocessingShape">
                    <wps:wsp>
                      <wps:cNvSpPr/>
                      <wps:spPr>
                        <a:xfrm>
                          <a:off x="0" y="0"/>
                          <a:ext cx="45719" cy="45719"/>
                        </a:xfrm>
                        <a:prstGeom prst="star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四角 9" o:spid="_x0000_s1026" o:spt="187" type="#_x0000_t187" style="position:absolute;left:0pt;margin-left:189.5pt;margin-top:186.55pt;height:3.6pt;width:3.6pt;z-index:251719680;v-text-anchor:middle;mso-width-relative:page;mso-height-relative:page;" filled="f" stroked="t" coordsize="21600,21600" o:gfxdata="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y4yj9kAAAALAQAADwAAAAAAAAABACAAAAAiAAAAZHJzL2Rv&#10;d25yZXYueG1sUEsBAhQAFAAAAAgAh07iQBzd1ENyAgAA0QQAAA4AAAAAAAAAAQAgAAAAKAEAAGRy&#10;cy9lMm9Eb2MueG1sUEsFBgAAAAAGAAYAWQEAAAwGAAAAAA==&#10;" adj="8100">
                <v:fill on="f" focussize="0,0"/>
                <v:stroke weight="1pt" color="#FF0000 [3204]" miterlimit="8" joinstyle="miter"/>
                <v:imagedata o:title=""/>
                <o:lock v:ext="edit" aspectratio="f"/>
              </v:shape>
            </w:pict>
          </mc:Fallback>
        </mc:AlternateContent>
      </w:r>
    </w:p>
    <w:p>
      <w:pPr>
        <w:pStyle w:val="122"/>
        <w:ind w:left="480" w:firstLine="480"/>
      </w:pPr>
      <w:bookmarkStart w:id="379" w:name="_Ref148946245"/>
      <w:r>
        <w:rPr>
          <w:rFonts w:hint="eastAsia"/>
        </w:rPr>
        <w:t>线路与福建省生态功能区划位置关系图</w:t>
      </w:r>
      <w:bookmarkEnd w:id="379"/>
    </w:p>
    <w:p>
      <w:pPr>
        <w:pStyle w:val="105"/>
        <w:rPr>
          <w:rFonts w:hint="eastAsia" w:eastAsia="宋体"/>
          <w:lang w:eastAsia="zh-CN"/>
        </w:rPr>
      </w:pPr>
      <w:r>
        <mc:AlternateContent>
          <mc:Choice Requires="wps">
            <w:drawing>
              <wp:anchor distT="0" distB="0" distL="114300" distR="114300" simplePos="0" relativeHeight="251721728" behindDoc="0" locked="0" layoutInCell="1" allowOverlap="1">
                <wp:simplePos x="0" y="0"/>
                <wp:positionH relativeFrom="column">
                  <wp:posOffset>2711450</wp:posOffset>
                </wp:positionH>
                <wp:positionV relativeFrom="paragraph">
                  <wp:posOffset>1994535</wp:posOffset>
                </wp:positionV>
                <wp:extent cx="473710" cy="248920"/>
                <wp:effectExtent l="495300" t="0" r="21590" b="341630"/>
                <wp:wrapNone/>
                <wp:docPr id="29" name="对话气泡: 矩形 29"/>
                <wp:cNvGraphicFramePr/>
                <a:graphic xmlns:a="http://schemas.openxmlformats.org/drawingml/2006/main">
                  <a:graphicData uri="http://schemas.microsoft.com/office/word/2010/wordprocessingShape">
                    <wps:wsp>
                      <wps:cNvSpPr/>
                      <wps:spPr>
                        <a:xfrm>
                          <a:off x="0" y="0"/>
                          <a:ext cx="473710" cy="248920"/>
                        </a:xfrm>
                        <a:prstGeom prst="wedgeRectCallout">
                          <a:avLst>
                            <a:gd name="adj1" fmla="val -146204"/>
                            <a:gd name="adj2" fmla="val 164836"/>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5"/>
                              <w:spacing w:before="100" w:beforeAutospacing="1" w:after="100" w:afterAutospacing="1"/>
                              <w:rPr>
                                <w:b/>
                                <w:bCs/>
                                <w:color w:val="FF0000"/>
                                <w:sz w:val="20"/>
                                <w:szCs w:val="24"/>
                              </w:rPr>
                            </w:pPr>
                            <w:r>
                              <w:rPr>
                                <w:rFonts w:hint="eastAsia"/>
                                <w:b/>
                                <w:bCs/>
                                <w:color w:val="FF0000"/>
                                <w:sz w:val="20"/>
                                <w:szCs w:val="24"/>
                              </w:rPr>
                              <w:t>线路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9" o:spid="_x0000_s1026" o:spt="61" type="#_x0000_t61" style="position:absolute;left:0pt;margin-left:213.5pt;margin-top:157.05pt;height:19.6pt;width:37.3pt;z-index:251721728;v-text-anchor:middle;mso-width-relative:page;mso-height-relative:page;" fillcolor="#FFFFFF [3212]" filled="t" stroked="t" coordsize="21600,21600" o:gfxdata="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DL1t7bAAAACwEAAA8AAAAA&#10;AAAAAQAgAAAAIgAAAGRycy9kb3ducmV2LnhtbFBLAQIUABQAAAAIAIdO4kDytt2CvAIAAG0FAAAO&#10;AAAAAAAAAAEAIAAAACoBAABkcnMvZTJvRG9jLnhtbFBLBQYAAAAABgAGAFkBAABYBgAAAAA=&#10;" adj="-20780,46405">
                <v:fill on="t" focussize="0,0"/>
                <v:stroke weight="0.25pt" color="#000000 [3213]" miterlimit="8" joinstyle="miter"/>
                <v:imagedata o:title=""/>
                <o:lock v:ext="edit" aspectratio="f"/>
                <v:textbox>
                  <w:txbxContent>
                    <w:p>
                      <w:pPr>
                        <w:pStyle w:val="105"/>
                        <w:spacing w:before="100" w:beforeAutospacing="1" w:after="100" w:afterAutospacing="1"/>
                        <w:rPr>
                          <w:b/>
                          <w:bCs/>
                          <w:color w:val="FF0000"/>
                          <w:sz w:val="20"/>
                          <w:szCs w:val="24"/>
                        </w:rPr>
                      </w:pPr>
                      <w:r>
                        <w:rPr>
                          <w:rFonts w:hint="eastAsia"/>
                          <w:b/>
                          <w:bCs/>
                          <w:color w:val="FF0000"/>
                          <w:sz w:val="20"/>
                          <w:szCs w:val="24"/>
                        </w:rPr>
                        <w:t>线路</w:t>
                      </w:r>
                    </w:p>
                  </w:txbxContent>
                </v:textbox>
              </v:shape>
            </w:pict>
          </mc:Fallback>
        </mc:AlternateContent>
      </w:r>
    </w:p>
    <w:p>
      <w:pPr>
        <w:pStyle w:val="122"/>
        <w:ind w:left="480" w:firstLine="480"/>
      </w:pPr>
      <w:bookmarkStart w:id="380" w:name="_Ref148946289"/>
      <w:r>
        <w:rPr>
          <w:rFonts w:hint="eastAsia"/>
        </w:rPr>
        <w:t>线路与福清市生态功能区划位置关系图</w:t>
      </w:r>
      <w:bookmarkEnd w:id="380"/>
    </w:p>
    <w:p>
      <w:pPr>
        <w:pStyle w:val="120"/>
        <w:rPr>
          <w:color w:val="auto"/>
        </w:rPr>
      </w:pPr>
      <w:r>
        <w:rPr>
          <w:color w:val="auto"/>
        </w:rPr>
        <w:t>与</w:t>
      </w:r>
      <w:r>
        <w:rPr>
          <w:rFonts w:hint="eastAsia"/>
          <w:color w:val="auto"/>
        </w:rPr>
        <w:t>区域</w:t>
      </w:r>
      <w:r>
        <w:rPr>
          <w:color w:val="auto"/>
        </w:rPr>
        <w:t>规划的符合性分析</w:t>
      </w:r>
    </w:p>
    <w:p>
      <w:pPr>
        <w:pStyle w:val="118"/>
      </w:pPr>
      <w:r>
        <w:rPr>
          <w:rFonts w:hint="eastAsia"/>
        </w:rPr>
        <w:t>与路网规划符合性分析</w:t>
      </w:r>
    </w:p>
    <w:p>
      <w:pPr>
        <w:ind w:firstLine="480"/>
      </w:pPr>
      <w:r>
        <w:rPr>
          <w:rFonts w:hint="eastAsia"/>
        </w:rPr>
        <w:t>《福清市乡村道公路网规划调整报告（2019～2030）》（2</w:t>
      </w:r>
      <w:r>
        <w:t>021</w:t>
      </w:r>
      <w:r>
        <w:rPr>
          <w:rFonts w:hint="eastAsia"/>
        </w:rPr>
        <w:t>年6月）以福清市乡村道公路网为主体，规划的区域为福清市所辖的行政区划范围。福清市公路网由第一层次县级干线公路网、第二层次乡村通达公路网、第三层次乡村集散公路网构成。本次规划调整不含第一层次县级干线公路网的调整；第二层次为乡村通达公路。以建制村为节点，以乡镇为中心，在上一级规划路网基础上，通过合理连接，在乡镇与所辖建制村之间、有条件的建制村与建制村之间构建便捷联系的乡道网。同时，注重与县级旅游景区（点）的连通。规划技术标准不低于四级公路。</w:t>
      </w:r>
    </w:p>
    <w:p>
      <w:pPr>
        <w:ind w:firstLine="480"/>
      </w:pPr>
    </w:p>
    <w:p>
      <w:pPr>
        <w:ind w:firstLine="480"/>
        <w:rPr>
          <w:rFonts w:cs="Times New Roman"/>
          <w:kern w:val="0"/>
          <w:szCs w:val="24"/>
          <w:lang w:val="zh-CN"/>
        </w:rPr>
      </w:pPr>
      <w:r>
        <w:rPr>
          <w:rFonts w:hint="eastAsia" w:cs="Times New Roman"/>
          <w:kern w:val="0"/>
          <w:szCs w:val="24"/>
          <w:lang w:val="zh-CN"/>
        </w:rPr>
        <w:t>本项目</w:t>
      </w:r>
      <w:r>
        <w:rPr>
          <w:rFonts w:cs="Times New Roman"/>
          <w:kern w:val="0"/>
          <w:szCs w:val="24"/>
          <w:lang w:val="zh-CN"/>
        </w:rPr>
        <w:t>黄檗山万福寺旅游公路工程起点起于G324线，途径上张村、联华村，终点位于黄檗山万福寺。该项目是《福清市乡村道公路网》（2021年6月）中规划的乡村道路主要路线之一，为黄檗路（Y342），故黄檗山万福寺旅游公路工程符合《福清市乡村道公路网》（2021年6月）的规划内容。</w:t>
      </w:r>
    </w:p>
    <w:p>
      <w:pPr>
        <w:pStyle w:val="105"/>
        <w:spacing w:before="0" w:after="0"/>
        <w:rPr>
          <w:rFonts w:hint="eastAsia" w:eastAsia="宋体" w:cs="Times New Roman"/>
          <w:kern w:val="0"/>
          <w:szCs w:val="24"/>
          <w:lang w:val="zh-CN" w:eastAsia="zh-CN"/>
        </w:rPr>
      </w:pPr>
      <w:r>
        <mc:AlternateContent>
          <mc:Choice Requires="wps">
            <w:drawing>
              <wp:anchor distT="0" distB="0" distL="114300" distR="114300" simplePos="0" relativeHeight="251761664" behindDoc="0" locked="0" layoutInCell="1" allowOverlap="1">
                <wp:simplePos x="0" y="0"/>
                <wp:positionH relativeFrom="margin">
                  <wp:posOffset>4552315</wp:posOffset>
                </wp:positionH>
                <wp:positionV relativeFrom="paragraph">
                  <wp:posOffset>4391025</wp:posOffset>
                </wp:positionV>
                <wp:extent cx="300990" cy="106680"/>
                <wp:effectExtent l="0" t="0" r="270510" b="541020"/>
                <wp:wrapNone/>
                <wp:docPr id="1593004296" name="对话气泡: 圆角矩形 1593004296"/>
                <wp:cNvGraphicFramePr/>
                <a:graphic xmlns:a="http://schemas.openxmlformats.org/drawingml/2006/main">
                  <a:graphicData uri="http://schemas.microsoft.com/office/word/2010/wordprocessingShape">
                    <wps:wsp>
                      <wps:cNvSpPr/>
                      <wps:spPr>
                        <a:xfrm>
                          <a:off x="0" y="0"/>
                          <a:ext cx="300990" cy="106680"/>
                        </a:xfrm>
                        <a:prstGeom prst="wedgeRoundRectCallout">
                          <a:avLst>
                            <a:gd name="adj1" fmla="val 117685"/>
                            <a:gd name="adj2" fmla="val 459402"/>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857"/>
                              <w:spacing w:before="0" w:after="0"/>
                              <w:jc w:val="both"/>
                              <w:rPr>
                                <w:b/>
                                <w:bCs/>
                                <w:color w:val="FF0000"/>
                                <w:sz w:val="10"/>
                                <w:szCs w:val="13"/>
                              </w:rPr>
                            </w:pPr>
                            <w:r>
                              <w:rPr>
                                <w:rFonts w:hint="eastAsia"/>
                                <w:b/>
                                <w:bCs/>
                                <w:color w:val="FF0000"/>
                                <w:sz w:val="10"/>
                                <w:szCs w:val="13"/>
                              </w:rPr>
                              <w:t>项目起点</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593004296" o:spid="_x0000_s1026" o:spt="62" type="#_x0000_t62" style="position:absolute;left:0pt;margin-left:358.45pt;margin-top:345.75pt;height:8.4pt;width:23.7pt;mso-position-horizontal-relative:margin;z-index:251761664;v-text-anchor:middle;mso-width-relative:page;mso-height-relative:page;" fillcolor="#FFFFFF [3212]" filled="t" stroked="t" coordsize="21600,21600" o:gfxdata="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rZyUD2gAAAAsBAAAPAAAAAAAAAAEAIAAAACIAAABkcnMvZG93bnJldi54bWxQSwECFAAUAAAA&#10;CACHTuJAiJffANACAACbBQAADgAAAAAAAAABACAAAAApAQAAZHJzL2Uyb0RvYy54bWxQSwUGAAAA&#10;AAYABgBZAQAAawYAAAAA&#10;" adj="36220,110031,14400">
                <v:fill on="t" focussize="0,0"/>
                <v:stroke weight="0.5pt" color="#000000 [3213]" miterlimit="8" joinstyle="miter"/>
                <v:imagedata o:title=""/>
                <o:lock v:ext="edit" aspectratio="f"/>
                <v:textbox inset="0mm,0mm,0mm,0mm">
                  <w:txbxContent>
                    <w:p>
                      <w:pPr>
                        <w:pStyle w:val="857"/>
                        <w:spacing w:before="0" w:after="0"/>
                        <w:jc w:val="both"/>
                        <w:rPr>
                          <w:b/>
                          <w:bCs/>
                          <w:color w:val="FF0000"/>
                          <w:sz w:val="10"/>
                          <w:szCs w:val="13"/>
                        </w:rPr>
                      </w:pPr>
                      <w:r>
                        <w:rPr>
                          <w:rFonts w:hint="eastAsia"/>
                          <w:b/>
                          <w:bCs/>
                          <w:color w:val="FF0000"/>
                          <w:sz w:val="10"/>
                          <w:szCs w:val="13"/>
                        </w:rPr>
                        <w:t>项目起点</w:t>
                      </w:r>
                    </w:p>
                  </w:txbxContent>
                </v:textbox>
              </v:shape>
            </w:pict>
          </mc:Fallback>
        </mc:AlternateContent>
      </w:r>
      <w:r>
        <mc:AlternateContent>
          <mc:Choice Requires="wps">
            <w:drawing>
              <wp:anchor distT="0" distB="0" distL="114300" distR="114300" simplePos="0" relativeHeight="251760640" behindDoc="0" locked="0" layoutInCell="1" allowOverlap="1">
                <wp:simplePos x="0" y="0"/>
                <wp:positionH relativeFrom="margin">
                  <wp:posOffset>2861945</wp:posOffset>
                </wp:positionH>
                <wp:positionV relativeFrom="paragraph">
                  <wp:posOffset>3562350</wp:posOffset>
                </wp:positionV>
                <wp:extent cx="300990" cy="106680"/>
                <wp:effectExtent l="247650" t="0" r="22860" b="445770"/>
                <wp:wrapNone/>
                <wp:docPr id="1593004295" name="对话气泡: 圆角矩形 1593004295"/>
                <wp:cNvGraphicFramePr/>
                <a:graphic xmlns:a="http://schemas.openxmlformats.org/drawingml/2006/main">
                  <a:graphicData uri="http://schemas.microsoft.com/office/word/2010/wordprocessingShape">
                    <wps:wsp>
                      <wps:cNvSpPr/>
                      <wps:spPr>
                        <a:xfrm>
                          <a:off x="0" y="0"/>
                          <a:ext cx="300990" cy="106680"/>
                        </a:xfrm>
                        <a:prstGeom prst="wedgeRoundRectCallout">
                          <a:avLst>
                            <a:gd name="adj1" fmla="val -113328"/>
                            <a:gd name="adj2" fmla="val 379045"/>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857"/>
                              <w:spacing w:before="0" w:after="0"/>
                              <w:jc w:val="both"/>
                              <w:rPr>
                                <w:b/>
                                <w:bCs/>
                                <w:color w:val="FF0000"/>
                                <w:sz w:val="10"/>
                                <w:szCs w:val="13"/>
                              </w:rPr>
                            </w:pPr>
                            <w:r>
                              <w:rPr>
                                <w:rFonts w:hint="eastAsia"/>
                                <w:b/>
                                <w:bCs/>
                                <w:color w:val="FF0000"/>
                                <w:sz w:val="10"/>
                                <w:szCs w:val="13"/>
                              </w:rPr>
                              <w:t>项目终点</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593004295" o:spid="_x0000_s1026" o:spt="62" type="#_x0000_t62" style="position:absolute;left:0pt;margin-left:225.35pt;margin-top:280.5pt;height:8.4pt;width:23.7pt;mso-position-horizontal-relative:margin;z-index:251760640;v-text-anchor:middle;mso-width-relative:page;mso-height-relative:page;" fillcolor="#FFFFFF [3212]" filled="t" stroked="t" coordsize="21600,21600" o:gfxdata="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feCjbbAAAACwEAAA8AAAAAAAAAAQAgAAAAIgAAAGRycy9kb3ducmV2LnhtbFBLAQIUABQA&#10;AAAIAIdO4kDBVciu0QIAAJwFAAAOAAAAAAAAAAEAIAAAACoBAABkcnMvZTJvRG9jLnhtbFBLBQYA&#10;AAAABgAGAFkBAABtBgAAAAA=&#10;" adj="-13679,92674,14400">
                <v:fill on="t" focussize="0,0"/>
                <v:stroke weight="0.5pt" color="#000000 [3213]" miterlimit="8" joinstyle="miter"/>
                <v:imagedata o:title=""/>
                <o:lock v:ext="edit" aspectratio="f"/>
                <v:textbox inset="0mm,0mm,0mm,0mm">
                  <w:txbxContent>
                    <w:p>
                      <w:pPr>
                        <w:pStyle w:val="857"/>
                        <w:spacing w:before="0" w:after="0"/>
                        <w:jc w:val="both"/>
                        <w:rPr>
                          <w:b/>
                          <w:bCs/>
                          <w:color w:val="FF0000"/>
                          <w:sz w:val="10"/>
                          <w:szCs w:val="13"/>
                        </w:rPr>
                      </w:pPr>
                      <w:r>
                        <w:rPr>
                          <w:rFonts w:hint="eastAsia"/>
                          <w:b/>
                          <w:bCs/>
                          <w:color w:val="FF0000"/>
                          <w:sz w:val="10"/>
                          <w:szCs w:val="13"/>
                        </w:rPr>
                        <w:t>项目终点</w:t>
                      </w:r>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margin">
                  <wp:align>right</wp:align>
                </wp:positionH>
                <wp:positionV relativeFrom="paragraph">
                  <wp:posOffset>3070860</wp:posOffset>
                </wp:positionV>
                <wp:extent cx="4232910" cy="3328035"/>
                <wp:effectExtent l="0" t="0" r="0" b="5715"/>
                <wp:wrapNone/>
                <wp:docPr id="1593004292" name="矩形 1593004292"/>
                <wp:cNvGraphicFramePr/>
                <a:graphic xmlns:a="http://schemas.openxmlformats.org/drawingml/2006/main">
                  <a:graphicData uri="http://schemas.microsoft.com/office/word/2010/wordprocessingShape">
                    <wps:wsp>
                      <wps:cNvSpPr/>
                      <wps:spPr>
                        <a:xfrm>
                          <a:off x="0" y="0"/>
                          <a:ext cx="4232910" cy="33283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857"/>
                              <w:spacing w:before="0" w:after="0"/>
                              <w:rPr>
                                <w:rFonts w:hint="eastAsia" w:eastAsia="宋体"/>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top:241.8pt;height:262.05pt;width:333.3pt;mso-position-horizontal:right;mso-position-horizontal-relative:margin;z-index:251759616;v-text-anchor:middle;mso-width-relative:page;mso-height-relative:page;" filled="f" stroked="f" coordsize="21600,21600" o:gfxdata="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u8gx72AAAAAkBAAAPAAAAAAAAAAEAIAAAACIAAABkcnMvZG93bnJldi54bWxQSwECFAAUAAAA&#10;CACHTuJAi+mUCWACAACwBAAADgAAAAAAAAABACAAAAAnAQAAZHJzL2Uyb0RvYy54bWxQSwUGAAAA&#10;AAYABgBZAQAA+QUAAAAA&#10;">
                <v:fill on="f" focussize="0,0"/>
                <v:stroke on="f" weight="1pt" miterlimit="8" joinstyle="miter"/>
                <v:imagedata o:title=""/>
                <o:lock v:ext="edit" aspectratio="f"/>
                <v:textbox inset="0mm,0mm,0mm,0mm">
                  <w:txbxContent>
                    <w:p>
                      <w:pPr>
                        <w:pStyle w:val="857"/>
                        <w:spacing w:before="0" w:after="0"/>
                        <w:rPr>
                          <w:rFonts w:hint="eastAsia" w:eastAsia="宋体"/>
                          <w:lang w:eastAsia="zh-CN"/>
                        </w:rPr>
                      </w:pPr>
                    </w:p>
                  </w:txbxContent>
                </v:textbox>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2291080</wp:posOffset>
                </wp:positionH>
                <wp:positionV relativeFrom="paragraph">
                  <wp:posOffset>2360295</wp:posOffset>
                </wp:positionV>
                <wp:extent cx="300990" cy="106680"/>
                <wp:effectExtent l="190500" t="0" r="22860" b="350520"/>
                <wp:wrapNone/>
                <wp:docPr id="1593004291" name="对话气泡: 圆角矩形 1593004291"/>
                <wp:cNvGraphicFramePr/>
                <a:graphic xmlns:a="http://schemas.openxmlformats.org/drawingml/2006/main">
                  <a:graphicData uri="http://schemas.microsoft.com/office/word/2010/wordprocessingShape">
                    <wps:wsp>
                      <wps:cNvSpPr/>
                      <wps:spPr>
                        <a:xfrm>
                          <a:off x="0" y="0"/>
                          <a:ext cx="300990" cy="106680"/>
                        </a:xfrm>
                        <a:prstGeom prst="wedgeRoundRectCallout">
                          <a:avLst>
                            <a:gd name="adj1" fmla="val -97371"/>
                            <a:gd name="adj2" fmla="val 292755"/>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857"/>
                              <w:spacing w:before="0" w:after="0"/>
                              <w:jc w:val="both"/>
                              <w:rPr>
                                <w:color w:val="000000" w:themeColor="text1"/>
                                <w:sz w:val="10"/>
                                <w:szCs w:val="13"/>
                                <w14:textFill>
                                  <w14:solidFill>
                                    <w14:schemeClr w14:val="tx1"/>
                                  </w14:solidFill>
                                </w14:textFill>
                              </w:rPr>
                            </w:pPr>
                            <w:r>
                              <w:rPr>
                                <w:rFonts w:hint="eastAsia"/>
                                <w:color w:val="000000" w:themeColor="text1"/>
                                <w:sz w:val="10"/>
                                <w:szCs w:val="13"/>
                                <w14:textFill>
                                  <w14:solidFill>
                                    <w14:schemeClr w14:val="tx1"/>
                                  </w14:solidFill>
                                </w14:textFill>
                              </w:rPr>
                              <w:t>项目起点</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593004291" o:spid="_x0000_s1026" o:spt="62" type="#_x0000_t62" style="position:absolute;left:0pt;margin-left:180.4pt;margin-top:185.85pt;height:8.4pt;width:23.7pt;z-index:251758592;v-text-anchor:middle;mso-width-relative:page;mso-height-relative:page;" fillcolor="#FFFFFF [3212]" filled="t" stroked="t" coordsize="21600,21600" o:gfxdata="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KG3i9gAAAALAQAADwAAAAAAAAABACAAAAAiAAAAZHJzL2Rvd25yZXYueG1sUEsBAhQAFAAAAAgA&#10;h07iQEkCIb/QAgAAmwUAAA4AAAAAAAAAAQAgAAAAJwEAAGRycy9lMm9Eb2MueG1sUEsFBgAAAAAG&#10;AAYAWQEAAGkGAAAAAA==&#10;" adj="-10232,74035,14400">
                <v:fill on="t" focussize="0,0"/>
                <v:stroke weight="0.5pt" color="#000000 [3213]" miterlimit="8" joinstyle="miter"/>
                <v:imagedata o:title=""/>
                <o:lock v:ext="edit" aspectratio="f"/>
                <v:textbox inset="0mm,0mm,0mm,0mm">
                  <w:txbxContent>
                    <w:p>
                      <w:pPr>
                        <w:pStyle w:val="857"/>
                        <w:spacing w:before="0" w:after="0"/>
                        <w:jc w:val="both"/>
                        <w:rPr>
                          <w:color w:val="000000" w:themeColor="text1"/>
                          <w:sz w:val="10"/>
                          <w:szCs w:val="13"/>
                          <w14:textFill>
                            <w14:solidFill>
                              <w14:schemeClr w14:val="tx1"/>
                            </w14:solidFill>
                          </w14:textFill>
                        </w:rPr>
                      </w:pPr>
                      <w:r>
                        <w:rPr>
                          <w:rFonts w:hint="eastAsia"/>
                          <w:color w:val="000000" w:themeColor="text1"/>
                          <w:sz w:val="10"/>
                          <w:szCs w:val="13"/>
                          <w14:textFill>
                            <w14:solidFill>
                              <w14:schemeClr w14:val="tx1"/>
                            </w14:solidFill>
                          </w14:textFill>
                        </w:rPr>
                        <w:t>项目起点</w:t>
                      </w:r>
                    </w:p>
                  </w:txbxContent>
                </v:textbox>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1416050</wp:posOffset>
                </wp:positionH>
                <wp:positionV relativeFrom="paragraph">
                  <wp:posOffset>2162175</wp:posOffset>
                </wp:positionV>
                <wp:extent cx="300990" cy="106680"/>
                <wp:effectExtent l="0" t="0" r="99060" b="426720"/>
                <wp:wrapNone/>
                <wp:docPr id="1593004290" name="对话气泡: 圆角矩形 1593004290"/>
                <wp:cNvGraphicFramePr/>
                <a:graphic xmlns:a="http://schemas.openxmlformats.org/drawingml/2006/main">
                  <a:graphicData uri="http://schemas.microsoft.com/office/word/2010/wordprocessingShape">
                    <wps:wsp>
                      <wps:cNvSpPr/>
                      <wps:spPr>
                        <a:xfrm>
                          <a:off x="0" y="0"/>
                          <a:ext cx="300990" cy="106680"/>
                        </a:xfrm>
                        <a:prstGeom prst="wedgeRoundRectCallout">
                          <a:avLst>
                            <a:gd name="adj1" fmla="val 67051"/>
                            <a:gd name="adj2" fmla="val 365652"/>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857"/>
                              <w:spacing w:before="0" w:after="0"/>
                              <w:jc w:val="both"/>
                              <w:rPr>
                                <w:color w:val="000000" w:themeColor="text1"/>
                                <w:sz w:val="10"/>
                                <w:szCs w:val="13"/>
                                <w14:textFill>
                                  <w14:solidFill>
                                    <w14:schemeClr w14:val="tx1"/>
                                  </w14:solidFill>
                                </w14:textFill>
                              </w:rPr>
                            </w:pPr>
                            <w:r>
                              <w:rPr>
                                <w:rFonts w:hint="eastAsia"/>
                                <w:color w:val="000000" w:themeColor="text1"/>
                                <w:sz w:val="10"/>
                                <w:szCs w:val="13"/>
                                <w14:textFill>
                                  <w14:solidFill>
                                    <w14:schemeClr w14:val="tx1"/>
                                  </w14:solidFill>
                                </w14:textFill>
                              </w:rPr>
                              <w:t>项目终点</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1593004290" o:spid="_x0000_s1026" o:spt="62" type="#_x0000_t62" style="position:absolute;left:0pt;margin-left:111.5pt;margin-top:170.25pt;height:8.4pt;width:23.7pt;z-index:251757568;v-text-anchor:middle;mso-width-relative:page;mso-height-relative:page;" fillcolor="#FFFFFF [3212]" filled="t" stroked="t" coordsize="21600,21600" o:gfxdata="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m&#10;zkKG2gAAAAsBAAAPAAAAAAAAAAEAIAAAACIAAABkcnMvZG93bnJldi54bWxQSwECFAAUAAAACACH&#10;TuJAirRKMc0CAACaBQAADgAAAAAAAAABACAAAAApAQAAZHJzL2Uyb0RvYy54bWxQSwUGAAAAAAYA&#10;BgBZAQAAaAYAAAAA&#10;" adj="25283,89781,14400">
                <v:fill on="t" focussize="0,0"/>
                <v:stroke weight="0.5pt" color="#000000 [3213]" miterlimit="8" joinstyle="miter"/>
                <v:imagedata o:title=""/>
                <o:lock v:ext="edit" aspectratio="f"/>
                <v:textbox inset="0mm,0mm,0mm,0mm">
                  <w:txbxContent>
                    <w:p>
                      <w:pPr>
                        <w:pStyle w:val="857"/>
                        <w:spacing w:before="0" w:after="0"/>
                        <w:jc w:val="both"/>
                        <w:rPr>
                          <w:color w:val="000000" w:themeColor="text1"/>
                          <w:sz w:val="10"/>
                          <w:szCs w:val="13"/>
                          <w14:textFill>
                            <w14:solidFill>
                              <w14:schemeClr w14:val="tx1"/>
                            </w14:solidFill>
                          </w14:textFill>
                        </w:rPr>
                      </w:pPr>
                      <w:r>
                        <w:rPr>
                          <w:rFonts w:hint="eastAsia"/>
                          <w:color w:val="000000" w:themeColor="text1"/>
                          <w:sz w:val="10"/>
                          <w:szCs w:val="13"/>
                          <w14:textFill>
                            <w14:solidFill>
                              <w14:schemeClr w14:val="tx1"/>
                            </w14:solidFill>
                          </w14:textFill>
                        </w:rPr>
                        <w:t>项目终点</w:t>
                      </w:r>
                    </w:p>
                  </w:txbxContent>
                </v:textbox>
              </v:shape>
            </w:pict>
          </mc:Fallback>
        </mc:AlternateContent>
      </w:r>
    </w:p>
    <w:p>
      <w:pPr>
        <w:pStyle w:val="122"/>
        <w:rPr>
          <w:lang w:val="zh-CN"/>
        </w:rPr>
      </w:pPr>
      <w:r>
        <w:rPr>
          <w:rFonts w:hint="eastAsia"/>
          <w:lang w:val="zh-CN"/>
        </w:rPr>
        <w:t>项目与福清市乡村道公路网规划位置关系图</w:t>
      </w:r>
    </w:p>
    <w:p>
      <w:pPr>
        <w:pStyle w:val="857"/>
        <w:rPr>
          <w:kern w:val="0"/>
          <w:lang w:val="zh-CN"/>
        </w:rPr>
      </w:pPr>
    </w:p>
    <w:p>
      <w:pPr>
        <w:pStyle w:val="118"/>
        <w:rPr>
          <w:lang w:val="zh-CN"/>
        </w:rPr>
      </w:pPr>
      <w:r>
        <w:rPr>
          <w:rFonts w:hint="eastAsia"/>
          <w:lang w:val="zh-CN"/>
        </w:rPr>
        <w:t>与福清市国土空间规划符合性分析</w:t>
      </w:r>
    </w:p>
    <w:p>
      <w:pPr>
        <w:ind w:firstLine="480"/>
      </w:pPr>
      <w:r>
        <w:rPr>
          <w:rFonts w:hint="eastAsia"/>
        </w:rPr>
        <w:t>（1）主体功能区划</w:t>
      </w:r>
    </w:p>
    <w:p>
      <w:pPr>
        <w:ind w:firstLine="480"/>
      </w:pPr>
      <w:r>
        <w:rPr>
          <w:rFonts w:hint="eastAsia"/>
        </w:rPr>
        <w:t>《福清市国土空间总体规划（2021-2035 年）》（报批稿）提出：规划“一轴两湾五组团”的国土空间格局。一轴：龙江城市综合发展轴；两湾：福清湾生态宜居湾、江阴湾临港产业湾；五组团：中心城区组团、元洪港城组团、江阴港城组团、龙高半岛城镇组团、西北部特色生态组团。</w:t>
      </w:r>
    </w:p>
    <w:p>
      <w:pPr>
        <w:ind w:firstLine="480"/>
        <w:rPr>
          <w:lang w:val="zh-CN"/>
        </w:rPr>
      </w:pPr>
      <w:r>
        <w:rPr>
          <w:rFonts w:hint="eastAsia"/>
          <w:lang w:val="zh-CN"/>
        </w:rPr>
        <w:t>（</w:t>
      </w:r>
      <w:r>
        <w:rPr>
          <w:lang w:val="zh-CN"/>
        </w:rPr>
        <w:t>2</w:t>
      </w:r>
      <w:r>
        <w:rPr>
          <w:rFonts w:hint="eastAsia"/>
          <w:lang w:val="zh-CN"/>
        </w:rPr>
        <w:t>）三区三线</w:t>
      </w:r>
    </w:p>
    <w:p>
      <w:pPr>
        <w:ind w:firstLine="480"/>
      </w:pPr>
      <w:r>
        <w:rPr>
          <w:rFonts w:hint="eastAsia"/>
        </w:rPr>
        <w:t>坚持底线思维，以国土空间规划为依据，将“三区三线”作为调整经济结构、规划产业发展、推进城镇化不可逾越的红线。</w:t>
      </w:r>
    </w:p>
    <w:p>
      <w:pPr>
        <w:ind w:firstLine="480"/>
      </w:pPr>
      <w:r>
        <w:rPr>
          <w:rFonts w:hint="eastAsia"/>
        </w:rPr>
        <w:t>（</w:t>
      </w:r>
      <w:r>
        <w:t>3</w:t>
      </w:r>
      <w:r>
        <w:rPr>
          <w:rFonts w:hint="eastAsia"/>
        </w:rPr>
        <w:t>）生态保护格局</w:t>
      </w:r>
    </w:p>
    <w:p>
      <w:pPr>
        <w:ind w:firstLine="480"/>
      </w:pPr>
      <w:r>
        <w:rPr>
          <w:rFonts w:hint="eastAsia"/>
        </w:rPr>
        <w:t>《福清市国土空间总体规划（2021-2035 年）》市域层面构建 “一屏、一带、两廊、三区”的生态安全格局。一屏：西北部戴云山支脉生态屏障；一带：东部陆海交互生态带；两廊：龙江流域生态廊道、中部山海生态廊道；三区：灵石山-石竹山生态保育区、兴化湾水鸟自然保护区、福清湾湿地生态保育区。</w:t>
      </w:r>
    </w:p>
    <w:p>
      <w:pPr>
        <w:ind w:firstLine="480"/>
        <w:rPr>
          <w:lang w:val="zh-CN"/>
        </w:rPr>
      </w:pPr>
      <w:r>
        <w:rPr>
          <w:rFonts w:hint="eastAsia"/>
          <w:lang w:val="zh-CN"/>
        </w:rPr>
        <w:t>（4）协调性分析</w:t>
      </w:r>
    </w:p>
    <w:p>
      <w:pPr>
        <w:ind w:firstLine="480"/>
      </w:pPr>
      <w:r>
        <w:rPr>
          <w:rFonts w:hint="eastAsia"/>
        </w:rPr>
        <w:t>①</w:t>
      </w:r>
      <w:r>
        <w:rPr>
          <w:rFonts w:hint="eastAsia" w:cs="Times New Roman"/>
          <w:shd w:val="clear" w:color="auto" w:fill="FFFFFF"/>
        </w:rPr>
        <w:t>路线起于上迳镇牌边村，终点至黄檗山万福寺</w:t>
      </w:r>
      <w:r>
        <w:rPr>
          <w:rFonts w:hint="eastAsia"/>
        </w:rPr>
        <w:t>。项目属于基础设施建设项目，有助于改善区域交通条件，符合国土空间规划的主体功能区划要求；</w:t>
      </w:r>
    </w:p>
    <w:p>
      <w:pPr>
        <w:ind w:firstLine="480"/>
      </w:pPr>
      <w:bookmarkStart w:id="381" w:name="_Hlk179797467"/>
      <w:r>
        <w:rPr>
          <w:rFonts w:hint="eastAsia"/>
        </w:rPr>
        <w:t>②</w:t>
      </w:r>
      <w:bookmarkEnd w:id="381"/>
      <w:r>
        <w:rPr>
          <w:rFonts w:hint="eastAsia"/>
        </w:rPr>
        <w:t>经核对及叠图分析，项目永久占地、临时占地均不涉及基本农田和生态保护红线，不会造成生态保护红线生态功能降低、面积减少、性质的改变，对生态红线区域环境影响较小，符合三区三线要求。项目与生态保护红线情况详见</w:t>
      </w:r>
      <w:r>
        <w:fldChar w:fldCharType="begin"/>
      </w:r>
      <w:r>
        <w:instrText xml:space="preserve"> </w:instrText>
      </w:r>
      <w:r>
        <w:rPr>
          <w:rFonts w:hint="eastAsia"/>
        </w:rPr>
        <w:instrText xml:space="preserve">REF _Ref193786708 \r \h</w:instrText>
      </w:r>
      <w:r>
        <w:instrText xml:space="preserve"> </w:instrText>
      </w:r>
      <w:r>
        <w:fldChar w:fldCharType="separate"/>
      </w:r>
      <w:r>
        <w:rPr>
          <w:rFonts w:hint="eastAsia"/>
        </w:rPr>
        <w:t>图2.7-4</w:t>
      </w:r>
      <w:r>
        <w:fldChar w:fldCharType="end"/>
      </w:r>
      <w:r>
        <w:rPr>
          <w:rFonts w:hint="eastAsia"/>
        </w:rPr>
        <w:t>。</w:t>
      </w:r>
    </w:p>
    <w:p>
      <w:pPr>
        <w:ind w:firstLine="480"/>
      </w:pPr>
      <w:r>
        <w:rPr>
          <w:rFonts w:hint="eastAsia"/>
        </w:rPr>
        <w:t>综上分析，项目建设符合《福清市国土空间总体规划（2021-2035 年）》。</w:t>
      </w:r>
    </w:p>
    <w:p>
      <w:pPr>
        <w:pStyle w:val="122"/>
        <w:numPr>
          <w:ilvl w:val="0"/>
          <w:numId w:val="0"/>
        </w:numPr>
      </w:pPr>
    </w:p>
    <w:p>
      <w:pPr>
        <w:pStyle w:val="122"/>
        <w:numPr>
          <w:ilvl w:val="0"/>
          <w:numId w:val="0"/>
        </w:numPr>
        <w:rPr>
          <w:lang w:val="zh-CN"/>
        </w:rPr>
      </w:pPr>
    </w:p>
    <w:p>
      <w:pPr>
        <w:ind w:firstLine="480"/>
        <w:rPr>
          <w:rFonts w:cs="Times New Roman"/>
          <w:szCs w:val="24"/>
        </w:rPr>
        <w:sectPr>
          <w:footerReference r:id="rId14" w:type="default"/>
          <w:pgSz w:w="11906" w:h="16838"/>
          <w:pgMar w:top="1418" w:right="1418" w:bottom="1418" w:left="1418" w:header="851" w:footer="851" w:gutter="0"/>
          <w:cols w:space="720" w:num="1"/>
          <w:docGrid w:linePitch="326" w:charSpace="0"/>
        </w:sectPr>
      </w:pPr>
      <w:bookmarkStart w:id="382" w:name="2.9.3.3“三线一单”的符合性分析"/>
      <w:bookmarkEnd w:id="382"/>
    </w:p>
    <w:p>
      <w:pPr>
        <w:pStyle w:val="114"/>
      </w:pPr>
      <w:bookmarkStart w:id="383" w:name="3环境现状调查与评价"/>
      <w:bookmarkEnd w:id="383"/>
      <w:bookmarkStart w:id="384" w:name="_Toc17447"/>
      <w:bookmarkStart w:id="385" w:name="_Toc159405468"/>
      <w:bookmarkStart w:id="386" w:name="_Toc204676241"/>
      <w:r>
        <w:t>环境现状调查与评价</w:t>
      </w:r>
      <w:bookmarkEnd w:id="384"/>
      <w:bookmarkEnd w:id="385"/>
      <w:bookmarkEnd w:id="386"/>
    </w:p>
    <w:p>
      <w:pPr>
        <w:pStyle w:val="116"/>
      </w:pPr>
      <w:bookmarkStart w:id="387" w:name="3.1自然环境现状调查与评价"/>
      <w:bookmarkEnd w:id="387"/>
      <w:bookmarkStart w:id="388" w:name="_Toc154668035"/>
      <w:bookmarkStart w:id="389" w:name="_Toc204676242"/>
      <w:bookmarkStart w:id="390" w:name="_Toc159405469"/>
      <w:r>
        <w:rPr>
          <w:rFonts w:hint="eastAsia"/>
        </w:rPr>
        <w:t>自然环境现状调查</w:t>
      </w:r>
      <w:bookmarkEnd w:id="388"/>
      <w:bookmarkEnd w:id="389"/>
      <w:bookmarkEnd w:id="390"/>
    </w:p>
    <w:p>
      <w:pPr>
        <w:pStyle w:val="120"/>
        <w:rPr>
          <w:color w:val="auto"/>
        </w:rPr>
      </w:pPr>
      <w:r>
        <w:rPr>
          <w:rFonts w:hint="eastAsia"/>
          <w:color w:val="auto"/>
        </w:rPr>
        <w:t>地理位置</w:t>
      </w:r>
    </w:p>
    <w:p>
      <w:pPr>
        <w:ind w:firstLine="480"/>
      </w:pPr>
      <w:r>
        <w:t>福清市为福州市的下辖县级市，位于福建省东部沿海，地理位置为东经119°03′～119°42′，北纬25°18′～25°52′之间。北与长乐</w:t>
      </w:r>
      <w:r>
        <w:rPr>
          <w:rFonts w:hint="eastAsia"/>
        </w:rPr>
        <w:t>区</w:t>
      </w:r>
      <w:r>
        <w:t>、</w:t>
      </w:r>
      <w:r>
        <w:rPr>
          <w:rFonts w:ascii="Segoe UI" w:hAnsi="Segoe UI" w:cs="Segoe UI"/>
        </w:rPr>
        <w:t>闽侯县、永泰县</w:t>
      </w:r>
      <w:r>
        <w:t>交界，西与莆田市毗邻，东隔海坛海峡与平潭县相望，南濒兴化湾与莆田市南日岛遥对。市区总面积244.5km</w:t>
      </w:r>
      <w:r>
        <w:rPr>
          <w:vertAlign w:val="superscript"/>
        </w:rPr>
        <w:t>2</w:t>
      </w:r>
      <w:r>
        <w:t>。</w:t>
      </w:r>
    </w:p>
    <w:p>
      <w:pPr>
        <w:ind w:firstLine="480"/>
        <w:rPr>
          <w:lang w:val="zh-CN"/>
        </w:rPr>
      </w:pPr>
      <w:r>
        <w:rPr>
          <w:rFonts w:hint="eastAsia"/>
          <w:lang w:val="zh-CN"/>
        </w:rPr>
        <w:t>渔溪镇：渔溪镇位于福清市西部，地理坐标为东经119°13´，北纬25°37´，距福清市区19km，到福州64km，至莆田44km。镇区距融侨集装箱码头仅8km，距离江阴开发区15km，离元洪码头35km。渔溪镇内交通十分便捷，境内福厦公路、福泉高速公路以及福厦铁路纵贯南北，地理位置优势凸显。</w:t>
      </w:r>
    </w:p>
    <w:p>
      <w:pPr>
        <w:ind w:firstLine="480"/>
        <w:rPr>
          <w:lang w:val="zh-CN"/>
        </w:rPr>
      </w:pPr>
      <w:r>
        <w:rPr>
          <w:rFonts w:hint="eastAsia"/>
          <w:lang w:val="zh-CN"/>
        </w:rPr>
        <w:t>上迳镇：上迳镇位于福清市西南部。福厦公路、福厦铁路纵贯南北，胶龙公路横穿东西，东抵龙高半岛，南与渔溪镇毗邻，北与宏路街道、龙江街道交界，距城区12公里。</w:t>
      </w:r>
    </w:p>
    <w:p>
      <w:pPr>
        <w:ind w:firstLine="480"/>
        <w:rPr>
          <w:lang w:val="zh-CN"/>
        </w:rPr>
      </w:pPr>
      <w:r>
        <w:rPr>
          <w:rFonts w:hint="eastAsia"/>
          <w:lang w:val="zh-CN"/>
        </w:rPr>
        <w:t>拟建项目位于福建省福清市渔溪镇、上迳镇，所在走廊带内现有福厦高铁、沈海高速、多条县道村道。</w:t>
      </w:r>
    </w:p>
    <w:p>
      <w:pPr>
        <w:pStyle w:val="105"/>
        <w:rPr>
          <w:rFonts w:hint="eastAsia" w:eastAsia="宋体"/>
          <w:lang w:val="zh-CN" w:eastAsia="zh-CN"/>
        </w:rPr>
      </w:pPr>
    </w:p>
    <w:p>
      <w:pPr>
        <w:pStyle w:val="122"/>
        <w:rPr>
          <w:lang w:val="zh-CN"/>
        </w:rPr>
      </w:pPr>
      <w:r>
        <w:rPr>
          <w:rFonts w:hint="eastAsia"/>
          <w:lang w:val="zh-CN"/>
        </w:rPr>
        <w:t>项目所在地理位置图</w:t>
      </w:r>
    </w:p>
    <w:p>
      <w:pPr>
        <w:ind w:firstLine="480"/>
        <w:rPr>
          <w:lang w:val="zh-CN"/>
        </w:rPr>
      </w:pPr>
    </w:p>
    <w:p>
      <w:pPr>
        <w:pStyle w:val="120"/>
        <w:rPr>
          <w:color w:val="auto"/>
        </w:rPr>
      </w:pPr>
      <w:bookmarkStart w:id="391" w:name="3.1.2地形地貌"/>
      <w:bookmarkEnd w:id="391"/>
      <w:r>
        <w:rPr>
          <w:color w:val="auto"/>
        </w:rPr>
        <w:t>地形地貌</w:t>
      </w:r>
    </w:p>
    <w:p>
      <w:pPr>
        <w:ind w:firstLine="480"/>
      </w:pPr>
      <w:r>
        <w:t>福清位于戴云山脉和滨海平原之间的过渡地带，丘陵、山地占有很大的比例，地质基础较为复杂，地域分异巨大。境内地形以丘陵低山为主，其面积占全境的4/5；平原和河谷盆地小而零散，面积占全境1/5。西部、北部多山，属戴云山向东蜿蜒的支脉，山峦重叠，海拔多超过500</w:t>
      </w:r>
      <w:r>
        <w:rPr>
          <w:rFonts w:hint="eastAsia"/>
        </w:rPr>
        <w:t>m</w:t>
      </w:r>
      <w:r>
        <w:t>。其中罗汉山、齐云山、后溪山等超过800米；古崖山海拔1000.3</w:t>
      </w:r>
      <w:r>
        <w:rPr>
          <w:rFonts w:hint="eastAsia"/>
        </w:rPr>
        <w:t>m</w:t>
      </w:r>
      <w:r>
        <w:t>，是全境最高峰。地势西北高、东南低，渔溪、迳江、三叉河等江流大都向东或向东南注入福清湾或兴化湾。福清城市市区所辖范围，主要为低山丘陵，适宜建设用地集中于谷内洪积－冲积平原。</w:t>
      </w:r>
    </w:p>
    <w:p>
      <w:pPr>
        <w:ind w:firstLine="480"/>
        <w:rPr>
          <w:lang w:val="zh-CN"/>
        </w:rPr>
      </w:pPr>
      <w:r>
        <w:rPr>
          <w:rFonts w:ascii="Segoe UI" w:hAnsi="Segoe UI" w:cs="Segoe UI"/>
        </w:rPr>
        <w:t>拟建路线方案所处地形地貌较复杂</w:t>
      </w:r>
      <w:r>
        <w:rPr>
          <w:rFonts w:hint="eastAsia"/>
          <w:lang w:val="zh-CN"/>
        </w:rPr>
        <w:t>，主要有冲洪积平原、河流（阶地）地貌、丘陵地貌，地形起伏局部稍大，绝大部分的绝对海拔高度在30m以内，相对高差一般在10m以内。</w:t>
      </w:r>
    </w:p>
    <w:p>
      <w:pPr>
        <w:ind w:firstLine="480"/>
        <w:rPr>
          <w:lang w:val="zh-CN"/>
        </w:rPr>
      </w:pPr>
      <w:r>
        <w:rPr>
          <w:rFonts w:hint="eastAsia"/>
          <w:lang w:val="zh-CN"/>
        </w:rPr>
        <w:t>丘陵地貌区多呈浑圆形平顶状，地势稍陡，地形坡度一般5~15°，局部达15~25°，其海拔高度10至25m不等，相对高差小于15m。侏罗系南园组凝灰熔岩构成，风化均匀性差，钻探揭露有孤石发育。</w:t>
      </w:r>
    </w:p>
    <w:p>
      <w:pPr>
        <w:ind w:firstLine="480"/>
        <w:rPr>
          <w:lang w:val="zh-CN"/>
        </w:rPr>
      </w:pPr>
      <w:r>
        <w:rPr>
          <w:rFonts w:hint="eastAsia"/>
          <w:lang w:val="zh-CN"/>
        </w:rPr>
        <w:t>冲洪积平原为沿线路分布的主要地貌区，地势开阔平坦，地表分布较多旱田和既有道路，地表多为硬化路面和硬壳土层，下伏地层则主要由粘性土、卵石组成。</w:t>
      </w:r>
    </w:p>
    <w:p>
      <w:pPr>
        <w:pStyle w:val="120"/>
        <w:rPr>
          <w:color w:val="auto"/>
        </w:rPr>
      </w:pPr>
      <w:bookmarkStart w:id="392" w:name="3.1.3地层地质"/>
      <w:bookmarkEnd w:id="392"/>
      <w:r>
        <w:rPr>
          <w:color w:val="auto"/>
        </w:rPr>
        <w:t>地层地质</w:t>
      </w:r>
    </w:p>
    <w:p>
      <w:pPr>
        <w:ind w:firstLine="480"/>
      </w:pPr>
      <w:bookmarkStart w:id="393" w:name="OLE_LINK2"/>
      <w:r>
        <w:rPr>
          <w:rFonts w:hint="eastAsia"/>
        </w:rPr>
        <w:t>根据岩土的地质年代、成因类型、工程地质性质，将地基土划分为若干个工程地质层组，主要包括第四系堆积物和前第四系基岩。</w:t>
      </w:r>
    </w:p>
    <w:p>
      <w:pPr>
        <w:ind w:firstLine="480"/>
      </w:pPr>
      <w:r>
        <w:rPr>
          <w:rFonts w:hint="eastAsia"/>
        </w:rPr>
        <w:t>（1）第四系堆积物主要有：第四系全新统冲洪积层（Q4al+pl）耕植土、粉质粘土、卵石，第四系人工堆积层（Q4me）素填土、局部发育填石，第四系残坡积层（Qel-dl）坡积含碎石粉质粘土、残积砂质黏性土。</w:t>
      </w:r>
    </w:p>
    <w:p>
      <w:pPr>
        <w:ind w:firstLine="480"/>
      </w:pPr>
      <w:r>
        <w:rPr>
          <w:rFonts w:hint="eastAsia"/>
        </w:rPr>
        <w:t>（2）前第四系地层：侏罗系晚期南园组凝灰熔岩及其风化层（J3n）。包括中、微风化凝灰熔岩及其强风化层，各层位具体的变化详见沿线工程地质纵断面图和钻孔柱状图。</w:t>
      </w:r>
    </w:p>
    <w:bookmarkEnd w:id="393"/>
    <w:p>
      <w:pPr>
        <w:pStyle w:val="120"/>
        <w:rPr>
          <w:color w:val="auto"/>
        </w:rPr>
      </w:pPr>
      <w:bookmarkStart w:id="394" w:name="3.1.5水文地质"/>
      <w:bookmarkEnd w:id="394"/>
      <w:r>
        <w:rPr>
          <w:rFonts w:hint="eastAsia"/>
          <w:color w:val="auto"/>
        </w:rPr>
        <w:t>地表水系</w:t>
      </w:r>
      <w:r>
        <w:rPr>
          <w:color w:val="auto"/>
        </w:rPr>
        <w:t>概况</w:t>
      </w:r>
    </w:p>
    <w:p>
      <w:pPr>
        <w:ind w:firstLine="480"/>
      </w:pPr>
      <w:r>
        <w:rPr>
          <w:rFonts w:hint="eastAsia"/>
        </w:rPr>
        <w:t>迳江（六亩河）位于渔溪之北，河道主要有两源，一源在大帽山东麓，一源在罗汉山东麓，根据水行政主管部门意见，罗汉山东麓途径香城水库这一源为迳江干流。迳江干流发源于罗山山东麓，上游仅有香城水库这一水利工程，位于渔溪镇侨丰村，坝址以上集雨面积6.0km2，河道长3.31km，河道平均比降66.8‰。水流自香城水库流出后，从西北向东南穿过G15沈海高速桥，在洋头村附近转向西南，经过侨丰村、岭脚村、李园村，于王房村后郑桥附近接纳来自大帽山东麓的支流后继续东流，经上迳镇的牌边、海头，又与源于玻璃岭的支流相汇，在上迳入迳港。所在流域水系分布详见</w:t>
      </w:r>
      <w:r>
        <w:fldChar w:fldCharType="begin"/>
      </w:r>
      <w:r>
        <w:instrText xml:space="preserve"> </w:instrText>
      </w:r>
      <w:r>
        <w:rPr>
          <w:rFonts w:hint="eastAsia"/>
        </w:rPr>
        <w:instrText xml:space="preserve">REF _Ref190250949 \r \h</w:instrText>
      </w:r>
      <w:r>
        <w:instrText xml:space="preserve"> </w:instrText>
      </w:r>
      <w:r>
        <w:fldChar w:fldCharType="separate"/>
      </w:r>
      <w:r>
        <w:rPr>
          <w:rFonts w:hint="eastAsia"/>
        </w:rPr>
        <w:t>图4.1-2</w:t>
      </w:r>
      <w:r>
        <w:fldChar w:fldCharType="end"/>
      </w:r>
      <w:r>
        <w:rPr>
          <w:rFonts w:hint="eastAsia"/>
        </w:rPr>
        <w:t>。迳江主河道长19.91km，流域面积48.66km2，河道坡降为7.91‰。</w:t>
      </w:r>
    </w:p>
    <w:p>
      <w:pPr>
        <w:pStyle w:val="105"/>
        <w:rPr>
          <w:rFonts w:hint="eastAsia" w:eastAsia="宋体"/>
          <w:lang w:eastAsia="zh-CN"/>
        </w:rPr>
      </w:pPr>
      <w:r>
        <mc:AlternateContent>
          <mc:Choice Requires="wps">
            <w:drawing>
              <wp:anchor distT="0" distB="0" distL="114300" distR="114300" simplePos="0" relativeHeight="251731968" behindDoc="0" locked="0" layoutInCell="1" allowOverlap="1">
                <wp:simplePos x="0" y="0"/>
                <wp:positionH relativeFrom="column">
                  <wp:posOffset>1515110</wp:posOffset>
                </wp:positionH>
                <wp:positionV relativeFrom="paragraph">
                  <wp:posOffset>2920365</wp:posOffset>
                </wp:positionV>
                <wp:extent cx="525780" cy="229870"/>
                <wp:effectExtent l="0" t="381000" r="198120" b="17780"/>
                <wp:wrapNone/>
                <wp:docPr id="22" name="对话气泡: 圆角矩形 22"/>
                <wp:cNvGraphicFramePr/>
                <a:graphic xmlns:a="http://schemas.openxmlformats.org/drawingml/2006/main">
                  <a:graphicData uri="http://schemas.microsoft.com/office/word/2010/wordprocessingShape">
                    <wps:wsp>
                      <wps:cNvSpPr/>
                      <wps:spPr>
                        <a:xfrm>
                          <a:off x="0" y="0"/>
                          <a:ext cx="525780" cy="229870"/>
                        </a:xfrm>
                        <a:prstGeom prst="wedgeRoundRectCallout">
                          <a:avLst>
                            <a:gd name="adj1" fmla="val 73746"/>
                            <a:gd name="adj2" fmla="val -199882"/>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FF0000"/>
                              </w:rPr>
                            </w:pPr>
                            <w:r>
                              <w:rPr>
                                <w:rFonts w:hint="eastAsia"/>
                                <w:b/>
                                <w:bCs/>
                                <w:color w:val="FF0000"/>
                              </w:rPr>
                              <w:t>项目地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圆角矩形 22" o:spid="_x0000_s1026" o:spt="62" type="#_x0000_t62" style="position:absolute;left:0pt;margin-left:119.3pt;margin-top:229.95pt;height:18.1pt;width:41.4pt;z-index:251731968;v-text-anchor:middle;mso-width-relative:page;mso-height-relative:page;" fillcolor="#FFFFFF [3212]" filled="t" stroked="t" coordsize="21600,21600" o:gfxdata="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xt6pL2wAAAAsBAAAPAAAAAAAAAAEAIAAAACIAAABkcnMvZG93bnJldi54bWxQSwECFAAUAAAA&#10;CACHTuJA5QrJkc8CAACMBQAADgAAAAAAAAABACAAAAAqAQAAZHJzL2Uyb0RvYy54bWxQSwUGAAAA&#10;AAYABgBZAQAAawYAAAAA&#10;" adj="26729,-32375,14400">
                <v:fill on="t" focussize="0,0"/>
                <v:stroke weight="1pt" color="#FF0000 [3204]" miterlimit="8" joinstyle="miter"/>
                <v:imagedata o:title=""/>
                <o:lock v:ext="edit" aspectratio="f"/>
                <v:textbox inset="0mm,0mm,0mm,0mm">
                  <w:txbxContent>
                    <w:p>
                      <w:pPr>
                        <w:ind w:firstLine="0" w:firstLineChars="0"/>
                        <w:rPr>
                          <w:b/>
                          <w:bCs/>
                          <w:color w:val="FF0000"/>
                        </w:rPr>
                      </w:pPr>
                      <w:r>
                        <w:rPr>
                          <w:rFonts w:hint="eastAsia"/>
                          <w:b/>
                          <w:bCs/>
                          <w:color w:val="FF0000"/>
                        </w:rPr>
                        <w:t>项目地</w:t>
                      </w:r>
                    </w:p>
                  </w:txbxContent>
                </v:textbox>
              </v:shape>
            </w:pict>
          </mc:Fallback>
        </mc:AlternateContent>
      </w:r>
    </w:p>
    <w:p>
      <w:pPr>
        <w:pStyle w:val="122"/>
      </w:pPr>
      <w:bookmarkStart w:id="395" w:name="_Ref190250949"/>
      <w:r>
        <w:rPr>
          <w:rFonts w:hint="eastAsia"/>
        </w:rPr>
        <w:t>福清市水系图</w:t>
      </w:r>
      <w:bookmarkEnd w:id="395"/>
    </w:p>
    <w:p>
      <w:pPr>
        <w:pStyle w:val="120"/>
        <w:rPr>
          <w:color w:val="auto"/>
        </w:rPr>
      </w:pPr>
      <w:r>
        <w:rPr>
          <w:color w:val="auto"/>
        </w:rPr>
        <w:t>水文地质</w:t>
      </w:r>
    </w:p>
    <w:p>
      <w:pPr>
        <w:ind w:firstLine="480"/>
        <w:rPr>
          <w:lang w:val="zh-CN"/>
        </w:rPr>
      </w:pPr>
      <w:bookmarkStart w:id="396" w:name="3.1.6气候气象"/>
      <w:bookmarkEnd w:id="396"/>
      <w:r>
        <w:rPr>
          <w:rFonts w:hint="eastAsia"/>
          <w:lang w:val="zh-CN"/>
        </w:rPr>
        <w:t>（1）地下水</w:t>
      </w:r>
    </w:p>
    <w:p>
      <w:pPr>
        <w:ind w:firstLine="480"/>
        <w:rPr>
          <w:lang w:val="zh-CN"/>
        </w:rPr>
      </w:pPr>
      <w:r>
        <w:rPr>
          <w:rFonts w:hint="eastAsia"/>
          <w:lang w:val="zh-CN"/>
        </w:rPr>
        <w:t>拟建项目跨越冲洪积平原、丘陵地貌，按地下水的赋存条件、水理性质及水力特征分为第四系松散岩类孔隙水、风化带网状孔隙裂隙水、基岩构造裂隙水3种类型。</w:t>
      </w:r>
    </w:p>
    <w:p>
      <w:pPr>
        <w:ind w:firstLine="480"/>
        <w:rPr>
          <w:lang w:val="zh-CN"/>
        </w:rPr>
      </w:pPr>
      <w:r>
        <w:rPr>
          <w:rFonts w:hint="eastAsia"/>
          <w:lang w:val="zh-CN"/>
        </w:rPr>
        <w:t>①第四系松散岩类孔隙水：分布于全线冲洪积地貌区，含水层主要为第四系卵石层，富水性较好，水量中等～丰富，单孔涌水量一般150～200m</w:t>
      </w:r>
      <w:r>
        <w:rPr>
          <w:rFonts w:hint="eastAsia"/>
          <w:vertAlign w:val="superscript"/>
          <w:lang w:val="zh-CN"/>
        </w:rPr>
        <w:t>3</w:t>
      </w:r>
      <w:r>
        <w:rPr>
          <w:rFonts w:hint="eastAsia"/>
          <w:lang w:val="zh-CN"/>
        </w:rPr>
        <w:t>/d，大者可达300m</w:t>
      </w:r>
      <w:r>
        <w:rPr>
          <w:rFonts w:hint="eastAsia"/>
          <w:vertAlign w:val="superscript"/>
          <w:lang w:val="zh-CN"/>
        </w:rPr>
        <w:t>3</w:t>
      </w:r>
      <w:r>
        <w:rPr>
          <w:rFonts w:hint="eastAsia"/>
          <w:lang w:val="zh-CN"/>
        </w:rPr>
        <w:t>/d以上。主要接受大气降水入渗补给及周围孔隙裂隙水的侧向补给，水位埋深一般0～1m，地下水水位标高与地形形态大致相同，属潜水。</w:t>
      </w:r>
    </w:p>
    <w:p>
      <w:pPr>
        <w:ind w:firstLine="480"/>
        <w:rPr>
          <w:lang w:val="zh-CN"/>
        </w:rPr>
      </w:pPr>
      <w:r>
        <w:rPr>
          <w:rFonts w:hint="eastAsia"/>
          <w:lang w:val="zh-CN"/>
        </w:rPr>
        <w:t>②风化带网状孔隙裂隙水：主要分布于第四系更新统残坡积层、强风化岩层网状孔隙、裂隙中，接受大气降水和基岩裂隙水补给，富水性差，地下水位及涌水量受大气降水季节控制明显，变化大，一般单井涌水量小于10m3/d，在强风化层厚度较大的地段，单井涌水量可能大于50m3/d，水位埋深一般2～6.5m，属潜水。</w:t>
      </w:r>
    </w:p>
    <w:p>
      <w:pPr>
        <w:ind w:firstLine="480"/>
        <w:rPr>
          <w:lang w:val="zh-CN"/>
        </w:rPr>
      </w:pPr>
      <w:r>
        <w:rPr>
          <w:rFonts w:hint="eastAsia"/>
          <w:lang w:val="zh-CN"/>
        </w:rPr>
        <w:t>③基岩构造裂隙水：主要赋存于线路沿线基岩中，含水层为基岩中的各种构造裂隙，主要接受大气降水和上部其它含水层的补给，大多数路段构造裂隙水量一般较小，其泉流量一般小于0.1l/s，富水性差，水量贫乏。但在规模较大的破碎带，地下水富集，富水性较好，水量中等。</w:t>
      </w:r>
    </w:p>
    <w:p>
      <w:pPr>
        <w:ind w:firstLine="480"/>
        <w:rPr>
          <w:lang w:val="zh-CN"/>
        </w:rPr>
      </w:pPr>
      <w:r>
        <w:rPr>
          <w:rFonts w:hint="eastAsia"/>
          <w:lang w:val="zh-CN"/>
        </w:rPr>
        <w:t>（2）地下水的补给、径流及排泄</w:t>
      </w:r>
    </w:p>
    <w:p>
      <w:pPr>
        <w:ind w:firstLine="480"/>
        <w:rPr>
          <w:lang w:val="zh-CN"/>
        </w:rPr>
      </w:pPr>
      <w:r>
        <w:rPr>
          <w:rFonts w:hint="eastAsia"/>
          <w:lang w:val="zh-CN"/>
        </w:rPr>
        <w:t>沿线地下水的补、迳、排条件主要受本区的地形、地貌、地层岩性制约。丘陵地貌区，植被发育，地形切割强烈，地下水径流途径短，排泄条件好，多以侧向排泄补给沟谷、冲沟或以泉的形式排泄，局部路段直接排入前述溪流中。降雨渗入及溪流补给是本区地下水的主要补给来源，地下水动态受降水影响较为明显。</w:t>
      </w:r>
    </w:p>
    <w:p>
      <w:pPr>
        <w:pStyle w:val="120"/>
        <w:rPr>
          <w:color w:val="auto"/>
        </w:rPr>
      </w:pPr>
      <w:r>
        <w:rPr>
          <w:color w:val="auto"/>
        </w:rPr>
        <w:t>气候气象</w:t>
      </w:r>
    </w:p>
    <w:p>
      <w:pPr>
        <w:ind w:firstLine="480"/>
        <w:rPr>
          <w:lang w:val="zh-CN"/>
        </w:rPr>
      </w:pPr>
      <w:r>
        <w:rPr>
          <w:rFonts w:hint="eastAsia"/>
          <w:lang w:val="zh-CN"/>
        </w:rPr>
        <w:t>项目区属南亚热带海洋性季风气候，夏长暖热，冬短温和。冰雪罕见，季风显著，台风活动频繁；夏季以西南风为主，冬季以东北风为主，风力一般为5~6级，最大9~10级。春夏间有梅雨，利于农业；夏秋有台风，带来雨水，对干旱能起到缓解作用。根据福清市气象站统计资料：</w:t>
      </w:r>
    </w:p>
    <w:p>
      <w:pPr>
        <w:ind w:firstLine="480"/>
        <w:rPr>
          <w:lang w:val="zh-CN"/>
        </w:rPr>
      </w:pPr>
      <w:r>
        <w:rPr>
          <w:rFonts w:hint="eastAsia"/>
          <w:lang w:val="zh-CN"/>
        </w:rPr>
        <w:t>项目区多年平均气温19.7℃，极端最高气温39.9℃，极端最低气温-1.2℃；无霜期354天，多年平均相对湿度78%；多年平均风速3.0m/s，最大风速22.0m/s，年最大风速均值13.9m/s。流域多年平均降水量1300mm，其中80%以上的降雨量集中在4~10月份，降水地区分布不均，总的趋势是由东南沿海向西北方向呈递增，年蒸发量2049mm。</w:t>
      </w:r>
    </w:p>
    <w:p>
      <w:pPr>
        <w:ind w:firstLine="480"/>
        <w:rPr>
          <w:lang w:val="zh-CN"/>
        </w:rPr>
      </w:pPr>
      <w:r>
        <w:rPr>
          <w:rFonts w:hint="eastAsia"/>
          <w:lang w:val="zh-CN"/>
        </w:rPr>
        <w:t>上迳镇上游属山区地形，地处暴雨中心边缘，各历时暴雨强度较大，大暴雨主要来源于台风，洪水多由这些持续时间短而强度大的暴雨形成，因此其洪峰模数要比邻近流域相应频率的洪峰模数大。</w:t>
      </w:r>
    </w:p>
    <w:p>
      <w:pPr>
        <w:pStyle w:val="120"/>
        <w:rPr>
          <w:color w:val="auto"/>
        </w:rPr>
      </w:pPr>
      <w:bookmarkStart w:id="397" w:name="3.1.8土壤类型"/>
      <w:bookmarkEnd w:id="397"/>
      <w:bookmarkStart w:id="398" w:name="3.1.7水文概况"/>
      <w:bookmarkEnd w:id="398"/>
      <w:r>
        <w:rPr>
          <w:color w:val="auto"/>
        </w:rPr>
        <w:t>土壤</w:t>
      </w:r>
      <w:r>
        <w:rPr>
          <w:rFonts w:hint="eastAsia"/>
          <w:color w:val="auto"/>
        </w:rPr>
        <w:t>和植被</w:t>
      </w:r>
    </w:p>
    <w:p>
      <w:pPr>
        <w:ind w:firstLine="484"/>
        <w:rPr>
          <w:rFonts w:cs="Times New Roman"/>
          <w:lang w:val="zh-CN"/>
        </w:rPr>
      </w:pPr>
      <w:r>
        <w:rPr>
          <w:spacing w:val="2"/>
        </w:rPr>
        <w:t>项目区土壤为红壤。丘陵区覆盖层相对较薄，形成以红壤、水</w:t>
      </w:r>
      <w:r>
        <w:rPr>
          <w:spacing w:val="1"/>
        </w:rPr>
        <w:t>稻土为主的</w:t>
      </w:r>
      <w:r>
        <w:rPr>
          <w:rFonts w:eastAsia="Times New Roman" w:cs="Times New Roman"/>
          <w:spacing w:val="1"/>
        </w:rPr>
        <w:t>3</w:t>
      </w:r>
      <w:r>
        <w:rPr>
          <w:spacing w:val="1"/>
        </w:rPr>
        <w:t>种土</w:t>
      </w:r>
      <w:r>
        <w:t>壤类型。其中以红壤为最多，水稻土次之。红壤的发育程度不尽相同，又可分为准红壤</w:t>
      </w:r>
      <w:r>
        <w:rPr>
          <w:spacing w:val="-7"/>
        </w:rPr>
        <w:t>和灰化红壤两个亚类。水稻土，由于以水分为主的供给情况不同，引起土壤发育上的差</w:t>
      </w:r>
      <w:r>
        <w:rPr>
          <w:spacing w:val="-6"/>
        </w:rPr>
        <w:t>异，又可分为潴育性水稻土和潜育性水稻土两亚类，此外还有冲积土、黄壤。本项目建</w:t>
      </w:r>
      <w:r>
        <w:rPr>
          <w:spacing w:val="-2"/>
        </w:rPr>
        <w:t>设范围内土壤主要类型为红壤</w:t>
      </w:r>
      <w:r>
        <w:rPr>
          <w:rFonts w:hint="eastAsia"/>
          <w:spacing w:val="-2"/>
        </w:rPr>
        <w:t>。</w:t>
      </w:r>
    </w:p>
    <w:p>
      <w:pPr>
        <w:ind w:firstLine="480"/>
        <w:rPr>
          <w:rFonts w:cs="Times New Roman"/>
          <w:szCs w:val="24"/>
          <w:lang w:val="zh-CN"/>
        </w:rPr>
      </w:pPr>
      <w:r>
        <w:rPr>
          <w:rFonts w:hint="eastAsia" w:cs="Times New Roman"/>
          <w:szCs w:val="24"/>
          <w:lang w:val="zh-CN"/>
        </w:rPr>
        <w:t>项目区植被类型属中亚热带常绿阔叶林带，根据调查，可分为 9 个类型，20 个群 系，27  个群落，由于人类生产、生活活动频繁，现仅存亚热带雨林残迹，主要有以马 尾松、杉木、湿地松为主要树种的群落，还有木麻黄林、相思树林及经济林等。项目 占地范围内植被主要以龙眼树、灌木丛和杂草为主。</w:t>
      </w:r>
    </w:p>
    <w:p>
      <w:pPr>
        <w:pStyle w:val="120"/>
        <w:rPr>
          <w:color w:val="auto"/>
        </w:rPr>
      </w:pPr>
      <w:bookmarkStart w:id="399" w:name="3.1.9资源概况"/>
      <w:bookmarkEnd w:id="399"/>
      <w:r>
        <w:rPr>
          <w:color w:val="auto"/>
        </w:rPr>
        <w:t>水土流失现</w:t>
      </w:r>
      <w:r>
        <w:rPr>
          <w:color w:val="auto"/>
          <w:spacing w:val="5"/>
        </w:rPr>
        <w:t>状</w:t>
      </w:r>
    </w:p>
    <w:p>
      <w:pPr>
        <w:ind w:firstLine="490"/>
        <w:rPr>
          <w:spacing w:val="-4"/>
        </w:rPr>
      </w:pPr>
      <w:r>
        <w:rPr>
          <w:spacing w:val="5"/>
        </w:rPr>
        <w:t>根据福建省水利厅发布的《</w:t>
      </w:r>
      <w:r>
        <w:rPr>
          <w:rFonts w:eastAsia="Times New Roman" w:cs="Times New Roman"/>
          <w:spacing w:val="5"/>
        </w:rPr>
        <w:t xml:space="preserve">2022  </w:t>
      </w:r>
      <w:r>
        <w:rPr>
          <w:spacing w:val="5"/>
        </w:rPr>
        <w:t>年福建省水土保持公</w:t>
      </w:r>
      <w:r>
        <w:rPr>
          <w:spacing w:val="4"/>
        </w:rPr>
        <w:t>报》， 福清市土地总面积</w:t>
      </w:r>
      <w:r>
        <w:t xml:space="preserve"> </w:t>
      </w:r>
      <w:r>
        <w:rPr>
          <w:rFonts w:eastAsia="Times New Roman" w:cs="Times New Roman"/>
          <w:spacing w:val="6"/>
        </w:rPr>
        <w:t>1518</w:t>
      </w:r>
      <w:r>
        <w:rPr>
          <w:rFonts w:eastAsia="Times New Roman" w:cs="Times New Roman"/>
        </w:rPr>
        <w:t>km</w:t>
      </w:r>
      <w:r>
        <w:rPr>
          <w:rFonts w:eastAsia="Times New Roman" w:cs="Times New Roman"/>
          <w:spacing w:val="6"/>
        </w:rPr>
        <w:t>²</w:t>
      </w:r>
      <w:r>
        <w:rPr>
          <w:spacing w:val="6"/>
        </w:rPr>
        <w:t>,</w:t>
      </w:r>
      <w:r>
        <w:rPr>
          <w:spacing w:val="47"/>
        </w:rPr>
        <w:t xml:space="preserve"> </w:t>
      </w:r>
      <w:r>
        <w:rPr>
          <w:spacing w:val="6"/>
        </w:rPr>
        <w:t xml:space="preserve">水土流失面积 </w:t>
      </w:r>
      <w:r>
        <w:rPr>
          <w:rFonts w:eastAsia="Times New Roman" w:cs="Times New Roman"/>
          <w:spacing w:val="6"/>
        </w:rPr>
        <w:t>99.90</w:t>
      </w:r>
      <w:r>
        <w:rPr>
          <w:rFonts w:eastAsia="Times New Roman" w:cs="Times New Roman"/>
        </w:rPr>
        <w:t>km</w:t>
      </w:r>
      <w:r>
        <w:rPr>
          <w:rFonts w:eastAsia="Times New Roman" w:cs="Times New Roman"/>
          <w:spacing w:val="6"/>
        </w:rPr>
        <w:t>²</w:t>
      </w:r>
      <w:r>
        <w:rPr>
          <w:spacing w:val="6"/>
        </w:rPr>
        <w:t>,</w:t>
      </w:r>
      <w:r>
        <w:rPr>
          <w:spacing w:val="87"/>
        </w:rPr>
        <w:t xml:space="preserve"> </w:t>
      </w:r>
      <w:r>
        <w:rPr>
          <w:spacing w:val="5"/>
        </w:rPr>
        <w:t xml:space="preserve">占土地总面积的 </w:t>
      </w:r>
      <w:r>
        <w:rPr>
          <w:rFonts w:eastAsia="Times New Roman" w:cs="Times New Roman"/>
          <w:spacing w:val="5"/>
        </w:rPr>
        <w:t>6.58%</w:t>
      </w:r>
      <w:r>
        <w:rPr>
          <w:spacing w:val="5"/>
        </w:rPr>
        <w:t>。其中，</w:t>
      </w:r>
      <w:r>
        <w:rPr>
          <w:spacing w:val="-67"/>
        </w:rPr>
        <w:t xml:space="preserve"> </w:t>
      </w:r>
      <w:r>
        <w:rPr>
          <w:spacing w:val="5"/>
        </w:rPr>
        <w:t>轻度流失面积</w:t>
      </w:r>
      <w:r>
        <w:t xml:space="preserve"> </w:t>
      </w:r>
      <w:r>
        <w:rPr>
          <w:rFonts w:eastAsia="Times New Roman" w:cs="Times New Roman"/>
          <w:spacing w:val="3"/>
        </w:rPr>
        <w:t>90.89</w:t>
      </w:r>
      <w:r>
        <w:rPr>
          <w:rFonts w:eastAsia="Times New Roman" w:cs="Times New Roman"/>
        </w:rPr>
        <w:t>km</w:t>
      </w:r>
      <w:r>
        <w:rPr>
          <w:rFonts w:eastAsia="Times New Roman" w:cs="Times New Roman"/>
          <w:spacing w:val="3"/>
        </w:rPr>
        <w:t>²</w:t>
      </w:r>
      <w:r>
        <w:rPr>
          <w:spacing w:val="3"/>
        </w:rPr>
        <w:t>,</w:t>
      </w:r>
      <w:r>
        <w:rPr>
          <w:spacing w:val="86"/>
        </w:rPr>
        <w:t xml:space="preserve"> </w:t>
      </w:r>
      <w:r>
        <w:rPr>
          <w:spacing w:val="3"/>
        </w:rPr>
        <w:t xml:space="preserve">占水土流失面积的 </w:t>
      </w:r>
      <w:r>
        <w:rPr>
          <w:rFonts w:eastAsia="Times New Roman" w:cs="Times New Roman"/>
          <w:spacing w:val="3"/>
        </w:rPr>
        <w:t>90.98%</w:t>
      </w:r>
      <w:r>
        <w:rPr>
          <w:spacing w:val="3"/>
        </w:rPr>
        <w:t>；</w:t>
      </w:r>
      <w:r>
        <w:rPr>
          <w:spacing w:val="-55"/>
        </w:rPr>
        <w:t xml:space="preserve"> </w:t>
      </w:r>
      <w:r>
        <w:rPr>
          <w:spacing w:val="3"/>
        </w:rPr>
        <w:t xml:space="preserve">中度流失面积 </w:t>
      </w:r>
      <w:r>
        <w:rPr>
          <w:rFonts w:eastAsia="Times New Roman" w:cs="Times New Roman"/>
          <w:spacing w:val="3"/>
        </w:rPr>
        <w:t>6.77</w:t>
      </w:r>
      <w:r>
        <w:rPr>
          <w:rFonts w:eastAsia="Times New Roman" w:cs="Times New Roman"/>
        </w:rPr>
        <w:t>km</w:t>
      </w:r>
      <w:r>
        <w:rPr>
          <w:rFonts w:eastAsia="Times New Roman" w:cs="Times New Roman"/>
          <w:spacing w:val="3"/>
        </w:rPr>
        <w:t>²</w:t>
      </w:r>
      <w:r>
        <w:rPr>
          <w:spacing w:val="3"/>
        </w:rPr>
        <w:t>,</w:t>
      </w:r>
      <w:r>
        <w:rPr>
          <w:spacing w:val="79"/>
        </w:rPr>
        <w:t xml:space="preserve"> </w:t>
      </w:r>
      <w:r>
        <w:rPr>
          <w:spacing w:val="3"/>
        </w:rPr>
        <w:t>占水土流失面积的</w:t>
      </w:r>
      <w:r>
        <w:t xml:space="preserve"> </w:t>
      </w:r>
      <w:r>
        <w:rPr>
          <w:rFonts w:eastAsia="Times New Roman" w:cs="Times New Roman"/>
        </w:rPr>
        <w:t>6.78%</w:t>
      </w:r>
      <w:r>
        <w:t xml:space="preserve">；强烈流失面积 </w:t>
      </w:r>
      <w:r>
        <w:rPr>
          <w:rFonts w:eastAsia="Times New Roman" w:cs="Times New Roman"/>
        </w:rPr>
        <w:t>1.32km²</w:t>
      </w:r>
      <w:r>
        <w:rPr>
          <w:rFonts w:hint="eastAsia" w:cs="Times New Roman"/>
        </w:rPr>
        <w:t>，</w:t>
      </w:r>
      <w:r>
        <w:t xml:space="preserve">占水土流失面积的 </w:t>
      </w:r>
      <w:r>
        <w:rPr>
          <w:rFonts w:eastAsia="Times New Roman" w:cs="Times New Roman"/>
        </w:rPr>
        <w:t>1.32%</w:t>
      </w:r>
      <w:r>
        <w:rPr>
          <w:spacing w:val="-1"/>
        </w:rPr>
        <w:t xml:space="preserve">；极强烈流失面积 </w:t>
      </w:r>
      <w:r>
        <w:rPr>
          <w:rFonts w:eastAsia="Times New Roman" w:cs="Times New Roman"/>
          <w:spacing w:val="-1"/>
        </w:rPr>
        <w:t>0.81km²</w:t>
      </w:r>
      <w:r>
        <w:rPr>
          <w:spacing w:val="-1"/>
        </w:rPr>
        <w:t>,</w:t>
      </w:r>
      <w:r>
        <w:t xml:space="preserve">  占水土流失面积的</w:t>
      </w:r>
      <w:r>
        <w:rPr>
          <w:spacing w:val="-43"/>
        </w:rPr>
        <w:t xml:space="preserve"> </w:t>
      </w:r>
      <w:r>
        <w:rPr>
          <w:rFonts w:eastAsia="Times New Roman" w:cs="Times New Roman"/>
        </w:rPr>
        <w:t>0.81%</w:t>
      </w:r>
      <w:r>
        <w:t>；剧烈流失面积</w:t>
      </w:r>
      <w:r>
        <w:rPr>
          <w:spacing w:val="-23"/>
        </w:rPr>
        <w:t xml:space="preserve"> </w:t>
      </w:r>
      <w:r>
        <w:rPr>
          <w:rFonts w:eastAsia="Times New Roman" w:cs="Times New Roman"/>
        </w:rPr>
        <w:t>0.11km²</w:t>
      </w:r>
      <w:r>
        <w:rPr>
          <w:rFonts w:hint="eastAsia" w:cs="Times New Roman"/>
        </w:rPr>
        <w:t>，</w:t>
      </w:r>
      <w:r>
        <w:t>占水土流失面积的</w:t>
      </w:r>
      <w:r>
        <w:rPr>
          <w:spacing w:val="-21"/>
        </w:rPr>
        <w:t xml:space="preserve"> </w:t>
      </w:r>
      <w:r>
        <w:rPr>
          <w:rFonts w:eastAsia="Times New Roman" w:cs="Times New Roman"/>
        </w:rPr>
        <w:t>0.11%</w:t>
      </w:r>
      <w:r>
        <w:t>。项目区水土流失情况详见表</w:t>
      </w:r>
      <w:r>
        <w:rPr>
          <w:spacing w:val="-55"/>
        </w:rPr>
        <w:t xml:space="preserve"> </w:t>
      </w:r>
      <w:r>
        <w:rPr>
          <w:rFonts w:eastAsia="Times New Roman" w:cs="Times New Roman"/>
        </w:rPr>
        <w:t>4.1-1</w:t>
      </w:r>
      <w:r>
        <w:rPr>
          <w:spacing w:val="-4"/>
        </w:rPr>
        <w:t>。</w:t>
      </w:r>
    </w:p>
    <w:p>
      <w:pPr>
        <w:ind w:firstLine="490"/>
      </w:pPr>
      <w:r>
        <w:rPr>
          <w:spacing w:val="5"/>
        </w:rPr>
        <w:t>根据现场勘查，项目区土壤侵蚀以水力侵蚀为主，水土流失类型为南方</w:t>
      </w:r>
      <w:r>
        <w:rPr>
          <w:spacing w:val="4"/>
        </w:rPr>
        <w:t>红壤区，</w:t>
      </w:r>
      <w:r>
        <w:rPr>
          <w:spacing w:val="-1"/>
        </w:rPr>
        <w:t>项目区水土流失容许值</w:t>
      </w:r>
      <w:r>
        <w:rPr>
          <w:rFonts w:eastAsia="Times New Roman"/>
          <w:spacing w:val="-1"/>
        </w:rPr>
        <w:t>500t/</w:t>
      </w:r>
      <w:r>
        <w:rPr>
          <w:spacing w:val="-1"/>
        </w:rPr>
        <w:t>（</w:t>
      </w:r>
      <w:r>
        <w:rPr>
          <w:rFonts w:eastAsia="Times New Roman"/>
          <w:spacing w:val="-1"/>
        </w:rPr>
        <w:t>km²•a</w:t>
      </w:r>
      <w:r>
        <w:rPr>
          <w:spacing w:val="-1"/>
        </w:rPr>
        <w:t>）。针对项目占地范</w:t>
      </w:r>
      <w:r>
        <w:t>围内的地形、地貌、降雨、土壤、植被等水土流失影响因子，结合《土壤侵蚀分类分级标准》（</w:t>
      </w:r>
      <w:r>
        <w:rPr>
          <w:rFonts w:eastAsia="Times New Roman"/>
        </w:rPr>
        <w:t>SL190-2007</w:t>
      </w:r>
      <w:r>
        <w:t>）中土壤水力侵蚀的强度分级标准，计算得出本项目的土壤侵蚀模数背景值</w:t>
      </w:r>
      <w:r>
        <w:rPr>
          <w:spacing w:val="-1"/>
        </w:rPr>
        <w:t>为</w:t>
      </w:r>
      <w:r>
        <w:rPr>
          <w:rFonts w:eastAsia="Times New Roman"/>
          <w:spacing w:val="-1"/>
        </w:rPr>
        <w:t>306t/</w:t>
      </w:r>
      <w:r>
        <w:rPr>
          <w:spacing w:val="-1"/>
        </w:rPr>
        <w:t>（</w:t>
      </w:r>
      <w:r>
        <w:rPr>
          <w:rFonts w:eastAsia="Times New Roman"/>
          <w:spacing w:val="-1"/>
        </w:rPr>
        <w:t>km².a</w:t>
      </w:r>
      <w:r>
        <w:rPr>
          <w:spacing w:val="-8"/>
        </w:rPr>
        <w:t>），</w:t>
      </w:r>
      <w:r>
        <w:t>属微度侵蚀。</w:t>
      </w:r>
    </w:p>
    <w:p>
      <w:pPr>
        <w:pStyle w:val="87"/>
        <w:spacing w:before="163"/>
      </w:pPr>
      <w:r>
        <w:rPr>
          <w:rFonts w:hint="eastAsia"/>
        </w:rPr>
        <w:t>项</w:t>
      </w:r>
      <w:r>
        <w:t>目区水土流失情况表</w:t>
      </w:r>
    </w:p>
    <w:tbl>
      <w:tblPr>
        <w:tblStyle w:val="152"/>
        <w:tblW w:w="929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9"/>
        <w:gridCol w:w="995"/>
        <w:gridCol w:w="838"/>
        <w:gridCol w:w="607"/>
        <w:gridCol w:w="688"/>
        <w:gridCol w:w="689"/>
        <w:gridCol w:w="607"/>
        <w:gridCol w:w="607"/>
        <w:gridCol w:w="605"/>
        <w:gridCol w:w="607"/>
        <w:gridCol w:w="607"/>
        <w:gridCol w:w="607"/>
        <w:gridCol w:w="607"/>
        <w:gridCol w:w="6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619" w:type="dxa"/>
            <w:vMerge w:val="restart"/>
            <w:vAlign w:val="center"/>
          </w:tcPr>
          <w:p>
            <w:pPr>
              <w:pStyle w:val="105"/>
              <w:jc w:val="center"/>
              <w:rPr>
                <w:sz w:val="18"/>
                <w:szCs w:val="18"/>
              </w:rPr>
            </w:pPr>
            <w:r>
              <w:rPr>
                <w:rFonts w:hint="eastAsia" w:ascii="宋体" w:hAnsi="宋体"/>
                <w:sz w:val="18"/>
                <w:szCs w:val="18"/>
              </w:rPr>
              <w:t>行</w:t>
            </w:r>
            <w:r>
              <w:rPr>
                <w:spacing w:val="-43"/>
                <w:sz w:val="18"/>
                <w:szCs w:val="18"/>
              </w:rPr>
              <w:t xml:space="preserve"> </w:t>
            </w:r>
            <w:r>
              <w:rPr>
                <w:rFonts w:hint="eastAsia" w:ascii="宋体" w:hAnsi="宋体"/>
                <w:sz w:val="18"/>
                <w:szCs w:val="18"/>
              </w:rPr>
              <w:t>政</w:t>
            </w:r>
            <w:r>
              <w:rPr>
                <w:spacing w:val="-45"/>
                <w:sz w:val="18"/>
                <w:szCs w:val="18"/>
              </w:rPr>
              <w:t xml:space="preserve"> </w:t>
            </w:r>
            <w:r>
              <w:rPr>
                <w:rFonts w:hint="eastAsia" w:ascii="宋体" w:hAnsi="宋体"/>
                <w:position w:val="1"/>
                <w:sz w:val="18"/>
                <w:szCs w:val="18"/>
              </w:rPr>
              <w:t>区</w:t>
            </w:r>
            <w:r>
              <w:rPr>
                <w:spacing w:val="-43"/>
                <w:position w:val="1"/>
                <w:sz w:val="18"/>
                <w:szCs w:val="18"/>
              </w:rPr>
              <w:t xml:space="preserve"> </w:t>
            </w:r>
            <w:r>
              <w:rPr>
                <w:rFonts w:hint="eastAsia" w:ascii="宋体" w:hAnsi="宋体"/>
                <w:sz w:val="18"/>
                <w:szCs w:val="18"/>
              </w:rPr>
              <w:t>划</w:t>
            </w:r>
          </w:p>
        </w:tc>
        <w:tc>
          <w:tcPr>
            <w:tcW w:w="995" w:type="dxa"/>
            <w:vMerge w:val="restart"/>
            <w:vAlign w:val="center"/>
          </w:tcPr>
          <w:p>
            <w:pPr>
              <w:pStyle w:val="105"/>
              <w:jc w:val="center"/>
              <w:rPr>
                <w:rFonts w:eastAsia="Times New Roman" w:cs="Times New Roman"/>
                <w:sz w:val="18"/>
                <w:szCs w:val="18"/>
              </w:rPr>
            </w:pPr>
            <w:r>
              <w:rPr>
                <w:rFonts w:hint="eastAsia" w:ascii="宋体" w:hAnsi="宋体"/>
                <w:spacing w:val="-3"/>
                <w:sz w:val="18"/>
                <w:szCs w:val="18"/>
              </w:rPr>
              <w:t>土地面</w:t>
            </w:r>
            <w:r>
              <w:rPr>
                <w:sz w:val="18"/>
                <w:szCs w:val="18"/>
              </w:rPr>
              <w:t xml:space="preserve"> </w:t>
            </w:r>
            <w:r>
              <w:rPr>
                <w:rFonts w:hint="eastAsia" w:ascii="宋体" w:hAnsi="宋体"/>
                <w:spacing w:val="22"/>
                <w:sz w:val="18"/>
                <w:szCs w:val="18"/>
              </w:rPr>
              <w:t>积</w:t>
            </w:r>
            <w:r>
              <w:rPr>
                <w:spacing w:val="-51"/>
                <w:sz w:val="18"/>
                <w:szCs w:val="18"/>
              </w:rPr>
              <w:t xml:space="preserve"> </w:t>
            </w:r>
            <w:r>
              <w:rPr>
                <w:rFonts w:eastAsia="Times New Roman" w:cs="Times New Roman"/>
                <w:spacing w:val="22"/>
                <w:sz w:val="18"/>
                <w:szCs w:val="18"/>
              </w:rPr>
              <w:t>km²</w:t>
            </w:r>
          </w:p>
        </w:tc>
        <w:tc>
          <w:tcPr>
            <w:tcW w:w="1445" w:type="dxa"/>
            <w:gridSpan w:val="2"/>
            <w:vMerge w:val="restart"/>
            <w:vAlign w:val="center"/>
          </w:tcPr>
          <w:p>
            <w:pPr>
              <w:pStyle w:val="105"/>
              <w:jc w:val="center"/>
              <w:rPr>
                <w:sz w:val="18"/>
                <w:szCs w:val="18"/>
              </w:rPr>
            </w:pPr>
            <w:r>
              <w:rPr>
                <w:rFonts w:hint="eastAsia" w:ascii="宋体" w:hAnsi="宋体"/>
                <w:spacing w:val="-1"/>
                <w:sz w:val="18"/>
                <w:szCs w:val="18"/>
              </w:rPr>
              <w:t>水土流失面</w:t>
            </w:r>
            <w:r>
              <w:rPr>
                <w:sz w:val="18"/>
                <w:szCs w:val="18"/>
              </w:rPr>
              <w:t xml:space="preserve"> </w:t>
            </w:r>
            <w:r>
              <w:rPr>
                <w:rFonts w:hint="eastAsia" w:ascii="宋体" w:hAnsi="宋体"/>
                <w:sz w:val="18"/>
                <w:szCs w:val="18"/>
              </w:rPr>
              <w:t>积</w:t>
            </w:r>
          </w:p>
        </w:tc>
        <w:tc>
          <w:tcPr>
            <w:tcW w:w="6235" w:type="dxa"/>
            <w:gridSpan w:val="10"/>
            <w:vAlign w:val="center"/>
          </w:tcPr>
          <w:p>
            <w:pPr>
              <w:pStyle w:val="105"/>
              <w:jc w:val="center"/>
              <w:rPr>
                <w:sz w:val="18"/>
                <w:szCs w:val="18"/>
              </w:rPr>
            </w:pPr>
            <w:r>
              <w:rPr>
                <w:rFonts w:hint="eastAsia" w:ascii="宋体" w:hAnsi="宋体"/>
                <w:spacing w:val="-1"/>
                <w:sz w:val="18"/>
                <w:szCs w:val="18"/>
              </w:rPr>
              <w:t>水土流失强度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619" w:type="dxa"/>
            <w:vMerge w:val="continue"/>
            <w:vAlign w:val="center"/>
          </w:tcPr>
          <w:p>
            <w:pPr>
              <w:pStyle w:val="105"/>
              <w:jc w:val="center"/>
              <w:rPr>
                <w:sz w:val="18"/>
                <w:szCs w:val="18"/>
              </w:rPr>
            </w:pPr>
          </w:p>
        </w:tc>
        <w:tc>
          <w:tcPr>
            <w:tcW w:w="995" w:type="dxa"/>
            <w:vMerge w:val="continue"/>
            <w:vAlign w:val="center"/>
          </w:tcPr>
          <w:p>
            <w:pPr>
              <w:pStyle w:val="105"/>
              <w:jc w:val="center"/>
              <w:rPr>
                <w:sz w:val="18"/>
                <w:szCs w:val="18"/>
              </w:rPr>
            </w:pPr>
          </w:p>
        </w:tc>
        <w:tc>
          <w:tcPr>
            <w:tcW w:w="1445" w:type="dxa"/>
            <w:gridSpan w:val="2"/>
            <w:vMerge w:val="continue"/>
            <w:vAlign w:val="center"/>
          </w:tcPr>
          <w:p>
            <w:pPr>
              <w:pStyle w:val="105"/>
              <w:jc w:val="center"/>
              <w:rPr>
                <w:sz w:val="18"/>
                <w:szCs w:val="18"/>
              </w:rPr>
            </w:pPr>
          </w:p>
        </w:tc>
        <w:tc>
          <w:tcPr>
            <w:tcW w:w="1377" w:type="dxa"/>
            <w:gridSpan w:val="2"/>
            <w:vAlign w:val="center"/>
          </w:tcPr>
          <w:p>
            <w:pPr>
              <w:pStyle w:val="105"/>
              <w:jc w:val="center"/>
              <w:rPr>
                <w:sz w:val="18"/>
                <w:szCs w:val="18"/>
              </w:rPr>
            </w:pPr>
            <w:r>
              <w:rPr>
                <w:spacing w:val="-4"/>
                <w:sz w:val="18"/>
                <w:szCs w:val="18"/>
              </w:rPr>
              <w:t>轻度</w:t>
            </w:r>
          </w:p>
        </w:tc>
        <w:tc>
          <w:tcPr>
            <w:tcW w:w="1214" w:type="dxa"/>
            <w:gridSpan w:val="2"/>
            <w:vAlign w:val="center"/>
          </w:tcPr>
          <w:p>
            <w:pPr>
              <w:pStyle w:val="105"/>
              <w:jc w:val="center"/>
              <w:rPr>
                <w:sz w:val="18"/>
                <w:szCs w:val="18"/>
              </w:rPr>
            </w:pPr>
            <w:r>
              <w:rPr>
                <w:spacing w:val="-8"/>
                <w:sz w:val="18"/>
                <w:szCs w:val="18"/>
              </w:rPr>
              <w:t>中度</w:t>
            </w:r>
          </w:p>
        </w:tc>
        <w:tc>
          <w:tcPr>
            <w:tcW w:w="1212" w:type="dxa"/>
            <w:gridSpan w:val="2"/>
            <w:vAlign w:val="center"/>
          </w:tcPr>
          <w:p>
            <w:pPr>
              <w:pStyle w:val="105"/>
              <w:jc w:val="center"/>
              <w:rPr>
                <w:sz w:val="18"/>
                <w:szCs w:val="18"/>
              </w:rPr>
            </w:pPr>
            <w:r>
              <w:rPr>
                <w:spacing w:val="-5"/>
                <w:sz w:val="18"/>
                <w:szCs w:val="18"/>
              </w:rPr>
              <w:t>强烈</w:t>
            </w:r>
          </w:p>
        </w:tc>
        <w:tc>
          <w:tcPr>
            <w:tcW w:w="1214" w:type="dxa"/>
            <w:gridSpan w:val="2"/>
            <w:vAlign w:val="center"/>
          </w:tcPr>
          <w:p>
            <w:pPr>
              <w:pStyle w:val="105"/>
              <w:jc w:val="center"/>
              <w:rPr>
                <w:sz w:val="18"/>
                <w:szCs w:val="18"/>
              </w:rPr>
            </w:pPr>
            <w:r>
              <w:rPr>
                <w:spacing w:val="-1"/>
                <w:sz w:val="18"/>
                <w:szCs w:val="18"/>
              </w:rPr>
              <w:t>极强烈</w:t>
            </w:r>
          </w:p>
        </w:tc>
        <w:tc>
          <w:tcPr>
            <w:tcW w:w="1218" w:type="dxa"/>
            <w:gridSpan w:val="2"/>
            <w:vAlign w:val="center"/>
          </w:tcPr>
          <w:p>
            <w:pPr>
              <w:pStyle w:val="105"/>
              <w:jc w:val="center"/>
              <w:rPr>
                <w:sz w:val="18"/>
                <w:szCs w:val="18"/>
              </w:rPr>
            </w:pPr>
            <w:r>
              <w:rPr>
                <w:spacing w:val="-1"/>
                <w:sz w:val="18"/>
                <w:szCs w:val="18"/>
              </w:rPr>
              <w:t>剧烈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619" w:type="dxa"/>
            <w:vMerge w:val="continue"/>
            <w:vAlign w:val="center"/>
          </w:tcPr>
          <w:p>
            <w:pPr>
              <w:pStyle w:val="105"/>
              <w:jc w:val="center"/>
              <w:rPr>
                <w:sz w:val="18"/>
                <w:szCs w:val="18"/>
              </w:rPr>
            </w:pPr>
          </w:p>
        </w:tc>
        <w:tc>
          <w:tcPr>
            <w:tcW w:w="995" w:type="dxa"/>
            <w:vMerge w:val="continue"/>
            <w:vAlign w:val="center"/>
          </w:tcPr>
          <w:p>
            <w:pPr>
              <w:pStyle w:val="105"/>
              <w:jc w:val="center"/>
              <w:rPr>
                <w:sz w:val="18"/>
                <w:szCs w:val="18"/>
              </w:rPr>
            </w:pPr>
          </w:p>
        </w:tc>
        <w:tc>
          <w:tcPr>
            <w:tcW w:w="838" w:type="dxa"/>
            <w:vAlign w:val="center"/>
          </w:tcPr>
          <w:p>
            <w:pPr>
              <w:pStyle w:val="105"/>
              <w:jc w:val="center"/>
              <w:rPr>
                <w:sz w:val="18"/>
                <w:szCs w:val="18"/>
              </w:rPr>
            </w:pPr>
            <w:r>
              <w:rPr>
                <w:spacing w:val="-8"/>
                <w:sz w:val="18"/>
                <w:szCs w:val="18"/>
              </w:rPr>
              <w:t>面积</w:t>
            </w:r>
            <w:r>
              <w:rPr>
                <w:sz w:val="18"/>
                <w:szCs w:val="18"/>
              </w:rPr>
              <w:t xml:space="preserve"> km</w:t>
            </w:r>
            <w:r>
              <w:rPr>
                <w:rFonts w:hint="eastAsia"/>
                <w:sz w:val="18"/>
                <w:szCs w:val="18"/>
                <w:vertAlign w:val="superscript"/>
              </w:rPr>
              <w:t>2</w:t>
            </w:r>
          </w:p>
        </w:tc>
        <w:tc>
          <w:tcPr>
            <w:tcW w:w="607" w:type="dxa"/>
            <w:vAlign w:val="center"/>
          </w:tcPr>
          <w:p>
            <w:pPr>
              <w:pStyle w:val="105"/>
              <w:jc w:val="center"/>
              <w:rPr>
                <w:rFonts w:eastAsia="Times New Roman" w:cs="Times New Roman"/>
                <w:sz w:val="18"/>
                <w:szCs w:val="18"/>
              </w:rPr>
            </w:pPr>
            <w:r>
              <w:rPr>
                <w:spacing w:val="-39"/>
                <w:sz w:val="18"/>
                <w:szCs w:val="18"/>
              </w:rPr>
              <w:t>比</w:t>
            </w:r>
            <w:r>
              <w:rPr>
                <w:sz w:val="18"/>
                <w:szCs w:val="18"/>
              </w:rPr>
              <w:t xml:space="preserve"> </w:t>
            </w:r>
            <w:r>
              <w:rPr>
                <w:spacing w:val="-4"/>
                <w:sz w:val="18"/>
                <w:szCs w:val="18"/>
              </w:rPr>
              <w:t>例</w:t>
            </w:r>
            <w:r>
              <w:rPr>
                <w:rFonts w:eastAsia="Times New Roman" w:cs="Times New Roman"/>
                <w:spacing w:val="15"/>
                <w:sz w:val="18"/>
                <w:szCs w:val="18"/>
              </w:rPr>
              <w:t>%</w:t>
            </w:r>
          </w:p>
        </w:tc>
        <w:tc>
          <w:tcPr>
            <w:tcW w:w="688" w:type="dxa"/>
            <w:vAlign w:val="center"/>
          </w:tcPr>
          <w:p>
            <w:pPr>
              <w:pStyle w:val="105"/>
              <w:jc w:val="center"/>
              <w:rPr>
                <w:rFonts w:eastAsia="Times New Roman" w:cs="Times New Roman"/>
                <w:sz w:val="18"/>
                <w:szCs w:val="18"/>
              </w:rPr>
            </w:pPr>
            <w:r>
              <w:rPr>
                <w:spacing w:val="-8"/>
                <w:sz w:val="18"/>
                <w:szCs w:val="18"/>
              </w:rPr>
              <w:t>面积</w:t>
            </w:r>
            <w:r>
              <w:rPr>
                <w:sz w:val="18"/>
                <w:szCs w:val="18"/>
              </w:rPr>
              <w:t xml:space="preserve"> km</w:t>
            </w:r>
            <w:r>
              <w:rPr>
                <w:rFonts w:hint="eastAsia"/>
                <w:sz w:val="18"/>
                <w:szCs w:val="18"/>
                <w:vertAlign w:val="superscript"/>
              </w:rPr>
              <w:t>2</w:t>
            </w:r>
          </w:p>
        </w:tc>
        <w:tc>
          <w:tcPr>
            <w:tcW w:w="689" w:type="dxa"/>
            <w:vAlign w:val="center"/>
          </w:tcPr>
          <w:p>
            <w:pPr>
              <w:pStyle w:val="105"/>
              <w:jc w:val="center"/>
              <w:rPr>
                <w:rFonts w:eastAsia="Times New Roman" w:cs="Times New Roman"/>
                <w:sz w:val="18"/>
                <w:szCs w:val="18"/>
              </w:rPr>
            </w:pPr>
            <w:r>
              <w:rPr>
                <w:spacing w:val="-39"/>
                <w:sz w:val="18"/>
                <w:szCs w:val="18"/>
              </w:rPr>
              <w:t>比</w:t>
            </w:r>
            <w:r>
              <w:rPr>
                <w:sz w:val="18"/>
                <w:szCs w:val="18"/>
              </w:rPr>
              <w:t xml:space="preserve"> </w:t>
            </w:r>
            <w:r>
              <w:rPr>
                <w:spacing w:val="-4"/>
                <w:sz w:val="18"/>
                <w:szCs w:val="18"/>
              </w:rPr>
              <w:t>例</w:t>
            </w:r>
            <w:r>
              <w:rPr>
                <w:rFonts w:eastAsia="Times New Roman" w:cs="Times New Roman"/>
                <w:spacing w:val="15"/>
                <w:sz w:val="18"/>
                <w:szCs w:val="18"/>
              </w:rPr>
              <w:t>%</w:t>
            </w:r>
          </w:p>
        </w:tc>
        <w:tc>
          <w:tcPr>
            <w:tcW w:w="607" w:type="dxa"/>
            <w:vAlign w:val="center"/>
          </w:tcPr>
          <w:p>
            <w:pPr>
              <w:pStyle w:val="105"/>
              <w:jc w:val="center"/>
              <w:rPr>
                <w:rFonts w:eastAsia="Times New Roman" w:cs="Times New Roman"/>
                <w:sz w:val="18"/>
                <w:szCs w:val="18"/>
              </w:rPr>
            </w:pPr>
            <w:r>
              <w:rPr>
                <w:spacing w:val="-8"/>
                <w:sz w:val="18"/>
                <w:szCs w:val="18"/>
              </w:rPr>
              <w:t>面积</w:t>
            </w:r>
            <w:r>
              <w:rPr>
                <w:sz w:val="18"/>
                <w:szCs w:val="18"/>
              </w:rPr>
              <w:t xml:space="preserve"> km</w:t>
            </w:r>
            <w:r>
              <w:rPr>
                <w:rFonts w:hint="eastAsia"/>
                <w:sz w:val="18"/>
                <w:szCs w:val="18"/>
                <w:vertAlign w:val="superscript"/>
              </w:rPr>
              <w:t>2</w:t>
            </w:r>
          </w:p>
        </w:tc>
        <w:tc>
          <w:tcPr>
            <w:tcW w:w="607" w:type="dxa"/>
            <w:vAlign w:val="center"/>
          </w:tcPr>
          <w:p>
            <w:pPr>
              <w:pStyle w:val="105"/>
              <w:jc w:val="center"/>
              <w:rPr>
                <w:rFonts w:eastAsia="Times New Roman" w:cs="Times New Roman"/>
                <w:sz w:val="18"/>
                <w:szCs w:val="18"/>
              </w:rPr>
            </w:pPr>
            <w:r>
              <w:rPr>
                <w:spacing w:val="-39"/>
                <w:sz w:val="18"/>
                <w:szCs w:val="18"/>
              </w:rPr>
              <w:t>比</w:t>
            </w:r>
            <w:r>
              <w:rPr>
                <w:sz w:val="18"/>
                <w:szCs w:val="18"/>
              </w:rPr>
              <w:t xml:space="preserve"> </w:t>
            </w:r>
            <w:r>
              <w:rPr>
                <w:spacing w:val="-4"/>
                <w:sz w:val="18"/>
                <w:szCs w:val="18"/>
              </w:rPr>
              <w:t>例</w:t>
            </w:r>
            <w:r>
              <w:rPr>
                <w:rFonts w:eastAsia="Times New Roman" w:cs="Times New Roman"/>
                <w:spacing w:val="15"/>
                <w:sz w:val="18"/>
                <w:szCs w:val="18"/>
              </w:rPr>
              <w:t>%</w:t>
            </w:r>
          </w:p>
        </w:tc>
        <w:tc>
          <w:tcPr>
            <w:tcW w:w="605" w:type="dxa"/>
            <w:vAlign w:val="center"/>
          </w:tcPr>
          <w:p>
            <w:pPr>
              <w:pStyle w:val="105"/>
              <w:jc w:val="center"/>
              <w:rPr>
                <w:rFonts w:eastAsia="Times New Roman" w:cs="Times New Roman"/>
                <w:sz w:val="18"/>
                <w:szCs w:val="18"/>
              </w:rPr>
            </w:pPr>
            <w:r>
              <w:rPr>
                <w:spacing w:val="-8"/>
                <w:sz w:val="18"/>
                <w:szCs w:val="18"/>
              </w:rPr>
              <w:t>面积</w:t>
            </w:r>
            <w:r>
              <w:rPr>
                <w:sz w:val="18"/>
                <w:szCs w:val="18"/>
              </w:rPr>
              <w:t xml:space="preserve"> km</w:t>
            </w:r>
            <w:r>
              <w:rPr>
                <w:rFonts w:hint="eastAsia"/>
                <w:sz w:val="18"/>
                <w:szCs w:val="18"/>
                <w:vertAlign w:val="superscript"/>
              </w:rPr>
              <w:t>2</w:t>
            </w:r>
          </w:p>
        </w:tc>
        <w:tc>
          <w:tcPr>
            <w:tcW w:w="607" w:type="dxa"/>
            <w:vAlign w:val="center"/>
          </w:tcPr>
          <w:p>
            <w:pPr>
              <w:pStyle w:val="105"/>
              <w:jc w:val="center"/>
              <w:rPr>
                <w:rFonts w:eastAsia="Times New Roman" w:cs="Times New Roman"/>
                <w:sz w:val="18"/>
                <w:szCs w:val="18"/>
              </w:rPr>
            </w:pPr>
            <w:r>
              <w:rPr>
                <w:spacing w:val="-39"/>
                <w:sz w:val="18"/>
                <w:szCs w:val="18"/>
              </w:rPr>
              <w:t>比</w:t>
            </w:r>
            <w:r>
              <w:rPr>
                <w:sz w:val="18"/>
                <w:szCs w:val="18"/>
              </w:rPr>
              <w:t xml:space="preserve"> </w:t>
            </w:r>
            <w:r>
              <w:rPr>
                <w:spacing w:val="-4"/>
                <w:sz w:val="18"/>
                <w:szCs w:val="18"/>
              </w:rPr>
              <w:t>例</w:t>
            </w:r>
            <w:r>
              <w:rPr>
                <w:rFonts w:eastAsia="Times New Roman" w:cs="Times New Roman"/>
                <w:spacing w:val="15"/>
                <w:sz w:val="18"/>
                <w:szCs w:val="18"/>
              </w:rPr>
              <w:t>%</w:t>
            </w:r>
          </w:p>
        </w:tc>
        <w:tc>
          <w:tcPr>
            <w:tcW w:w="607" w:type="dxa"/>
            <w:vAlign w:val="center"/>
          </w:tcPr>
          <w:p>
            <w:pPr>
              <w:pStyle w:val="105"/>
              <w:jc w:val="center"/>
              <w:rPr>
                <w:rFonts w:eastAsia="Times New Roman" w:cs="Times New Roman"/>
                <w:sz w:val="18"/>
                <w:szCs w:val="18"/>
              </w:rPr>
            </w:pPr>
            <w:r>
              <w:rPr>
                <w:spacing w:val="-8"/>
                <w:sz w:val="18"/>
                <w:szCs w:val="18"/>
              </w:rPr>
              <w:t>面积</w:t>
            </w:r>
            <w:r>
              <w:rPr>
                <w:sz w:val="18"/>
                <w:szCs w:val="18"/>
              </w:rPr>
              <w:t xml:space="preserve"> km</w:t>
            </w:r>
            <w:r>
              <w:rPr>
                <w:rFonts w:hint="eastAsia"/>
                <w:sz w:val="18"/>
                <w:szCs w:val="18"/>
                <w:vertAlign w:val="superscript"/>
              </w:rPr>
              <w:t>2</w:t>
            </w:r>
          </w:p>
        </w:tc>
        <w:tc>
          <w:tcPr>
            <w:tcW w:w="607" w:type="dxa"/>
            <w:vAlign w:val="center"/>
          </w:tcPr>
          <w:p>
            <w:pPr>
              <w:pStyle w:val="105"/>
              <w:jc w:val="center"/>
              <w:rPr>
                <w:rFonts w:eastAsia="Times New Roman" w:cs="Times New Roman"/>
                <w:sz w:val="18"/>
                <w:szCs w:val="18"/>
              </w:rPr>
            </w:pPr>
            <w:r>
              <w:rPr>
                <w:spacing w:val="-39"/>
                <w:sz w:val="18"/>
                <w:szCs w:val="18"/>
              </w:rPr>
              <w:t>比</w:t>
            </w:r>
            <w:r>
              <w:rPr>
                <w:sz w:val="18"/>
                <w:szCs w:val="18"/>
              </w:rPr>
              <w:t xml:space="preserve"> </w:t>
            </w:r>
            <w:r>
              <w:rPr>
                <w:spacing w:val="-4"/>
                <w:sz w:val="18"/>
                <w:szCs w:val="18"/>
              </w:rPr>
              <w:t>例</w:t>
            </w:r>
            <w:r>
              <w:rPr>
                <w:rFonts w:eastAsia="Times New Roman" w:cs="Times New Roman"/>
                <w:spacing w:val="15"/>
                <w:sz w:val="18"/>
                <w:szCs w:val="18"/>
              </w:rPr>
              <w:t>%</w:t>
            </w:r>
          </w:p>
        </w:tc>
        <w:tc>
          <w:tcPr>
            <w:tcW w:w="607" w:type="dxa"/>
            <w:vAlign w:val="center"/>
          </w:tcPr>
          <w:p>
            <w:pPr>
              <w:pStyle w:val="105"/>
              <w:jc w:val="center"/>
              <w:rPr>
                <w:rFonts w:eastAsia="Times New Roman" w:cs="Times New Roman"/>
                <w:sz w:val="18"/>
                <w:szCs w:val="18"/>
              </w:rPr>
            </w:pPr>
            <w:r>
              <w:rPr>
                <w:spacing w:val="-8"/>
                <w:sz w:val="18"/>
                <w:szCs w:val="18"/>
              </w:rPr>
              <w:t>面积</w:t>
            </w:r>
            <w:r>
              <w:rPr>
                <w:sz w:val="18"/>
                <w:szCs w:val="18"/>
              </w:rPr>
              <w:t xml:space="preserve"> km</w:t>
            </w:r>
            <w:r>
              <w:rPr>
                <w:rFonts w:hint="eastAsia"/>
                <w:sz w:val="18"/>
                <w:szCs w:val="18"/>
                <w:vertAlign w:val="superscript"/>
              </w:rPr>
              <w:t>2</w:t>
            </w:r>
          </w:p>
        </w:tc>
        <w:tc>
          <w:tcPr>
            <w:tcW w:w="611" w:type="dxa"/>
            <w:vAlign w:val="center"/>
          </w:tcPr>
          <w:p>
            <w:pPr>
              <w:pStyle w:val="105"/>
              <w:jc w:val="center"/>
              <w:rPr>
                <w:rFonts w:eastAsia="Times New Roman" w:cs="Times New Roman"/>
                <w:sz w:val="18"/>
                <w:szCs w:val="18"/>
              </w:rPr>
            </w:pPr>
            <w:r>
              <w:rPr>
                <w:spacing w:val="-39"/>
                <w:sz w:val="18"/>
                <w:szCs w:val="18"/>
              </w:rPr>
              <w:t>比</w:t>
            </w:r>
            <w:r>
              <w:rPr>
                <w:sz w:val="18"/>
                <w:szCs w:val="18"/>
              </w:rPr>
              <w:t xml:space="preserve"> </w:t>
            </w:r>
            <w:r>
              <w:rPr>
                <w:spacing w:val="-4"/>
                <w:sz w:val="18"/>
                <w:szCs w:val="18"/>
              </w:rPr>
              <w:t>例</w:t>
            </w:r>
            <w:r>
              <w:rPr>
                <w:rFonts w:eastAsia="Times New Roman" w:cs="Times New Roman"/>
                <w:spacing w:val="15"/>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619" w:type="dxa"/>
            <w:vAlign w:val="center"/>
          </w:tcPr>
          <w:p>
            <w:pPr>
              <w:pStyle w:val="105"/>
              <w:jc w:val="center"/>
              <w:rPr>
                <w:sz w:val="18"/>
                <w:szCs w:val="18"/>
              </w:rPr>
            </w:pPr>
            <w:r>
              <w:rPr>
                <w:spacing w:val="41"/>
                <w:sz w:val="18"/>
                <w:szCs w:val="18"/>
              </w:rPr>
              <w:t>福清市</w:t>
            </w:r>
          </w:p>
        </w:tc>
        <w:tc>
          <w:tcPr>
            <w:tcW w:w="995" w:type="dxa"/>
            <w:vAlign w:val="center"/>
          </w:tcPr>
          <w:p>
            <w:pPr>
              <w:pStyle w:val="105"/>
              <w:jc w:val="center"/>
              <w:rPr>
                <w:rFonts w:eastAsia="Times New Roman" w:cs="Times New Roman"/>
                <w:sz w:val="18"/>
                <w:szCs w:val="18"/>
              </w:rPr>
            </w:pPr>
            <w:r>
              <w:rPr>
                <w:rFonts w:eastAsia="Times New Roman" w:cs="Times New Roman"/>
                <w:spacing w:val="-5"/>
                <w:sz w:val="18"/>
                <w:szCs w:val="18"/>
              </w:rPr>
              <w:t>1518</w:t>
            </w:r>
          </w:p>
        </w:tc>
        <w:tc>
          <w:tcPr>
            <w:tcW w:w="838" w:type="dxa"/>
            <w:vAlign w:val="center"/>
          </w:tcPr>
          <w:p>
            <w:pPr>
              <w:pStyle w:val="105"/>
              <w:jc w:val="center"/>
              <w:rPr>
                <w:rFonts w:eastAsia="Times New Roman" w:cs="Times New Roman"/>
                <w:sz w:val="18"/>
                <w:szCs w:val="18"/>
              </w:rPr>
            </w:pPr>
            <w:r>
              <w:rPr>
                <w:rFonts w:eastAsia="Times New Roman" w:cs="Times New Roman"/>
                <w:spacing w:val="-1"/>
                <w:sz w:val="18"/>
                <w:szCs w:val="18"/>
              </w:rPr>
              <w:t>99.90</w:t>
            </w:r>
          </w:p>
        </w:tc>
        <w:tc>
          <w:tcPr>
            <w:tcW w:w="607" w:type="dxa"/>
            <w:vAlign w:val="center"/>
          </w:tcPr>
          <w:p>
            <w:pPr>
              <w:pStyle w:val="105"/>
              <w:jc w:val="center"/>
              <w:rPr>
                <w:rFonts w:eastAsia="Times New Roman" w:cs="Times New Roman"/>
                <w:sz w:val="18"/>
                <w:szCs w:val="18"/>
              </w:rPr>
            </w:pPr>
            <w:r>
              <w:rPr>
                <w:rFonts w:eastAsia="Times New Roman" w:cs="Times New Roman"/>
                <w:spacing w:val="-2"/>
                <w:sz w:val="18"/>
                <w:szCs w:val="18"/>
              </w:rPr>
              <w:t>6.58</w:t>
            </w:r>
          </w:p>
        </w:tc>
        <w:tc>
          <w:tcPr>
            <w:tcW w:w="688" w:type="dxa"/>
            <w:vAlign w:val="center"/>
          </w:tcPr>
          <w:p>
            <w:pPr>
              <w:pStyle w:val="105"/>
              <w:jc w:val="center"/>
              <w:rPr>
                <w:rFonts w:eastAsia="Times New Roman" w:cs="Times New Roman"/>
                <w:sz w:val="18"/>
                <w:szCs w:val="18"/>
              </w:rPr>
            </w:pPr>
            <w:r>
              <w:rPr>
                <w:rFonts w:eastAsia="Times New Roman" w:cs="Times New Roman"/>
                <w:spacing w:val="-1"/>
                <w:sz w:val="18"/>
                <w:szCs w:val="18"/>
              </w:rPr>
              <w:t>90.89</w:t>
            </w:r>
          </w:p>
        </w:tc>
        <w:tc>
          <w:tcPr>
            <w:tcW w:w="689" w:type="dxa"/>
            <w:vAlign w:val="center"/>
          </w:tcPr>
          <w:p>
            <w:pPr>
              <w:pStyle w:val="105"/>
              <w:jc w:val="center"/>
              <w:rPr>
                <w:rFonts w:eastAsia="Times New Roman" w:cs="Times New Roman"/>
                <w:sz w:val="18"/>
                <w:szCs w:val="18"/>
              </w:rPr>
            </w:pPr>
            <w:r>
              <w:rPr>
                <w:rFonts w:eastAsia="Times New Roman" w:cs="Times New Roman"/>
                <w:spacing w:val="-1"/>
                <w:sz w:val="18"/>
                <w:szCs w:val="18"/>
              </w:rPr>
              <w:t>90.98</w:t>
            </w:r>
          </w:p>
        </w:tc>
        <w:tc>
          <w:tcPr>
            <w:tcW w:w="607" w:type="dxa"/>
            <w:vAlign w:val="center"/>
          </w:tcPr>
          <w:p>
            <w:pPr>
              <w:pStyle w:val="105"/>
              <w:jc w:val="center"/>
              <w:rPr>
                <w:rFonts w:eastAsia="Times New Roman" w:cs="Times New Roman"/>
                <w:sz w:val="18"/>
                <w:szCs w:val="18"/>
              </w:rPr>
            </w:pPr>
            <w:r>
              <w:rPr>
                <w:rFonts w:eastAsia="Times New Roman" w:cs="Times New Roman"/>
                <w:spacing w:val="-2"/>
                <w:sz w:val="18"/>
                <w:szCs w:val="18"/>
              </w:rPr>
              <w:t>6.77</w:t>
            </w:r>
          </w:p>
        </w:tc>
        <w:tc>
          <w:tcPr>
            <w:tcW w:w="607" w:type="dxa"/>
            <w:vAlign w:val="center"/>
          </w:tcPr>
          <w:p>
            <w:pPr>
              <w:pStyle w:val="105"/>
              <w:jc w:val="center"/>
              <w:rPr>
                <w:rFonts w:eastAsia="Times New Roman" w:cs="Times New Roman"/>
                <w:sz w:val="18"/>
                <w:szCs w:val="18"/>
              </w:rPr>
            </w:pPr>
            <w:r>
              <w:rPr>
                <w:rFonts w:eastAsia="Times New Roman" w:cs="Times New Roman"/>
                <w:spacing w:val="-2"/>
                <w:sz w:val="18"/>
                <w:szCs w:val="18"/>
              </w:rPr>
              <w:t>6.78</w:t>
            </w:r>
          </w:p>
        </w:tc>
        <w:tc>
          <w:tcPr>
            <w:tcW w:w="605" w:type="dxa"/>
            <w:vAlign w:val="center"/>
          </w:tcPr>
          <w:p>
            <w:pPr>
              <w:pStyle w:val="105"/>
              <w:jc w:val="center"/>
              <w:rPr>
                <w:rFonts w:eastAsia="Times New Roman" w:cs="Times New Roman"/>
                <w:sz w:val="18"/>
                <w:szCs w:val="18"/>
              </w:rPr>
            </w:pPr>
            <w:r>
              <w:rPr>
                <w:rFonts w:eastAsia="Times New Roman" w:cs="Times New Roman"/>
                <w:spacing w:val="-5"/>
                <w:sz w:val="18"/>
                <w:szCs w:val="18"/>
              </w:rPr>
              <w:t>1.32</w:t>
            </w:r>
          </w:p>
        </w:tc>
        <w:tc>
          <w:tcPr>
            <w:tcW w:w="607" w:type="dxa"/>
            <w:vAlign w:val="center"/>
          </w:tcPr>
          <w:p>
            <w:pPr>
              <w:pStyle w:val="105"/>
              <w:jc w:val="center"/>
              <w:rPr>
                <w:rFonts w:eastAsia="Times New Roman" w:cs="Times New Roman"/>
                <w:sz w:val="18"/>
                <w:szCs w:val="18"/>
              </w:rPr>
            </w:pPr>
            <w:r>
              <w:rPr>
                <w:rFonts w:eastAsia="Times New Roman" w:cs="Times New Roman"/>
                <w:spacing w:val="-5"/>
                <w:sz w:val="18"/>
                <w:szCs w:val="18"/>
              </w:rPr>
              <w:t>1.32</w:t>
            </w:r>
          </w:p>
        </w:tc>
        <w:tc>
          <w:tcPr>
            <w:tcW w:w="607" w:type="dxa"/>
            <w:vAlign w:val="center"/>
          </w:tcPr>
          <w:p>
            <w:pPr>
              <w:pStyle w:val="105"/>
              <w:jc w:val="center"/>
              <w:rPr>
                <w:rFonts w:eastAsia="Times New Roman" w:cs="Times New Roman"/>
                <w:sz w:val="18"/>
                <w:szCs w:val="18"/>
              </w:rPr>
            </w:pPr>
            <w:r>
              <w:rPr>
                <w:rFonts w:eastAsia="Times New Roman" w:cs="Times New Roman"/>
                <w:spacing w:val="-1"/>
                <w:sz w:val="18"/>
                <w:szCs w:val="18"/>
              </w:rPr>
              <w:t>0.81</w:t>
            </w:r>
          </w:p>
        </w:tc>
        <w:tc>
          <w:tcPr>
            <w:tcW w:w="607" w:type="dxa"/>
            <w:vAlign w:val="center"/>
          </w:tcPr>
          <w:p>
            <w:pPr>
              <w:pStyle w:val="105"/>
              <w:jc w:val="center"/>
              <w:rPr>
                <w:rFonts w:eastAsia="Times New Roman" w:cs="Times New Roman"/>
                <w:sz w:val="18"/>
                <w:szCs w:val="18"/>
              </w:rPr>
            </w:pPr>
            <w:r>
              <w:rPr>
                <w:rFonts w:eastAsia="Times New Roman" w:cs="Times New Roman"/>
                <w:spacing w:val="-1"/>
                <w:sz w:val="18"/>
                <w:szCs w:val="18"/>
              </w:rPr>
              <w:t>0.81</w:t>
            </w:r>
          </w:p>
        </w:tc>
        <w:tc>
          <w:tcPr>
            <w:tcW w:w="607" w:type="dxa"/>
            <w:vAlign w:val="center"/>
          </w:tcPr>
          <w:p>
            <w:pPr>
              <w:pStyle w:val="105"/>
              <w:jc w:val="center"/>
              <w:rPr>
                <w:rFonts w:eastAsia="Times New Roman" w:cs="Times New Roman"/>
                <w:sz w:val="18"/>
                <w:szCs w:val="18"/>
              </w:rPr>
            </w:pPr>
            <w:r>
              <w:rPr>
                <w:rFonts w:eastAsia="Times New Roman" w:cs="Times New Roman"/>
                <w:spacing w:val="-1"/>
                <w:sz w:val="18"/>
                <w:szCs w:val="18"/>
              </w:rPr>
              <w:t>0.11</w:t>
            </w:r>
          </w:p>
        </w:tc>
        <w:tc>
          <w:tcPr>
            <w:tcW w:w="611" w:type="dxa"/>
            <w:vAlign w:val="center"/>
          </w:tcPr>
          <w:p>
            <w:pPr>
              <w:pStyle w:val="105"/>
              <w:jc w:val="center"/>
              <w:rPr>
                <w:rFonts w:eastAsia="Times New Roman" w:cs="Times New Roman"/>
                <w:sz w:val="18"/>
                <w:szCs w:val="18"/>
              </w:rPr>
            </w:pPr>
            <w:r>
              <w:rPr>
                <w:rFonts w:eastAsia="Times New Roman" w:cs="Times New Roman"/>
                <w:spacing w:val="-1"/>
                <w:sz w:val="18"/>
                <w:szCs w:val="18"/>
              </w:rPr>
              <w:t>0.11</w:t>
            </w:r>
          </w:p>
        </w:tc>
      </w:tr>
    </w:tbl>
    <w:p>
      <w:pPr>
        <w:pStyle w:val="116"/>
      </w:pPr>
      <w:bookmarkStart w:id="400" w:name="_Toc153957827"/>
      <w:bookmarkStart w:id="401" w:name="_Toc159405470"/>
      <w:bookmarkStart w:id="402" w:name="_Toc204676243"/>
      <w:r>
        <w:rPr>
          <w:rFonts w:hint="eastAsia"/>
        </w:rPr>
        <w:t>环境质量现状调查与评价</w:t>
      </w:r>
      <w:bookmarkEnd w:id="400"/>
      <w:bookmarkEnd w:id="401"/>
      <w:bookmarkEnd w:id="402"/>
    </w:p>
    <w:p>
      <w:pPr>
        <w:pStyle w:val="120"/>
        <w:rPr>
          <w:color w:val="auto"/>
        </w:rPr>
      </w:pPr>
      <w:r>
        <w:rPr>
          <w:rFonts w:hint="eastAsia"/>
          <w:color w:val="auto"/>
        </w:rPr>
        <w:t>环境空气质量现状调查与评价</w:t>
      </w:r>
    </w:p>
    <w:p>
      <w:pPr>
        <w:pStyle w:val="118"/>
      </w:pPr>
      <w:bookmarkStart w:id="403" w:name="_Toc66108940"/>
      <w:r>
        <w:rPr>
          <w:rFonts w:hint="eastAsia"/>
        </w:rPr>
        <w:t>基准年选取</w:t>
      </w:r>
      <w:bookmarkEnd w:id="403"/>
    </w:p>
    <w:p>
      <w:pPr>
        <w:ind w:firstLine="480"/>
      </w:pPr>
      <w:r>
        <w:rPr>
          <w:rFonts w:hint="eastAsia"/>
        </w:rPr>
        <w:t>根据本项目所需环境空气质量现状、气象资料等数据的可获得性、数据质量、代表性等因素，选择20</w:t>
      </w:r>
      <w:r>
        <w:t>24</w:t>
      </w:r>
      <w:r>
        <w:rPr>
          <w:rFonts w:hint="eastAsia"/>
        </w:rPr>
        <w:t>年作为评价基准年。</w:t>
      </w:r>
    </w:p>
    <w:p>
      <w:pPr>
        <w:pStyle w:val="118"/>
      </w:pPr>
      <w:bookmarkStart w:id="404" w:name="_Toc66108941"/>
      <w:r>
        <w:rPr>
          <w:rFonts w:hint="eastAsia"/>
        </w:rPr>
        <w:t>达标区判定</w:t>
      </w:r>
      <w:bookmarkEnd w:id="404"/>
    </w:p>
    <w:p>
      <w:pPr>
        <w:ind w:firstLine="480"/>
        <w:rPr>
          <w:rFonts w:cs="Times New Roman"/>
        </w:rPr>
      </w:pPr>
      <w:r>
        <w:rPr>
          <w:rFonts w:cs="Times New Roman"/>
        </w:rPr>
        <w:t>项目位于</w:t>
      </w:r>
      <w:r>
        <w:rPr>
          <w:rFonts w:hint="eastAsia" w:cs="Times New Roman"/>
        </w:rPr>
        <w:t>福清市</w:t>
      </w:r>
      <w:r>
        <w:rPr>
          <w:rFonts w:cs="Times New Roman"/>
        </w:rPr>
        <w:t>，</w:t>
      </w:r>
      <w:r>
        <w:rPr>
          <w:rFonts w:hint="eastAsia"/>
        </w:rPr>
        <w:t>根据福清市发布的</w:t>
      </w:r>
      <w:r>
        <w:t>2024</w:t>
      </w:r>
      <w:r>
        <w:rPr>
          <w:rFonts w:hint="eastAsia"/>
        </w:rPr>
        <w:t>年</w:t>
      </w:r>
      <w:r>
        <w:t>1</w:t>
      </w:r>
      <w:r>
        <w:rPr>
          <w:rFonts w:hint="eastAsia"/>
        </w:rPr>
        <w:t>月</w:t>
      </w:r>
      <w:r>
        <w:t>~12</w:t>
      </w:r>
      <w:r>
        <w:rPr>
          <w:rFonts w:hint="eastAsia"/>
        </w:rPr>
        <w:t>月份福清市环境空气质量月报，</w:t>
      </w:r>
      <w:r>
        <w:t>2024</w:t>
      </w:r>
      <w:r>
        <w:rPr>
          <w:rFonts w:hint="eastAsia"/>
        </w:rPr>
        <w:t>年连续</w:t>
      </w:r>
      <w:r>
        <w:t>1</w:t>
      </w:r>
      <w:r>
        <w:rPr>
          <w:rFonts w:hint="eastAsia"/>
        </w:rPr>
        <w:t>年的大气常规因子环境空气质量监测数据详见下表</w:t>
      </w:r>
      <w:r>
        <w:t>3.1-2</w:t>
      </w:r>
      <w:r>
        <w:rPr>
          <w:rFonts w:hint="eastAsia"/>
        </w:rPr>
        <w:t>。福清市</w:t>
      </w:r>
      <w:r>
        <w:t>2024</w:t>
      </w:r>
      <w:r>
        <w:rPr>
          <w:rFonts w:hint="eastAsia"/>
        </w:rPr>
        <w:t>年空气环境中</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和</w:t>
      </w:r>
      <w:r>
        <w:t>PM</w:t>
      </w:r>
      <w:r>
        <w:rPr>
          <w:vertAlign w:val="subscript"/>
        </w:rPr>
        <w:t>2.5</w:t>
      </w:r>
      <w:r>
        <w:rPr>
          <w:rFonts w:hint="eastAsia"/>
        </w:rPr>
        <w:t>均未超过</w:t>
      </w:r>
      <w:r>
        <w:rPr>
          <w:rFonts w:hint="eastAsia"/>
          <w:lang w:eastAsia="zh-CN"/>
        </w:rPr>
        <w:t>二级</w:t>
      </w:r>
      <w:r>
        <w:rPr>
          <w:rFonts w:hint="eastAsia"/>
        </w:rPr>
        <w:t>标准，</w:t>
      </w:r>
      <w:r>
        <w:t>CO</w:t>
      </w:r>
      <w:r>
        <w:rPr>
          <w:rFonts w:hint="eastAsia"/>
        </w:rPr>
        <w:t>日均值第</w:t>
      </w:r>
      <w:r>
        <w:t>95</w:t>
      </w:r>
      <w:r>
        <w:rPr>
          <w:rFonts w:hint="eastAsia"/>
        </w:rPr>
        <w:t>百分数和</w:t>
      </w:r>
      <w:r>
        <w:t>O</w:t>
      </w:r>
      <w:r>
        <w:rPr>
          <w:vertAlign w:val="subscript"/>
        </w:rPr>
        <w:t>3</w:t>
      </w:r>
      <w:r>
        <w:rPr>
          <w:rFonts w:hint="eastAsia"/>
        </w:rPr>
        <w:t>最大</w:t>
      </w:r>
      <w:r>
        <w:t>8</w:t>
      </w:r>
      <w:r>
        <w:rPr>
          <w:rFonts w:hint="eastAsia"/>
        </w:rPr>
        <w:t>小时值第</w:t>
      </w:r>
      <w:r>
        <w:t>90</w:t>
      </w:r>
      <w:r>
        <w:rPr>
          <w:rFonts w:hint="eastAsia"/>
        </w:rPr>
        <w:t>百分数未超过</w:t>
      </w:r>
      <w:r>
        <w:rPr>
          <w:rFonts w:hint="eastAsia"/>
          <w:lang w:eastAsia="zh-CN"/>
        </w:rPr>
        <w:t>二级</w:t>
      </w:r>
      <w:r>
        <w:rPr>
          <w:rFonts w:hint="eastAsia"/>
        </w:rPr>
        <w:t>标准；因此福清市环境空气质量属于达标区。</w:t>
      </w:r>
    </w:p>
    <w:p>
      <w:pPr>
        <w:pStyle w:val="87"/>
        <w:spacing w:before="163"/>
      </w:pPr>
      <w:r>
        <w:rPr>
          <w:rFonts w:hint="eastAsia"/>
        </w:rPr>
        <w:t>福清市</w:t>
      </w:r>
      <w:r>
        <w:t>2024</w:t>
      </w:r>
      <w:r>
        <w:rPr>
          <w:rFonts w:hint="eastAsia"/>
        </w:rPr>
        <w:t xml:space="preserve">年环境空气质量统计表 </w:t>
      </w:r>
      <w:r>
        <w:t xml:space="preserve">   </w:t>
      </w:r>
      <w:r>
        <w:rPr>
          <w:rFonts w:hint="eastAsia"/>
        </w:rPr>
        <w:t>单位：</w:t>
      </w:r>
      <w:r>
        <w:t>mg/m³</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55"/>
        <w:gridCol w:w="1136"/>
        <w:gridCol w:w="1218"/>
        <w:gridCol w:w="1218"/>
        <w:gridCol w:w="1231"/>
        <w:gridCol w:w="1351"/>
        <w:gridCol w:w="12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12" w:space="0"/>
              <w:left w:val="nil"/>
              <w:bottom w:val="single" w:color="auto" w:sz="4" w:space="0"/>
              <w:right w:val="single" w:color="auto" w:sz="4" w:space="0"/>
            </w:tcBorders>
            <w:vAlign w:val="center"/>
          </w:tcPr>
          <w:p>
            <w:pPr>
              <w:pStyle w:val="105"/>
            </w:pPr>
            <w:r>
              <w:rPr>
                <w:rFonts w:hint="eastAsia"/>
              </w:rPr>
              <w:t>时间</w:t>
            </w:r>
          </w:p>
        </w:tc>
        <w:tc>
          <w:tcPr>
            <w:tcW w:w="1122" w:type="dxa"/>
            <w:tcBorders>
              <w:top w:val="single" w:color="auto" w:sz="12" w:space="0"/>
              <w:left w:val="single" w:color="auto" w:sz="4" w:space="0"/>
              <w:bottom w:val="single" w:color="auto" w:sz="4" w:space="0"/>
              <w:right w:val="single" w:color="auto" w:sz="4" w:space="0"/>
            </w:tcBorders>
            <w:vAlign w:val="center"/>
          </w:tcPr>
          <w:p>
            <w:pPr>
              <w:pStyle w:val="105"/>
            </w:pPr>
            <w:r>
              <w:t>SO</w:t>
            </w:r>
            <w:r>
              <w:rPr>
                <w:vertAlign w:val="subscript"/>
              </w:rPr>
              <w:t>2</w:t>
            </w:r>
          </w:p>
        </w:tc>
        <w:tc>
          <w:tcPr>
            <w:tcW w:w="1203" w:type="dxa"/>
            <w:tcBorders>
              <w:top w:val="single" w:color="auto" w:sz="12" w:space="0"/>
              <w:left w:val="single" w:color="auto" w:sz="4" w:space="0"/>
              <w:bottom w:val="single" w:color="auto" w:sz="4" w:space="0"/>
              <w:right w:val="single" w:color="auto" w:sz="4" w:space="0"/>
            </w:tcBorders>
            <w:vAlign w:val="center"/>
          </w:tcPr>
          <w:p>
            <w:pPr>
              <w:pStyle w:val="105"/>
            </w:pPr>
            <w:r>
              <w:t>NO</w:t>
            </w:r>
            <w:r>
              <w:rPr>
                <w:vertAlign w:val="subscript"/>
              </w:rPr>
              <w:t>2</w:t>
            </w:r>
          </w:p>
        </w:tc>
        <w:tc>
          <w:tcPr>
            <w:tcW w:w="1203" w:type="dxa"/>
            <w:tcBorders>
              <w:top w:val="single" w:color="auto" w:sz="12" w:space="0"/>
              <w:left w:val="single" w:color="auto" w:sz="4" w:space="0"/>
              <w:bottom w:val="single" w:color="auto" w:sz="4" w:space="0"/>
              <w:right w:val="single" w:color="auto" w:sz="4" w:space="0"/>
            </w:tcBorders>
            <w:vAlign w:val="center"/>
          </w:tcPr>
          <w:p>
            <w:pPr>
              <w:pStyle w:val="105"/>
            </w:pPr>
            <w:r>
              <w:t>PM</w:t>
            </w:r>
            <w:r>
              <w:rPr>
                <w:vertAlign w:val="subscript"/>
              </w:rPr>
              <w:t>10</w:t>
            </w:r>
          </w:p>
        </w:tc>
        <w:tc>
          <w:tcPr>
            <w:tcW w:w="1216" w:type="dxa"/>
            <w:tcBorders>
              <w:top w:val="single" w:color="auto" w:sz="12" w:space="0"/>
              <w:left w:val="single" w:color="auto" w:sz="4" w:space="0"/>
              <w:bottom w:val="single" w:color="auto" w:sz="4" w:space="0"/>
              <w:right w:val="single" w:color="auto" w:sz="4" w:space="0"/>
            </w:tcBorders>
            <w:vAlign w:val="center"/>
          </w:tcPr>
          <w:p>
            <w:pPr>
              <w:pStyle w:val="105"/>
            </w:pPr>
            <w:r>
              <w:t>PM</w:t>
            </w:r>
            <w:r>
              <w:rPr>
                <w:vertAlign w:val="subscript"/>
              </w:rPr>
              <w:t>2.5</w:t>
            </w:r>
          </w:p>
        </w:tc>
        <w:tc>
          <w:tcPr>
            <w:tcW w:w="1334" w:type="dxa"/>
            <w:tcBorders>
              <w:top w:val="single" w:color="auto" w:sz="12" w:space="0"/>
              <w:left w:val="single" w:color="auto" w:sz="4" w:space="0"/>
              <w:bottom w:val="single" w:color="auto" w:sz="4" w:space="0"/>
              <w:right w:val="single" w:color="auto" w:sz="4" w:space="0"/>
            </w:tcBorders>
            <w:vAlign w:val="center"/>
          </w:tcPr>
          <w:p>
            <w:pPr>
              <w:pStyle w:val="105"/>
            </w:pPr>
            <w:r>
              <w:t>CO</w:t>
            </w:r>
          </w:p>
        </w:tc>
        <w:tc>
          <w:tcPr>
            <w:tcW w:w="1259" w:type="dxa"/>
            <w:tcBorders>
              <w:top w:val="single" w:color="auto" w:sz="12" w:space="0"/>
              <w:left w:val="single" w:color="auto" w:sz="4" w:space="0"/>
              <w:bottom w:val="single" w:color="auto" w:sz="4" w:space="0"/>
              <w:right w:val="nil"/>
            </w:tcBorders>
            <w:vAlign w:val="center"/>
          </w:tcPr>
          <w:p>
            <w:pPr>
              <w:pStyle w:val="105"/>
            </w:pPr>
            <w:r>
              <w:t>O</w:t>
            </w:r>
            <w:r>
              <w:rPr>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1</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0.003</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0.048</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0.030</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0.9</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2</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0.003</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0.009</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0.038</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0.023</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1.2</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3</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0.018</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0.050</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0.023</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1.0</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4</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0.003</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0.016</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0.041</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0.020</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0.8</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5</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0.011</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0.028</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0.013</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0.6</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6</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0.010</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0.022</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0.010</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0.6</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7</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0.008</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0.020</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0.009</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0.4</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8</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0.004</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0.009</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0.032</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0.017</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0.5</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9</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0.007</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0.020</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0.010</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0.4</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10</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0.005</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0.022</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0.013</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0.4</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11</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0.008</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0.023</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0.012</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0.4</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t>2024</w:t>
            </w:r>
            <w:r>
              <w:rPr>
                <w:rFonts w:hint="eastAsia"/>
              </w:rPr>
              <w:t>年</w:t>
            </w:r>
            <w:r>
              <w:t>12</w:t>
            </w:r>
            <w:r>
              <w:rPr>
                <w:rFonts w:hint="eastAsia"/>
              </w:rPr>
              <w:t>月</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0.002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0.014</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0.036</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0.019</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rPr>
                <w:rFonts w:hint="eastAsia"/>
              </w:rPr>
              <w:t>0.6</w:t>
            </w:r>
          </w:p>
        </w:tc>
        <w:tc>
          <w:tcPr>
            <w:tcW w:w="1259" w:type="dxa"/>
            <w:tcBorders>
              <w:top w:val="single" w:color="auto" w:sz="4" w:space="0"/>
              <w:left w:val="single" w:color="auto" w:sz="4" w:space="0"/>
              <w:bottom w:val="single" w:color="auto" w:sz="4" w:space="0"/>
              <w:right w:val="nil"/>
            </w:tcBorders>
            <w:vAlign w:val="center"/>
          </w:tcPr>
          <w:p>
            <w:pPr>
              <w:pStyle w:val="105"/>
              <w:jc w:val="center"/>
            </w:pPr>
            <w:r>
              <w:rPr>
                <w:rFonts w:hint="eastAsia"/>
              </w:rPr>
              <w:t>0.104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rPr>
                <w:rFonts w:hint="eastAsia"/>
              </w:rPr>
              <w:t>年平均</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t>0.002</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t>0.011</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t>0.032</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t>0.017</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t>0.7</w:t>
            </w:r>
          </w:p>
        </w:tc>
        <w:tc>
          <w:tcPr>
            <w:tcW w:w="1259" w:type="dxa"/>
            <w:tcBorders>
              <w:top w:val="single" w:color="auto" w:sz="4" w:space="0"/>
              <w:left w:val="single" w:color="auto" w:sz="4" w:space="0"/>
              <w:bottom w:val="single" w:color="auto" w:sz="4" w:space="0"/>
              <w:right w:val="nil"/>
            </w:tcBorders>
            <w:vAlign w:val="center"/>
          </w:tcPr>
          <w:p>
            <w:pPr>
              <w:pStyle w:val="105"/>
              <w:jc w:val="center"/>
            </w:pPr>
            <w:r>
              <w:t>0.113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rPr>
                <w:rFonts w:hint="eastAsia"/>
                <w:lang w:eastAsia="zh-CN"/>
              </w:rPr>
              <w:t>二级</w:t>
            </w:r>
            <w:r>
              <w:rPr>
                <w:rFonts w:hint="eastAsia"/>
              </w:rPr>
              <w:t>标准</w:t>
            </w:r>
          </w:p>
        </w:tc>
        <w:tc>
          <w:tcPr>
            <w:tcW w:w="1122" w:type="dxa"/>
            <w:tcBorders>
              <w:top w:val="single" w:color="auto" w:sz="4" w:space="0"/>
              <w:left w:val="single" w:color="auto" w:sz="4" w:space="0"/>
              <w:bottom w:val="single" w:color="auto" w:sz="4" w:space="0"/>
              <w:right w:val="single" w:color="auto" w:sz="4" w:space="0"/>
            </w:tcBorders>
            <w:vAlign w:val="center"/>
          </w:tcPr>
          <w:p>
            <w:pPr>
              <w:pStyle w:val="105"/>
              <w:jc w:val="center"/>
            </w:pPr>
            <w:r>
              <w:t>0.06</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t>0.04</w:t>
            </w:r>
          </w:p>
        </w:tc>
        <w:tc>
          <w:tcPr>
            <w:tcW w:w="1203" w:type="dxa"/>
            <w:tcBorders>
              <w:top w:val="single" w:color="auto" w:sz="4" w:space="0"/>
              <w:left w:val="single" w:color="auto" w:sz="4" w:space="0"/>
              <w:bottom w:val="single" w:color="auto" w:sz="4" w:space="0"/>
              <w:right w:val="single" w:color="auto" w:sz="4" w:space="0"/>
            </w:tcBorders>
            <w:vAlign w:val="center"/>
          </w:tcPr>
          <w:p>
            <w:pPr>
              <w:pStyle w:val="105"/>
              <w:jc w:val="center"/>
            </w:pPr>
            <w:r>
              <w:t>0.07</w:t>
            </w:r>
          </w:p>
        </w:tc>
        <w:tc>
          <w:tcPr>
            <w:tcW w:w="1216" w:type="dxa"/>
            <w:tcBorders>
              <w:top w:val="single" w:color="auto" w:sz="4" w:space="0"/>
              <w:left w:val="single" w:color="auto" w:sz="4" w:space="0"/>
              <w:bottom w:val="single" w:color="auto" w:sz="4" w:space="0"/>
              <w:right w:val="single" w:color="auto" w:sz="4" w:space="0"/>
            </w:tcBorders>
            <w:vAlign w:val="center"/>
          </w:tcPr>
          <w:p>
            <w:pPr>
              <w:pStyle w:val="105"/>
              <w:jc w:val="center"/>
            </w:pPr>
            <w:r>
              <w:t>0.035</w:t>
            </w:r>
          </w:p>
        </w:tc>
        <w:tc>
          <w:tcPr>
            <w:tcW w:w="1334" w:type="dxa"/>
            <w:tcBorders>
              <w:top w:val="single" w:color="auto" w:sz="4" w:space="0"/>
              <w:left w:val="single" w:color="auto" w:sz="4" w:space="0"/>
              <w:bottom w:val="single" w:color="auto" w:sz="4" w:space="0"/>
              <w:right w:val="single" w:color="auto" w:sz="4" w:space="0"/>
            </w:tcBorders>
            <w:vAlign w:val="center"/>
          </w:tcPr>
          <w:p>
            <w:pPr>
              <w:pStyle w:val="105"/>
              <w:jc w:val="center"/>
            </w:pPr>
            <w:r>
              <w:t>4</w:t>
            </w:r>
          </w:p>
        </w:tc>
        <w:tc>
          <w:tcPr>
            <w:tcW w:w="1259" w:type="dxa"/>
            <w:tcBorders>
              <w:top w:val="single" w:color="auto" w:sz="4" w:space="0"/>
              <w:left w:val="single" w:color="auto" w:sz="4" w:space="0"/>
              <w:bottom w:val="single" w:color="auto" w:sz="4" w:space="0"/>
              <w:right w:val="nil"/>
            </w:tcBorders>
            <w:vAlign w:val="center"/>
          </w:tcPr>
          <w:p>
            <w:pPr>
              <w:pStyle w:val="105"/>
              <w:jc w:val="center"/>
            </w:pPr>
            <w: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33" w:type="dxa"/>
            <w:tcBorders>
              <w:top w:val="single" w:color="auto" w:sz="4" w:space="0"/>
              <w:left w:val="nil"/>
              <w:bottom w:val="single" w:color="auto" w:sz="4" w:space="0"/>
              <w:right w:val="single" w:color="auto" w:sz="4" w:space="0"/>
            </w:tcBorders>
            <w:vAlign w:val="center"/>
          </w:tcPr>
          <w:p>
            <w:pPr>
              <w:pStyle w:val="105"/>
            </w:pPr>
            <w:r>
              <w:rPr>
                <w:rFonts w:hint="eastAsia"/>
              </w:rPr>
              <w:t>达标情况</w:t>
            </w:r>
          </w:p>
        </w:tc>
        <w:tc>
          <w:tcPr>
            <w:tcW w:w="7337" w:type="dxa"/>
            <w:gridSpan w:val="6"/>
            <w:tcBorders>
              <w:top w:val="single" w:color="auto" w:sz="4" w:space="0"/>
              <w:left w:val="single" w:color="auto" w:sz="4" w:space="0"/>
              <w:bottom w:val="single" w:color="auto" w:sz="4" w:space="0"/>
              <w:right w:val="nil"/>
            </w:tcBorders>
            <w:vAlign w:val="center"/>
          </w:tcPr>
          <w:p>
            <w:pPr>
              <w:pStyle w:val="105"/>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070" w:type="dxa"/>
            <w:gridSpan w:val="7"/>
            <w:tcBorders>
              <w:top w:val="single" w:color="auto" w:sz="4" w:space="0"/>
              <w:left w:val="nil"/>
              <w:bottom w:val="single" w:color="auto" w:sz="12" w:space="0"/>
              <w:right w:val="nil"/>
            </w:tcBorders>
            <w:vAlign w:val="center"/>
          </w:tcPr>
          <w:p>
            <w:pPr>
              <w:pStyle w:val="105"/>
            </w:pPr>
            <w:r>
              <w:rPr>
                <w:rFonts w:hint="eastAsia"/>
              </w:rPr>
              <w:t>注：</w:t>
            </w:r>
            <w:r>
              <w:t>CO</w:t>
            </w:r>
            <w:r>
              <w:rPr>
                <w:rFonts w:hint="eastAsia"/>
              </w:rPr>
              <w:t>为日均值第</w:t>
            </w:r>
            <w:r>
              <w:t>95</w:t>
            </w:r>
            <w:r>
              <w:rPr>
                <w:rFonts w:hint="eastAsia"/>
              </w:rPr>
              <w:t>百分位数，</w:t>
            </w:r>
            <w:r>
              <w:t>O3</w:t>
            </w:r>
            <w:r>
              <w:rPr>
                <w:rFonts w:hint="eastAsia"/>
              </w:rPr>
              <w:t>为日最大</w:t>
            </w:r>
            <w:r>
              <w:t>8</w:t>
            </w:r>
            <w:r>
              <w:rPr>
                <w:rFonts w:hint="eastAsia"/>
              </w:rPr>
              <w:t>小时值第</w:t>
            </w:r>
            <w:r>
              <w:t>90</w:t>
            </w:r>
            <w:r>
              <w:rPr>
                <w:rFonts w:hint="eastAsia"/>
              </w:rPr>
              <w:t>百分位数。</w:t>
            </w:r>
          </w:p>
        </w:tc>
      </w:tr>
    </w:tbl>
    <w:p>
      <w:pPr>
        <w:pStyle w:val="120"/>
        <w:spacing w:before="120"/>
        <w:rPr>
          <w:color w:val="auto"/>
        </w:rPr>
      </w:pPr>
      <w:r>
        <w:rPr>
          <w:rFonts w:hint="eastAsia"/>
          <w:color w:val="auto"/>
        </w:rPr>
        <w:t>地表水质量现状调查与评价</w:t>
      </w:r>
    </w:p>
    <w:p>
      <w:pPr>
        <w:ind w:firstLine="480"/>
      </w:pPr>
      <w:r>
        <w:rPr>
          <w:rFonts w:hint="eastAsia"/>
        </w:rPr>
        <w:t>本次评价委托福建九五检测技术服务有限公司（C</w:t>
      </w:r>
      <w:r>
        <w:t>MA23131205A003</w:t>
      </w:r>
      <w:r>
        <w:rPr>
          <w:rFonts w:hint="eastAsia"/>
        </w:rPr>
        <w:t>）于</w:t>
      </w:r>
      <w:r>
        <w:t>2025年2月26日</w:t>
      </w:r>
      <w:r>
        <w:rPr>
          <w:rFonts w:hint="eastAsia"/>
        </w:rPr>
        <w:t>~</w:t>
      </w:r>
      <w:r>
        <w:t>2月28日</w:t>
      </w:r>
      <w:r>
        <w:rPr>
          <w:rFonts w:hint="eastAsia"/>
        </w:rPr>
        <w:t>对迳江进行监测，共设置</w:t>
      </w:r>
      <w:r>
        <w:t>2</w:t>
      </w:r>
      <w:r>
        <w:rPr>
          <w:rFonts w:hint="eastAsia"/>
        </w:rPr>
        <w:t>个监测断面。</w:t>
      </w:r>
    </w:p>
    <w:p>
      <w:pPr>
        <w:ind w:firstLine="480"/>
        <w:rPr>
          <w:rFonts w:ascii="楷体" w:hAnsi="楷体" w:eastAsia="楷体"/>
        </w:rPr>
      </w:pPr>
      <w:r>
        <w:rPr>
          <w:rFonts w:hint="eastAsia" w:ascii="楷体" w:hAnsi="楷体" w:eastAsia="楷体"/>
        </w:rPr>
        <w:t>注：</w:t>
      </w:r>
      <w:bookmarkStart w:id="405" w:name="_Hlk197442370"/>
      <w:r>
        <w:rPr>
          <w:rFonts w:hint="eastAsia" w:ascii="楷体" w:hAnsi="楷体" w:eastAsia="楷体"/>
        </w:rPr>
        <w:t>本项目开展现状监测期间，福渠（项目段）无流水，故无法监测</w:t>
      </w:r>
      <w:bookmarkEnd w:id="405"/>
      <w:r>
        <w:rPr>
          <w:rFonts w:hint="eastAsia" w:ascii="楷体" w:hAnsi="楷体" w:eastAsia="楷体"/>
        </w:rPr>
        <w:t>。</w:t>
      </w:r>
    </w:p>
    <w:p>
      <w:pPr>
        <w:ind w:firstLine="480"/>
      </w:pPr>
      <w:r>
        <w:rPr>
          <w:rFonts w:hint="eastAsia"/>
        </w:rPr>
        <w:t>（</w:t>
      </w:r>
      <w:r>
        <w:t>1</w:t>
      </w:r>
      <w:r>
        <w:rPr>
          <w:rFonts w:hint="eastAsia"/>
        </w:rPr>
        <w:t>）监测概况</w:t>
      </w:r>
    </w:p>
    <w:p>
      <w:pPr>
        <w:ind w:firstLine="480"/>
      </w:pPr>
      <w:r>
        <w:rPr>
          <w:rFonts w:hint="eastAsia"/>
        </w:rPr>
        <w:t>①监测点位：监测断面详见</w:t>
      </w:r>
      <w:r>
        <w:fldChar w:fldCharType="begin"/>
      </w:r>
      <w:r>
        <w:instrText xml:space="preserve"> </w:instrText>
      </w:r>
      <w:r>
        <w:rPr>
          <w:rFonts w:hint="eastAsia"/>
        </w:rPr>
        <w:instrText xml:space="preserve">REF _Ref119504364 \r \h</w:instrText>
      </w:r>
      <w:r>
        <w:instrText xml:space="preserve">  \* MERGEFORMAT </w:instrText>
      </w:r>
      <w:r>
        <w:fldChar w:fldCharType="separate"/>
      </w:r>
      <w:r>
        <w:rPr>
          <w:rFonts w:hint="eastAsia"/>
        </w:rPr>
        <w:t>表4.2-2</w:t>
      </w:r>
      <w:r>
        <w:fldChar w:fldCharType="end"/>
      </w:r>
      <w:r>
        <w:rPr>
          <w:rFonts w:hint="eastAsia"/>
        </w:rPr>
        <w:t>。</w:t>
      </w:r>
    </w:p>
    <w:p>
      <w:pPr>
        <w:ind w:firstLine="480"/>
      </w:pPr>
      <w:r>
        <w:rPr>
          <w:rFonts w:hint="eastAsia"/>
        </w:rPr>
        <w:t>②监测时间：采样时间</w:t>
      </w:r>
      <w:r>
        <w:t>2025年2月26日</w:t>
      </w:r>
      <w:r>
        <w:rPr>
          <w:rFonts w:hint="eastAsia"/>
        </w:rPr>
        <w:t>—</w:t>
      </w:r>
      <w:r>
        <w:t>2月28日</w:t>
      </w:r>
      <w:r>
        <w:rPr>
          <w:rFonts w:hint="eastAsia"/>
        </w:rPr>
        <w:t>。</w:t>
      </w:r>
    </w:p>
    <w:p>
      <w:pPr>
        <w:ind w:firstLine="480"/>
      </w:pPr>
      <w:r>
        <w:rPr>
          <w:rFonts w:hint="eastAsia" w:ascii="宋体" w:hAnsi="宋体"/>
        </w:rPr>
        <w:t>③</w:t>
      </w:r>
      <w:r>
        <w:rPr>
          <w:rFonts w:hint="eastAsia"/>
        </w:rPr>
        <w:t>监测频次：一天一次，共</w:t>
      </w:r>
      <w:r>
        <w:t>3</w:t>
      </w:r>
      <w:r>
        <w:rPr>
          <w:rFonts w:hint="eastAsia"/>
        </w:rPr>
        <w:t>天；</w:t>
      </w:r>
    </w:p>
    <w:p>
      <w:pPr>
        <w:ind w:firstLine="480"/>
      </w:pPr>
      <w:r>
        <w:rPr>
          <w:rFonts w:hint="eastAsia" w:ascii="宋体" w:hAnsi="宋体"/>
        </w:rPr>
        <w:t>④</w:t>
      </w:r>
      <w:r>
        <w:rPr>
          <w:rFonts w:hint="eastAsia"/>
        </w:rPr>
        <w:t>监测项目：</w:t>
      </w:r>
      <w:r>
        <w:t>水温、pH、DO、SS、高锰酸盐指数、BOD</w:t>
      </w:r>
      <w:r>
        <w:rPr>
          <w:vertAlign w:val="subscript"/>
        </w:rPr>
        <w:t>5</w:t>
      </w:r>
      <w:r>
        <w:t>、氨氮、</w:t>
      </w:r>
      <w:r>
        <w:rPr>
          <w:rFonts w:hint="eastAsia"/>
        </w:rPr>
        <w:t>总磷、</w:t>
      </w:r>
      <w:r>
        <w:t>石油类。</w:t>
      </w:r>
    </w:p>
    <w:p>
      <w:pPr>
        <w:ind w:firstLine="480"/>
        <w:rPr>
          <w:rFonts w:ascii="宋体" w:hAnsi="宋体"/>
        </w:rPr>
      </w:pPr>
      <w:r>
        <w:rPr>
          <w:rFonts w:hint="eastAsia" w:ascii="宋体" w:hAnsi="宋体"/>
        </w:rPr>
        <w:t>⑤</w:t>
      </w:r>
      <w:r>
        <w:rPr>
          <w:rFonts w:hint="eastAsia"/>
        </w:rPr>
        <w:t>监测分析方法：监测分析方法统计于</w:t>
      </w:r>
      <w:r>
        <w:fldChar w:fldCharType="begin"/>
      </w:r>
      <w:r>
        <w:instrText xml:space="preserve"> </w:instrText>
      </w:r>
      <w:r>
        <w:rPr>
          <w:rFonts w:hint="eastAsia"/>
        </w:rPr>
        <w:instrText xml:space="preserve">REF _Ref63067479 \r \h</w:instrText>
      </w:r>
      <w:r>
        <w:instrText xml:space="preserve">  \* MERGEFORMAT </w:instrText>
      </w:r>
      <w:r>
        <w:fldChar w:fldCharType="separate"/>
      </w:r>
      <w:r>
        <w:rPr>
          <w:rFonts w:hint="eastAsia"/>
        </w:rPr>
        <w:t>表4.2-3</w:t>
      </w:r>
      <w:r>
        <w:fldChar w:fldCharType="end"/>
      </w:r>
      <w:r>
        <w:rPr>
          <w:rFonts w:hint="eastAsia"/>
        </w:rPr>
        <w:t>。</w:t>
      </w:r>
    </w:p>
    <w:p>
      <w:pPr>
        <w:pStyle w:val="87"/>
        <w:spacing w:before="163"/>
        <w:ind w:firstLine="360"/>
      </w:pPr>
      <w:bookmarkStart w:id="406" w:name="_Ref119504364"/>
      <w:r>
        <w:rPr>
          <w:rFonts w:hint="eastAsia"/>
        </w:rPr>
        <w:t>地表水监测断面</w:t>
      </w:r>
      <w:bookmarkEnd w:id="406"/>
    </w:p>
    <w:tbl>
      <w:tblPr>
        <w:tblStyle w:val="5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999"/>
        <w:gridCol w:w="1657"/>
        <w:gridCol w:w="2316"/>
        <w:gridCol w:w="1657"/>
        <w:gridCol w:w="1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Align w:val="center"/>
          </w:tcPr>
          <w:p>
            <w:pPr>
              <w:pStyle w:val="105"/>
            </w:pPr>
            <w:r>
              <w:t>序号</w:t>
            </w:r>
          </w:p>
        </w:tc>
        <w:tc>
          <w:tcPr>
            <w:tcW w:w="538" w:type="pct"/>
            <w:vAlign w:val="center"/>
          </w:tcPr>
          <w:p>
            <w:pPr>
              <w:pStyle w:val="105"/>
            </w:pPr>
            <w:r>
              <w:t>河段</w:t>
            </w:r>
          </w:p>
        </w:tc>
        <w:tc>
          <w:tcPr>
            <w:tcW w:w="892" w:type="pct"/>
            <w:vAlign w:val="center"/>
          </w:tcPr>
          <w:p>
            <w:pPr>
              <w:pStyle w:val="105"/>
            </w:pPr>
            <w:r>
              <w:t>断面名称</w:t>
            </w:r>
          </w:p>
        </w:tc>
        <w:tc>
          <w:tcPr>
            <w:tcW w:w="1247" w:type="pct"/>
            <w:vAlign w:val="center"/>
          </w:tcPr>
          <w:p>
            <w:pPr>
              <w:pStyle w:val="105"/>
            </w:pPr>
            <w:r>
              <w:t>断面位置</w:t>
            </w:r>
          </w:p>
        </w:tc>
        <w:tc>
          <w:tcPr>
            <w:tcW w:w="892" w:type="pct"/>
          </w:tcPr>
          <w:p>
            <w:pPr>
              <w:pStyle w:val="105"/>
            </w:pPr>
            <w:r>
              <w:rPr>
                <w:rFonts w:hint="eastAsia"/>
              </w:rPr>
              <w:t>河道宽度</w:t>
            </w:r>
          </w:p>
        </w:tc>
        <w:tc>
          <w:tcPr>
            <w:tcW w:w="892" w:type="pct"/>
          </w:tcPr>
          <w:p>
            <w:pPr>
              <w:pStyle w:val="105"/>
            </w:pPr>
            <w:r>
              <w:rPr>
                <w:rFonts w:hint="eastAsia"/>
              </w:rPr>
              <w:t>监测垂线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restart"/>
            <w:vAlign w:val="center"/>
          </w:tcPr>
          <w:p>
            <w:pPr>
              <w:pStyle w:val="105"/>
            </w:pPr>
            <w:r>
              <w:t>1</w:t>
            </w:r>
          </w:p>
        </w:tc>
        <w:tc>
          <w:tcPr>
            <w:tcW w:w="538" w:type="pct"/>
            <w:vMerge w:val="restart"/>
            <w:vAlign w:val="center"/>
          </w:tcPr>
          <w:p>
            <w:pPr>
              <w:pStyle w:val="105"/>
            </w:pPr>
            <w:r>
              <w:rPr>
                <w:rFonts w:hint="eastAsia"/>
              </w:rPr>
              <w:t>迳江</w:t>
            </w:r>
          </w:p>
        </w:tc>
        <w:tc>
          <w:tcPr>
            <w:tcW w:w="892" w:type="pct"/>
            <w:vAlign w:val="center"/>
          </w:tcPr>
          <w:p>
            <w:pPr>
              <w:pStyle w:val="105"/>
            </w:pPr>
            <w:r>
              <w:t>W1#</w:t>
            </w:r>
          </w:p>
        </w:tc>
        <w:tc>
          <w:tcPr>
            <w:tcW w:w="1247" w:type="pct"/>
            <w:vAlign w:val="center"/>
          </w:tcPr>
          <w:p>
            <w:pPr>
              <w:pStyle w:val="105"/>
            </w:pPr>
            <w:r>
              <w:rPr>
                <w:rFonts w:hint="eastAsia"/>
              </w:rPr>
              <w:t>上游钟枝中桥</w:t>
            </w:r>
          </w:p>
        </w:tc>
        <w:tc>
          <w:tcPr>
            <w:tcW w:w="892" w:type="pct"/>
          </w:tcPr>
          <w:p>
            <w:pPr>
              <w:pStyle w:val="105"/>
            </w:pPr>
            <w:r>
              <w:rPr>
                <w:rFonts w:hint="eastAsia"/>
              </w:rPr>
              <w:t>8</w:t>
            </w:r>
            <w:r>
              <w:t>~10</w:t>
            </w:r>
          </w:p>
        </w:tc>
        <w:tc>
          <w:tcPr>
            <w:tcW w:w="892" w:type="pct"/>
          </w:tcPr>
          <w:p>
            <w:pPr>
              <w:pStyle w:val="105"/>
            </w:pPr>
            <w:r>
              <w:rPr>
                <w:rFonts w:hint="eastAsia"/>
              </w:rPr>
              <w:t>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continue"/>
            <w:vAlign w:val="center"/>
          </w:tcPr>
          <w:p>
            <w:pPr>
              <w:pStyle w:val="105"/>
            </w:pPr>
          </w:p>
        </w:tc>
        <w:tc>
          <w:tcPr>
            <w:tcW w:w="538" w:type="pct"/>
            <w:vMerge w:val="continue"/>
            <w:vAlign w:val="center"/>
          </w:tcPr>
          <w:p>
            <w:pPr>
              <w:pStyle w:val="105"/>
            </w:pPr>
          </w:p>
        </w:tc>
        <w:tc>
          <w:tcPr>
            <w:tcW w:w="892" w:type="pct"/>
            <w:vAlign w:val="center"/>
          </w:tcPr>
          <w:p>
            <w:pPr>
              <w:pStyle w:val="105"/>
            </w:pPr>
            <w:r>
              <w:t>W2#</w:t>
            </w:r>
          </w:p>
        </w:tc>
        <w:tc>
          <w:tcPr>
            <w:tcW w:w="1247" w:type="pct"/>
            <w:vAlign w:val="center"/>
          </w:tcPr>
          <w:p>
            <w:pPr>
              <w:pStyle w:val="105"/>
            </w:pPr>
            <w:r>
              <w:rPr>
                <w:rFonts w:hint="eastAsia"/>
              </w:rPr>
              <w:t>上张村王房</w:t>
            </w:r>
          </w:p>
        </w:tc>
        <w:tc>
          <w:tcPr>
            <w:tcW w:w="892" w:type="pct"/>
          </w:tcPr>
          <w:p>
            <w:pPr>
              <w:pStyle w:val="105"/>
            </w:pPr>
            <w:r>
              <w:rPr>
                <w:rFonts w:hint="eastAsia"/>
              </w:rPr>
              <w:t>8</w:t>
            </w:r>
            <w:r>
              <w:t>~10</w:t>
            </w:r>
          </w:p>
        </w:tc>
        <w:tc>
          <w:tcPr>
            <w:tcW w:w="892" w:type="pct"/>
          </w:tcPr>
          <w:p>
            <w:pPr>
              <w:pStyle w:val="105"/>
            </w:pPr>
            <w:r>
              <w:rPr>
                <w:rFonts w:hint="eastAsia"/>
              </w:rPr>
              <w:t>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pPr>
              <w:pStyle w:val="105"/>
            </w:pPr>
            <w:r>
              <w:rPr>
                <w:rFonts w:hint="eastAsia"/>
              </w:rPr>
              <w:t>监测技术：按照《地表水环境质量监测技术规范</w:t>
            </w:r>
            <w:r>
              <w:t>HJ91.2 2022</w:t>
            </w:r>
            <w:r>
              <w:rPr>
                <w:rFonts w:hint="eastAsia"/>
              </w:rPr>
              <w:t>》执行。</w:t>
            </w:r>
          </w:p>
        </w:tc>
      </w:tr>
    </w:tbl>
    <w:p>
      <w:pPr>
        <w:pStyle w:val="87"/>
        <w:spacing w:before="163"/>
        <w:ind w:firstLine="360"/>
      </w:pPr>
      <w:bookmarkStart w:id="407" w:name="_Ref63067479"/>
      <w:r>
        <w:rPr>
          <w:rFonts w:hint="eastAsia"/>
        </w:rPr>
        <w:t>监测方法</w:t>
      </w:r>
      <w:bookmarkEnd w:id="407"/>
    </w:p>
    <w:tbl>
      <w:tblPr>
        <w:tblStyle w:val="5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3" w:type="dxa"/>
          <w:bottom w:w="0" w:type="dxa"/>
          <w:right w:w="23" w:type="dxa"/>
        </w:tblCellMar>
      </w:tblPr>
      <w:tblGrid>
        <w:gridCol w:w="1685"/>
        <w:gridCol w:w="6459"/>
        <w:gridCol w:w="9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t>检测项目</w:t>
            </w:r>
          </w:p>
        </w:tc>
        <w:tc>
          <w:tcPr>
            <w:tcW w:w="6459" w:type="dxa"/>
            <w:vAlign w:val="center"/>
          </w:tcPr>
          <w:p>
            <w:pPr>
              <w:pStyle w:val="105"/>
              <w:ind w:left="-48" w:leftChars="-20" w:right="-48" w:rightChars="-20"/>
              <w:jc w:val="center"/>
            </w:pPr>
            <w:r>
              <w:t>检测依据</w:t>
            </w:r>
          </w:p>
        </w:tc>
        <w:tc>
          <w:tcPr>
            <w:tcW w:w="926" w:type="dxa"/>
            <w:vAlign w:val="center"/>
          </w:tcPr>
          <w:p>
            <w:pPr>
              <w:pStyle w:val="105"/>
              <w:ind w:left="-48" w:leftChars="-20" w:right="-48" w:rightChars="-20"/>
              <w:jc w:val="center"/>
            </w:pPr>
            <w: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rPr>
                <w:rFonts w:hint="eastAsia"/>
              </w:rPr>
              <w:t>水温</w:t>
            </w:r>
          </w:p>
        </w:tc>
        <w:tc>
          <w:tcPr>
            <w:tcW w:w="6459" w:type="dxa"/>
            <w:vAlign w:val="center"/>
          </w:tcPr>
          <w:p>
            <w:pPr>
              <w:pStyle w:val="105"/>
              <w:ind w:left="-48" w:leftChars="-20" w:right="-48" w:rightChars="-20"/>
              <w:jc w:val="center"/>
            </w:pPr>
            <w:r>
              <w:rPr>
                <w:rFonts w:hint="eastAsia"/>
              </w:rPr>
              <w:t>《水质</w:t>
            </w:r>
            <w:r>
              <w:t xml:space="preserve"> </w:t>
            </w:r>
            <w:r>
              <w:rPr>
                <w:rFonts w:hint="eastAsia"/>
              </w:rPr>
              <w:t>水温的测定</w:t>
            </w:r>
            <w:r>
              <w:t xml:space="preserve"> </w:t>
            </w:r>
            <w:r>
              <w:rPr>
                <w:rFonts w:hint="eastAsia"/>
              </w:rPr>
              <w:t>温度计或颠倒温度计测定法》（</w:t>
            </w:r>
            <w:r>
              <w:t>GB/T 13195-1991</w:t>
            </w:r>
            <w:r>
              <w:rPr>
                <w:rFonts w:hint="eastAsia"/>
              </w:rPr>
              <w:t>）</w:t>
            </w:r>
          </w:p>
        </w:tc>
        <w:tc>
          <w:tcPr>
            <w:tcW w:w="926" w:type="dxa"/>
            <w:vAlign w:val="center"/>
          </w:tcPr>
          <w:p>
            <w:pPr>
              <w:pStyle w:val="105"/>
              <w:ind w:left="-48" w:leftChars="-20" w:right="-48" w:rightChars="-20"/>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rPr>
                <w:rFonts w:hint="eastAsia"/>
              </w:rPr>
              <w:t>溶解氧</w:t>
            </w:r>
          </w:p>
        </w:tc>
        <w:tc>
          <w:tcPr>
            <w:tcW w:w="6459" w:type="dxa"/>
            <w:vAlign w:val="center"/>
          </w:tcPr>
          <w:p>
            <w:pPr>
              <w:pStyle w:val="105"/>
              <w:ind w:left="-48" w:leftChars="-20" w:right="-48" w:rightChars="-20"/>
              <w:jc w:val="center"/>
            </w:pPr>
            <w:r>
              <w:t>《水质 溶解氧的测定</w:t>
            </w:r>
            <w:r>
              <w:rPr>
                <w:rFonts w:hint="eastAsia"/>
              </w:rPr>
              <w:t xml:space="preserve"> </w:t>
            </w:r>
            <w:r>
              <w:t>电化学探头法》（HJ 506-2009）</w:t>
            </w:r>
          </w:p>
        </w:tc>
        <w:tc>
          <w:tcPr>
            <w:tcW w:w="926" w:type="dxa"/>
            <w:vAlign w:val="center"/>
          </w:tcPr>
          <w:p>
            <w:pPr>
              <w:pStyle w:val="105"/>
              <w:ind w:left="-48" w:leftChars="-20" w:right="-48" w:rightChars="-20"/>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t>pH值</w:t>
            </w:r>
          </w:p>
        </w:tc>
        <w:tc>
          <w:tcPr>
            <w:tcW w:w="6459" w:type="dxa"/>
            <w:vAlign w:val="center"/>
          </w:tcPr>
          <w:p>
            <w:pPr>
              <w:pStyle w:val="105"/>
              <w:ind w:left="-48" w:leftChars="-20" w:right="-48" w:rightChars="-20"/>
              <w:jc w:val="center"/>
            </w:pPr>
            <w:r>
              <w:t>《水质 pH值的测定 电极法》（HJ 1147-2020）</w:t>
            </w:r>
          </w:p>
        </w:tc>
        <w:tc>
          <w:tcPr>
            <w:tcW w:w="926" w:type="dxa"/>
            <w:vAlign w:val="center"/>
          </w:tcPr>
          <w:p>
            <w:pPr>
              <w:pStyle w:val="105"/>
              <w:ind w:left="-48" w:leftChars="-20" w:right="-48" w:rightChars="-20"/>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t>悬浮物</w:t>
            </w:r>
          </w:p>
        </w:tc>
        <w:tc>
          <w:tcPr>
            <w:tcW w:w="6459" w:type="dxa"/>
            <w:vAlign w:val="center"/>
          </w:tcPr>
          <w:p>
            <w:pPr>
              <w:pStyle w:val="105"/>
              <w:ind w:left="-48" w:leftChars="-20" w:right="-48" w:rightChars="-20"/>
              <w:jc w:val="center"/>
            </w:pPr>
            <w:r>
              <w:t>《水质 悬浮物的测定 重量法》（GB/T 11901-1989）</w:t>
            </w:r>
          </w:p>
        </w:tc>
        <w:tc>
          <w:tcPr>
            <w:tcW w:w="926" w:type="dxa"/>
            <w:vAlign w:val="center"/>
          </w:tcPr>
          <w:p>
            <w:pPr>
              <w:pStyle w:val="105"/>
              <w:ind w:left="-48" w:leftChars="-20" w:right="-48" w:rightChars="-20"/>
              <w:jc w:val="center"/>
            </w:pPr>
            <w:r>
              <w:t>4mg/L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t>石油类</w:t>
            </w:r>
          </w:p>
        </w:tc>
        <w:tc>
          <w:tcPr>
            <w:tcW w:w="6459" w:type="dxa"/>
            <w:vAlign w:val="center"/>
          </w:tcPr>
          <w:p>
            <w:pPr>
              <w:pStyle w:val="105"/>
              <w:ind w:left="-48" w:leftChars="-20" w:right="-48" w:rightChars="-20"/>
              <w:jc w:val="center"/>
            </w:pPr>
            <w:r>
              <w:t>《水质 石油类的测定 紫外分光光度法（试行）》（HJ 970-2018）</w:t>
            </w:r>
          </w:p>
        </w:tc>
        <w:tc>
          <w:tcPr>
            <w:tcW w:w="926" w:type="dxa"/>
            <w:vAlign w:val="center"/>
          </w:tcPr>
          <w:p>
            <w:pPr>
              <w:pStyle w:val="105"/>
              <w:ind w:left="-48" w:leftChars="-20" w:right="-48" w:rightChars="-20"/>
              <w:jc w:val="center"/>
            </w:pPr>
            <w:r>
              <w:t>0.01mg/L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t>高锰酸盐指数</w:t>
            </w:r>
          </w:p>
        </w:tc>
        <w:tc>
          <w:tcPr>
            <w:tcW w:w="6459" w:type="dxa"/>
            <w:vAlign w:val="center"/>
          </w:tcPr>
          <w:p>
            <w:pPr>
              <w:pStyle w:val="105"/>
              <w:ind w:left="-48" w:leftChars="-20" w:right="-48" w:rightChars="-20"/>
              <w:jc w:val="center"/>
            </w:pPr>
            <w:r>
              <w:t>《水质 高锰酸盐指数的测定》（GB/T 11892-1989）</w:t>
            </w:r>
          </w:p>
        </w:tc>
        <w:tc>
          <w:tcPr>
            <w:tcW w:w="926" w:type="dxa"/>
            <w:vAlign w:val="center"/>
          </w:tcPr>
          <w:p>
            <w:pPr>
              <w:pStyle w:val="105"/>
              <w:ind w:left="-48" w:leftChars="-20" w:right="-48" w:rightChars="-20"/>
              <w:jc w:val="center"/>
            </w:pPr>
            <w:r>
              <w:t>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t>五日生化需氧量</w:t>
            </w:r>
          </w:p>
        </w:tc>
        <w:tc>
          <w:tcPr>
            <w:tcW w:w="6459" w:type="dxa"/>
            <w:vAlign w:val="center"/>
          </w:tcPr>
          <w:p>
            <w:pPr>
              <w:pStyle w:val="105"/>
              <w:ind w:left="-48" w:leftChars="-20" w:right="-48" w:rightChars="-20"/>
              <w:jc w:val="center"/>
            </w:pPr>
            <w:r>
              <w:t>《水质 五日生化需氧量（BOD</w:t>
            </w:r>
            <w:r>
              <w:rPr>
                <w:vertAlign w:val="subscript"/>
              </w:rPr>
              <w:t>5</w:t>
            </w:r>
            <w:r>
              <w:t>）的测定 稀释与接种法》（HJ 505-2009）</w:t>
            </w:r>
          </w:p>
        </w:tc>
        <w:tc>
          <w:tcPr>
            <w:tcW w:w="926" w:type="dxa"/>
            <w:vAlign w:val="center"/>
          </w:tcPr>
          <w:p>
            <w:pPr>
              <w:pStyle w:val="105"/>
              <w:ind w:left="-48" w:leftChars="-20" w:right="-48" w:rightChars="-20"/>
              <w:jc w:val="center"/>
            </w:pPr>
            <w:r>
              <w:t>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t>氨氮</w:t>
            </w:r>
          </w:p>
        </w:tc>
        <w:tc>
          <w:tcPr>
            <w:tcW w:w="6459" w:type="dxa"/>
            <w:vAlign w:val="center"/>
          </w:tcPr>
          <w:p>
            <w:pPr>
              <w:pStyle w:val="105"/>
              <w:ind w:left="-48" w:leftChars="-20" w:right="-48" w:rightChars="-20"/>
              <w:jc w:val="center"/>
            </w:pPr>
            <w:r>
              <w:t>《水质 氨氮的测定 纳氏试剂分光光度法》（HJ 535-2009）</w:t>
            </w:r>
          </w:p>
        </w:tc>
        <w:tc>
          <w:tcPr>
            <w:tcW w:w="926" w:type="dxa"/>
            <w:vAlign w:val="center"/>
          </w:tcPr>
          <w:p>
            <w:pPr>
              <w:pStyle w:val="105"/>
              <w:ind w:left="-48" w:leftChars="-20" w:right="-48" w:rightChars="-20"/>
              <w:jc w:val="center"/>
            </w:pPr>
            <w:r>
              <w:t>0.025mg/L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685" w:type="dxa"/>
            <w:vAlign w:val="center"/>
          </w:tcPr>
          <w:p>
            <w:pPr>
              <w:pStyle w:val="105"/>
              <w:ind w:left="-48" w:leftChars="-20" w:right="-48" w:rightChars="-20"/>
              <w:jc w:val="center"/>
            </w:pPr>
            <w:r>
              <w:rPr>
                <w:rFonts w:hint="eastAsia"/>
              </w:rPr>
              <w:t>总磷</w:t>
            </w:r>
          </w:p>
        </w:tc>
        <w:tc>
          <w:tcPr>
            <w:tcW w:w="6459" w:type="dxa"/>
            <w:vAlign w:val="center"/>
          </w:tcPr>
          <w:p>
            <w:pPr>
              <w:pStyle w:val="105"/>
              <w:ind w:left="-48" w:leftChars="-20" w:right="-48" w:rightChars="-20"/>
              <w:jc w:val="center"/>
            </w:pPr>
            <w:r>
              <w:rPr>
                <w:rFonts w:hint="eastAsia"/>
              </w:rPr>
              <w:t>《水质 总磷的测定 钼酸铵分光光度法》（</w:t>
            </w:r>
            <w:r>
              <w:t>GB/T 11893-1989</w:t>
            </w:r>
            <w:r>
              <w:rPr>
                <w:rFonts w:hint="eastAsia"/>
              </w:rPr>
              <w:t>）</w:t>
            </w:r>
          </w:p>
        </w:tc>
        <w:tc>
          <w:tcPr>
            <w:tcW w:w="926" w:type="dxa"/>
            <w:vAlign w:val="center"/>
          </w:tcPr>
          <w:p>
            <w:pPr>
              <w:pStyle w:val="105"/>
              <w:ind w:left="-48" w:leftChars="-20" w:right="-48" w:rightChars="-20"/>
              <w:jc w:val="center"/>
            </w:pPr>
            <w:r>
              <w:rPr>
                <w:rFonts w:hint="eastAsia"/>
              </w:rPr>
              <w:t>0.01</w:t>
            </w:r>
            <w:r>
              <w:t>mg/L</w:t>
            </w:r>
          </w:p>
        </w:tc>
      </w:tr>
    </w:tbl>
    <w:p>
      <w:pPr>
        <w:pStyle w:val="105"/>
        <w:ind w:left="-2" w:leftChars="-59" w:hanging="140" w:hangingChars="67"/>
        <w:jc w:val="center"/>
        <w:rPr>
          <w:rFonts w:hint="eastAsia" w:eastAsia="宋体"/>
          <w:lang w:eastAsia="zh-CN"/>
        </w:rPr>
      </w:pPr>
    </w:p>
    <w:p>
      <w:pPr>
        <w:pStyle w:val="122"/>
      </w:pPr>
      <w:r>
        <w:rPr>
          <w:rFonts w:hint="eastAsia"/>
        </w:rPr>
        <w:t>地表水监测点位图</w:t>
      </w:r>
    </w:p>
    <w:p>
      <w:pPr>
        <w:pStyle w:val="272"/>
        <w:spacing w:before="163"/>
        <w:ind w:firstLine="480"/>
        <w:rPr>
          <w:color w:val="auto"/>
        </w:rPr>
      </w:pPr>
      <w:r>
        <w:rPr>
          <w:rFonts w:hint="eastAsia"/>
          <w:color w:val="auto"/>
        </w:rPr>
        <w:t>（</w:t>
      </w:r>
      <w:r>
        <w:rPr>
          <w:color w:val="auto"/>
        </w:rPr>
        <w:t>2</w:t>
      </w:r>
      <w:r>
        <w:rPr>
          <w:rFonts w:hint="eastAsia"/>
          <w:color w:val="auto"/>
        </w:rPr>
        <w:t>）评价标准和评价方法</w:t>
      </w:r>
    </w:p>
    <w:p>
      <w:pPr>
        <w:pStyle w:val="130"/>
        <w:rPr>
          <w:color w:val="auto"/>
        </w:rPr>
      </w:pPr>
      <w:r>
        <w:rPr>
          <w:rFonts w:hint="eastAsia"/>
          <w:color w:val="auto"/>
        </w:rPr>
        <w:t>迳江水体水质评价标准详见章节</w:t>
      </w:r>
      <w:r>
        <w:rPr>
          <w:color w:val="auto"/>
        </w:rPr>
        <w:t>§</w:t>
      </w:r>
      <w:r>
        <w:rPr>
          <w:color w:val="auto"/>
        </w:rPr>
        <w:fldChar w:fldCharType="begin"/>
      </w:r>
      <w:r>
        <w:rPr>
          <w:color w:val="auto"/>
        </w:rPr>
        <w:instrText xml:space="preserve"> REF _Ref82805770 \r \h  \* MERGEFORMAT </w:instrText>
      </w:r>
      <w:r>
        <w:rPr>
          <w:color w:val="auto"/>
        </w:rPr>
        <w:fldChar w:fldCharType="separate"/>
      </w:r>
      <w:r>
        <w:rPr>
          <w:rFonts w:hint="eastAsia"/>
          <w:color w:val="auto"/>
        </w:rPr>
        <w:t>表2.5-3</w:t>
      </w:r>
      <w:r>
        <w:rPr>
          <w:color w:val="auto"/>
        </w:rPr>
        <w:fldChar w:fldCharType="end"/>
      </w:r>
      <w:r>
        <w:rPr>
          <w:rFonts w:hint="eastAsia"/>
          <w:color w:val="auto"/>
        </w:rPr>
        <w:t>；根据《环境影响评价技术导则地面水环境》（</w:t>
      </w:r>
      <w:r>
        <w:rPr>
          <w:color w:val="auto"/>
        </w:rPr>
        <w:t>HJ2.3-2018</w:t>
      </w:r>
      <w:r>
        <w:rPr>
          <w:rFonts w:hint="eastAsia"/>
          <w:color w:val="auto"/>
        </w:rPr>
        <w:t>），评价采用单项水质指数法评价地面水水质，计算公式为：</w:t>
      </w:r>
    </w:p>
    <w:p>
      <w:pPr>
        <w:pStyle w:val="130"/>
        <w:rPr>
          <w:color w:val="auto"/>
        </w:rPr>
      </w:pPr>
      <w:r>
        <w:rPr>
          <w:rFonts w:hint="eastAsia" w:ascii="宋体" w:hAnsi="宋体" w:cs="宋体"/>
          <w:color w:val="auto"/>
        </w:rPr>
        <w:t>①</w:t>
      </w:r>
      <w:r>
        <w:rPr>
          <w:rFonts w:hint="eastAsia"/>
          <w:color w:val="auto"/>
        </w:rPr>
        <w:t>一般性水质因子（随着浓度增加而水质变差的水质因子）的指数计算公式：</w:t>
      </w:r>
    </w:p>
    <w:p>
      <w:pPr>
        <w:ind w:firstLine="480"/>
        <w:jc w:val="center"/>
        <w:rPr>
          <w:rFonts w:hint="eastAsia" w:eastAsia="宋体"/>
          <w:lang w:eastAsia="zh-CN"/>
        </w:rPr>
      </w:pPr>
    </w:p>
    <w:p>
      <w:pPr>
        <w:ind w:firstLine="480"/>
      </w:pPr>
      <w:r>
        <w:rPr>
          <w:rFonts w:hint="eastAsia"/>
        </w:rPr>
        <w:t>式中：</w:t>
      </w:r>
      <w:r>
        <w:rPr>
          <w:i/>
        </w:rPr>
        <w:t>S</w:t>
      </w:r>
      <w:r>
        <w:rPr>
          <w:i/>
          <w:vertAlign w:val="subscript"/>
        </w:rPr>
        <w:t>i，j</w:t>
      </w:r>
      <w:r>
        <w:t>——</w:t>
      </w:r>
      <w:r>
        <w:rPr>
          <w:rFonts w:hint="eastAsia"/>
        </w:rPr>
        <w:t>评价因子</w:t>
      </w:r>
      <w:r>
        <w:rPr>
          <w:i/>
        </w:rPr>
        <w:t>i</w:t>
      </w:r>
      <w:r>
        <w:rPr>
          <w:rFonts w:hint="eastAsia"/>
        </w:rPr>
        <w:t>的水质指数，大于</w:t>
      </w:r>
      <w:r>
        <w:t>1</w:t>
      </w:r>
      <w:r>
        <w:rPr>
          <w:rFonts w:hint="eastAsia"/>
        </w:rPr>
        <w:t>表明该水质因子超标；</w:t>
      </w:r>
    </w:p>
    <w:p>
      <w:pPr>
        <w:ind w:firstLine="1200" w:firstLineChars="500"/>
      </w:pPr>
      <w:r>
        <w:rPr>
          <w:i/>
        </w:rPr>
        <w:t>C</w:t>
      </w:r>
      <w:r>
        <w:rPr>
          <w:i/>
          <w:vertAlign w:val="subscript"/>
        </w:rPr>
        <w:t>i，j</w:t>
      </w:r>
      <w:r>
        <w:t>——</w:t>
      </w:r>
      <w:r>
        <w:rPr>
          <w:rFonts w:hint="eastAsia"/>
        </w:rPr>
        <w:t>评价因子</w:t>
      </w:r>
      <w:r>
        <w:rPr>
          <w:i/>
        </w:rPr>
        <w:t>i</w:t>
      </w:r>
      <w:r>
        <w:rPr>
          <w:rFonts w:hint="eastAsia"/>
        </w:rPr>
        <w:t>在</w:t>
      </w:r>
      <w:r>
        <w:rPr>
          <w:i/>
        </w:rPr>
        <w:t>j</w:t>
      </w:r>
      <w:r>
        <w:rPr>
          <w:rFonts w:hint="eastAsia"/>
        </w:rPr>
        <w:t>点的实测统计代表值，</w:t>
      </w:r>
      <w:r>
        <w:t>mg/L</w:t>
      </w:r>
      <w:r>
        <w:rPr>
          <w:rFonts w:hint="eastAsia"/>
        </w:rPr>
        <w:t>；</w:t>
      </w:r>
    </w:p>
    <w:p>
      <w:pPr>
        <w:ind w:firstLine="1200" w:firstLineChars="500"/>
      </w:pPr>
      <w:r>
        <w:rPr>
          <w:i/>
        </w:rPr>
        <w:t>C</w:t>
      </w:r>
      <w:r>
        <w:rPr>
          <w:i/>
          <w:vertAlign w:val="subscript"/>
        </w:rPr>
        <w:t>si</w:t>
      </w:r>
      <w:r>
        <w:t>——</w:t>
      </w:r>
      <w:r>
        <w:rPr>
          <w:rFonts w:hint="eastAsia"/>
        </w:rPr>
        <w:t>为第</w:t>
      </w:r>
      <w:r>
        <w:rPr>
          <w:i/>
        </w:rPr>
        <w:t>j</w:t>
      </w:r>
      <w:r>
        <w:rPr>
          <w:rFonts w:hint="eastAsia"/>
        </w:rPr>
        <w:t>个断面第</w:t>
      </w:r>
      <w:r>
        <w:rPr>
          <w:i/>
        </w:rPr>
        <w:t>i</w:t>
      </w:r>
      <w:r>
        <w:rPr>
          <w:rFonts w:hint="eastAsia"/>
        </w:rPr>
        <w:t>种污染物的标准值（</w:t>
      </w:r>
      <w:r>
        <w:t>mg/L</w:t>
      </w:r>
      <w:r>
        <w:rPr>
          <w:rFonts w:hint="eastAsia"/>
        </w:rPr>
        <w:t>）。</w:t>
      </w:r>
    </w:p>
    <w:p>
      <w:pPr>
        <w:pStyle w:val="130"/>
        <w:rPr>
          <w:color w:val="auto"/>
        </w:rPr>
      </w:pPr>
      <w:r>
        <w:rPr>
          <w:rFonts w:hint="eastAsia" w:ascii="宋体" w:hAnsi="宋体" w:cs="宋体"/>
          <w:color w:val="auto"/>
        </w:rPr>
        <w:t>②</w:t>
      </w:r>
      <w:r>
        <w:rPr>
          <w:rFonts w:hint="eastAsia"/>
          <w:color w:val="auto"/>
        </w:rPr>
        <w:t>溶解氧（</w:t>
      </w:r>
      <w:r>
        <w:rPr>
          <w:color w:val="auto"/>
        </w:rPr>
        <w:t>DO</w:t>
      </w:r>
      <w:r>
        <w:rPr>
          <w:rFonts w:hint="eastAsia"/>
          <w:color w:val="auto"/>
        </w:rPr>
        <w:t>）的标准指数计算公式：</w:t>
      </w:r>
    </w:p>
    <w:p>
      <w:pPr>
        <w:ind w:firstLine="480"/>
        <w:jc w:val="center"/>
      </w:pPr>
      <w:r>
        <w:rPr>
          <w:i/>
        </w:rPr>
        <w:t>DO</w:t>
      </w:r>
      <w:r>
        <w:rPr>
          <w:i/>
          <w:vertAlign w:val="subscript"/>
        </w:rPr>
        <w:t>j</w:t>
      </w:r>
      <w:r>
        <w:rPr>
          <w:rFonts w:hint="eastAsia"/>
        </w:rPr>
        <w:t>＞</w:t>
      </w:r>
      <w:r>
        <w:rPr>
          <w:i/>
        </w:rPr>
        <w:t>DO</w:t>
      </w:r>
      <w:r>
        <w:rPr>
          <w:i/>
          <w:vertAlign w:val="subscript"/>
        </w:rPr>
        <w:t>f</w:t>
      </w:r>
    </w:p>
    <w:p>
      <w:pPr>
        <w:ind w:firstLine="480"/>
        <w:jc w:val="center"/>
      </w:pPr>
      <w:r>
        <w:rPr>
          <w:i/>
        </w:rPr>
        <w:t>DO</w:t>
      </w:r>
      <w:r>
        <w:rPr>
          <w:i/>
          <w:vertAlign w:val="subscript"/>
        </w:rPr>
        <w:t>j</w:t>
      </w:r>
      <w:r>
        <w:rPr>
          <w:rFonts w:hint="eastAsia"/>
        </w:rPr>
        <w:t>≤</w:t>
      </w:r>
      <w:r>
        <w:rPr>
          <w:i/>
        </w:rPr>
        <w:t>DO</w:t>
      </w:r>
      <w:r>
        <w:rPr>
          <w:i/>
          <w:vertAlign w:val="subscript"/>
        </w:rPr>
        <w:t>f</w:t>
      </w:r>
    </w:p>
    <w:p>
      <w:pPr>
        <w:pStyle w:val="130"/>
        <w:rPr>
          <w:color w:val="auto"/>
        </w:rPr>
      </w:pPr>
      <w:r>
        <w:rPr>
          <w:rFonts w:hint="eastAsia"/>
          <w:color w:val="auto"/>
        </w:rPr>
        <w:t>式中：</w:t>
      </w:r>
      <w:r>
        <w:rPr>
          <w:i/>
          <w:color w:val="auto"/>
        </w:rPr>
        <w:t>S</w:t>
      </w:r>
      <w:r>
        <w:rPr>
          <w:i/>
          <w:color w:val="auto"/>
          <w:vertAlign w:val="subscript"/>
        </w:rPr>
        <w:t>DO</w:t>
      </w:r>
      <w:r>
        <w:rPr>
          <w:color w:val="auto"/>
          <w:vertAlign w:val="subscript"/>
        </w:rPr>
        <w:t>，</w:t>
      </w:r>
      <w:r>
        <w:rPr>
          <w:i/>
          <w:color w:val="auto"/>
          <w:vertAlign w:val="subscript"/>
        </w:rPr>
        <w:t>j</w:t>
      </w:r>
      <w:r>
        <w:rPr>
          <w:color w:val="auto"/>
        </w:rPr>
        <w:t>——</w:t>
      </w:r>
      <w:r>
        <w:rPr>
          <w:rFonts w:hint="eastAsia"/>
          <w:color w:val="auto"/>
        </w:rPr>
        <w:t>溶解氧的标准指数，大于</w:t>
      </w:r>
      <w:r>
        <w:rPr>
          <w:color w:val="auto"/>
        </w:rPr>
        <w:t>1</w:t>
      </w:r>
      <w:r>
        <w:rPr>
          <w:rFonts w:hint="eastAsia"/>
          <w:color w:val="auto"/>
        </w:rPr>
        <w:t>表明该水质因子超标；</w:t>
      </w:r>
    </w:p>
    <w:p>
      <w:pPr>
        <w:pStyle w:val="130"/>
        <w:ind w:firstLine="1200" w:firstLineChars="500"/>
        <w:rPr>
          <w:color w:val="auto"/>
        </w:rPr>
      </w:pPr>
      <w:r>
        <w:rPr>
          <w:i/>
          <w:color w:val="auto"/>
        </w:rPr>
        <w:t>DO</w:t>
      </w:r>
      <w:r>
        <w:rPr>
          <w:i/>
          <w:color w:val="auto"/>
          <w:vertAlign w:val="subscript"/>
        </w:rPr>
        <w:t>j</w:t>
      </w:r>
      <w:r>
        <w:rPr>
          <w:color w:val="auto"/>
        </w:rPr>
        <w:t>——</w:t>
      </w:r>
      <w:r>
        <w:rPr>
          <w:rFonts w:hint="eastAsia"/>
          <w:color w:val="auto"/>
        </w:rPr>
        <w:t>溶解氧在</w:t>
      </w:r>
      <w:r>
        <w:rPr>
          <w:i/>
          <w:color w:val="auto"/>
        </w:rPr>
        <w:t>j</w:t>
      </w:r>
      <w:r>
        <w:rPr>
          <w:rFonts w:hint="eastAsia"/>
          <w:color w:val="auto"/>
        </w:rPr>
        <w:t>点的实测统计代表值，</w:t>
      </w:r>
      <w:r>
        <w:rPr>
          <w:color w:val="auto"/>
        </w:rPr>
        <w:t>mg/L</w:t>
      </w:r>
      <w:r>
        <w:rPr>
          <w:rFonts w:hint="eastAsia"/>
          <w:color w:val="auto"/>
        </w:rPr>
        <w:t>；</w:t>
      </w:r>
    </w:p>
    <w:p>
      <w:pPr>
        <w:pStyle w:val="130"/>
        <w:ind w:firstLine="1200" w:firstLineChars="500"/>
        <w:rPr>
          <w:color w:val="auto"/>
        </w:rPr>
      </w:pPr>
      <w:r>
        <w:rPr>
          <w:i/>
          <w:color w:val="auto"/>
        </w:rPr>
        <w:t>DO</w:t>
      </w:r>
      <w:r>
        <w:rPr>
          <w:i/>
          <w:color w:val="auto"/>
          <w:vertAlign w:val="subscript"/>
        </w:rPr>
        <w:t>s</w:t>
      </w:r>
      <w:r>
        <w:rPr>
          <w:color w:val="auto"/>
        </w:rPr>
        <w:t>——</w:t>
      </w:r>
      <w:r>
        <w:rPr>
          <w:rFonts w:hint="eastAsia"/>
          <w:color w:val="auto"/>
        </w:rPr>
        <w:t>溶解氧的水质评价标准限值，</w:t>
      </w:r>
      <w:r>
        <w:rPr>
          <w:color w:val="auto"/>
        </w:rPr>
        <w:t>mg/L</w:t>
      </w:r>
      <w:r>
        <w:rPr>
          <w:rFonts w:hint="eastAsia"/>
          <w:color w:val="auto"/>
        </w:rPr>
        <w:t>；</w:t>
      </w:r>
    </w:p>
    <w:p>
      <w:pPr>
        <w:pStyle w:val="130"/>
        <w:ind w:firstLine="1200" w:firstLineChars="500"/>
        <w:rPr>
          <w:color w:val="auto"/>
        </w:rPr>
      </w:pPr>
      <w:r>
        <w:rPr>
          <w:i/>
          <w:color w:val="auto"/>
        </w:rPr>
        <w:t>DO</w:t>
      </w:r>
      <w:r>
        <w:rPr>
          <w:i/>
          <w:color w:val="auto"/>
          <w:vertAlign w:val="subscript"/>
        </w:rPr>
        <w:t>f</w:t>
      </w:r>
      <w:r>
        <w:rPr>
          <w:color w:val="auto"/>
        </w:rPr>
        <w:t>——</w:t>
      </w:r>
      <w:r>
        <w:rPr>
          <w:rFonts w:hint="eastAsia"/>
          <w:color w:val="auto"/>
        </w:rPr>
        <w:t>饱和溶解氧浓度，</w:t>
      </w:r>
      <w:r>
        <w:rPr>
          <w:color w:val="auto"/>
        </w:rPr>
        <w:t>mg/L</w:t>
      </w:r>
      <w:r>
        <w:rPr>
          <w:rFonts w:hint="eastAsia"/>
          <w:color w:val="auto"/>
        </w:rPr>
        <w:t>，对于河流，</w:t>
      </w:r>
      <w:r>
        <w:rPr>
          <w:i/>
          <w:color w:val="auto"/>
        </w:rPr>
        <w:t>DO</w:t>
      </w:r>
      <w:r>
        <w:rPr>
          <w:i/>
          <w:color w:val="auto"/>
          <w:vertAlign w:val="subscript"/>
        </w:rPr>
        <w:t>f</w:t>
      </w:r>
      <w:r>
        <w:rPr>
          <w:i/>
          <w:color w:val="auto"/>
          <w:vertAlign w:val="superscript"/>
        </w:rPr>
        <w:t>=</w:t>
      </w:r>
      <w:r>
        <w:rPr>
          <w:color w:val="auto"/>
        </w:rPr>
        <w:t>468/</w:t>
      </w:r>
      <w:r>
        <w:rPr>
          <w:rFonts w:hint="eastAsia"/>
          <w:color w:val="auto"/>
        </w:rPr>
        <w:t>（</w:t>
      </w:r>
      <w:r>
        <w:rPr>
          <w:color w:val="auto"/>
        </w:rPr>
        <w:t>31.6+</w:t>
      </w:r>
      <w:r>
        <w:rPr>
          <w:i/>
          <w:color w:val="auto"/>
        </w:rPr>
        <w:t>T</w:t>
      </w:r>
      <w:r>
        <w:rPr>
          <w:rFonts w:hint="eastAsia"/>
          <w:color w:val="auto"/>
        </w:rPr>
        <w:t>）。</w:t>
      </w:r>
    </w:p>
    <w:p>
      <w:pPr>
        <w:pStyle w:val="130"/>
        <w:rPr>
          <w:color w:val="auto"/>
        </w:rPr>
      </w:pPr>
      <w:r>
        <w:rPr>
          <w:rFonts w:hint="eastAsia" w:ascii="宋体" w:hAnsi="宋体" w:cs="宋体"/>
          <w:color w:val="auto"/>
        </w:rPr>
        <w:t>③</w:t>
      </w:r>
      <w:r>
        <w:rPr>
          <w:color w:val="auto"/>
        </w:rPr>
        <w:t>pH</w:t>
      </w:r>
      <w:r>
        <w:rPr>
          <w:rFonts w:hint="eastAsia"/>
          <w:color w:val="auto"/>
        </w:rPr>
        <w:t>值的指数计算公式：</w:t>
      </w:r>
    </w:p>
    <w:p>
      <w:pPr>
        <w:ind w:firstLine="480"/>
        <w:jc w:val="center"/>
        <w:rPr>
          <w:rFonts w:hint="eastAsia" w:eastAsia="宋体"/>
          <w:lang w:eastAsia="zh-CN"/>
        </w:rPr>
      </w:pPr>
    </w:p>
    <w:p>
      <w:pPr>
        <w:pStyle w:val="130"/>
        <w:rPr>
          <w:color w:val="auto"/>
        </w:rPr>
      </w:pPr>
      <w:r>
        <w:rPr>
          <w:rFonts w:hint="eastAsia"/>
          <w:color w:val="auto"/>
        </w:rPr>
        <w:t>式中：</w:t>
      </w:r>
      <w:r>
        <w:rPr>
          <w:i/>
          <w:color w:val="auto"/>
        </w:rPr>
        <w:t>S</w:t>
      </w:r>
      <w:r>
        <w:rPr>
          <w:i/>
          <w:color w:val="auto"/>
          <w:vertAlign w:val="subscript"/>
        </w:rPr>
        <w:t>pH，j</w:t>
      </w:r>
      <w:r>
        <w:rPr>
          <w:color w:val="auto"/>
        </w:rPr>
        <w:t>——pH</w:t>
      </w:r>
      <w:r>
        <w:rPr>
          <w:rFonts w:hint="eastAsia"/>
          <w:color w:val="auto"/>
        </w:rPr>
        <w:t>值的指数，大于</w:t>
      </w:r>
      <w:r>
        <w:rPr>
          <w:color w:val="auto"/>
        </w:rPr>
        <w:t>1</w:t>
      </w:r>
      <w:r>
        <w:rPr>
          <w:rFonts w:hint="eastAsia"/>
          <w:color w:val="auto"/>
        </w:rPr>
        <w:t>表明该水质因子超标；</w:t>
      </w:r>
    </w:p>
    <w:p>
      <w:pPr>
        <w:pStyle w:val="130"/>
        <w:ind w:firstLine="1200" w:firstLineChars="500"/>
        <w:rPr>
          <w:color w:val="auto"/>
        </w:rPr>
      </w:pPr>
      <w:r>
        <w:rPr>
          <w:color w:val="auto"/>
        </w:rPr>
        <w:t>pH</w:t>
      </w:r>
      <w:r>
        <w:rPr>
          <w:i/>
          <w:color w:val="auto"/>
          <w:vertAlign w:val="subscript"/>
        </w:rPr>
        <w:t>j</w:t>
      </w:r>
      <w:r>
        <w:rPr>
          <w:color w:val="auto"/>
        </w:rPr>
        <w:t>——pH</w:t>
      </w:r>
      <w:r>
        <w:rPr>
          <w:rFonts w:hint="eastAsia"/>
          <w:color w:val="auto"/>
        </w:rPr>
        <w:t>值实测统计代表值；</w:t>
      </w:r>
    </w:p>
    <w:p>
      <w:pPr>
        <w:pStyle w:val="130"/>
        <w:ind w:firstLine="1200" w:firstLineChars="500"/>
        <w:rPr>
          <w:color w:val="auto"/>
        </w:rPr>
      </w:pPr>
      <w:r>
        <w:rPr>
          <w:color w:val="auto"/>
        </w:rPr>
        <w:t>pH</w:t>
      </w:r>
      <w:r>
        <w:rPr>
          <w:i/>
          <w:color w:val="auto"/>
          <w:vertAlign w:val="subscript"/>
        </w:rPr>
        <w:t>sd</w:t>
      </w:r>
      <w:r>
        <w:rPr>
          <w:color w:val="auto"/>
        </w:rPr>
        <w:t>——</w:t>
      </w:r>
      <w:r>
        <w:rPr>
          <w:rFonts w:hint="eastAsia"/>
          <w:color w:val="auto"/>
        </w:rPr>
        <w:t>评价标准中</w:t>
      </w:r>
      <w:r>
        <w:rPr>
          <w:color w:val="auto"/>
        </w:rPr>
        <w:t>pH</w:t>
      </w:r>
      <w:r>
        <w:rPr>
          <w:rFonts w:hint="eastAsia"/>
          <w:color w:val="auto"/>
        </w:rPr>
        <w:t>值的下限值；</w:t>
      </w:r>
    </w:p>
    <w:p>
      <w:pPr>
        <w:pStyle w:val="130"/>
        <w:ind w:firstLine="1200" w:firstLineChars="500"/>
        <w:rPr>
          <w:color w:val="auto"/>
        </w:rPr>
      </w:pPr>
      <w:r>
        <w:rPr>
          <w:color w:val="auto"/>
        </w:rPr>
        <w:t>pH</w:t>
      </w:r>
      <w:r>
        <w:rPr>
          <w:i/>
          <w:color w:val="auto"/>
          <w:vertAlign w:val="subscript"/>
        </w:rPr>
        <w:t>su</w:t>
      </w:r>
      <w:r>
        <w:rPr>
          <w:color w:val="auto"/>
        </w:rPr>
        <w:t>——</w:t>
      </w:r>
      <w:r>
        <w:rPr>
          <w:rFonts w:hint="eastAsia"/>
          <w:color w:val="auto"/>
        </w:rPr>
        <w:t>评价标准中</w:t>
      </w:r>
      <w:r>
        <w:rPr>
          <w:color w:val="auto"/>
        </w:rPr>
        <w:t>pH</w:t>
      </w:r>
      <w:r>
        <w:rPr>
          <w:rFonts w:hint="eastAsia"/>
          <w:color w:val="auto"/>
        </w:rPr>
        <w:t>值的上限值。</w:t>
      </w:r>
    </w:p>
    <w:p>
      <w:pPr>
        <w:pStyle w:val="130"/>
        <w:rPr>
          <w:color w:val="auto"/>
        </w:rPr>
      </w:pPr>
      <w:r>
        <w:rPr>
          <w:rFonts w:hint="eastAsia"/>
          <w:color w:val="auto"/>
        </w:rPr>
        <w:t>（</w:t>
      </w:r>
      <w:r>
        <w:rPr>
          <w:color w:val="auto"/>
        </w:rPr>
        <w:t>3</w:t>
      </w:r>
      <w:r>
        <w:rPr>
          <w:rFonts w:hint="eastAsia"/>
          <w:color w:val="auto"/>
        </w:rPr>
        <w:t>）监测结果与评价</w:t>
      </w:r>
    </w:p>
    <w:p>
      <w:pPr>
        <w:pStyle w:val="130"/>
        <w:rPr>
          <w:color w:val="auto"/>
        </w:rPr>
      </w:pPr>
      <w:r>
        <w:rPr>
          <w:rFonts w:hint="eastAsia"/>
          <w:color w:val="auto"/>
        </w:rPr>
        <w:t>各监测断面水质监测结果和评价结果见</w:t>
      </w:r>
      <w:r>
        <w:rPr>
          <w:color w:val="auto"/>
        </w:rPr>
        <w:fldChar w:fldCharType="begin"/>
      </w:r>
      <w:r>
        <w:rPr>
          <w:color w:val="auto"/>
        </w:rPr>
        <w:instrText xml:space="preserve"> </w:instrText>
      </w:r>
      <w:r>
        <w:rPr>
          <w:rFonts w:hint="eastAsia"/>
          <w:color w:val="auto"/>
        </w:rPr>
        <w:instrText xml:space="preserve">REF _Ref147910434 \r \h</w:instrText>
      </w:r>
      <w:r>
        <w:rPr>
          <w:color w:val="auto"/>
        </w:rPr>
        <w:instrText xml:space="preserve">  \* MERGEFORMAT </w:instrText>
      </w:r>
      <w:r>
        <w:rPr>
          <w:color w:val="auto"/>
        </w:rPr>
        <w:fldChar w:fldCharType="separate"/>
      </w:r>
      <w:r>
        <w:rPr>
          <w:rFonts w:hint="eastAsia"/>
          <w:color w:val="auto"/>
        </w:rPr>
        <w:t>表4.2-4</w:t>
      </w:r>
      <w:r>
        <w:rPr>
          <w:color w:val="auto"/>
        </w:rPr>
        <w:fldChar w:fldCharType="end"/>
      </w:r>
      <w:r>
        <w:rPr>
          <w:rFonts w:hint="eastAsia"/>
          <w:color w:val="auto"/>
        </w:rPr>
        <w:t>。</w:t>
      </w:r>
    </w:p>
    <w:p>
      <w:pPr>
        <w:pStyle w:val="130"/>
        <w:rPr>
          <w:color w:val="auto"/>
        </w:rPr>
      </w:pPr>
    </w:p>
    <w:p>
      <w:pPr>
        <w:pStyle w:val="130"/>
        <w:rPr>
          <w:color w:val="auto"/>
        </w:rPr>
      </w:pPr>
    </w:p>
    <w:p>
      <w:pPr>
        <w:pStyle w:val="87"/>
        <w:spacing w:before="163"/>
        <w:ind w:firstLine="360"/>
      </w:pPr>
      <w:bookmarkStart w:id="408" w:name="_Ref491184037"/>
      <w:bookmarkStart w:id="409" w:name="_Ref147910434"/>
      <w:r>
        <w:rPr>
          <w:rFonts w:hint="eastAsia"/>
        </w:rPr>
        <w:t>地表水检测结果</w:t>
      </w:r>
      <w:bookmarkEnd w:id="408"/>
      <w:r>
        <w:rPr>
          <w:rFonts w:hint="eastAsia"/>
        </w:rPr>
        <w:t>及评价结果</w:t>
      </w:r>
      <w:bookmarkEnd w:id="409"/>
    </w:p>
    <w:tbl>
      <w:tblPr>
        <w:tblStyle w:val="2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3"/>
        <w:gridCol w:w="2221"/>
        <w:gridCol w:w="1675"/>
        <w:gridCol w:w="1887"/>
        <w:gridCol w:w="1488"/>
        <w:gridCol w:w="11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blHeader/>
          <w:jc w:val="center"/>
        </w:trPr>
        <w:tc>
          <w:tcPr>
            <w:tcW w:w="481" w:type="pct"/>
            <w:vMerge w:val="restart"/>
            <w:vAlign w:val="center"/>
          </w:tcPr>
          <w:p>
            <w:pPr>
              <w:pStyle w:val="105"/>
              <w:spacing w:before="0" w:after="0"/>
              <w:jc w:val="center"/>
            </w:pPr>
            <w:r>
              <w:rPr>
                <w:rFonts w:hint="eastAsia"/>
              </w:rPr>
              <w:t>采样</w:t>
            </w:r>
          </w:p>
          <w:p>
            <w:pPr>
              <w:pStyle w:val="105"/>
              <w:spacing w:before="0" w:after="0"/>
              <w:jc w:val="center"/>
            </w:pPr>
            <w:r>
              <w:rPr>
                <w:rFonts w:hint="eastAsia"/>
              </w:rPr>
              <w:t>日期</w:t>
            </w:r>
          </w:p>
        </w:tc>
        <w:tc>
          <w:tcPr>
            <w:tcW w:w="1196" w:type="pct"/>
            <w:vMerge w:val="restart"/>
            <w:vAlign w:val="center"/>
          </w:tcPr>
          <w:p>
            <w:pPr>
              <w:pStyle w:val="105"/>
              <w:spacing w:before="0" w:after="0"/>
              <w:jc w:val="center"/>
            </w:pPr>
            <w:r>
              <w:rPr>
                <w:rFonts w:hint="eastAsia"/>
              </w:rPr>
              <w:t>检测项目</w:t>
            </w:r>
          </w:p>
        </w:tc>
        <w:tc>
          <w:tcPr>
            <w:tcW w:w="1918" w:type="pct"/>
            <w:gridSpan w:val="2"/>
            <w:vAlign w:val="center"/>
          </w:tcPr>
          <w:p>
            <w:pPr>
              <w:pStyle w:val="105"/>
              <w:spacing w:before="0" w:after="0"/>
              <w:jc w:val="center"/>
            </w:pPr>
            <w:r>
              <w:rPr>
                <w:rFonts w:hint="eastAsia"/>
              </w:rPr>
              <w:t>采样点位、检测结果（</w:t>
            </w:r>
            <w:r>
              <w:t>mg/L</w:t>
            </w:r>
            <w:r>
              <w:rPr>
                <w:rFonts w:hint="eastAsia"/>
              </w:rPr>
              <w:t>）</w:t>
            </w:r>
          </w:p>
        </w:tc>
        <w:tc>
          <w:tcPr>
            <w:tcW w:w="1405" w:type="pct"/>
            <w:gridSpan w:val="2"/>
            <w:vAlign w:val="center"/>
          </w:tcPr>
          <w:p>
            <w:pPr>
              <w:pStyle w:val="105"/>
              <w:spacing w:before="0" w:after="0"/>
              <w:jc w:val="center"/>
            </w:pPr>
            <w:r>
              <w:rPr>
                <w:rFonts w:hint="eastAsia"/>
              </w:rPr>
              <w:t>水质评价结果Si</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tblHeader/>
          <w:jc w:val="center"/>
        </w:trPr>
        <w:tc>
          <w:tcPr>
            <w:tcW w:w="481" w:type="pct"/>
            <w:vMerge w:val="continue"/>
            <w:vAlign w:val="center"/>
          </w:tcPr>
          <w:p>
            <w:pPr>
              <w:pStyle w:val="105"/>
              <w:spacing w:before="0" w:after="0"/>
              <w:jc w:val="center"/>
            </w:pPr>
          </w:p>
        </w:tc>
        <w:tc>
          <w:tcPr>
            <w:tcW w:w="1196" w:type="pct"/>
            <w:vMerge w:val="continue"/>
            <w:vAlign w:val="center"/>
          </w:tcPr>
          <w:p>
            <w:pPr>
              <w:pStyle w:val="105"/>
              <w:spacing w:before="0" w:after="0"/>
              <w:jc w:val="center"/>
            </w:pPr>
          </w:p>
        </w:tc>
        <w:tc>
          <w:tcPr>
            <w:tcW w:w="902" w:type="pct"/>
            <w:vAlign w:val="center"/>
          </w:tcPr>
          <w:p>
            <w:pPr>
              <w:pStyle w:val="105"/>
              <w:spacing w:before="0" w:after="0"/>
              <w:jc w:val="center"/>
            </w:pPr>
            <w:r>
              <w:t>W</w:t>
            </w:r>
            <w:r>
              <w:rPr>
                <w:rFonts w:hint="eastAsia"/>
              </w:rPr>
              <w:t>1</w:t>
            </w:r>
            <w:r>
              <w:t xml:space="preserve"> </w:t>
            </w:r>
          </w:p>
        </w:tc>
        <w:tc>
          <w:tcPr>
            <w:tcW w:w="1016" w:type="pct"/>
            <w:vAlign w:val="center"/>
          </w:tcPr>
          <w:p>
            <w:pPr>
              <w:pStyle w:val="105"/>
              <w:spacing w:before="0" w:after="0"/>
              <w:jc w:val="center"/>
            </w:pPr>
            <w:r>
              <w:t>W2</w:t>
            </w:r>
          </w:p>
        </w:tc>
        <w:tc>
          <w:tcPr>
            <w:tcW w:w="801" w:type="pct"/>
            <w:vAlign w:val="center"/>
          </w:tcPr>
          <w:p>
            <w:pPr>
              <w:pStyle w:val="105"/>
              <w:spacing w:before="0" w:after="0"/>
              <w:jc w:val="center"/>
            </w:pPr>
            <w:r>
              <w:t>W</w:t>
            </w:r>
            <w:r>
              <w:rPr>
                <w:rFonts w:hint="eastAsia"/>
              </w:rPr>
              <w:t>1</w:t>
            </w:r>
            <w:r>
              <w:t xml:space="preserve"> </w:t>
            </w:r>
          </w:p>
        </w:tc>
        <w:tc>
          <w:tcPr>
            <w:tcW w:w="604" w:type="pct"/>
            <w:vAlign w:val="center"/>
          </w:tcPr>
          <w:p>
            <w:pPr>
              <w:pStyle w:val="105"/>
              <w:spacing w:before="0" w:after="0"/>
              <w:jc w:val="center"/>
            </w:pPr>
            <w:r>
              <w:t>W2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restart"/>
            <w:vAlign w:val="center"/>
          </w:tcPr>
          <w:p>
            <w:pPr>
              <w:pStyle w:val="105"/>
              <w:spacing w:before="0" w:after="0"/>
              <w:jc w:val="center"/>
            </w:pPr>
            <w:r>
              <w:t>2月</w:t>
            </w:r>
          </w:p>
          <w:p>
            <w:pPr>
              <w:pStyle w:val="105"/>
              <w:spacing w:before="0" w:after="0"/>
              <w:jc w:val="center"/>
            </w:pPr>
            <w:r>
              <w:t>26日</w:t>
            </w:r>
          </w:p>
        </w:tc>
        <w:tc>
          <w:tcPr>
            <w:tcW w:w="1196" w:type="pct"/>
            <w:vAlign w:val="center"/>
          </w:tcPr>
          <w:p>
            <w:pPr>
              <w:pStyle w:val="105"/>
              <w:spacing w:before="0" w:after="0"/>
              <w:jc w:val="center"/>
            </w:pPr>
            <w:r>
              <w:rPr>
                <w:rFonts w:hint="eastAsia"/>
              </w:rPr>
              <w:t>水温</w:t>
            </w:r>
          </w:p>
        </w:tc>
        <w:tc>
          <w:tcPr>
            <w:tcW w:w="902" w:type="pct"/>
            <w:vAlign w:val="center"/>
          </w:tcPr>
          <w:p>
            <w:pPr>
              <w:pStyle w:val="105"/>
              <w:spacing w:before="0" w:after="0"/>
              <w:jc w:val="center"/>
            </w:pPr>
            <w:r>
              <w:rPr>
                <w:rFonts w:hint="eastAsia"/>
              </w:rPr>
              <w:t>12.2</w:t>
            </w:r>
          </w:p>
        </w:tc>
        <w:tc>
          <w:tcPr>
            <w:tcW w:w="1016" w:type="pct"/>
            <w:vAlign w:val="center"/>
          </w:tcPr>
          <w:p>
            <w:pPr>
              <w:pStyle w:val="105"/>
              <w:spacing w:before="0" w:after="0"/>
              <w:jc w:val="center"/>
            </w:pPr>
            <w:r>
              <w:rPr>
                <w:rFonts w:hint="eastAsia"/>
              </w:rPr>
              <w:t>11.8</w:t>
            </w:r>
          </w:p>
        </w:tc>
        <w:tc>
          <w:tcPr>
            <w:tcW w:w="801" w:type="pct"/>
            <w:vAlign w:val="bottom"/>
          </w:tcPr>
          <w:p>
            <w:pPr>
              <w:pStyle w:val="105"/>
              <w:spacing w:before="0" w:after="0"/>
              <w:jc w:val="center"/>
            </w:pPr>
            <w:r>
              <w:rPr>
                <w:rFonts w:hint="eastAsia"/>
              </w:rPr>
              <w:t>——</w:t>
            </w:r>
          </w:p>
        </w:tc>
        <w:tc>
          <w:tcPr>
            <w:tcW w:w="604" w:type="pct"/>
            <w:vAlign w:val="bottom"/>
          </w:tcPr>
          <w:p>
            <w:pPr>
              <w:pStyle w:val="105"/>
              <w:spacing w:before="0" w:after="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rPr>
                <w:rFonts w:hint="eastAsia"/>
              </w:rPr>
              <w:t>溶解氧</w:t>
            </w:r>
          </w:p>
        </w:tc>
        <w:tc>
          <w:tcPr>
            <w:tcW w:w="902" w:type="pct"/>
            <w:vAlign w:val="center"/>
          </w:tcPr>
          <w:p>
            <w:pPr>
              <w:pStyle w:val="105"/>
              <w:spacing w:before="0" w:after="0"/>
              <w:jc w:val="center"/>
            </w:pPr>
            <w:r>
              <w:rPr>
                <w:rFonts w:hint="eastAsia"/>
              </w:rPr>
              <w:t>6.1</w:t>
            </w:r>
          </w:p>
        </w:tc>
        <w:tc>
          <w:tcPr>
            <w:tcW w:w="1016" w:type="pct"/>
            <w:vAlign w:val="center"/>
          </w:tcPr>
          <w:p>
            <w:pPr>
              <w:pStyle w:val="105"/>
              <w:spacing w:before="0" w:after="0"/>
              <w:jc w:val="center"/>
            </w:pPr>
            <w:r>
              <w:rPr>
                <w:rFonts w:hint="eastAsia"/>
              </w:rPr>
              <w:t>5.3</w:t>
            </w:r>
          </w:p>
        </w:tc>
        <w:tc>
          <w:tcPr>
            <w:tcW w:w="801" w:type="pct"/>
            <w:vAlign w:val="center"/>
          </w:tcPr>
          <w:p>
            <w:pPr>
              <w:pStyle w:val="105"/>
              <w:spacing w:before="0" w:after="0"/>
              <w:jc w:val="center"/>
            </w:pPr>
            <w:r>
              <w:rPr>
                <w:rFonts w:cs="Times New Roman"/>
                <w:szCs w:val="21"/>
              </w:rPr>
              <w:t>0.8</w:t>
            </w:r>
          </w:p>
        </w:tc>
        <w:tc>
          <w:tcPr>
            <w:tcW w:w="604" w:type="pct"/>
            <w:vAlign w:val="center"/>
          </w:tcPr>
          <w:p>
            <w:pPr>
              <w:pStyle w:val="105"/>
              <w:spacing w:before="0" w:after="0"/>
              <w:jc w:val="center"/>
            </w:pPr>
            <w:r>
              <w:rPr>
                <w:rFonts w:cs="Times New Roman"/>
                <w:szCs w:val="21"/>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pH值</w:t>
            </w:r>
          </w:p>
        </w:tc>
        <w:tc>
          <w:tcPr>
            <w:tcW w:w="902" w:type="pct"/>
            <w:vAlign w:val="center"/>
          </w:tcPr>
          <w:p>
            <w:pPr>
              <w:pStyle w:val="105"/>
              <w:spacing w:before="0" w:after="0"/>
              <w:jc w:val="center"/>
            </w:pPr>
            <w:r>
              <w:rPr>
                <w:rFonts w:hint="eastAsia"/>
              </w:rPr>
              <w:t>7.2</w:t>
            </w:r>
          </w:p>
        </w:tc>
        <w:tc>
          <w:tcPr>
            <w:tcW w:w="1016" w:type="pct"/>
            <w:vAlign w:val="center"/>
          </w:tcPr>
          <w:p>
            <w:pPr>
              <w:pStyle w:val="105"/>
              <w:spacing w:before="0" w:after="0"/>
              <w:jc w:val="center"/>
            </w:pPr>
            <w:r>
              <w:rPr>
                <w:rFonts w:hint="eastAsia"/>
              </w:rPr>
              <w:t>7.1</w:t>
            </w:r>
          </w:p>
        </w:tc>
        <w:tc>
          <w:tcPr>
            <w:tcW w:w="801" w:type="pct"/>
            <w:vAlign w:val="center"/>
          </w:tcPr>
          <w:p>
            <w:pPr>
              <w:pStyle w:val="105"/>
              <w:spacing w:before="0" w:after="0"/>
              <w:jc w:val="center"/>
            </w:pPr>
            <w:r>
              <w:rPr>
                <w:rFonts w:cs="Times New Roman"/>
                <w:szCs w:val="21"/>
              </w:rPr>
              <w:t>0.1</w:t>
            </w:r>
          </w:p>
        </w:tc>
        <w:tc>
          <w:tcPr>
            <w:tcW w:w="604" w:type="pct"/>
            <w:vAlign w:val="center"/>
          </w:tcPr>
          <w:p>
            <w:pPr>
              <w:pStyle w:val="105"/>
              <w:spacing w:before="0" w:after="0"/>
              <w:jc w:val="center"/>
            </w:pPr>
            <w:r>
              <w:rPr>
                <w:rFonts w:cs="Times New Roman"/>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悬浮物</w:t>
            </w:r>
          </w:p>
        </w:tc>
        <w:tc>
          <w:tcPr>
            <w:tcW w:w="902" w:type="pct"/>
            <w:vAlign w:val="center"/>
          </w:tcPr>
          <w:p>
            <w:pPr>
              <w:pStyle w:val="105"/>
              <w:spacing w:before="0" w:after="0"/>
              <w:jc w:val="center"/>
            </w:pPr>
            <w:r>
              <w:rPr>
                <w:rFonts w:hint="eastAsia"/>
              </w:rPr>
              <w:t>5</w:t>
            </w:r>
          </w:p>
        </w:tc>
        <w:tc>
          <w:tcPr>
            <w:tcW w:w="1016" w:type="pct"/>
            <w:vAlign w:val="center"/>
          </w:tcPr>
          <w:p>
            <w:pPr>
              <w:pStyle w:val="105"/>
              <w:spacing w:before="0" w:after="0"/>
              <w:jc w:val="center"/>
            </w:pPr>
            <w:r>
              <w:rPr>
                <w:rFonts w:hint="eastAsia"/>
              </w:rPr>
              <w:t>7</w:t>
            </w:r>
          </w:p>
        </w:tc>
        <w:tc>
          <w:tcPr>
            <w:tcW w:w="801" w:type="pct"/>
            <w:vAlign w:val="center"/>
          </w:tcPr>
          <w:p>
            <w:pPr>
              <w:pStyle w:val="105"/>
              <w:spacing w:before="0" w:after="0"/>
              <w:jc w:val="center"/>
            </w:pPr>
            <w:r>
              <w:rPr>
                <w:rFonts w:hint="eastAsia"/>
              </w:rPr>
              <w:t>——</w:t>
            </w:r>
          </w:p>
        </w:tc>
        <w:tc>
          <w:tcPr>
            <w:tcW w:w="604" w:type="pct"/>
            <w:vAlign w:val="center"/>
          </w:tcPr>
          <w:p>
            <w:pPr>
              <w:pStyle w:val="105"/>
              <w:spacing w:before="0" w:after="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石油类</w:t>
            </w:r>
          </w:p>
        </w:tc>
        <w:tc>
          <w:tcPr>
            <w:tcW w:w="902" w:type="pct"/>
            <w:vAlign w:val="center"/>
          </w:tcPr>
          <w:p>
            <w:pPr>
              <w:pStyle w:val="105"/>
              <w:spacing w:before="0" w:after="0"/>
              <w:jc w:val="center"/>
            </w:pPr>
            <w:r>
              <w:rPr>
                <w:rFonts w:hint="eastAsia"/>
              </w:rPr>
              <w:t>&lt;0.01</w:t>
            </w:r>
          </w:p>
        </w:tc>
        <w:tc>
          <w:tcPr>
            <w:tcW w:w="1016" w:type="pct"/>
            <w:vAlign w:val="center"/>
          </w:tcPr>
          <w:p>
            <w:pPr>
              <w:pStyle w:val="105"/>
              <w:spacing w:before="0" w:after="0"/>
              <w:jc w:val="center"/>
            </w:pPr>
            <w:r>
              <w:rPr>
                <w:rFonts w:hint="eastAsia"/>
              </w:rPr>
              <w:t>&lt;0.01</w:t>
            </w:r>
          </w:p>
        </w:tc>
        <w:tc>
          <w:tcPr>
            <w:tcW w:w="801" w:type="pct"/>
            <w:vAlign w:val="center"/>
          </w:tcPr>
          <w:p>
            <w:pPr>
              <w:pStyle w:val="105"/>
              <w:spacing w:before="0" w:after="0"/>
              <w:jc w:val="center"/>
            </w:pPr>
            <w:r>
              <w:rPr>
                <w:rFonts w:cs="Times New Roman"/>
                <w:szCs w:val="21"/>
              </w:rPr>
              <w:t>&lt;0.2</w:t>
            </w:r>
          </w:p>
        </w:tc>
        <w:tc>
          <w:tcPr>
            <w:tcW w:w="604" w:type="pct"/>
            <w:vAlign w:val="center"/>
          </w:tcPr>
          <w:p>
            <w:pPr>
              <w:pStyle w:val="105"/>
              <w:spacing w:before="0" w:after="0"/>
              <w:jc w:val="center"/>
            </w:pPr>
            <w:r>
              <w:rPr>
                <w:rFonts w:cs="Times New Roman"/>
                <w:szCs w:val="21"/>
              </w:rPr>
              <w:t>&lt;0.2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高锰酸盐指数</w:t>
            </w:r>
          </w:p>
        </w:tc>
        <w:tc>
          <w:tcPr>
            <w:tcW w:w="902" w:type="pct"/>
            <w:vAlign w:val="center"/>
          </w:tcPr>
          <w:p>
            <w:pPr>
              <w:pStyle w:val="105"/>
              <w:spacing w:before="0" w:after="0"/>
              <w:jc w:val="center"/>
            </w:pPr>
            <w:r>
              <w:rPr>
                <w:rFonts w:hint="eastAsia"/>
              </w:rPr>
              <w:t>1.8</w:t>
            </w:r>
          </w:p>
        </w:tc>
        <w:tc>
          <w:tcPr>
            <w:tcW w:w="1016" w:type="pct"/>
            <w:vAlign w:val="center"/>
          </w:tcPr>
          <w:p>
            <w:pPr>
              <w:pStyle w:val="105"/>
              <w:spacing w:before="0" w:after="0"/>
              <w:jc w:val="center"/>
            </w:pPr>
            <w:r>
              <w:rPr>
                <w:rFonts w:hint="eastAsia"/>
              </w:rPr>
              <w:t>1.6</w:t>
            </w:r>
          </w:p>
        </w:tc>
        <w:tc>
          <w:tcPr>
            <w:tcW w:w="801" w:type="pct"/>
            <w:vAlign w:val="center"/>
          </w:tcPr>
          <w:p>
            <w:pPr>
              <w:pStyle w:val="105"/>
              <w:spacing w:before="0" w:after="0"/>
              <w:jc w:val="center"/>
            </w:pPr>
            <w:r>
              <w:rPr>
                <w:rFonts w:cs="Times New Roman"/>
                <w:szCs w:val="21"/>
              </w:rPr>
              <w:t>0.3</w:t>
            </w:r>
          </w:p>
        </w:tc>
        <w:tc>
          <w:tcPr>
            <w:tcW w:w="604" w:type="pct"/>
            <w:vAlign w:val="center"/>
          </w:tcPr>
          <w:p>
            <w:pPr>
              <w:pStyle w:val="105"/>
              <w:spacing w:before="0" w:after="0"/>
              <w:jc w:val="center"/>
            </w:pPr>
            <w:r>
              <w:rPr>
                <w:rFonts w:cs="Times New Roman"/>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五日生化需氧量</w:t>
            </w:r>
          </w:p>
        </w:tc>
        <w:tc>
          <w:tcPr>
            <w:tcW w:w="902" w:type="pct"/>
            <w:vAlign w:val="center"/>
          </w:tcPr>
          <w:p>
            <w:pPr>
              <w:pStyle w:val="105"/>
              <w:spacing w:before="0" w:after="0"/>
              <w:jc w:val="center"/>
            </w:pPr>
            <w:r>
              <w:rPr>
                <w:rFonts w:hint="eastAsia"/>
              </w:rPr>
              <w:t>3.2</w:t>
            </w:r>
          </w:p>
        </w:tc>
        <w:tc>
          <w:tcPr>
            <w:tcW w:w="1016" w:type="pct"/>
            <w:vAlign w:val="center"/>
          </w:tcPr>
          <w:p>
            <w:pPr>
              <w:pStyle w:val="105"/>
              <w:spacing w:before="0" w:after="0"/>
              <w:jc w:val="center"/>
            </w:pPr>
            <w:r>
              <w:rPr>
                <w:rFonts w:hint="eastAsia"/>
              </w:rPr>
              <w:t>2.9</w:t>
            </w:r>
          </w:p>
        </w:tc>
        <w:tc>
          <w:tcPr>
            <w:tcW w:w="801" w:type="pct"/>
            <w:vAlign w:val="center"/>
          </w:tcPr>
          <w:p>
            <w:pPr>
              <w:pStyle w:val="105"/>
              <w:spacing w:before="0" w:after="0"/>
              <w:jc w:val="center"/>
            </w:pPr>
            <w:r>
              <w:rPr>
                <w:rFonts w:cs="Times New Roman"/>
                <w:szCs w:val="21"/>
              </w:rPr>
              <w:t>0.8</w:t>
            </w:r>
          </w:p>
        </w:tc>
        <w:tc>
          <w:tcPr>
            <w:tcW w:w="604" w:type="pct"/>
            <w:vAlign w:val="center"/>
          </w:tcPr>
          <w:p>
            <w:pPr>
              <w:pStyle w:val="105"/>
              <w:spacing w:before="0" w:after="0"/>
              <w:jc w:val="center"/>
            </w:pPr>
            <w:r>
              <w:rPr>
                <w:rFonts w:cs="Times New Roman"/>
                <w:szCs w:val="21"/>
              </w:rPr>
              <w:t>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氨氮</w:t>
            </w:r>
          </w:p>
        </w:tc>
        <w:tc>
          <w:tcPr>
            <w:tcW w:w="902" w:type="pct"/>
            <w:vAlign w:val="center"/>
          </w:tcPr>
          <w:p>
            <w:pPr>
              <w:pStyle w:val="105"/>
              <w:spacing w:before="0" w:after="0"/>
              <w:jc w:val="center"/>
            </w:pPr>
            <w:r>
              <w:rPr>
                <w:rFonts w:hint="eastAsia"/>
              </w:rPr>
              <w:t>0.455</w:t>
            </w:r>
          </w:p>
        </w:tc>
        <w:tc>
          <w:tcPr>
            <w:tcW w:w="1016" w:type="pct"/>
            <w:vAlign w:val="center"/>
          </w:tcPr>
          <w:p>
            <w:pPr>
              <w:pStyle w:val="105"/>
              <w:spacing w:before="0" w:after="0"/>
              <w:jc w:val="center"/>
            </w:pPr>
            <w:r>
              <w:rPr>
                <w:rFonts w:hint="eastAsia"/>
              </w:rPr>
              <w:t>0.304</w:t>
            </w:r>
          </w:p>
        </w:tc>
        <w:tc>
          <w:tcPr>
            <w:tcW w:w="801" w:type="pct"/>
            <w:vAlign w:val="center"/>
          </w:tcPr>
          <w:p>
            <w:pPr>
              <w:pStyle w:val="105"/>
              <w:spacing w:before="0" w:after="0"/>
              <w:jc w:val="center"/>
            </w:pPr>
            <w:r>
              <w:rPr>
                <w:rFonts w:cs="Times New Roman"/>
                <w:szCs w:val="21"/>
              </w:rPr>
              <w:t>0.5</w:t>
            </w:r>
          </w:p>
        </w:tc>
        <w:tc>
          <w:tcPr>
            <w:tcW w:w="604" w:type="pct"/>
            <w:vAlign w:val="center"/>
          </w:tcPr>
          <w:p>
            <w:pPr>
              <w:pStyle w:val="105"/>
              <w:spacing w:before="0" w:after="0"/>
              <w:jc w:val="center"/>
            </w:pPr>
            <w:r>
              <w:rPr>
                <w:rFonts w:cs="Times New Roman"/>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rPr>
                <w:rFonts w:hint="eastAsia"/>
              </w:rPr>
              <w:t>总磷</w:t>
            </w:r>
          </w:p>
        </w:tc>
        <w:tc>
          <w:tcPr>
            <w:tcW w:w="902" w:type="pct"/>
            <w:vAlign w:val="center"/>
          </w:tcPr>
          <w:p>
            <w:pPr>
              <w:pStyle w:val="105"/>
              <w:spacing w:before="0" w:after="0"/>
              <w:jc w:val="center"/>
            </w:pPr>
            <w:r>
              <w:rPr>
                <w:rFonts w:hint="eastAsia"/>
              </w:rPr>
              <w:t>0.05</w:t>
            </w:r>
          </w:p>
        </w:tc>
        <w:tc>
          <w:tcPr>
            <w:tcW w:w="1016" w:type="pct"/>
            <w:vAlign w:val="center"/>
          </w:tcPr>
          <w:p>
            <w:pPr>
              <w:pStyle w:val="105"/>
              <w:spacing w:before="0" w:after="0"/>
              <w:jc w:val="center"/>
            </w:pPr>
            <w:r>
              <w:rPr>
                <w:rFonts w:hint="eastAsia"/>
              </w:rPr>
              <w:t>0.06</w:t>
            </w:r>
          </w:p>
        </w:tc>
        <w:tc>
          <w:tcPr>
            <w:tcW w:w="801" w:type="pct"/>
            <w:vAlign w:val="center"/>
          </w:tcPr>
          <w:p>
            <w:pPr>
              <w:pStyle w:val="105"/>
              <w:spacing w:before="0" w:after="0"/>
              <w:jc w:val="center"/>
            </w:pPr>
            <w:r>
              <w:rPr>
                <w:rFonts w:cs="Times New Roman"/>
                <w:szCs w:val="21"/>
              </w:rPr>
              <w:t>0.3</w:t>
            </w:r>
          </w:p>
        </w:tc>
        <w:tc>
          <w:tcPr>
            <w:tcW w:w="604" w:type="pct"/>
            <w:vAlign w:val="center"/>
          </w:tcPr>
          <w:p>
            <w:pPr>
              <w:pStyle w:val="105"/>
              <w:spacing w:before="0" w:after="0"/>
              <w:jc w:val="center"/>
            </w:pPr>
            <w:r>
              <w:rPr>
                <w:rFonts w:cs="Times New Roman"/>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restart"/>
            <w:vAlign w:val="center"/>
          </w:tcPr>
          <w:p>
            <w:pPr>
              <w:pStyle w:val="105"/>
              <w:spacing w:before="0" w:after="0"/>
              <w:jc w:val="center"/>
            </w:pPr>
            <w:r>
              <w:t>2月</w:t>
            </w:r>
          </w:p>
          <w:p>
            <w:pPr>
              <w:pStyle w:val="105"/>
              <w:spacing w:before="0" w:after="0"/>
              <w:jc w:val="center"/>
            </w:pPr>
            <w:r>
              <w:t>27日</w:t>
            </w:r>
          </w:p>
        </w:tc>
        <w:tc>
          <w:tcPr>
            <w:tcW w:w="1196" w:type="pct"/>
            <w:vAlign w:val="center"/>
          </w:tcPr>
          <w:p>
            <w:pPr>
              <w:pStyle w:val="105"/>
              <w:spacing w:before="0" w:after="0"/>
              <w:jc w:val="center"/>
            </w:pPr>
            <w:r>
              <w:rPr>
                <w:rFonts w:hint="eastAsia"/>
              </w:rPr>
              <w:t>水温</w:t>
            </w:r>
          </w:p>
        </w:tc>
        <w:tc>
          <w:tcPr>
            <w:tcW w:w="902" w:type="pct"/>
            <w:vAlign w:val="center"/>
          </w:tcPr>
          <w:p>
            <w:pPr>
              <w:pStyle w:val="105"/>
              <w:spacing w:before="0" w:after="0"/>
              <w:jc w:val="center"/>
            </w:pPr>
            <w:r>
              <w:rPr>
                <w:rFonts w:hint="eastAsia"/>
              </w:rPr>
              <w:t>10.2</w:t>
            </w:r>
          </w:p>
        </w:tc>
        <w:tc>
          <w:tcPr>
            <w:tcW w:w="1016" w:type="pct"/>
            <w:vAlign w:val="center"/>
          </w:tcPr>
          <w:p>
            <w:pPr>
              <w:pStyle w:val="105"/>
              <w:spacing w:before="0" w:after="0"/>
              <w:jc w:val="center"/>
            </w:pPr>
            <w:r>
              <w:rPr>
                <w:rFonts w:hint="eastAsia"/>
              </w:rPr>
              <w:t>10.2</w:t>
            </w:r>
          </w:p>
        </w:tc>
        <w:tc>
          <w:tcPr>
            <w:tcW w:w="801" w:type="pct"/>
            <w:vAlign w:val="bottom"/>
          </w:tcPr>
          <w:p>
            <w:pPr>
              <w:pStyle w:val="105"/>
              <w:spacing w:before="0" w:after="0"/>
              <w:jc w:val="center"/>
            </w:pPr>
            <w:r>
              <w:rPr>
                <w:rFonts w:hint="eastAsia"/>
              </w:rPr>
              <w:t>——</w:t>
            </w:r>
          </w:p>
        </w:tc>
        <w:tc>
          <w:tcPr>
            <w:tcW w:w="604" w:type="pct"/>
            <w:vAlign w:val="bottom"/>
          </w:tcPr>
          <w:p>
            <w:pPr>
              <w:pStyle w:val="105"/>
              <w:spacing w:before="0" w:after="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rPr>
                <w:rFonts w:hint="eastAsia"/>
              </w:rPr>
              <w:t>溶解氧</w:t>
            </w:r>
          </w:p>
        </w:tc>
        <w:tc>
          <w:tcPr>
            <w:tcW w:w="902" w:type="pct"/>
            <w:vAlign w:val="center"/>
          </w:tcPr>
          <w:p>
            <w:pPr>
              <w:pStyle w:val="105"/>
              <w:spacing w:before="0" w:after="0"/>
              <w:jc w:val="center"/>
            </w:pPr>
            <w:r>
              <w:rPr>
                <w:rFonts w:hint="eastAsia"/>
              </w:rPr>
              <w:t>6.2</w:t>
            </w:r>
          </w:p>
        </w:tc>
        <w:tc>
          <w:tcPr>
            <w:tcW w:w="1016" w:type="pct"/>
            <w:vAlign w:val="center"/>
          </w:tcPr>
          <w:p>
            <w:pPr>
              <w:pStyle w:val="105"/>
              <w:spacing w:before="0" w:after="0"/>
              <w:jc w:val="center"/>
            </w:pPr>
            <w:r>
              <w:rPr>
                <w:rFonts w:hint="eastAsia"/>
              </w:rPr>
              <w:t>5.7</w:t>
            </w:r>
          </w:p>
        </w:tc>
        <w:tc>
          <w:tcPr>
            <w:tcW w:w="801" w:type="pct"/>
            <w:vAlign w:val="center"/>
          </w:tcPr>
          <w:p>
            <w:pPr>
              <w:pStyle w:val="105"/>
              <w:spacing w:before="0" w:after="0"/>
              <w:jc w:val="center"/>
            </w:pPr>
            <w:r>
              <w:rPr>
                <w:rFonts w:cs="Times New Roman"/>
                <w:szCs w:val="21"/>
              </w:rPr>
              <w:t>0.8</w:t>
            </w:r>
          </w:p>
        </w:tc>
        <w:tc>
          <w:tcPr>
            <w:tcW w:w="604" w:type="pct"/>
            <w:vAlign w:val="center"/>
          </w:tcPr>
          <w:p>
            <w:pPr>
              <w:pStyle w:val="105"/>
              <w:spacing w:before="0" w:after="0"/>
              <w:jc w:val="center"/>
            </w:pPr>
            <w:r>
              <w:rPr>
                <w:rFonts w:cs="Times New Roman"/>
                <w:szCs w:val="21"/>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pH值</w:t>
            </w:r>
          </w:p>
        </w:tc>
        <w:tc>
          <w:tcPr>
            <w:tcW w:w="902" w:type="pct"/>
            <w:vAlign w:val="center"/>
          </w:tcPr>
          <w:p>
            <w:pPr>
              <w:pStyle w:val="105"/>
              <w:spacing w:before="0" w:after="0"/>
              <w:jc w:val="center"/>
            </w:pPr>
            <w:r>
              <w:rPr>
                <w:rFonts w:hint="eastAsia"/>
              </w:rPr>
              <w:t>7.1</w:t>
            </w:r>
          </w:p>
        </w:tc>
        <w:tc>
          <w:tcPr>
            <w:tcW w:w="1016" w:type="pct"/>
            <w:vAlign w:val="center"/>
          </w:tcPr>
          <w:p>
            <w:pPr>
              <w:pStyle w:val="105"/>
              <w:spacing w:before="0" w:after="0"/>
              <w:jc w:val="center"/>
            </w:pPr>
            <w:r>
              <w:rPr>
                <w:rFonts w:hint="eastAsia"/>
              </w:rPr>
              <w:t>7.3</w:t>
            </w:r>
          </w:p>
        </w:tc>
        <w:tc>
          <w:tcPr>
            <w:tcW w:w="801" w:type="pct"/>
            <w:vAlign w:val="center"/>
          </w:tcPr>
          <w:p>
            <w:pPr>
              <w:pStyle w:val="105"/>
              <w:spacing w:before="0" w:after="0"/>
              <w:jc w:val="center"/>
            </w:pPr>
            <w:r>
              <w:rPr>
                <w:rFonts w:cs="Times New Roman"/>
                <w:szCs w:val="21"/>
              </w:rPr>
              <w:t>0.05</w:t>
            </w:r>
          </w:p>
        </w:tc>
        <w:tc>
          <w:tcPr>
            <w:tcW w:w="604" w:type="pct"/>
            <w:vAlign w:val="center"/>
          </w:tcPr>
          <w:p>
            <w:pPr>
              <w:pStyle w:val="105"/>
              <w:spacing w:before="0" w:after="0"/>
              <w:jc w:val="center"/>
            </w:pPr>
            <w:r>
              <w:rPr>
                <w:rFonts w:cs="Times New Roman"/>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悬浮物</w:t>
            </w:r>
          </w:p>
        </w:tc>
        <w:tc>
          <w:tcPr>
            <w:tcW w:w="902" w:type="pct"/>
            <w:vAlign w:val="center"/>
          </w:tcPr>
          <w:p>
            <w:pPr>
              <w:pStyle w:val="105"/>
              <w:spacing w:before="0" w:after="0"/>
              <w:jc w:val="center"/>
            </w:pPr>
            <w:r>
              <w:rPr>
                <w:rFonts w:hint="eastAsia"/>
              </w:rPr>
              <w:t>6</w:t>
            </w:r>
          </w:p>
        </w:tc>
        <w:tc>
          <w:tcPr>
            <w:tcW w:w="1016" w:type="pct"/>
            <w:vAlign w:val="center"/>
          </w:tcPr>
          <w:p>
            <w:pPr>
              <w:pStyle w:val="105"/>
              <w:spacing w:before="0" w:after="0"/>
              <w:jc w:val="center"/>
            </w:pPr>
            <w:r>
              <w:rPr>
                <w:rFonts w:hint="eastAsia"/>
              </w:rPr>
              <w:t>9</w:t>
            </w:r>
          </w:p>
        </w:tc>
        <w:tc>
          <w:tcPr>
            <w:tcW w:w="801" w:type="pct"/>
            <w:vAlign w:val="bottom"/>
          </w:tcPr>
          <w:p>
            <w:pPr>
              <w:pStyle w:val="105"/>
              <w:spacing w:before="0" w:after="0"/>
              <w:jc w:val="center"/>
            </w:pPr>
            <w:r>
              <w:rPr>
                <w:rFonts w:hint="eastAsia"/>
              </w:rPr>
              <w:t>——</w:t>
            </w:r>
          </w:p>
        </w:tc>
        <w:tc>
          <w:tcPr>
            <w:tcW w:w="604" w:type="pct"/>
            <w:vAlign w:val="bottom"/>
          </w:tcPr>
          <w:p>
            <w:pPr>
              <w:pStyle w:val="105"/>
              <w:spacing w:before="0" w:after="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石油类</w:t>
            </w:r>
          </w:p>
        </w:tc>
        <w:tc>
          <w:tcPr>
            <w:tcW w:w="902" w:type="pct"/>
            <w:vAlign w:val="center"/>
          </w:tcPr>
          <w:p>
            <w:pPr>
              <w:pStyle w:val="105"/>
              <w:spacing w:before="0" w:after="0"/>
              <w:jc w:val="center"/>
            </w:pPr>
            <w:r>
              <w:rPr>
                <w:rFonts w:hint="eastAsia"/>
              </w:rPr>
              <w:t>&lt;0.01</w:t>
            </w:r>
          </w:p>
        </w:tc>
        <w:tc>
          <w:tcPr>
            <w:tcW w:w="1016" w:type="pct"/>
            <w:vAlign w:val="center"/>
          </w:tcPr>
          <w:p>
            <w:pPr>
              <w:pStyle w:val="105"/>
              <w:spacing w:before="0" w:after="0"/>
              <w:jc w:val="center"/>
            </w:pPr>
            <w:r>
              <w:rPr>
                <w:rFonts w:hint="eastAsia"/>
              </w:rPr>
              <w:t>&lt;0.01</w:t>
            </w:r>
          </w:p>
        </w:tc>
        <w:tc>
          <w:tcPr>
            <w:tcW w:w="801" w:type="pct"/>
            <w:vAlign w:val="center"/>
          </w:tcPr>
          <w:p>
            <w:pPr>
              <w:pStyle w:val="105"/>
              <w:spacing w:before="0" w:after="0"/>
              <w:jc w:val="center"/>
            </w:pPr>
            <w:r>
              <w:rPr>
                <w:rFonts w:cs="Times New Roman"/>
                <w:szCs w:val="21"/>
              </w:rPr>
              <w:t>&lt;0.2</w:t>
            </w:r>
          </w:p>
        </w:tc>
        <w:tc>
          <w:tcPr>
            <w:tcW w:w="604" w:type="pct"/>
            <w:vAlign w:val="center"/>
          </w:tcPr>
          <w:p>
            <w:pPr>
              <w:pStyle w:val="105"/>
              <w:spacing w:before="0" w:after="0"/>
              <w:jc w:val="center"/>
            </w:pPr>
            <w:r>
              <w:rPr>
                <w:rFonts w:cs="Times New Roman"/>
                <w:szCs w:val="21"/>
              </w:rPr>
              <w:t>&lt;0.2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高锰酸盐指数</w:t>
            </w:r>
          </w:p>
        </w:tc>
        <w:tc>
          <w:tcPr>
            <w:tcW w:w="902" w:type="pct"/>
            <w:vAlign w:val="center"/>
          </w:tcPr>
          <w:p>
            <w:pPr>
              <w:pStyle w:val="105"/>
              <w:spacing w:before="0" w:after="0"/>
              <w:jc w:val="center"/>
            </w:pPr>
            <w:r>
              <w:rPr>
                <w:rFonts w:hint="eastAsia"/>
              </w:rPr>
              <w:t>1.7</w:t>
            </w:r>
          </w:p>
        </w:tc>
        <w:tc>
          <w:tcPr>
            <w:tcW w:w="1016" w:type="pct"/>
            <w:vAlign w:val="center"/>
          </w:tcPr>
          <w:p>
            <w:pPr>
              <w:pStyle w:val="105"/>
              <w:spacing w:before="0" w:after="0"/>
              <w:jc w:val="center"/>
            </w:pPr>
            <w:r>
              <w:rPr>
                <w:rFonts w:hint="eastAsia"/>
              </w:rPr>
              <w:t>1.5</w:t>
            </w:r>
          </w:p>
        </w:tc>
        <w:tc>
          <w:tcPr>
            <w:tcW w:w="801" w:type="pct"/>
            <w:vAlign w:val="center"/>
          </w:tcPr>
          <w:p>
            <w:pPr>
              <w:pStyle w:val="105"/>
              <w:spacing w:before="0" w:after="0"/>
              <w:jc w:val="center"/>
            </w:pPr>
            <w:r>
              <w:rPr>
                <w:rFonts w:cs="Times New Roman"/>
                <w:szCs w:val="21"/>
              </w:rPr>
              <w:t>0.3</w:t>
            </w:r>
          </w:p>
        </w:tc>
        <w:tc>
          <w:tcPr>
            <w:tcW w:w="604" w:type="pct"/>
            <w:vAlign w:val="center"/>
          </w:tcPr>
          <w:p>
            <w:pPr>
              <w:pStyle w:val="105"/>
              <w:spacing w:before="0" w:after="0"/>
              <w:jc w:val="center"/>
            </w:pPr>
            <w:r>
              <w:rPr>
                <w:rFonts w:cs="Times New Roman"/>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五日生化需氧量</w:t>
            </w:r>
          </w:p>
        </w:tc>
        <w:tc>
          <w:tcPr>
            <w:tcW w:w="902" w:type="pct"/>
            <w:vAlign w:val="center"/>
          </w:tcPr>
          <w:p>
            <w:pPr>
              <w:pStyle w:val="105"/>
              <w:spacing w:before="0" w:after="0"/>
              <w:jc w:val="center"/>
            </w:pPr>
            <w:r>
              <w:rPr>
                <w:rFonts w:hint="eastAsia"/>
              </w:rPr>
              <w:t>3.4</w:t>
            </w:r>
          </w:p>
        </w:tc>
        <w:tc>
          <w:tcPr>
            <w:tcW w:w="1016" w:type="pct"/>
            <w:vAlign w:val="center"/>
          </w:tcPr>
          <w:p>
            <w:pPr>
              <w:pStyle w:val="105"/>
              <w:spacing w:before="0" w:after="0"/>
              <w:jc w:val="center"/>
            </w:pPr>
            <w:r>
              <w:rPr>
                <w:rFonts w:hint="eastAsia"/>
              </w:rPr>
              <w:t>3.2</w:t>
            </w:r>
          </w:p>
        </w:tc>
        <w:tc>
          <w:tcPr>
            <w:tcW w:w="801" w:type="pct"/>
            <w:vAlign w:val="center"/>
          </w:tcPr>
          <w:p>
            <w:pPr>
              <w:pStyle w:val="105"/>
              <w:spacing w:before="0" w:after="0"/>
              <w:jc w:val="center"/>
            </w:pPr>
            <w:r>
              <w:rPr>
                <w:rFonts w:cs="Times New Roman"/>
                <w:szCs w:val="21"/>
              </w:rPr>
              <w:t>0.9</w:t>
            </w:r>
          </w:p>
        </w:tc>
        <w:tc>
          <w:tcPr>
            <w:tcW w:w="604" w:type="pct"/>
            <w:vAlign w:val="center"/>
          </w:tcPr>
          <w:p>
            <w:pPr>
              <w:pStyle w:val="105"/>
              <w:spacing w:before="0" w:after="0"/>
              <w:jc w:val="center"/>
            </w:pPr>
            <w:r>
              <w:rPr>
                <w:rFonts w:cs="Times New Roman"/>
                <w:szCs w:val="21"/>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氨氮</w:t>
            </w:r>
          </w:p>
        </w:tc>
        <w:tc>
          <w:tcPr>
            <w:tcW w:w="902" w:type="pct"/>
            <w:vAlign w:val="center"/>
          </w:tcPr>
          <w:p>
            <w:pPr>
              <w:pStyle w:val="105"/>
              <w:spacing w:before="0" w:after="0"/>
              <w:jc w:val="center"/>
            </w:pPr>
            <w:r>
              <w:rPr>
                <w:rFonts w:hint="eastAsia"/>
              </w:rPr>
              <w:t>0.495</w:t>
            </w:r>
          </w:p>
        </w:tc>
        <w:tc>
          <w:tcPr>
            <w:tcW w:w="1016" w:type="pct"/>
            <w:vAlign w:val="center"/>
          </w:tcPr>
          <w:p>
            <w:pPr>
              <w:pStyle w:val="105"/>
              <w:spacing w:before="0" w:after="0"/>
              <w:jc w:val="center"/>
            </w:pPr>
            <w:r>
              <w:rPr>
                <w:rFonts w:hint="eastAsia"/>
              </w:rPr>
              <w:t>0.332</w:t>
            </w:r>
          </w:p>
        </w:tc>
        <w:tc>
          <w:tcPr>
            <w:tcW w:w="801" w:type="pct"/>
            <w:vAlign w:val="center"/>
          </w:tcPr>
          <w:p>
            <w:pPr>
              <w:pStyle w:val="105"/>
              <w:spacing w:before="0" w:after="0"/>
              <w:jc w:val="center"/>
            </w:pPr>
            <w:r>
              <w:rPr>
                <w:rFonts w:cs="Times New Roman"/>
                <w:szCs w:val="21"/>
              </w:rPr>
              <w:t>0.5</w:t>
            </w:r>
          </w:p>
        </w:tc>
        <w:tc>
          <w:tcPr>
            <w:tcW w:w="604" w:type="pct"/>
            <w:vAlign w:val="center"/>
          </w:tcPr>
          <w:p>
            <w:pPr>
              <w:pStyle w:val="105"/>
              <w:spacing w:before="0" w:after="0"/>
              <w:jc w:val="center"/>
            </w:pPr>
            <w:r>
              <w:rPr>
                <w:rFonts w:cs="Times New Roman"/>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rPr>
                <w:rFonts w:hint="eastAsia"/>
              </w:rPr>
              <w:t>总磷</w:t>
            </w:r>
          </w:p>
        </w:tc>
        <w:tc>
          <w:tcPr>
            <w:tcW w:w="902" w:type="pct"/>
            <w:vAlign w:val="center"/>
          </w:tcPr>
          <w:p>
            <w:pPr>
              <w:pStyle w:val="105"/>
              <w:spacing w:before="0" w:after="0"/>
              <w:jc w:val="center"/>
            </w:pPr>
            <w:r>
              <w:rPr>
                <w:rFonts w:hint="eastAsia"/>
              </w:rPr>
              <w:t>0.06</w:t>
            </w:r>
          </w:p>
        </w:tc>
        <w:tc>
          <w:tcPr>
            <w:tcW w:w="1016" w:type="pct"/>
            <w:vAlign w:val="center"/>
          </w:tcPr>
          <w:p>
            <w:pPr>
              <w:pStyle w:val="105"/>
              <w:spacing w:before="0" w:after="0"/>
              <w:jc w:val="center"/>
            </w:pPr>
            <w:r>
              <w:rPr>
                <w:rFonts w:hint="eastAsia"/>
              </w:rPr>
              <w:t>0.07</w:t>
            </w:r>
          </w:p>
        </w:tc>
        <w:tc>
          <w:tcPr>
            <w:tcW w:w="801" w:type="pct"/>
            <w:vAlign w:val="center"/>
          </w:tcPr>
          <w:p>
            <w:pPr>
              <w:pStyle w:val="105"/>
              <w:spacing w:before="0" w:after="0"/>
              <w:jc w:val="center"/>
            </w:pPr>
            <w:r>
              <w:rPr>
                <w:rFonts w:cs="Times New Roman"/>
                <w:szCs w:val="21"/>
              </w:rPr>
              <w:t>0.3</w:t>
            </w:r>
          </w:p>
        </w:tc>
        <w:tc>
          <w:tcPr>
            <w:tcW w:w="604" w:type="pct"/>
            <w:vAlign w:val="center"/>
          </w:tcPr>
          <w:p>
            <w:pPr>
              <w:pStyle w:val="105"/>
              <w:spacing w:before="0" w:after="0"/>
              <w:jc w:val="center"/>
            </w:pPr>
            <w:r>
              <w:rPr>
                <w:rFonts w:cs="Times New Roman"/>
                <w:szCs w:val="21"/>
              </w:rPr>
              <w:t>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restart"/>
            <w:vAlign w:val="center"/>
          </w:tcPr>
          <w:p>
            <w:pPr>
              <w:pStyle w:val="105"/>
              <w:spacing w:before="0" w:after="0"/>
              <w:jc w:val="center"/>
            </w:pPr>
            <w:r>
              <w:t>2月</w:t>
            </w:r>
          </w:p>
          <w:p>
            <w:pPr>
              <w:pStyle w:val="105"/>
              <w:spacing w:before="0" w:after="0"/>
              <w:jc w:val="center"/>
            </w:pPr>
            <w:r>
              <w:t>28日</w:t>
            </w:r>
          </w:p>
        </w:tc>
        <w:tc>
          <w:tcPr>
            <w:tcW w:w="1196" w:type="pct"/>
            <w:vAlign w:val="center"/>
          </w:tcPr>
          <w:p>
            <w:pPr>
              <w:pStyle w:val="105"/>
              <w:spacing w:before="0" w:after="0"/>
              <w:jc w:val="center"/>
            </w:pPr>
            <w:r>
              <w:rPr>
                <w:rFonts w:hint="eastAsia"/>
              </w:rPr>
              <w:t>水温</w:t>
            </w:r>
          </w:p>
        </w:tc>
        <w:tc>
          <w:tcPr>
            <w:tcW w:w="902" w:type="pct"/>
            <w:vAlign w:val="center"/>
          </w:tcPr>
          <w:p>
            <w:pPr>
              <w:pStyle w:val="105"/>
              <w:spacing w:before="0" w:after="0"/>
              <w:jc w:val="center"/>
            </w:pPr>
            <w:r>
              <w:rPr>
                <w:rFonts w:hint="eastAsia"/>
              </w:rPr>
              <w:t>16.2</w:t>
            </w:r>
          </w:p>
        </w:tc>
        <w:tc>
          <w:tcPr>
            <w:tcW w:w="1016" w:type="pct"/>
            <w:vAlign w:val="center"/>
          </w:tcPr>
          <w:p>
            <w:pPr>
              <w:pStyle w:val="105"/>
              <w:spacing w:before="0" w:after="0"/>
              <w:jc w:val="center"/>
            </w:pPr>
            <w:r>
              <w:rPr>
                <w:rFonts w:hint="eastAsia"/>
              </w:rPr>
              <w:t>16.8</w:t>
            </w:r>
          </w:p>
        </w:tc>
        <w:tc>
          <w:tcPr>
            <w:tcW w:w="801" w:type="pct"/>
            <w:vAlign w:val="bottom"/>
          </w:tcPr>
          <w:p>
            <w:pPr>
              <w:pStyle w:val="105"/>
              <w:spacing w:before="0" w:after="0"/>
              <w:jc w:val="center"/>
            </w:pPr>
            <w:r>
              <w:rPr>
                <w:rFonts w:hint="eastAsia"/>
              </w:rPr>
              <w:t>——</w:t>
            </w:r>
          </w:p>
        </w:tc>
        <w:tc>
          <w:tcPr>
            <w:tcW w:w="604" w:type="pct"/>
            <w:vAlign w:val="bottom"/>
          </w:tcPr>
          <w:p>
            <w:pPr>
              <w:pStyle w:val="105"/>
              <w:spacing w:before="0" w:after="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rPr>
                <w:rFonts w:hint="eastAsia"/>
              </w:rPr>
              <w:t>溶解氧</w:t>
            </w:r>
          </w:p>
        </w:tc>
        <w:tc>
          <w:tcPr>
            <w:tcW w:w="902" w:type="pct"/>
            <w:vAlign w:val="center"/>
          </w:tcPr>
          <w:p>
            <w:pPr>
              <w:pStyle w:val="105"/>
              <w:spacing w:before="0" w:after="0"/>
              <w:jc w:val="center"/>
            </w:pPr>
            <w:r>
              <w:rPr>
                <w:rFonts w:hint="eastAsia"/>
              </w:rPr>
              <w:t>6.2</w:t>
            </w:r>
          </w:p>
        </w:tc>
        <w:tc>
          <w:tcPr>
            <w:tcW w:w="1016" w:type="pct"/>
            <w:vAlign w:val="center"/>
          </w:tcPr>
          <w:p>
            <w:pPr>
              <w:pStyle w:val="105"/>
              <w:spacing w:before="0" w:after="0"/>
              <w:jc w:val="center"/>
            </w:pPr>
            <w:r>
              <w:rPr>
                <w:rFonts w:hint="eastAsia"/>
              </w:rPr>
              <w:t>5.6</w:t>
            </w:r>
          </w:p>
        </w:tc>
        <w:tc>
          <w:tcPr>
            <w:tcW w:w="801" w:type="pct"/>
            <w:vAlign w:val="center"/>
          </w:tcPr>
          <w:p>
            <w:pPr>
              <w:pStyle w:val="105"/>
              <w:spacing w:before="0" w:after="0"/>
              <w:jc w:val="center"/>
            </w:pPr>
            <w:r>
              <w:rPr>
                <w:rFonts w:cs="Times New Roman"/>
                <w:szCs w:val="21"/>
              </w:rPr>
              <w:t>0.7</w:t>
            </w:r>
          </w:p>
        </w:tc>
        <w:tc>
          <w:tcPr>
            <w:tcW w:w="604" w:type="pct"/>
            <w:vAlign w:val="center"/>
          </w:tcPr>
          <w:p>
            <w:pPr>
              <w:pStyle w:val="105"/>
              <w:spacing w:before="0" w:after="0"/>
              <w:jc w:val="center"/>
            </w:pPr>
            <w:r>
              <w:rPr>
                <w:rFonts w:cs="Times New Roman"/>
                <w:szCs w:val="21"/>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pH值</w:t>
            </w:r>
          </w:p>
        </w:tc>
        <w:tc>
          <w:tcPr>
            <w:tcW w:w="902" w:type="pct"/>
            <w:vAlign w:val="center"/>
          </w:tcPr>
          <w:p>
            <w:pPr>
              <w:pStyle w:val="105"/>
              <w:spacing w:before="0" w:after="0"/>
              <w:jc w:val="center"/>
            </w:pPr>
            <w:r>
              <w:rPr>
                <w:rFonts w:hint="eastAsia"/>
              </w:rPr>
              <w:t>7.1</w:t>
            </w:r>
          </w:p>
        </w:tc>
        <w:tc>
          <w:tcPr>
            <w:tcW w:w="1016" w:type="pct"/>
            <w:vAlign w:val="center"/>
          </w:tcPr>
          <w:p>
            <w:pPr>
              <w:pStyle w:val="105"/>
              <w:spacing w:before="0" w:after="0"/>
              <w:jc w:val="center"/>
            </w:pPr>
            <w:r>
              <w:rPr>
                <w:rFonts w:hint="eastAsia"/>
              </w:rPr>
              <w:t>7.0</w:t>
            </w:r>
          </w:p>
        </w:tc>
        <w:tc>
          <w:tcPr>
            <w:tcW w:w="801" w:type="pct"/>
            <w:vAlign w:val="center"/>
          </w:tcPr>
          <w:p>
            <w:pPr>
              <w:pStyle w:val="105"/>
              <w:spacing w:before="0" w:after="0"/>
              <w:jc w:val="center"/>
            </w:pPr>
            <w:r>
              <w:rPr>
                <w:rFonts w:cs="Times New Roman"/>
                <w:szCs w:val="21"/>
              </w:rPr>
              <w:t>0.05</w:t>
            </w:r>
          </w:p>
        </w:tc>
        <w:tc>
          <w:tcPr>
            <w:tcW w:w="604" w:type="pct"/>
            <w:vAlign w:val="center"/>
          </w:tcPr>
          <w:p>
            <w:pPr>
              <w:pStyle w:val="105"/>
              <w:spacing w:before="0" w:after="0"/>
              <w:jc w:val="center"/>
            </w:pPr>
            <w:r>
              <w:rPr>
                <w:rFonts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悬浮物</w:t>
            </w:r>
          </w:p>
        </w:tc>
        <w:tc>
          <w:tcPr>
            <w:tcW w:w="902" w:type="pct"/>
            <w:vAlign w:val="center"/>
          </w:tcPr>
          <w:p>
            <w:pPr>
              <w:pStyle w:val="105"/>
              <w:spacing w:before="0" w:after="0"/>
              <w:jc w:val="center"/>
            </w:pPr>
            <w:r>
              <w:rPr>
                <w:rFonts w:hint="eastAsia"/>
              </w:rPr>
              <w:t>5</w:t>
            </w:r>
          </w:p>
        </w:tc>
        <w:tc>
          <w:tcPr>
            <w:tcW w:w="1016" w:type="pct"/>
            <w:vAlign w:val="center"/>
          </w:tcPr>
          <w:p>
            <w:pPr>
              <w:pStyle w:val="105"/>
              <w:spacing w:before="0" w:after="0"/>
              <w:jc w:val="center"/>
            </w:pPr>
            <w:r>
              <w:rPr>
                <w:rFonts w:hint="eastAsia"/>
              </w:rPr>
              <w:t>8</w:t>
            </w:r>
          </w:p>
        </w:tc>
        <w:tc>
          <w:tcPr>
            <w:tcW w:w="801" w:type="pct"/>
            <w:vAlign w:val="bottom"/>
          </w:tcPr>
          <w:p>
            <w:pPr>
              <w:pStyle w:val="105"/>
              <w:spacing w:before="0" w:after="0"/>
              <w:jc w:val="center"/>
            </w:pPr>
            <w:r>
              <w:rPr>
                <w:rFonts w:hint="eastAsia"/>
              </w:rPr>
              <w:t>——</w:t>
            </w:r>
          </w:p>
        </w:tc>
        <w:tc>
          <w:tcPr>
            <w:tcW w:w="604" w:type="pct"/>
            <w:vAlign w:val="bottom"/>
          </w:tcPr>
          <w:p>
            <w:pPr>
              <w:pStyle w:val="105"/>
              <w:spacing w:before="0" w:after="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石油类</w:t>
            </w:r>
          </w:p>
        </w:tc>
        <w:tc>
          <w:tcPr>
            <w:tcW w:w="902" w:type="pct"/>
            <w:vAlign w:val="center"/>
          </w:tcPr>
          <w:p>
            <w:pPr>
              <w:pStyle w:val="105"/>
              <w:spacing w:before="0" w:after="0"/>
              <w:jc w:val="center"/>
            </w:pPr>
            <w:r>
              <w:rPr>
                <w:rFonts w:hint="eastAsia"/>
              </w:rPr>
              <w:t>&lt;0.01</w:t>
            </w:r>
          </w:p>
        </w:tc>
        <w:tc>
          <w:tcPr>
            <w:tcW w:w="1016" w:type="pct"/>
            <w:vAlign w:val="center"/>
          </w:tcPr>
          <w:p>
            <w:pPr>
              <w:pStyle w:val="105"/>
              <w:spacing w:before="0" w:after="0"/>
              <w:jc w:val="center"/>
            </w:pPr>
            <w:r>
              <w:rPr>
                <w:rFonts w:hint="eastAsia"/>
              </w:rPr>
              <w:t>&lt;0.01</w:t>
            </w:r>
          </w:p>
        </w:tc>
        <w:tc>
          <w:tcPr>
            <w:tcW w:w="801" w:type="pct"/>
            <w:vAlign w:val="center"/>
          </w:tcPr>
          <w:p>
            <w:pPr>
              <w:pStyle w:val="105"/>
              <w:spacing w:before="0" w:after="0"/>
              <w:jc w:val="center"/>
            </w:pPr>
            <w:r>
              <w:rPr>
                <w:rFonts w:cs="Times New Roman"/>
                <w:szCs w:val="21"/>
              </w:rPr>
              <w:t>&lt;0.2</w:t>
            </w:r>
          </w:p>
        </w:tc>
        <w:tc>
          <w:tcPr>
            <w:tcW w:w="604" w:type="pct"/>
            <w:vAlign w:val="center"/>
          </w:tcPr>
          <w:p>
            <w:pPr>
              <w:pStyle w:val="105"/>
              <w:spacing w:before="0" w:after="0"/>
              <w:jc w:val="center"/>
            </w:pPr>
            <w:r>
              <w:rPr>
                <w:rFonts w:cs="Times New Roman"/>
                <w:szCs w:val="21"/>
              </w:rPr>
              <w:t>&lt;0.2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高锰酸盐指数</w:t>
            </w:r>
          </w:p>
        </w:tc>
        <w:tc>
          <w:tcPr>
            <w:tcW w:w="902" w:type="pct"/>
            <w:vAlign w:val="center"/>
          </w:tcPr>
          <w:p>
            <w:pPr>
              <w:pStyle w:val="105"/>
              <w:spacing w:before="0" w:after="0"/>
              <w:jc w:val="center"/>
            </w:pPr>
            <w:r>
              <w:rPr>
                <w:rFonts w:hint="eastAsia"/>
              </w:rPr>
              <w:t>2.0</w:t>
            </w:r>
          </w:p>
        </w:tc>
        <w:tc>
          <w:tcPr>
            <w:tcW w:w="1016" w:type="pct"/>
            <w:vAlign w:val="center"/>
          </w:tcPr>
          <w:p>
            <w:pPr>
              <w:pStyle w:val="105"/>
              <w:spacing w:before="0" w:after="0"/>
              <w:jc w:val="center"/>
            </w:pPr>
            <w:r>
              <w:rPr>
                <w:rFonts w:hint="eastAsia"/>
              </w:rPr>
              <w:t>1.5</w:t>
            </w:r>
          </w:p>
        </w:tc>
        <w:tc>
          <w:tcPr>
            <w:tcW w:w="801" w:type="pct"/>
            <w:vAlign w:val="center"/>
          </w:tcPr>
          <w:p>
            <w:pPr>
              <w:pStyle w:val="105"/>
              <w:spacing w:before="0" w:after="0"/>
              <w:jc w:val="center"/>
            </w:pPr>
            <w:r>
              <w:rPr>
                <w:rFonts w:cs="Times New Roman"/>
                <w:szCs w:val="21"/>
              </w:rPr>
              <w:t>0.3</w:t>
            </w:r>
          </w:p>
        </w:tc>
        <w:tc>
          <w:tcPr>
            <w:tcW w:w="604" w:type="pct"/>
            <w:vAlign w:val="center"/>
          </w:tcPr>
          <w:p>
            <w:pPr>
              <w:pStyle w:val="105"/>
              <w:spacing w:before="0" w:after="0"/>
              <w:jc w:val="center"/>
            </w:pPr>
            <w:r>
              <w:rPr>
                <w:rFonts w:cs="Times New Roman"/>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五日生化需氧量</w:t>
            </w:r>
          </w:p>
        </w:tc>
        <w:tc>
          <w:tcPr>
            <w:tcW w:w="902" w:type="pct"/>
            <w:vAlign w:val="center"/>
          </w:tcPr>
          <w:p>
            <w:pPr>
              <w:pStyle w:val="105"/>
              <w:spacing w:before="0" w:after="0"/>
              <w:jc w:val="center"/>
            </w:pPr>
            <w:r>
              <w:rPr>
                <w:rFonts w:hint="eastAsia"/>
              </w:rPr>
              <w:t>3.5</w:t>
            </w:r>
          </w:p>
        </w:tc>
        <w:tc>
          <w:tcPr>
            <w:tcW w:w="1016" w:type="pct"/>
            <w:vAlign w:val="center"/>
          </w:tcPr>
          <w:p>
            <w:pPr>
              <w:pStyle w:val="105"/>
              <w:spacing w:before="0" w:after="0"/>
              <w:jc w:val="center"/>
            </w:pPr>
            <w:r>
              <w:rPr>
                <w:rFonts w:hint="eastAsia"/>
              </w:rPr>
              <w:t>3.2</w:t>
            </w:r>
          </w:p>
        </w:tc>
        <w:tc>
          <w:tcPr>
            <w:tcW w:w="801" w:type="pct"/>
            <w:vAlign w:val="center"/>
          </w:tcPr>
          <w:p>
            <w:pPr>
              <w:pStyle w:val="105"/>
              <w:spacing w:before="0" w:after="0"/>
              <w:jc w:val="center"/>
            </w:pPr>
            <w:r>
              <w:rPr>
                <w:rFonts w:cs="Times New Roman"/>
                <w:szCs w:val="21"/>
              </w:rPr>
              <w:t>0.9</w:t>
            </w:r>
          </w:p>
        </w:tc>
        <w:tc>
          <w:tcPr>
            <w:tcW w:w="604" w:type="pct"/>
            <w:vAlign w:val="center"/>
          </w:tcPr>
          <w:p>
            <w:pPr>
              <w:pStyle w:val="105"/>
              <w:spacing w:before="0" w:after="0"/>
              <w:jc w:val="center"/>
            </w:pPr>
            <w:r>
              <w:rPr>
                <w:rFonts w:cs="Times New Roman"/>
                <w:szCs w:val="21"/>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t>氨氮</w:t>
            </w:r>
          </w:p>
        </w:tc>
        <w:tc>
          <w:tcPr>
            <w:tcW w:w="902" w:type="pct"/>
            <w:vAlign w:val="center"/>
          </w:tcPr>
          <w:p>
            <w:pPr>
              <w:pStyle w:val="105"/>
              <w:spacing w:before="0" w:after="0"/>
              <w:jc w:val="center"/>
            </w:pPr>
            <w:r>
              <w:rPr>
                <w:rFonts w:hint="eastAsia"/>
              </w:rPr>
              <w:t>0.432</w:t>
            </w:r>
          </w:p>
        </w:tc>
        <w:tc>
          <w:tcPr>
            <w:tcW w:w="1016" w:type="pct"/>
            <w:vAlign w:val="center"/>
          </w:tcPr>
          <w:p>
            <w:pPr>
              <w:pStyle w:val="105"/>
              <w:spacing w:before="0" w:after="0"/>
              <w:jc w:val="center"/>
            </w:pPr>
            <w:r>
              <w:rPr>
                <w:rFonts w:hint="eastAsia"/>
              </w:rPr>
              <w:t>0.283</w:t>
            </w:r>
          </w:p>
        </w:tc>
        <w:tc>
          <w:tcPr>
            <w:tcW w:w="801" w:type="pct"/>
            <w:vAlign w:val="center"/>
          </w:tcPr>
          <w:p>
            <w:pPr>
              <w:pStyle w:val="105"/>
              <w:spacing w:before="0" w:after="0"/>
              <w:jc w:val="center"/>
            </w:pPr>
            <w:r>
              <w:rPr>
                <w:rFonts w:cs="Times New Roman"/>
                <w:szCs w:val="21"/>
              </w:rPr>
              <w:t>0.4</w:t>
            </w:r>
          </w:p>
        </w:tc>
        <w:tc>
          <w:tcPr>
            <w:tcW w:w="604" w:type="pct"/>
            <w:vAlign w:val="center"/>
          </w:tcPr>
          <w:p>
            <w:pPr>
              <w:pStyle w:val="105"/>
              <w:spacing w:before="0" w:after="0"/>
              <w:jc w:val="center"/>
            </w:pPr>
            <w:r>
              <w:rPr>
                <w:rFonts w:cs="Times New Roman"/>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81" w:type="pct"/>
            <w:vMerge w:val="continue"/>
            <w:vAlign w:val="center"/>
          </w:tcPr>
          <w:p>
            <w:pPr>
              <w:pStyle w:val="105"/>
              <w:spacing w:before="0" w:after="0"/>
              <w:jc w:val="center"/>
            </w:pPr>
          </w:p>
        </w:tc>
        <w:tc>
          <w:tcPr>
            <w:tcW w:w="1196" w:type="pct"/>
            <w:vAlign w:val="center"/>
          </w:tcPr>
          <w:p>
            <w:pPr>
              <w:pStyle w:val="105"/>
              <w:spacing w:before="0" w:after="0"/>
              <w:jc w:val="center"/>
            </w:pPr>
            <w:r>
              <w:rPr>
                <w:rFonts w:hint="eastAsia"/>
              </w:rPr>
              <w:t>总磷</w:t>
            </w:r>
          </w:p>
        </w:tc>
        <w:tc>
          <w:tcPr>
            <w:tcW w:w="902" w:type="pct"/>
            <w:vAlign w:val="center"/>
          </w:tcPr>
          <w:p>
            <w:pPr>
              <w:pStyle w:val="105"/>
              <w:spacing w:before="0" w:after="0"/>
              <w:jc w:val="center"/>
            </w:pPr>
            <w:r>
              <w:rPr>
                <w:rFonts w:hint="eastAsia"/>
              </w:rPr>
              <w:t>0.05</w:t>
            </w:r>
          </w:p>
        </w:tc>
        <w:tc>
          <w:tcPr>
            <w:tcW w:w="1016" w:type="pct"/>
            <w:vAlign w:val="center"/>
          </w:tcPr>
          <w:p>
            <w:pPr>
              <w:pStyle w:val="105"/>
              <w:spacing w:before="0" w:after="0"/>
              <w:jc w:val="center"/>
            </w:pPr>
            <w:r>
              <w:rPr>
                <w:rFonts w:hint="eastAsia"/>
              </w:rPr>
              <w:t>0.06</w:t>
            </w:r>
          </w:p>
        </w:tc>
        <w:tc>
          <w:tcPr>
            <w:tcW w:w="801" w:type="pct"/>
            <w:vAlign w:val="center"/>
          </w:tcPr>
          <w:p>
            <w:pPr>
              <w:pStyle w:val="105"/>
              <w:spacing w:before="0" w:after="0"/>
              <w:jc w:val="center"/>
            </w:pPr>
            <w:r>
              <w:rPr>
                <w:rFonts w:cs="Times New Roman"/>
                <w:szCs w:val="21"/>
              </w:rPr>
              <w:t>0.3</w:t>
            </w:r>
          </w:p>
        </w:tc>
        <w:tc>
          <w:tcPr>
            <w:tcW w:w="604" w:type="pct"/>
            <w:vAlign w:val="center"/>
          </w:tcPr>
          <w:p>
            <w:pPr>
              <w:pStyle w:val="105"/>
              <w:spacing w:before="0" w:after="0"/>
              <w:jc w:val="center"/>
            </w:pPr>
            <w:r>
              <w:rPr>
                <w:rFonts w:cs="Times New Roman"/>
                <w:szCs w:val="21"/>
              </w:rPr>
              <w:t>0.3</w:t>
            </w:r>
          </w:p>
        </w:tc>
      </w:tr>
    </w:tbl>
    <w:p>
      <w:pPr>
        <w:pStyle w:val="124"/>
        <w:spacing w:before="163"/>
      </w:pPr>
      <w:r>
        <w:rPr>
          <w:rFonts w:hint="eastAsia"/>
          <w:lang w:val="zh-CN"/>
        </w:rPr>
        <w:t>监测结果表明：迳江水质符合《地表水环境质量标准》（GB3838-2002）中Ⅲ类水质标准限值要求，</w:t>
      </w:r>
      <w:r>
        <w:t>表明项目周边水体水质现状良好。</w:t>
      </w:r>
    </w:p>
    <w:p>
      <w:pPr>
        <w:pStyle w:val="120"/>
        <w:rPr>
          <w:color w:val="auto"/>
        </w:rPr>
      </w:pPr>
      <w:bookmarkStart w:id="410" w:name="3.2声环境现状调查与评价"/>
      <w:bookmarkEnd w:id="410"/>
      <w:r>
        <w:rPr>
          <w:rFonts w:hint="eastAsia"/>
          <w:color w:val="auto"/>
        </w:rPr>
        <w:t>声环境质量现状调查与评价</w:t>
      </w:r>
    </w:p>
    <w:p>
      <w:pPr>
        <w:ind w:firstLine="480"/>
      </w:pPr>
      <w:r>
        <w:rPr>
          <w:rFonts w:hint="eastAsia"/>
        </w:rPr>
        <w:t>本次评价委托福建九五检测技术服务有限公司（C</w:t>
      </w:r>
      <w:r>
        <w:t>MA23131205A003</w:t>
      </w:r>
      <w:r>
        <w:rPr>
          <w:rFonts w:hint="eastAsia"/>
        </w:rPr>
        <w:t>）于</w:t>
      </w:r>
      <w:r>
        <w:t>2025年2月26日</w:t>
      </w:r>
      <w:r>
        <w:rPr>
          <w:rFonts w:hint="eastAsia"/>
        </w:rPr>
        <w:t>~</w:t>
      </w:r>
      <w:r>
        <w:t>2月28日</w:t>
      </w:r>
      <w:r>
        <w:rPr>
          <w:rFonts w:hint="eastAsia"/>
        </w:rPr>
        <w:t>对项目沿线声环境质量现状进行监测，同时于</w:t>
      </w:r>
      <w:r>
        <w:t>2025年4月20日</w:t>
      </w:r>
      <w:r>
        <w:rPr>
          <w:rFonts w:hint="eastAsia"/>
        </w:rPr>
        <w:t>~</w:t>
      </w:r>
      <w:r>
        <w:t>4月21日</w:t>
      </w:r>
      <w:r>
        <w:rPr>
          <w:rFonts w:hint="eastAsia"/>
        </w:rPr>
        <w:t>开展补充监测。</w:t>
      </w:r>
    </w:p>
    <w:p>
      <w:pPr>
        <w:ind w:firstLine="480"/>
      </w:pPr>
      <w:r>
        <w:rPr>
          <w:rFonts w:hint="eastAsia"/>
        </w:rPr>
        <w:t>（1）监测点位及频次：</w:t>
      </w:r>
      <w:r>
        <w:t>2025年2月26日</w:t>
      </w:r>
      <w:r>
        <w:rPr>
          <w:rFonts w:hint="eastAsia"/>
        </w:rPr>
        <w:t>~</w:t>
      </w:r>
      <w:r>
        <w:t>2月27日</w:t>
      </w:r>
      <w:r>
        <w:rPr>
          <w:rFonts w:hint="eastAsia"/>
        </w:rPr>
        <w:t>和</w:t>
      </w:r>
      <w:r>
        <w:t>2025年2月27日</w:t>
      </w:r>
      <w:r>
        <w:rPr>
          <w:rFonts w:hint="eastAsia"/>
        </w:rPr>
        <w:t>~</w:t>
      </w:r>
      <w:r>
        <w:t>2月28日</w:t>
      </w:r>
      <w:r>
        <w:rPr>
          <w:rFonts w:hint="eastAsia"/>
        </w:rPr>
        <w:t>（昼、夜各2次）</w:t>
      </w:r>
      <w:r>
        <w:t>在</w:t>
      </w:r>
      <w:r>
        <w:rPr>
          <w:rFonts w:hint="eastAsia"/>
        </w:rPr>
        <w:t>项目沿线</w:t>
      </w:r>
      <w:r>
        <w:t>共布置19个监测点位</w:t>
      </w:r>
      <w:r>
        <w:rPr>
          <w:rFonts w:hint="eastAsia"/>
        </w:rPr>
        <w:t>（含水平衰减断面和不同楼层监测断面），其中N</w:t>
      </w:r>
      <w:r>
        <w:t>5/6/7</w:t>
      </w:r>
      <w:r>
        <w:rPr>
          <w:rFonts w:hint="eastAsia"/>
        </w:rPr>
        <w:t>三个点位于</w:t>
      </w:r>
      <w:r>
        <w:t>2025年4月20日</w:t>
      </w:r>
      <w:r>
        <w:rPr>
          <w:rFonts w:hint="eastAsia"/>
        </w:rPr>
        <w:t>~</w:t>
      </w:r>
      <w:r>
        <w:t>4月21日</w:t>
      </w:r>
      <w:r>
        <w:rPr>
          <w:rFonts w:hint="eastAsia"/>
        </w:rPr>
        <w:t>开展补充监测。详见</w:t>
      </w:r>
      <w:r>
        <w:rPr>
          <w:kern w:val="0"/>
          <w:szCs w:val="24"/>
        </w:rPr>
        <w:fldChar w:fldCharType="begin"/>
      </w:r>
      <w:r>
        <w:instrText xml:space="preserve"> </w:instrText>
      </w:r>
      <w:r>
        <w:rPr>
          <w:rFonts w:hint="eastAsia"/>
        </w:rPr>
        <w:instrText xml:space="preserve">REF _Ref193786627 \r \h</w:instrText>
      </w:r>
      <w:r>
        <w:instrText xml:space="preserve"> </w:instrText>
      </w:r>
      <w:r>
        <w:rPr>
          <w:kern w:val="0"/>
          <w:szCs w:val="24"/>
        </w:rPr>
        <w:fldChar w:fldCharType="separate"/>
      </w:r>
      <w:r>
        <w:rPr>
          <w:rFonts w:hint="eastAsia"/>
        </w:rPr>
        <w:t>图4.2-2</w:t>
      </w:r>
      <w:r>
        <w:rPr>
          <w:kern w:val="0"/>
          <w:szCs w:val="24"/>
        </w:rPr>
        <w:fldChar w:fldCharType="end"/>
      </w:r>
      <w:r>
        <w:t>。</w:t>
      </w:r>
    </w:p>
    <w:p>
      <w:pPr>
        <w:ind w:firstLine="480"/>
        <w:sectPr>
          <w:pgSz w:w="11906" w:h="16838"/>
          <w:pgMar w:top="1418" w:right="1418" w:bottom="1418" w:left="1418" w:header="851" w:footer="851" w:gutter="0"/>
          <w:cols w:space="425" w:num="1"/>
          <w:docGrid w:type="lines" w:linePitch="326" w:charSpace="0"/>
        </w:sectPr>
      </w:pPr>
    </w:p>
    <w:p>
      <w:pPr>
        <w:ind w:firstLine="480"/>
      </w:pPr>
    </w:p>
    <w:p>
      <w:pPr>
        <w:pStyle w:val="105"/>
        <w:jc w:val="center"/>
        <w:rPr>
          <w:rFonts w:hint="eastAsia" w:eastAsia="宋体"/>
          <w:lang w:eastAsia="zh-CN"/>
        </w:rPr>
      </w:pPr>
    </w:p>
    <w:p>
      <w:pPr>
        <w:pStyle w:val="122"/>
      </w:pPr>
      <w:bookmarkStart w:id="411" w:name="_Ref193786627"/>
      <w:r>
        <w:rPr>
          <w:rFonts w:hint="eastAsia"/>
        </w:rPr>
        <w:t>噪声监测点位图</w:t>
      </w:r>
      <w:bookmarkEnd w:id="411"/>
    </w:p>
    <w:p>
      <w:pPr>
        <w:pStyle w:val="105"/>
        <w:sectPr>
          <w:pgSz w:w="16838" w:h="11906" w:orient="landscape"/>
          <w:pgMar w:top="1134" w:right="1418" w:bottom="1134" w:left="1418" w:header="851" w:footer="851" w:gutter="0"/>
          <w:cols w:space="425" w:num="1"/>
          <w:docGrid w:type="lines" w:linePitch="326" w:charSpace="0"/>
        </w:sectPr>
      </w:pPr>
    </w:p>
    <w:p>
      <w:pPr>
        <w:pStyle w:val="857"/>
        <w:rPr>
          <w:rFonts w:hint="eastAsia" w:eastAsia="宋体"/>
          <w:lang w:val="zh-CN" w:eastAsia="zh-CN"/>
        </w:rPr>
      </w:pPr>
    </w:p>
    <w:p>
      <w:pPr>
        <w:pStyle w:val="122"/>
      </w:pPr>
      <w:r>
        <w:rPr>
          <w:rFonts w:hint="eastAsia"/>
        </w:rPr>
        <w:t>补充</w:t>
      </w:r>
      <w:r>
        <w:rPr>
          <w:rFonts w:hint="eastAsia"/>
          <w:lang w:val="zh-CN"/>
        </w:rPr>
        <w:t>高铁影响范围敏感点</w:t>
      </w:r>
      <w:r>
        <w:rPr>
          <w:rFonts w:hint="eastAsia"/>
        </w:rPr>
        <w:t>噪声监测点位图（2）</w:t>
      </w:r>
    </w:p>
    <w:p>
      <w:pPr>
        <w:pStyle w:val="87"/>
        <w:spacing w:before="0" w:beforeLines="0"/>
        <w:ind w:firstLine="357"/>
        <w:rPr>
          <w:lang w:val="zh-CN"/>
        </w:rPr>
      </w:pPr>
      <w:r>
        <w:rPr>
          <w:rFonts w:hint="eastAsia"/>
          <w:lang w:val="zh-CN"/>
        </w:rPr>
        <w:t xml:space="preserve">敏感点及背景噪声现状调查结果 </w:t>
      </w:r>
      <w:r>
        <w:rPr>
          <w:lang w:val="zh-CN"/>
        </w:rPr>
        <w:t xml:space="preserve">   </w:t>
      </w:r>
      <w:r>
        <w:rPr>
          <w:rFonts w:hint="eastAsia"/>
          <w:lang w:val="zh-CN"/>
        </w:rPr>
        <w:t>单位：dB（A）</w:t>
      </w:r>
    </w:p>
    <w:tbl>
      <w:tblPr>
        <w:tblStyle w:val="84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01"/>
        <w:gridCol w:w="706"/>
        <w:gridCol w:w="992"/>
        <w:gridCol w:w="570"/>
        <w:gridCol w:w="709"/>
        <w:gridCol w:w="976"/>
        <w:gridCol w:w="724"/>
        <w:gridCol w:w="724"/>
        <w:gridCol w:w="978"/>
        <w:gridCol w:w="9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bookmarkStart w:id="412" w:name="_Ref491184473"/>
            <w:bookmarkStart w:id="413" w:name="_Hlk144826118"/>
            <w:r>
              <w:rPr>
                <w:rFonts w:cs="Times New Roman"/>
                <w:sz w:val="20"/>
                <w:szCs w:val="20"/>
              </w:rPr>
              <w:t>监测点位</w:t>
            </w:r>
          </w:p>
        </w:tc>
        <w:tc>
          <w:tcPr>
            <w:tcW w:w="389"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测量时段</w:t>
            </w:r>
          </w:p>
        </w:tc>
        <w:tc>
          <w:tcPr>
            <w:tcW w:w="1252" w:type="pct"/>
            <w:gridSpan w:val="3"/>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2月26日~2月27日</w:t>
            </w:r>
          </w:p>
        </w:tc>
        <w:tc>
          <w:tcPr>
            <w:tcW w:w="1336" w:type="pct"/>
            <w:gridSpan w:val="3"/>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2月27日~2月28日</w:t>
            </w:r>
          </w:p>
        </w:tc>
        <w:tc>
          <w:tcPr>
            <w:tcW w:w="539"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Leq标准限值dB（A）</w:t>
            </w:r>
          </w:p>
        </w:tc>
        <w:tc>
          <w:tcPr>
            <w:tcW w:w="546" w:type="pct"/>
            <w:vMerge w:val="restar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Merge w:val="continue"/>
            <w:vAlign w:val="center"/>
          </w:tcPr>
          <w:p>
            <w:pPr>
              <w:pStyle w:val="105"/>
              <w:spacing w:before="0" w:after="0"/>
              <w:ind w:left="-48" w:leftChars="-20" w:right="-48" w:rightChars="-20"/>
              <w:jc w:val="center"/>
              <w:rPr>
                <w:rFonts w:cs="Times New Roman"/>
                <w:sz w:val="20"/>
                <w:szCs w:val="20"/>
              </w:rPr>
            </w:pP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监测结果</w:t>
            </w:r>
          </w:p>
          <w:p>
            <w:pPr>
              <w:pStyle w:val="105"/>
              <w:spacing w:before="0" w:after="0"/>
              <w:ind w:left="-48" w:leftChars="-20" w:right="-48" w:rightChars="-20"/>
              <w:jc w:val="center"/>
              <w:rPr>
                <w:rFonts w:cs="Times New Roman"/>
                <w:sz w:val="20"/>
                <w:szCs w:val="20"/>
              </w:rPr>
            </w:pPr>
            <w:r>
              <w:rPr>
                <w:rFonts w:cs="Times New Roman"/>
                <w:sz w:val="20"/>
                <w:szCs w:val="20"/>
              </w:rPr>
              <w:t>dB</w:t>
            </w:r>
            <w:r>
              <w:rPr>
                <w:rFonts w:hint="eastAsia" w:cs="Times New Roman"/>
                <w:sz w:val="20"/>
                <w:szCs w:val="20"/>
              </w:rPr>
              <w:t>(</w:t>
            </w:r>
            <w:r>
              <w:rPr>
                <w:rFonts w:cs="Times New Roman"/>
                <w:sz w:val="20"/>
                <w:szCs w:val="20"/>
              </w:rPr>
              <w:t>A</w:t>
            </w:r>
            <w:r>
              <w:rPr>
                <w:rFonts w:hint="eastAsia" w:cs="Times New Roman"/>
                <w:sz w:val="20"/>
                <w:szCs w:val="20"/>
              </w:rPr>
              <w:t>)</w:t>
            </w:r>
          </w:p>
        </w:tc>
        <w:tc>
          <w:tcPr>
            <w:tcW w:w="705" w:type="pct"/>
            <w:gridSpan w:val="2"/>
            <w:vAlign w:val="center"/>
          </w:tcPr>
          <w:p>
            <w:pPr>
              <w:pStyle w:val="105"/>
              <w:spacing w:before="0" w:after="0"/>
              <w:ind w:left="-48" w:leftChars="-20" w:right="-48" w:rightChars="-20"/>
              <w:jc w:val="center"/>
              <w:rPr>
                <w:rFonts w:cs="Times New Roman"/>
                <w:sz w:val="20"/>
                <w:szCs w:val="20"/>
              </w:rPr>
            </w:pPr>
            <w:r>
              <w:rPr>
                <w:rFonts w:cs="Times New Roman"/>
                <w:sz w:val="20"/>
                <w:szCs w:val="20"/>
              </w:rPr>
              <w:t>车流量（辆/20min）</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监测结果dB（A）</w:t>
            </w:r>
          </w:p>
        </w:tc>
        <w:tc>
          <w:tcPr>
            <w:tcW w:w="798" w:type="pct"/>
            <w:gridSpan w:val="2"/>
            <w:vAlign w:val="center"/>
          </w:tcPr>
          <w:p>
            <w:pPr>
              <w:pStyle w:val="105"/>
              <w:spacing w:before="0" w:after="0"/>
              <w:ind w:left="-48" w:leftChars="-20" w:right="-48" w:rightChars="-20"/>
              <w:jc w:val="center"/>
              <w:rPr>
                <w:rFonts w:cs="Times New Roman"/>
                <w:sz w:val="20"/>
                <w:szCs w:val="20"/>
              </w:rPr>
            </w:pPr>
            <w:r>
              <w:rPr>
                <w:rFonts w:cs="Times New Roman"/>
                <w:sz w:val="20"/>
                <w:szCs w:val="20"/>
              </w:rPr>
              <w:t>车流量</w:t>
            </w:r>
          </w:p>
          <w:p>
            <w:pPr>
              <w:pStyle w:val="105"/>
              <w:spacing w:before="0" w:after="0"/>
              <w:ind w:left="-48" w:leftChars="-20" w:right="-48" w:rightChars="-20"/>
              <w:jc w:val="center"/>
              <w:rPr>
                <w:rFonts w:cs="Times New Roman"/>
                <w:sz w:val="20"/>
                <w:szCs w:val="20"/>
              </w:rPr>
            </w:pPr>
            <w:r>
              <w:rPr>
                <w:rFonts w:cs="Times New Roman"/>
                <w:sz w:val="20"/>
                <w:szCs w:val="20"/>
              </w:rPr>
              <w:t>（辆/20min）</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vMerge w:val="continue"/>
            <w:vAlign w:val="center"/>
          </w:tcPr>
          <w:p>
            <w:pPr>
              <w:pStyle w:val="105"/>
              <w:spacing w:before="0" w:after="0"/>
              <w:ind w:left="-48" w:leftChars="-20" w:right="-48" w:rightChars="-20"/>
              <w:jc w:val="center"/>
              <w:rPr>
                <w:rFonts w:cs="Times New Roman"/>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Merge w:val="continue"/>
            <w:vAlign w:val="center"/>
          </w:tcPr>
          <w:p>
            <w:pPr>
              <w:pStyle w:val="105"/>
              <w:spacing w:before="0" w:after="0"/>
              <w:ind w:left="-48" w:leftChars="-20" w:right="-48" w:rightChars="-20"/>
              <w:jc w:val="center"/>
              <w:rPr>
                <w:rFonts w:cs="Times New Roman"/>
                <w:sz w:val="20"/>
                <w:szCs w:val="20"/>
              </w:rPr>
            </w:pP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Leq</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大型</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中小型</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Leq</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大型</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中小型</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vMerge w:val="continue"/>
            <w:vAlign w:val="center"/>
          </w:tcPr>
          <w:p>
            <w:pPr>
              <w:pStyle w:val="105"/>
              <w:spacing w:before="0" w:after="0"/>
              <w:ind w:left="-48" w:leftChars="-20" w:right="-48" w:rightChars="-20"/>
              <w:jc w:val="center"/>
              <w:rPr>
                <w:rFonts w:cs="Times New Roman"/>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N2牌边村新桥（临G324第一排）1F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67</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118</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251</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69</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102</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284</w:t>
            </w:r>
          </w:p>
        </w:tc>
        <w:tc>
          <w:tcPr>
            <w:tcW w:w="539"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昼间≤70</w:t>
            </w:r>
          </w:p>
          <w:p>
            <w:pPr>
              <w:pStyle w:val="105"/>
              <w:spacing w:before="0" w:after="0"/>
              <w:ind w:left="-48" w:leftChars="-20" w:right="-48" w:rightChars="-20"/>
              <w:jc w:val="center"/>
              <w:rPr>
                <w:rFonts w:cs="Times New Roman"/>
                <w:sz w:val="20"/>
                <w:szCs w:val="20"/>
              </w:rPr>
            </w:pPr>
            <w:r>
              <w:rPr>
                <w:rFonts w:cs="Times New Roman"/>
                <w:sz w:val="20"/>
                <w:szCs w:val="20"/>
              </w:rPr>
              <w:t>夜间≤55</w:t>
            </w: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shd w:val="pct10" w:color="auto" w:fill="FFFFFF"/>
              </w:rPr>
              <w:t>60</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55</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169</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shd w:val="pct10" w:color="auto" w:fill="FFFFFF"/>
              </w:rPr>
              <w:t>66</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100</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126</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shd w:val="pct10" w:color="auto" w:fill="FFFFFF"/>
              </w:rPr>
              <w:t>超标</w:t>
            </w:r>
            <w:r>
              <w:rPr>
                <w:rFonts w:hint="eastAsia" w:cs="Times New Roman"/>
                <w:sz w:val="20"/>
                <w:szCs w:val="20"/>
                <w:shd w:val="pct10" w:color="auto" w:fill="FFFFFF"/>
              </w:rPr>
              <w:t>5dB、11dB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N3牌边村新桥后排1F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55</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53</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昼间≤60</w:t>
            </w:r>
          </w:p>
          <w:p>
            <w:pPr>
              <w:pStyle w:val="105"/>
              <w:spacing w:before="0" w:after="0"/>
              <w:ind w:left="-48" w:leftChars="-20" w:right="-48" w:rightChars="-20"/>
              <w:jc w:val="center"/>
              <w:rPr>
                <w:rFonts w:cs="Times New Roman"/>
                <w:sz w:val="20"/>
                <w:szCs w:val="20"/>
              </w:rPr>
            </w:pPr>
            <w:r>
              <w:rPr>
                <w:rFonts w:cs="Times New Roman"/>
                <w:sz w:val="20"/>
                <w:szCs w:val="20"/>
              </w:rPr>
              <w:t>夜间≤50</w:t>
            </w:r>
          </w:p>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47</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46</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N3牌边村新桥后排3 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54</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52</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47</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46</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N4上张村林泉1F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48</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49</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41</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42</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N9联华村后郑临路第一排1F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50</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0</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21</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50</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13</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46</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0</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11</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46</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0</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8</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N9联华村后郑临路第一排3F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52</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52</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47</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47</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N10联华村后郑后排1F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50</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51</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46</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46</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N11侨丰村1F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57</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57</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47</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46</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N12联华村火烧埔（临高速第一排）1F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59</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58</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昼间≤70</w:t>
            </w:r>
          </w:p>
          <w:p>
            <w:pPr>
              <w:pStyle w:val="105"/>
              <w:spacing w:before="0" w:after="0"/>
              <w:ind w:left="-48" w:leftChars="-20" w:right="-48" w:rightChars="-20"/>
              <w:jc w:val="center"/>
              <w:rPr>
                <w:rFonts w:cs="Times New Roman"/>
                <w:sz w:val="20"/>
                <w:szCs w:val="20"/>
              </w:rPr>
            </w:pPr>
            <w:r>
              <w:rPr>
                <w:rFonts w:cs="Times New Roman"/>
                <w:sz w:val="20"/>
                <w:szCs w:val="20"/>
              </w:rPr>
              <w:t>夜间≤55</w:t>
            </w: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54</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53</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N13联华村火烧埔（临枝钟路第一排）1F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52</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2</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14</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52</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12</w:t>
            </w:r>
          </w:p>
        </w:tc>
        <w:tc>
          <w:tcPr>
            <w:tcW w:w="539"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昼间≤60</w:t>
            </w:r>
          </w:p>
          <w:p>
            <w:pPr>
              <w:pStyle w:val="105"/>
              <w:spacing w:before="0" w:after="0"/>
              <w:ind w:left="-48" w:leftChars="-20" w:right="-48" w:rightChars="-20"/>
              <w:jc w:val="center"/>
              <w:rPr>
                <w:rFonts w:cs="Times New Roman"/>
                <w:sz w:val="20"/>
                <w:szCs w:val="20"/>
              </w:rPr>
            </w:pPr>
            <w:r>
              <w:rPr>
                <w:rFonts w:cs="Times New Roman"/>
                <w:sz w:val="20"/>
                <w:szCs w:val="20"/>
              </w:rPr>
              <w:t>夜间≤50</w:t>
            </w:r>
          </w:p>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48</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0</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3</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48</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0</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N13联华村火烧埔（临枝钟路第一排）3F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50</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50</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48</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48</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N14联华村火烧埔后排1F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51</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51</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43</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43</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N16联华村西山（临枝钟路第一排）1F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54</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2</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16</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55</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2</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10</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47</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0</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48</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0</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N16联华村西山（临枝钟路第一排）3F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52</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53</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46</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46</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N17联华村西山后排1F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52</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51</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44</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45</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N18联华村木厝洋1F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54</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55</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43</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42</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restart"/>
            <w:vAlign w:val="center"/>
          </w:tcPr>
          <w:p>
            <w:pPr>
              <w:pStyle w:val="105"/>
              <w:spacing w:before="0" w:after="0"/>
              <w:ind w:left="-48" w:leftChars="-20" w:right="-48" w:rightChars="-20"/>
              <w:jc w:val="center"/>
              <w:rPr>
                <w:rFonts w:cs="Times New Roman"/>
                <w:sz w:val="20"/>
                <w:szCs w:val="20"/>
              </w:rPr>
            </w:pPr>
            <w:r>
              <w:rPr>
                <w:rFonts w:cs="Times New Roman"/>
                <w:sz w:val="20"/>
                <w:szCs w:val="20"/>
              </w:rPr>
              <w:t>N19三落厝1F</w:t>
            </w: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昼间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51</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52</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938" w:type="pct"/>
            <w:vMerge w:val="continue"/>
            <w:vAlign w:val="center"/>
          </w:tcPr>
          <w:p>
            <w:pPr>
              <w:pStyle w:val="105"/>
              <w:spacing w:before="0" w:after="0"/>
              <w:ind w:left="-48" w:leftChars="-20" w:right="-48" w:rightChars="-20"/>
              <w:jc w:val="center"/>
              <w:rPr>
                <w:rFonts w:cs="Times New Roman"/>
                <w:sz w:val="20"/>
                <w:szCs w:val="20"/>
              </w:rPr>
            </w:pPr>
          </w:p>
        </w:tc>
        <w:tc>
          <w:tcPr>
            <w:tcW w:w="38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夜间</w:t>
            </w:r>
          </w:p>
        </w:tc>
        <w:tc>
          <w:tcPr>
            <w:tcW w:w="547"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42</w:t>
            </w:r>
          </w:p>
        </w:tc>
        <w:tc>
          <w:tcPr>
            <w:tcW w:w="314"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1"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8"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40</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399" w:type="pct"/>
            <w:vAlign w:val="center"/>
          </w:tcPr>
          <w:p>
            <w:pPr>
              <w:pStyle w:val="105"/>
              <w:spacing w:before="0" w:after="0"/>
              <w:ind w:left="-48" w:leftChars="-20" w:right="-48" w:rightChars="-20"/>
              <w:jc w:val="center"/>
              <w:rPr>
                <w:rFonts w:cs="Times New Roman"/>
                <w:sz w:val="20"/>
                <w:szCs w:val="20"/>
              </w:rPr>
            </w:pPr>
            <w:r>
              <w:rPr>
                <w:rFonts w:cs="Times New Roman"/>
                <w:sz w:val="20"/>
                <w:szCs w:val="20"/>
              </w:rPr>
              <w:t>/</w:t>
            </w:r>
          </w:p>
        </w:tc>
        <w:tc>
          <w:tcPr>
            <w:tcW w:w="539" w:type="pct"/>
            <w:vMerge w:val="continue"/>
            <w:vAlign w:val="center"/>
          </w:tcPr>
          <w:p>
            <w:pPr>
              <w:pStyle w:val="105"/>
              <w:spacing w:before="0" w:after="0"/>
              <w:ind w:left="-48" w:leftChars="-20" w:right="-48" w:rightChars="-20"/>
              <w:jc w:val="center"/>
              <w:rPr>
                <w:rFonts w:cs="Times New Roman"/>
                <w:sz w:val="20"/>
                <w:szCs w:val="20"/>
              </w:rPr>
            </w:pPr>
          </w:p>
        </w:tc>
        <w:tc>
          <w:tcPr>
            <w:tcW w:w="546" w:type="pct"/>
            <w:noWrap/>
            <w:vAlign w:val="center"/>
          </w:tcPr>
          <w:p>
            <w:pPr>
              <w:pStyle w:val="105"/>
              <w:spacing w:before="0" w:after="0"/>
              <w:ind w:left="-48" w:leftChars="-20" w:right="-48" w:rightChars="-2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5000" w:type="pct"/>
            <w:gridSpan w:val="10"/>
            <w:vAlign w:val="center"/>
          </w:tcPr>
          <w:p>
            <w:pPr>
              <w:pStyle w:val="105"/>
              <w:spacing w:before="0" w:after="0"/>
              <w:ind w:left="-48" w:leftChars="-20" w:right="-48" w:rightChars="-20"/>
              <w:jc w:val="left"/>
              <w:rPr>
                <w:rFonts w:cs="Times New Roman"/>
                <w:sz w:val="20"/>
                <w:szCs w:val="20"/>
              </w:rPr>
            </w:pPr>
            <w:r>
              <w:rPr>
                <w:rFonts w:hint="eastAsia" w:cs="Times New Roman"/>
                <w:sz w:val="20"/>
                <w:szCs w:val="20"/>
              </w:rPr>
              <w:t>注：①</w:t>
            </w:r>
            <w:r>
              <w:rPr>
                <w:rFonts w:cs="Times New Roman"/>
                <w:sz w:val="20"/>
                <w:szCs w:val="20"/>
              </w:rPr>
              <w:t>N4牌边村新桥（临G324第一排）3F</w:t>
            </w:r>
            <w:r>
              <w:rPr>
                <w:rFonts w:hint="eastAsia" w:cs="Times New Roman"/>
                <w:sz w:val="20"/>
                <w:szCs w:val="20"/>
              </w:rPr>
              <w:t>，不具备监测条件。②2025年02月26日~02月28日检测气象条件均为：天气阴，风速&lt;5m/s。③</w:t>
            </w:r>
            <w:r>
              <w:rPr>
                <w:rFonts w:cs="Times New Roman"/>
                <w:sz w:val="20"/>
                <w:szCs w:val="20"/>
              </w:rPr>
              <w:t>N5~ N7</w:t>
            </w:r>
            <w:r>
              <w:rPr>
                <w:rFonts w:hint="eastAsia" w:cs="Times New Roman"/>
                <w:sz w:val="20"/>
                <w:szCs w:val="20"/>
              </w:rPr>
              <w:t>按照铁路噪声监测补充监测，详见下表。</w:t>
            </w:r>
          </w:p>
        </w:tc>
      </w:tr>
    </w:tbl>
    <w:p>
      <w:pPr>
        <w:pStyle w:val="87"/>
        <w:spacing w:before="0" w:beforeLines="0"/>
        <w:ind w:firstLine="357"/>
        <w:rPr>
          <w:lang w:val="zh-CN"/>
        </w:rPr>
      </w:pPr>
      <w:r>
        <w:rPr>
          <w:rFonts w:hint="eastAsia"/>
          <w:lang w:val="zh-CN"/>
        </w:rPr>
        <w:t xml:space="preserve">高铁影响范围敏感点现状调查结果 </w:t>
      </w:r>
      <w:r>
        <w:rPr>
          <w:lang w:val="zh-CN"/>
        </w:rPr>
        <w:t xml:space="preserve"> </w:t>
      </w:r>
      <w:r>
        <w:rPr>
          <w:rFonts w:hint="eastAsia"/>
          <w:lang w:val="zh-CN"/>
        </w:rPr>
        <w:t>单位：dB（A）</w:t>
      </w:r>
    </w:p>
    <w:tbl>
      <w:tblPr>
        <w:tblStyle w:val="84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86"/>
        <w:gridCol w:w="847"/>
        <w:gridCol w:w="1301"/>
        <w:gridCol w:w="827"/>
        <w:gridCol w:w="970"/>
        <w:gridCol w:w="845"/>
        <w:gridCol w:w="1141"/>
        <w:gridCol w:w="11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restart"/>
            <w:vAlign w:val="center"/>
          </w:tcPr>
          <w:p>
            <w:pPr>
              <w:pStyle w:val="105"/>
              <w:spacing w:before="0" w:after="0"/>
              <w:jc w:val="center"/>
              <w:rPr>
                <w:rFonts w:cs="Times New Roman"/>
                <w:sz w:val="20"/>
                <w:szCs w:val="20"/>
              </w:rPr>
            </w:pPr>
            <w:r>
              <w:rPr>
                <w:rFonts w:cs="Times New Roman"/>
                <w:sz w:val="20"/>
                <w:szCs w:val="20"/>
              </w:rPr>
              <w:t>监测点位</w:t>
            </w:r>
          </w:p>
        </w:tc>
        <w:tc>
          <w:tcPr>
            <w:tcW w:w="467" w:type="pct"/>
            <w:vMerge w:val="restart"/>
            <w:vAlign w:val="center"/>
          </w:tcPr>
          <w:p>
            <w:pPr>
              <w:pStyle w:val="105"/>
              <w:spacing w:before="0" w:after="0"/>
              <w:jc w:val="center"/>
              <w:rPr>
                <w:rFonts w:cs="Times New Roman"/>
                <w:sz w:val="20"/>
                <w:szCs w:val="20"/>
              </w:rPr>
            </w:pPr>
            <w:r>
              <w:rPr>
                <w:rFonts w:cs="Times New Roman"/>
                <w:sz w:val="20"/>
                <w:szCs w:val="20"/>
              </w:rPr>
              <w:t>测量时段</w:t>
            </w:r>
          </w:p>
        </w:tc>
        <w:tc>
          <w:tcPr>
            <w:tcW w:w="1173" w:type="pct"/>
            <w:gridSpan w:val="2"/>
            <w:vAlign w:val="center"/>
          </w:tcPr>
          <w:p>
            <w:pPr>
              <w:pStyle w:val="105"/>
              <w:jc w:val="center"/>
              <w:rPr>
                <w:rFonts w:cs="Times New Roman"/>
                <w:sz w:val="20"/>
                <w:szCs w:val="20"/>
              </w:rPr>
            </w:pPr>
            <w:r>
              <w:rPr>
                <w:rFonts w:hint="eastAsia" w:cs="Times New Roman"/>
                <w:sz w:val="20"/>
                <w:szCs w:val="20"/>
              </w:rPr>
              <w:t>2025年04月20日</w:t>
            </w:r>
          </w:p>
        </w:tc>
        <w:tc>
          <w:tcPr>
            <w:tcW w:w="1001" w:type="pct"/>
            <w:gridSpan w:val="2"/>
            <w:vAlign w:val="center"/>
          </w:tcPr>
          <w:p>
            <w:pPr>
              <w:pStyle w:val="105"/>
              <w:spacing w:before="0" w:after="0"/>
              <w:jc w:val="center"/>
              <w:rPr>
                <w:rFonts w:cs="Times New Roman"/>
                <w:sz w:val="20"/>
                <w:szCs w:val="20"/>
              </w:rPr>
            </w:pPr>
            <w:r>
              <w:rPr>
                <w:rFonts w:hint="eastAsia" w:cs="Times New Roman"/>
                <w:sz w:val="20"/>
                <w:szCs w:val="20"/>
              </w:rPr>
              <w:t>2025年04月2</w:t>
            </w:r>
            <w:r>
              <w:rPr>
                <w:rFonts w:cs="Times New Roman"/>
                <w:sz w:val="20"/>
                <w:szCs w:val="20"/>
              </w:rPr>
              <w:t>1</w:t>
            </w:r>
            <w:r>
              <w:rPr>
                <w:rFonts w:hint="eastAsia" w:cs="Times New Roman"/>
                <w:sz w:val="20"/>
                <w:szCs w:val="20"/>
              </w:rPr>
              <w:t>日</w:t>
            </w:r>
          </w:p>
        </w:tc>
        <w:tc>
          <w:tcPr>
            <w:tcW w:w="629" w:type="pct"/>
            <w:vMerge w:val="restart"/>
            <w:vAlign w:val="center"/>
          </w:tcPr>
          <w:p>
            <w:pPr>
              <w:pStyle w:val="105"/>
              <w:spacing w:before="0" w:after="0"/>
              <w:jc w:val="center"/>
              <w:rPr>
                <w:rFonts w:cs="Times New Roman"/>
                <w:sz w:val="20"/>
                <w:szCs w:val="20"/>
              </w:rPr>
            </w:pPr>
            <w:r>
              <w:rPr>
                <w:rFonts w:cs="Times New Roman"/>
                <w:sz w:val="20"/>
                <w:szCs w:val="20"/>
              </w:rPr>
              <w:t>Leq标准限值dB（A）</w:t>
            </w:r>
          </w:p>
        </w:tc>
        <w:tc>
          <w:tcPr>
            <w:tcW w:w="635" w:type="pct"/>
            <w:noWrap/>
            <w:vAlign w:val="center"/>
          </w:tcPr>
          <w:p>
            <w:pPr>
              <w:pStyle w:val="105"/>
              <w:spacing w:before="0" w:after="0"/>
              <w:jc w:val="center"/>
              <w:rPr>
                <w:rFonts w:cs="Times New Roman"/>
                <w:sz w:val="20"/>
                <w:szCs w:val="20"/>
              </w:rPr>
            </w:pPr>
            <w:r>
              <w:rPr>
                <w:rFonts w:cs="Times New Roman"/>
                <w:sz w:val="20"/>
                <w:szCs w:val="20"/>
              </w:rPr>
              <w:t>测量时段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continue"/>
            <w:vAlign w:val="center"/>
          </w:tcPr>
          <w:p>
            <w:pPr>
              <w:pStyle w:val="105"/>
              <w:spacing w:before="0" w:after="0"/>
              <w:jc w:val="center"/>
              <w:rPr>
                <w:rFonts w:cs="Times New Roman"/>
                <w:sz w:val="20"/>
                <w:szCs w:val="20"/>
              </w:rPr>
            </w:pPr>
          </w:p>
        </w:tc>
        <w:tc>
          <w:tcPr>
            <w:tcW w:w="467" w:type="pct"/>
            <w:vMerge w:val="continue"/>
            <w:vAlign w:val="center"/>
          </w:tcPr>
          <w:p>
            <w:pPr>
              <w:pStyle w:val="105"/>
              <w:spacing w:before="0" w:after="0"/>
              <w:jc w:val="center"/>
              <w:rPr>
                <w:rFonts w:cs="Times New Roman"/>
                <w:sz w:val="20"/>
                <w:szCs w:val="20"/>
              </w:rPr>
            </w:pPr>
          </w:p>
        </w:tc>
        <w:tc>
          <w:tcPr>
            <w:tcW w:w="717" w:type="pct"/>
            <w:vAlign w:val="center"/>
          </w:tcPr>
          <w:p>
            <w:pPr>
              <w:pStyle w:val="105"/>
              <w:spacing w:before="0" w:after="0"/>
              <w:jc w:val="center"/>
              <w:rPr>
                <w:rFonts w:cs="Times New Roman"/>
                <w:sz w:val="20"/>
                <w:szCs w:val="20"/>
              </w:rPr>
            </w:pPr>
            <w:r>
              <w:rPr>
                <w:rFonts w:hint="eastAsia" w:cs="Times New Roman"/>
                <w:sz w:val="20"/>
                <w:szCs w:val="20"/>
              </w:rPr>
              <w:t>1小时</w:t>
            </w:r>
            <w:r>
              <w:rPr>
                <w:rFonts w:cs="Times New Roman"/>
                <w:sz w:val="20"/>
                <w:szCs w:val="20"/>
              </w:rPr>
              <w:t>监测结果dB</w:t>
            </w:r>
            <w:r>
              <w:rPr>
                <w:rFonts w:hint="eastAsia" w:cs="Times New Roman"/>
                <w:sz w:val="20"/>
                <w:szCs w:val="20"/>
              </w:rPr>
              <w:t>(</w:t>
            </w:r>
            <w:r>
              <w:rPr>
                <w:rFonts w:cs="Times New Roman"/>
                <w:sz w:val="20"/>
                <w:szCs w:val="20"/>
              </w:rPr>
              <w:t>A</w:t>
            </w:r>
            <w:r>
              <w:rPr>
                <w:rFonts w:hint="eastAsia" w:cs="Times New Roman"/>
                <w:sz w:val="20"/>
                <w:szCs w:val="20"/>
              </w:rPr>
              <w:t>)</w:t>
            </w:r>
          </w:p>
        </w:tc>
        <w:tc>
          <w:tcPr>
            <w:tcW w:w="456" w:type="pct"/>
            <w:vAlign w:val="center"/>
          </w:tcPr>
          <w:p>
            <w:pPr>
              <w:pStyle w:val="105"/>
              <w:spacing w:before="0" w:after="0"/>
              <w:jc w:val="center"/>
              <w:rPr>
                <w:rFonts w:cs="Times New Roman"/>
                <w:sz w:val="20"/>
                <w:szCs w:val="20"/>
              </w:rPr>
            </w:pPr>
            <w:r>
              <w:rPr>
                <w:rFonts w:hint="eastAsia" w:cs="Times New Roman"/>
                <w:sz w:val="20"/>
                <w:szCs w:val="20"/>
              </w:rPr>
              <w:t>动车频次</w:t>
            </w:r>
          </w:p>
          <w:p>
            <w:pPr>
              <w:pStyle w:val="105"/>
              <w:spacing w:before="0" w:after="0"/>
              <w:jc w:val="center"/>
              <w:rPr>
                <w:rFonts w:cs="Times New Roman"/>
                <w:sz w:val="20"/>
                <w:szCs w:val="20"/>
              </w:rPr>
            </w:pPr>
            <w:r>
              <w:rPr>
                <w:rFonts w:hint="eastAsia" w:cs="Times New Roman"/>
                <w:sz w:val="20"/>
                <w:szCs w:val="20"/>
              </w:rPr>
              <w:t>（辆/h）</w:t>
            </w:r>
          </w:p>
        </w:tc>
        <w:tc>
          <w:tcPr>
            <w:tcW w:w="535" w:type="pct"/>
            <w:vAlign w:val="center"/>
          </w:tcPr>
          <w:p>
            <w:pPr>
              <w:pStyle w:val="105"/>
              <w:spacing w:before="0" w:after="0"/>
              <w:jc w:val="center"/>
              <w:rPr>
                <w:rFonts w:cs="Times New Roman"/>
                <w:sz w:val="20"/>
                <w:szCs w:val="20"/>
              </w:rPr>
            </w:pPr>
            <w:r>
              <w:rPr>
                <w:rFonts w:hint="eastAsia" w:cs="Times New Roman"/>
                <w:sz w:val="20"/>
                <w:szCs w:val="20"/>
              </w:rPr>
              <w:t>1小时</w:t>
            </w:r>
            <w:r>
              <w:rPr>
                <w:rFonts w:cs="Times New Roman"/>
                <w:sz w:val="20"/>
                <w:szCs w:val="20"/>
              </w:rPr>
              <w:t>监测结果dB</w:t>
            </w:r>
            <w:r>
              <w:rPr>
                <w:rFonts w:hint="eastAsia" w:cs="Times New Roman"/>
                <w:sz w:val="20"/>
                <w:szCs w:val="20"/>
              </w:rPr>
              <w:t>(</w:t>
            </w:r>
            <w:r>
              <w:rPr>
                <w:rFonts w:cs="Times New Roman"/>
                <w:sz w:val="20"/>
                <w:szCs w:val="20"/>
              </w:rPr>
              <w:t>A</w:t>
            </w:r>
            <w:r>
              <w:rPr>
                <w:rFonts w:hint="eastAsia" w:cs="Times New Roman"/>
                <w:sz w:val="20"/>
                <w:szCs w:val="20"/>
              </w:rPr>
              <w:t>)</w:t>
            </w:r>
          </w:p>
        </w:tc>
        <w:tc>
          <w:tcPr>
            <w:tcW w:w="466" w:type="pct"/>
            <w:vAlign w:val="center"/>
          </w:tcPr>
          <w:p>
            <w:pPr>
              <w:pStyle w:val="105"/>
              <w:spacing w:before="0" w:after="0"/>
              <w:jc w:val="center"/>
              <w:rPr>
                <w:rFonts w:cs="Times New Roman"/>
                <w:sz w:val="20"/>
                <w:szCs w:val="20"/>
              </w:rPr>
            </w:pPr>
            <w:r>
              <w:rPr>
                <w:rFonts w:hint="eastAsia" w:cs="Times New Roman"/>
                <w:sz w:val="20"/>
                <w:szCs w:val="20"/>
              </w:rPr>
              <w:t>动车频次</w:t>
            </w:r>
          </w:p>
          <w:p>
            <w:pPr>
              <w:pStyle w:val="105"/>
              <w:spacing w:before="0" w:after="0"/>
              <w:jc w:val="center"/>
              <w:rPr>
                <w:rFonts w:cs="Times New Roman"/>
                <w:sz w:val="20"/>
                <w:szCs w:val="20"/>
              </w:rPr>
            </w:pPr>
            <w:r>
              <w:rPr>
                <w:rFonts w:hint="eastAsia" w:cs="Times New Roman"/>
                <w:sz w:val="20"/>
                <w:szCs w:val="20"/>
              </w:rPr>
              <w:t>（辆/h）</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restart"/>
            <w:vAlign w:val="center"/>
          </w:tcPr>
          <w:p>
            <w:pPr>
              <w:pStyle w:val="105"/>
              <w:spacing w:before="0" w:after="0"/>
              <w:jc w:val="center"/>
              <w:rPr>
                <w:rFonts w:cs="Times New Roman"/>
                <w:sz w:val="20"/>
                <w:szCs w:val="20"/>
              </w:rPr>
            </w:pPr>
            <w:r>
              <w:rPr>
                <w:rFonts w:cs="Times New Roman"/>
                <w:sz w:val="20"/>
                <w:szCs w:val="20"/>
              </w:rPr>
              <w:t>N5上张村王房1（距高铁10m）1F</w:t>
            </w:r>
          </w:p>
        </w:tc>
        <w:tc>
          <w:tcPr>
            <w:tcW w:w="467" w:type="pct"/>
            <w:vAlign w:val="center"/>
          </w:tcPr>
          <w:p>
            <w:pPr>
              <w:pStyle w:val="105"/>
              <w:spacing w:before="0" w:after="0"/>
              <w:jc w:val="center"/>
              <w:rPr>
                <w:rFonts w:cs="Times New Roman"/>
                <w:sz w:val="20"/>
                <w:szCs w:val="20"/>
              </w:rPr>
            </w:pPr>
            <w:r>
              <w:rPr>
                <w:rFonts w:cs="Times New Roman"/>
                <w:sz w:val="20"/>
                <w:szCs w:val="20"/>
              </w:rPr>
              <w:t>昼间</w:t>
            </w:r>
          </w:p>
        </w:tc>
        <w:tc>
          <w:tcPr>
            <w:tcW w:w="717" w:type="pct"/>
            <w:vAlign w:val="center"/>
          </w:tcPr>
          <w:p>
            <w:pPr>
              <w:pStyle w:val="105"/>
              <w:jc w:val="center"/>
            </w:pPr>
            <w:r>
              <w:rPr>
                <w:rFonts w:hint="eastAsia"/>
              </w:rPr>
              <w:t>59</w:t>
            </w:r>
          </w:p>
        </w:tc>
        <w:tc>
          <w:tcPr>
            <w:tcW w:w="456" w:type="pct"/>
            <w:vAlign w:val="center"/>
          </w:tcPr>
          <w:p>
            <w:pPr>
              <w:pStyle w:val="105"/>
              <w:spacing w:before="0" w:after="0"/>
              <w:jc w:val="center"/>
              <w:rPr>
                <w:rFonts w:cs="Times New Roman"/>
                <w:sz w:val="20"/>
                <w:szCs w:val="20"/>
              </w:rPr>
            </w:pPr>
            <w:r>
              <w:rPr>
                <w:rFonts w:cs="Times New Roman"/>
                <w:sz w:val="20"/>
                <w:szCs w:val="20"/>
              </w:rPr>
              <w:t>5</w:t>
            </w:r>
          </w:p>
        </w:tc>
        <w:tc>
          <w:tcPr>
            <w:tcW w:w="535" w:type="pct"/>
            <w:vAlign w:val="center"/>
          </w:tcPr>
          <w:p>
            <w:pPr>
              <w:pStyle w:val="105"/>
              <w:jc w:val="center"/>
            </w:pPr>
            <w:r>
              <w:rPr>
                <w:rFonts w:hint="eastAsia"/>
              </w:rPr>
              <w:t>5</w:t>
            </w:r>
            <w:r>
              <w:t>9</w:t>
            </w:r>
          </w:p>
        </w:tc>
        <w:tc>
          <w:tcPr>
            <w:tcW w:w="466" w:type="pct"/>
            <w:vAlign w:val="center"/>
          </w:tcPr>
          <w:p>
            <w:pPr>
              <w:pStyle w:val="105"/>
              <w:spacing w:before="0" w:after="0"/>
              <w:jc w:val="center"/>
              <w:rPr>
                <w:rFonts w:cs="Times New Roman"/>
                <w:sz w:val="20"/>
                <w:szCs w:val="20"/>
              </w:rPr>
            </w:pPr>
            <w:r>
              <w:rPr>
                <w:rFonts w:cs="Times New Roman"/>
                <w:sz w:val="20"/>
                <w:szCs w:val="20"/>
              </w:rPr>
              <w:t>5</w:t>
            </w:r>
          </w:p>
        </w:tc>
        <w:tc>
          <w:tcPr>
            <w:tcW w:w="629" w:type="pct"/>
            <w:vMerge w:val="restart"/>
            <w:vAlign w:val="center"/>
          </w:tcPr>
          <w:p>
            <w:pPr>
              <w:pStyle w:val="105"/>
              <w:spacing w:before="0" w:after="0"/>
              <w:jc w:val="center"/>
              <w:rPr>
                <w:rFonts w:cs="Times New Roman"/>
                <w:sz w:val="20"/>
                <w:szCs w:val="20"/>
              </w:rPr>
            </w:pPr>
            <w:r>
              <w:rPr>
                <w:rFonts w:cs="Times New Roman"/>
                <w:sz w:val="20"/>
                <w:szCs w:val="20"/>
              </w:rPr>
              <w:t>昼间≤70</w:t>
            </w:r>
          </w:p>
          <w:p>
            <w:pPr>
              <w:pStyle w:val="105"/>
              <w:spacing w:before="0" w:after="0"/>
              <w:jc w:val="center"/>
              <w:rPr>
                <w:rFonts w:cs="Times New Roman"/>
                <w:sz w:val="20"/>
                <w:szCs w:val="20"/>
              </w:rPr>
            </w:pPr>
            <w:r>
              <w:rPr>
                <w:rFonts w:cs="Times New Roman"/>
                <w:sz w:val="20"/>
                <w:szCs w:val="20"/>
              </w:rPr>
              <w:t>夜间≤60</w:t>
            </w: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continue"/>
            <w:vAlign w:val="center"/>
          </w:tcPr>
          <w:p>
            <w:pPr>
              <w:pStyle w:val="105"/>
              <w:spacing w:before="0" w:after="0"/>
              <w:jc w:val="center"/>
              <w:rPr>
                <w:rFonts w:cs="Times New Roman"/>
                <w:sz w:val="20"/>
                <w:szCs w:val="20"/>
              </w:rPr>
            </w:pPr>
          </w:p>
        </w:tc>
        <w:tc>
          <w:tcPr>
            <w:tcW w:w="467" w:type="pct"/>
            <w:vAlign w:val="center"/>
          </w:tcPr>
          <w:p>
            <w:pPr>
              <w:pStyle w:val="105"/>
              <w:spacing w:before="0" w:after="0"/>
              <w:jc w:val="center"/>
              <w:rPr>
                <w:rFonts w:cs="Times New Roman"/>
                <w:sz w:val="20"/>
                <w:szCs w:val="20"/>
              </w:rPr>
            </w:pPr>
            <w:r>
              <w:rPr>
                <w:rFonts w:cs="Times New Roman"/>
                <w:sz w:val="20"/>
                <w:szCs w:val="20"/>
              </w:rPr>
              <w:t>夜间</w:t>
            </w:r>
          </w:p>
        </w:tc>
        <w:tc>
          <w:tcPr>
            <w:tcW w:w="717" w:type="pct"/>
            <w:vAlign w:val="center"/>
          </w:tcPr>
          <w:p>
            <w:pPr>
              <w:pStyle w:val="105"/>
              <w:jc w:val="center"/>
            </w:pPr>
            <w:r>
              <w:rPr>
                <w:rFonts w:hint="eastAsia"/>
              </w:rPr>
              <w:t>4</w:t>
            </w:r>
            <w:r>
              <w:t>5</w:t>
            </w:r>
          </w:p>
        </w:tc>
        <w:tc>
          <w:tcPr>
            <w:tcW w:w="456" w:type="pct"/>
            <w:vAlign w:val="center"/>
          </w:tcPr>
          <w:p>
            <w:pPr>
              <w:pStyle w:val="105"/>
              <w:spacing w:before="0" w:after="0"/>
              <w:jc w:val="center"/>
              <w:rPr>
                <w:rFonts w:cs="Times New Roman"/>
                <w:sz w:val="20"/>
                <w:szCs w:val="20"/>
              </w:rPr>
            </w:pPr>
            <w:r>
              <w:rPr>
                <w:rFonts w:cs="Times New Roman"/>
                <w:sz w:val="20"/>
                <w:szCs w:val="20"/>
              </w:rPr>
              <w:t>2</w:t>
            </w:r>
          </w:p>
        </w:tc>
        <w:tc>
          <w:tcPr>
            <w:tcW w:w="535" w:type="pct"/>
            <w:vAlign w:val="center"/>
          </w:tcPr>
          <w:p>
            <w:pPr>
              <w:pStyle w:val="105"/>
              <w:jc w:val="center"/>
            </w:pPr>
            <w:r>
              <w:rPr>
                <w:rFonts w:hint="eastAsia"/>
              </w:rPr>
              <w:t>4</w:t>
            </w:r>
            <w:r>
              <w:t>5</w:t>
            </w:r>
          </w:p>
        </w:tc>
        <w:tc>
          <w:tcPr>
            <w:tcW w:w="466" w:type="pct"/>
            <w:vAlign w:val="center"/>
          </w:tcPr>
          <w:p>
            <w:pPr>
              <w:pStyle w:val="105"/>
              <w:spacing w:before="0" w:after="0"/>
              <w:jc w:val="center"/>
              <w:rPr>
                <w:rFonts w:cs="Times New Roman"/>
                <w:sz w:val="20"/>
                <w:szCs w:val="20"/>
              </w:rPr>
            </w:pPr>
            <w:r>
              <w:rPr>
                <w:rFonts w:cs="Times New Roman"/>
                <w:sz w:val="20"/>
                <w:szCs w:val="20"/>
              </w:rPr>
              <w:t>2</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restart"/>
            <w:vAlign w:val="center"/>
          </w:tcPr>
          <w:p>
            <w:pPr>
              <w:pStyle w:val="105"/>
              <w:spacing w:before="0" w:after="0"/>
              <w:jc w:val="center"/>
              <w:rPr>
                <w:rFonts w:cs="Times New Roman"/>
                <w:sz w:val="20"/>
                <w:szCs w:val="20"/>
              </w:rPr>
            </w:pPr>
            <w:r>
              <w:rPr>
                <w:rFonts w:cs="Times New Roman"/>
                <w:sz w:val="20"/>
                <w:szCs w:val="20"/>
              </w:rPr>
              <w:t>N5上张村王房1（距高铁10m）3F</w:t>
            </w:r>
          </w:p>
        </w:tc>
        <w:tc>
          <w:tcPr>
            <w:tcW w:w="467" w:type="pct"/>
            <w:vAlign w:val="center"/>
          </w:tcPr>
          <w:p>
            <w:pPr>
              <w:pStyle w:val="105"/>
              <w:spacing w:before="0" w:after="0"/>
              <w:jc w:val="center"/>
              <w:rPr>
                <w:rFonts w:cs="Times New Roman"/>
                <w:sz w:val="20"/>
                <w:szCs w:val="20"/>
              </w:rPr>
            </w:pPr>
            <w:r>
              <w:rPr>
                <w:rFonts w:cs="Times New Roman"/>
                <w:sz w:val="20"/>
                <w:szCs w:val="20"/>
              </w:rPr>
              <w:t>昼间</w:t>
            </w:r>
          </w:p>
        </w:tc>
        <w:tc>
          <w:tcPr>
            <w:tcW w:w="717" w:type="pct"/>
            <w:vAlign w:val="center"/>
          </w:tcPr>
          <w:p>
            <w:pPr>
              <w:pStyle w:val="105"/>
              <w:jc w:val="center"/>
            </w:pPr>
            <w:r>
              <w:rPr>
                <w:rFonts w:hint="eastAsia"/>
              </w:rPr>
              <w:t>60</w:t>
            </w:r>
          </w:p>
        </w:tc>
        <w:tc>
          <w:tcPr>
            <w:tcW w:w="456" w:type="pct"/>
            <w:vAlign w:val="center"/>
          </w:tcPr>
          <w:p>
            <w:pPr>
              <w:pStyle w:val="105"/>
              <w:spacing w:before="0" w:after="0"/>
              <w:jc w:val="center"/>
              <w:rPr>
                <w:rFonts w:cs="Times New Roman"/>
                <w:sz w:val="20"/>
                <w:szCs w:val="20"/>
              </w:rPr>
            </w:pPr>
            <w:r>
              <w:rPr>
                <w:rFonts w:cs="Times New Roman"/>
                <w:sz w:val="20"/>
                <w:szCs w:val="20"/>
              </w:rPr>
              <w:t>5</w:t>
            </w:r>
          </w:p>
        </w:tc>
        <w:tc>
          <w:tcPr>
            <w:tcW w:w="535" w:type="pct"/>
            <w:vAlign w:val="center"/>
          </w:tcPr>
          <w:p>
            <w:pPr>
              <w:pStyle w:val="105"/>
              <w:jc w:val="center"/>
            </w:pPr>
            <w:r>
              <w:rPr>
                <w:rFonts w:hint="eastAsia"/>
              </w:rPr>
              <w:t>6</w:t>
            </w:r>
            <w:r>
              <w:t>1</w:t>
            </w:r>
          </w:p>
        </w:tc>
        <w:tc>
          <w:tcPr>
            <w:tcW w:w="466" w:type="pct"/>
            <w:vAlign w:val="center"/>
          </w:tcPr>
          <w:p>
            <w:pPr>
              <w:pStyle w:val="105"/>
              <w:spacing w:before="0" w:after="0"/>
              <w:jc w:val="center"/>
              <w:rPr>
                <w:rFonts w:cs="Times New Roman"/>
                <w:sz w:val="20"/>
                <w:szCs w:val="20"/>
              </w:rPr>
            </w:pPr>
            <w:r>
              <w:rPr>
                <w:rFonts w:cs="Times New Roman"/>
                <w:sz w:val="20"/>
                <w:szCs w:val="20"/>
              </w:rPr>
              <w:t>5</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continue"/>
            <w:vAlign w:val="center"/>
          </w:tcPr>
          <w:p>
            <w:pPr>
              <w:pStyle w:val="105"/>
              <w:spacing w:before="0" w:after="0"/>
              <w:jc w:val="center"/>
              <w:rPr>
                <w:rFonts w:cs="Times New Roman"/>
                <w:sz w:val="20"/>
                <w:szCs w:val="20"/>
              </w:rPr>
            </w:pPr>
          </w:p>
        </w:tc>
        <w:tc>
          <w:tcPr>
            <w:tcW w:w="467" w:type="pct"/>
            <w:vAlign w:val="center"/>
          </w:tcPr>
          <w:p>
            <w:pPr>
              <w:pStyle w:val="105"/>
              <w:spacing w:before="0" w:after="0"/>
              <w:jc w:val="center"/>
              <w:rPr>
                <w:rFonts w:cs="Times New Roman"/>
                <w:sz w:val="20"/>
                <w:szCs w:val="20"/>
              </w:rPr>
            </w:pPr>
            <w:r>
              <w:rPr>
                <w:rFonts w:cs="Times New Roman"/>
                <w:sz w:val="20"/>
                <w:szCs w:val="20"/>
              </w:rPr>
              <w:t>夜间</w:t>
            </w:r>
          </w:p>
        </w:tc>
        <w:tc>
          <w:tcPr>
            <w:tcW w:w="717" w:type="pct"/>
            <w:vAlign w:val="center"/>
          </w:tcPr>
          <w:p>
            <w:pPr>
              <w:pStyle w:val="105"/>
              <w:jc w:val="center"/>
            </w:pPr>
            <w:r>
              <w:t>46</w:t>
            </w:r>
          </w:p>
        </w:tc>
        <w:tc>
          <w:tcPr>
            <w:tcW w:w="456" w:type="pct"/>
            <w:vAlign w:val="center"/>
          </w:tcPr>
          <w:p>
            <w:pPr>
              <w:pStyle w:val="105"/>
              <w:spacing w:before="0" w:after="0"/>
              <w:jc w:val="center"/>
              <w:rPr>
                <w:rFonts w:cs="Times New Roman"/>
                <w:sz w:val="20"/>
                <w:szCs w:val="20"/>
              </w:rPr>
            </w:pPr>
            <w:r>
              <w:rPr>
                <w:rFonts w:cs="Times New Roman"/>
                <w:sz w:val="20"/>
                <w:szCs w:val="20"/>
              </w:rPr>
              <w:t>2</w:t>
            </w:r>
          </w:p>
        </w:tc>
        <w:tc>
          <w:tcPr>
            <w:tcW w:w="535" w:type="pct"/>
            <w:vAlign w:val="center"/>
          </w:tcPr>
          <w:p>
            <w:pPr>
              <w:pStyle w:val="105"/>
              <w:jc w:val="center"/>
            </w:pPr>
            <w:r>
              <w:rPr>
                <w:rFonts w:hint="eastAsia"/>
              </w:rPr>
              <w:t>4</w:t>
            </w:r>
            <w:r>
              <w:t>5</w:t>
            </w:r>
          </w:p>
        </w:tc>
        <w:tc>
          <w:tcPr>
            <w:tcW w:w="466" w:type="pct"/>
            <w:vAlign w:val="center"/>
          </w:tcPr>
          <w:p>
            <w:pPr>
              <w:pStyle w:val="105"/>
              <w:spacing w:before="0" w:after="0"/>
              <w:jc w:val="center"/>
              <w:rPr>
                <w:rFonts w:cs="Times New Roman"/>
                <w:sz w:val="20"/>
                <w:szCs w:val="20"/>
              </w:rPr>
            </w:pPr>
            <w:r>
              <w:rPr>
                <w:rFonts w:cs="Times New Roman"/>
                <w:sz w:val="20"/>
                <w:szCs w:val="20"/>
              </w:rPr>
              <w:t>2</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restart"/>
            <w:vAlign w:val="center"/>
          </w:tcPr>
          <w:p>
            <w:pPr>
              <w:pStyle w:val="105"/>
              <w:spacing w:before="0" w:after="0"/>
              <w:jc w:val="center"/>
              <w:rPr>
                <w:rFonts w:cs="Times New Roman"/>
                <w:sz w:val="20"/>
                <w:szCs w:val="20"/>
              </w:rPr>
            </w:pPr>
            <w:r>
              <w:rPr>
                <w:rFonts w:cs="Times New Roman"/>
                <w:sz w:val="20"/>
                <w:szCs w:val="20"/>
              </w:rPr>
              <w:t>N6上张村王房2（距高铁100m）1F</w:t>
            </w:r>
          </w:p>
        </w:tc>
        <w:tc>
          <w:tcPr>
            <w:tcW w:w="467" w:type="pct"/>
            <w:vAlign w:val="center"/>
          </w:tcPr>
          <w:p>
            <w:pPr>
              <w:pStyle w:val="105"/>
              <w:spacing w:before="0" w:after="0"/>
              <w:jc w:val="center"/>
              <w:rPr>
                <w:rFonts w:cs="Times New Roman"/>
                <w:sz w:val="20"/>
                <w:szCs w:val="20"/>
              </w:rPr>
            </w:pPr>
            <w:r>
              <w:rPr>
                <w:rFonts w:cs="Times New Roman"/>
                <w:sz w:val="20"/>
                <w:szCs w:val="20"/>
              </w:rPr>
              <w:t>昼间</w:t>
            </w:r>
          </w:p>
        </w:tc>
        <w:tc>
          <w:tcPr>
            <w:tcW w:w="717" w:type="pct"/>
            <w:vAlign w:val="center"/>
          </w:tcPr>
          <w:p>
            <w:pPr>
              <w:pStyle w:val="105"/>
              <w:jc w:val="center"/>
            </w:pPr>
            <w:r>
              <w:t>59</w:t>
            </w:r>
          </w:p>
        </w:tc>
        <w:tc>
          <w:tcPr>
            <w:tcW w:w="456" w:type="pct"/>
            <w:vAlign w:val="center"/>
          </w:tcPr>
          <w:p>
            <w:pPr>
              <w:pStyle w:val="105"/>
              <w:spacing w:before="0" w:after="0"/>
              <w:jc w:val="center"/>
              <w:rPr>
                <w:rFonts w:cs="Times New Roman"/>
                <w:sz w:val="20"/>
                <w:szCs w:val="20"/>
              </w:rPr>
            </w:pPr>
            <w:r>
              <w:rPr>
                <w:rFonts w:cs="Times New Roman"/>
                <w:sz w:val="20"/>
                <w:szCs w:val="20"/>
              </w:rPr>
              <w:t>5</w:t>
            </w:r>
          </w:p>
        </w:tc>
        <w:tc>
          <w:tcPr>
            <w:tcW w:w="535" w:type="pct"/>
            <w:vAlign w:val="center"/>
          </w:tcPr>
          <w:p>
            <w:pPr>
              <w:pStyle w:val="105"/>
              <w:jc w:val="center"/>
            </w:pPr>
            <w:r>
              <w:rPr>
                <w:rFonts w:hint="eastAsia"/>
              </w:rPr>
              <w:t>59</w:t>
            </w:r>
          </w:p>
        </w:tc>
        <w:tc>
          <w:tcPr>
            <w:tcW w:w="466" w:type="pct"/>
            <w:vAlign w:val="center"/>
          </w:tcPr>
          <w:p>
            <w:pPr>
              <w:pStyle w:val="105"/>
              <w:spacing w:before="0" w:after="0"/>
              <w:jc w:val="center"/>
              <w:rPr>
                <w:rFonts w:cs="Times New Roman"/>
                <w:sz w:val="20"/>
                <w:szCs w:val="20"/>
              </w:rPr>
            </w:pPr>
            <w:r>
              <w:rPr>
                <w:rFonts w:cs="Times New Roman"/>
                <w:sz w:val="20"/>
                <w:szCs w:val="20"/>
              </w:rPr>
              <w:t>5</w:t>
            </w:r>
          </w:p>
        </w:tc>
        <w:tc>
          <w:tcPr>
            <w:tcW w:w="629" w:type="pct"/>
            <w:vMerge w:val="restart"/>
            <w:vAlign w:val="center"/>
          </w:tcPr>
          <w:p>
            <w:pPr>
              <w:pStyle w:val="105"/>
              <w:spacing w:before="0" w:after="0"/>
              <w:jc w:val="center"/>
              <w:rPr>
                <w:rFonts w:cs="Times New Roman"/>
                <w:sz w:val="20"/>
                <w:szCs w:val="20"/>
              </w:rPr>
            </w:pPr>
            <w:r>
              <w:rPr>
                <w:rFonts w:cs="Times New Roman"/>
                <w:sz w:val="20"/>
                <w:szCs w:val="20"/>
              </w:rPr>
              <w:t>昼间≤60</w:t>
            </w:r>
          </w:p>
          <w:p>
            <w:pPr>
              <w:pStyle w:val="105"/>
              <w:spacing w:before="0" w:after="0"/>
              <w:jc w:val="center"/>
              <w:rPr>
                <w:rFonts w:cs="Times New Roman"/>
                <w:sz w:val="20"/>
                <w:szCs w:val="20"/>
              </w:rPr>
            </w:pPr>
            <w:r>
              <w:rPr>
                <w:rFonts w:cs="Times New Roman"/>
                <w:sz w:val="20"/>
                <w:szCs w:val="20"/>
              </w:rPr>
              <w:t>夜间≤50</w:t>
            </w: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continue"/>
            <w:vAlign w:val="center"/>
          </w:tcPr>
          <w:p>
            <w:pPr>
              <w:pStyle w:val="105"/>
              <w:spacing w:before="0" w:after="0"/>
              <w:jc w:val="center"/>
              <w:rPr>
                <w:rFonts w:cs="Times New Roman"/>
                <w:sz w:val="20"/>
                <w:szCs w:val="20"/>
              </w:rPr>
            </w:pPr>
          </w:p>
        </w:tc>
        <w:tc>
          <w:tcPr>
            <w:tcW w:w="467" w:type="pct"/>
            <w:vAlign w:val="center"/>
          </w:tcPr>
          <w:p>
            <w:pPr>
              <w:pStyle w:val="105"/>
              <w:spacing w:before="0" w:after="0"/>
              <w:jc w:val="center"/>
              <w:rPr>
                <w:rFonts w:cs="Times New Roman"/>
                <w:sz w:val="20"/>
                <w:szCs w:val="20"/>
              </w:rPr>
            </w:pPr>
            <w:r>
              <w:rPr>
                <w:rFonts w:cs="Times New Roman"/>
                <w:sz w:val="20"/>
                <w:szCs w:val="20"/>
              </w:rPr>
              <w:t>夜间</w:t>
            </w:r>
          </w:p>
        </w:tc>
        <w:tc>
          <w:tcPr>
            <w:tcW w:w="717" w:type="pct"/>
            <w:vAlign w:val="center"/>
          </w:tcPr>
          <w:p>
            <w:pPr>
              <w:pStyle w:val="105"/>
              <w:jc w:val="center"/>
            </w:pPr>
            <w:r>
              <w:rPr>
                <w:rFonts w:hint="eastAsia"/>
              </w:rPr>
              <w:t>4</w:t>
            </w:r>
            <w:r>
              <w:t>3</w:t>
            </w:r>
          </w:p>
        </w:tc>
        <w:tc>
          <w:tcPr>
            <w:tcW w:w="456" w:type="pct"/>
            <w:vAlign w:val="center"/>
          </w:tcPr>
          <w:p>
            <w:pPr>
              <w:pStyle w:val="105"/>
              <w:spacing w:before="0" w:after="0"/>
              <w:jc w:val="center"/>
              <w:rPr>
                <w:rFonts w:cs="Times New Roman"/>
                <w:sz w:val="20"/>
                <w:szCs w:val="20"/>
              </w:rPr>
            </w:pPr>
            <w:r>
              <w:rPr>
                <w:rFonts w:cs="Times New Roman"/>
                <w:sz w:val="20"/>
                <w:szCs w:val="20"/>
              </w:rPr>
              <w:t>2</w:t>
            </w:r>
          </w:p>
        </w:tc>
        <w:tc>
          <w:tcPr>
            <w:tcW w:w="535" w:type="pct"/>
            <w:vAlign w:val="center"/>
          </w:tcPr>
          <w:p>
            <w:pPr>
              <w:pStyle w:val="105"/>
              <w:jc w:val="center"/>
            </w:pPr>
            <w:r>
              <w:rPr>
                <w:rFonts w:hint="eastAsia"/>
              </w:rPr>
              <w:t>43</w:t>
            </w:r>
          </w:p>
        </w:tc>
        <w:tc>
          <w:tcPr>
            <w:tcW w:w="466" w:type="pct"/>
            <w:vAlign w:val="center"/>
          </w:tcPr>
          <w:p>
            <w:pPr>
              <w:pStyle w:val="105"/>
              <w:spacing w:before="0" w:after="0"/>
              <w:jc w:val="center"/>
              <w:rPr>
                <w:rFonts w:cs="Times New Roman"/>
                <w:sz w:val="20"/>
                <w:szCs w:val="20"/>
              </w:rPr>
            </w:pPr>
            <w:r>
              <w:rPr>
                <w:rFonts w:cs="Times New Roman"/>
                <w:sz w:val="20"/>
                <w:szCs w:val="20"/>
              </w:rPr>
              <w:t>2</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restart"/>
            <w:vAlign w:val="center"/>
          </w:tcPr>
          <w:p>
            <w:pPr>
              <w:pStyle w:val="105"/>
              <w:spacing w:before="0" w:after="0"/>
              <w:jc w:val="center"/>
              <w:rPr>
                <w:rFonts w:cs="Times New Roman"/>
                <w:sz w:val="20"/>
                <w:szCs w:val="20"/>
              </w:rPr>
            </w:pPr>
            <w:r>
              <w:rPr>
                <w:rFonts w:cs="Times New Roman"/>
                <w:sz w:val="20"/>
                <w:szCs w:val="20"/>
              </w:rPr>
              <w:t>N6上张村王房2（距高铁100m）3F</w:t>
            </w:r>
          </w:p>
        </w:tc>
        <w:tc>
          <w:tcPr>
            <w:tcW w:w="467" w:type="pct"/>
            <w:vAlign w:val="center"/>
          </w:tcPr>
          <w:p>
            <w:pPr>
              <w:pStyle w:val="105"/>
              <w:spacing w:before="0" w:after="0"/>
              <w:jc w:val="center"/>
              <w:rPr>
                <w:rFonts w:cs="Times New Roman"/>
                <w:sz w:val="20"/>
                <w:szCs w:val="20"/>
              </w:rPr>
            </w:pPr>
            <w:r>
              <w:rPr>
                <w:rFonts w:cs="Times New Roman"/>
                <w:sz w:val="20"/>
                <w:szCs w:val="20"/>
              </w:rPr>
              <w:t>昼间</w:t>
            </w:r>
          </w:p>
        </w:tc>
        <w:tc>
          <w:tcPr>
            <w:tcW w:w="717" w:type="pct"/>
            <w:vAlign w:val="center"/>
          </w:tcPr>
          <w:p>
            <w:pPr>
              <w:pStyle w:val="105"/>
              <w:jc w:val="center"/>
            </w:pPr>
            <w:r>
              <w:rPr>
                <w:rFonts w:hint="eastAsia"/>
              </w:rPr>
              <w:t>58</w:t>
            </w:r>
          </w:p>
        </w:tc>
        <w:tc>
          <w:tcPr>
            <w:tcW w:w="456" w:type="pct"/>
            <w:vAlign w:val="center"/>
          </w:tcPr>
          <w:p>
            <w:pPr>
              <w:pStyle w:val="105"/>
              <w:spacing w:before="0" w:after="0"/>
              <w:jc w:val="center"/>
              <w:rPr>
                <w:rFonts w:cs="Times New Roman"/>
                <w:sz w:val="20"/>
                <w:szCs w:val="20"/>
              </w:rPr>
            </w:pPr>
            <w:r>
              <w:rPr>
                <w:rFonts w:cs="Times New Roman"/>
                <w:sz w:val="20"/>
                <w:szCs w:val="20"/>
              </w:rPr>
              <w:t>5</w:t>
            </w:r>
          </w:p>
        </w:tc>
        <w:tc>
          <w:tcPr>
            <w:tcW w:w="535" w:type="pct"/>
            <w:vAlign w:val="center"/>
          </w:tcPr>
          <w:p>
            <w:pPr>
              <w:pStyle w:val="105"/>
              <w:jc w:val="center"/>
            </w:pPr>
            <w:r>
              <w:rPr>
                <w:rFonts w:hint="eastAsia"/>
              </w:rPr>
              <w:t>5</w:t>
            </w:r>
            <w:r>
              <w:t>7</w:t>
            </w:r>
          </w:p>
        </w:tc>
        <w:tc>
          <w:tcPr>
            <w:tcW w:w="466" w:type="pct"/>
            <w:vAlign w:val="center"/>
          </w:tcPr>
          <w:p>
            <w:pPr>
              <w:pStyle w:val="105"/>
              <w:spacing w:before="0" w:after="0"/>
              <w:jc w:val="center"/>
              <w:rPr>
                <w:rFonts w:cs="Times New Roman"/>
                <w:sz w:val="20"/>
                <w:szCs w:val="20"/>
              </w:rPr>
            </w:pPr>
            <w:r>
              <w:rPr>
                <w:rFonts w:cs="Times New Roman"/>
                <w:sz w:val="20"/>
                <w:szCs w:val="20"/>
              </w:rPr>
              <w:t>5</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continue"/>
            <w:vAlign w:val="center"/>
          </w:tcPr>
          <w:p>
            <w:pPr>
              <w:pStyle w:val="105"/>
              <w:spacing w:before="0" w:after="0"/>
              <w:jc w:val="center"/>
              <w:rPr>
                <w:rFonts w:cs="Times New Roman"/>
                <w:sz w:val="20"/>
                <w:szCs w:val="20"/>
              </w:rPr>
            </w:pPr>
          </w:p>
        </w:tc>
        <w:tc>
          <w:tcPr>
            <w:tcW w:w="467" w:type="pct"/>
            <w:vAlign w:val="center"/>
          </w:tcPr>
          <w:p>
            <w:pPr>
              <w:pStyle w:val="105"/>
              <w:spacing w:before="0" w:after="0"/>
              <w:jc w:val="center"/>
              <w:rPr>
                <w:rFonts w:cs="Times New Roman"/>
                <w:sz w:val="20"/>
                <w:szCs w:val="20"/>
              </w:rPr>
            </w:pPr>
            <w:r>
              <w:rPr>
                <w:rFonts w:cs="Times New Roman"/>
                <w:sz w:val="20"/>
                <w:szCs w:val="20"/>
              </w:rPr>
              <w:t>夜间</w:t>
            </w:r>
          </w:p>
        </w:tc>
        <w:tc>
          <w:tcPr>
            <w:tcW w:w="717" w:type="pct"/>
            <w:vAlign w:val="center"/>
          </w:tcPr>
          <w:p>
            <w:pPr>
              <w:pStyle w:val="105"/>
              <w:spacing w:before="0" w:after="0"/>
              <w:jc w:val="center"/>
              <w:rPr>
                <w:rFonts w:cs="Times New Roman"/>
                <w:sz w:val="20"/>
                <w:szCs w:val="20"/>
              </w:rPr>
            </w:pPr>
            <w:r>
              <w:rPr>
                <w:rFonts w:hint="eastAsia" w:cs="Times New Roman"/>
                <w:sz w:val="20"/>
                <w:szCs w:val="20"/>
              </w:rPr>
              <w:t>4</w:t>
            </w:r>
            <w:r>
              <w:rPr>
                <w:rFonts w:cs="Times New Roman"/>
                <w:sz w:val="20"/>
                <w:szCs w:val="20"/>
              </w:rPr>
              <w:t>4</w:t>
            </w:r>
          </w:p>
        </w:tc>
        <w:tc>
          <w:tcPr>
            <w:tcW w:w="456" w:type="pct"/>
            <w:vAlign w:val="center"/>
          </w:tcPr>
          <w:p>
            <w:pPr>
              <w:pStyle w:val="105"/>
              <w:spacing w:before="0" w:after="0"/>
              <w:jc w:val="center"/>
              <w:rPr>
                <w:rFonts w:cs="Times New Roman"/>
                <w:sz w:val="20"/>
                <w:szCs w:val="20"/>
              </w:rPr>
            </w:pPr>
            <w:r>
              <w:rPr>
                <w:rFonts w:cs="Times New Roman"/>
                <w:sz w:val="20"/>
                <w:szCs w:val="20"/>
              </w:rPr>
              <w:t>2</w:t>
            </w:r>
          </w:p>
        </w:tc>
        <w:tc>
          <w:tcPr>
            <w:tcW w:w="535" w:type="pct"/>
            <w:vAlign w:val="center"/>
          </w:tcPr>
          <w:p>
            <w:pPr>
              <w:pStyle w:val="105"/>
              <w:jc w:val="center"/>
            </w:pPr>
            <w:r>
              <w:rPr>
                <w:rFonts w:hint="eastAsia"/>
              </w:rPr>
              <w:t>4</w:t>
            </w:r>
            <w:r>
              <w:t>4</w:t>
            </w:r>
          </w:p>
        </w:tc>
        <w:tc>
          <w:tcPr>
            <w:tcW w:w="466" w:type="pct"/>
            <w:vAlign w:val="center"/>
          </w:tcPr>
          <w:p>
            <w:pPr>
              <w:pStyle w:val="105"/>
              <w:spacing w:before="0" w:after="0"/>
              <w:jc w:val="center"/>
              <w:rPr>
                <w:rFonts w:cs="Times New Roman"/>
                <w:sz w:val="20"/>
                <w:szCs w:val="20"/>
              </w:rPr>
            </w:pPr>
            <w:r>
              <w:rPr>
                <w:rFonts w:cs="Times New Roman"/>
                <w:sz w:val="20"/>
                <w:szCs w:val="20"/>
              </w:rPr>
              <w:t>2</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restart"/>
            <w:vAlign w:val="center"/>
          </w:tcPr>
          <w:p>
            <w:pPr>
              <w:pStyle w:val="105"/>
              <w:spacing w:before="0" w:after="0"/>
              <w:jc w:val="center"/>
              <w:rPr>
                <w:rFonts w:cs="Times New Roman"/>
                <w:sz w:val="20"/>
                <w:szCs w:val="20"/>
              </w:rPr>
            </w:pPr>
            <w:r>
              <w:rPr>
                <w:rFonts w:cs="Times New Roman"/>
                <w:sz w:val="20"/>
                <w:szCs w:val="20"/>
              </w:rPr>
              <w:t>N7上张村王房3（距高铁200m）1F</w:t>
            </w:r>
          </w:p>
        </w:tc>
        <w:tc>
          <w:tcPr>
            <w:tcW w:w="467" w:type="pct"/>
            <w:vAlign w:val="center"/>
          </w:tcPr>
          <w:p>
            <w:pPr>
              <w:pStyle w:val="105"/>
              <w:spacing w:before="0" w:after="0"/>
              <w:jc w:val="center"/>
              <w:rPr>
                <w:rFonts w:cs="Times New Roman"/>
                <w:sz w:val="20"/>
                <w:szCs w:val="20"/>
              </w:rPr>
            </w:pPr>
            <w:r>
              <w:rPr>
                <w:rFonts w:cs="Times New Roman"/>
                <w:sz w:val="20"/>
                <w:szCs w:val="20"/>
              </w:rPr>
              <w:t>昼间</w:t>
            </w:r>
          </w:p>
        </w:tc>
        <w:tc>
          <w:tcPr>
            <w:tcW w:w="717" w:type="pct"/>
            <w:vAlign w:val="center"/>
          </w:tcPr>
          <w:p>
            <w:pPr>
              <w:pStyle w:val="105"/>
              <w:spacing w:before="0" w:after="0"/>
              <w:jc w:val="center"/>
              <w:rPr>
                <w:rFonts w:cs="Times New Roman"/>
                <w:sz w:val="20"/>
                <w:szCs w:val="20"/>
              </w:rPr>
            </w:pPr>
            <w:r>
              <w:rPr>
                <w:rFonts w:hint="eastAsia" w:cs="Times New Roman"/>
                <w:sz w:val="20"/>
                <w:szCs w:val="20"/>
              </w:rPr>
              <w:t>5</w:t>
            </w:r>
            <w:r>
              <w:rPr>
                <w:rFonts w:cs="Times New Roman"/>
                <w:sz w:val="20"/>
                <w:szCs w:val="20"/>
              </w:rPr>
              <w:t>7</w:t>
            </w:r>
          </w:p>
        </w:tc>
        <w:tc>
          <w:tcPr>
            <w:tcW w:w="456" w:type="pct"/>
            <w:vAlign w:val="center"/>
          </w:tcPr>
          <w:p>
            <w:pPr>
              <w:pStyle w:val="105"/>
              <w:spacing w:before="0" w:after="0"/>
              <w:jc w:val="center"/>
              <w:rPr>
                <w:rFonts w:cs="Times New Roman"/>
                <w:sz w:val="20"/>
                <w:szCs w:val="20"/>
              </w:rPr>
            </w:pPr>
            <w:r>
              <w:rPr>
                <w:rFonts w:cs="Times New Roman"/>
                <w:sz w:val="20"/>
                <w:szCs w:val="20"/>
              </w:rPr>
              <w:t>5</w:t>
            </w:r>
          </w:p>
        </w:tc>
        <w:tc>
          <w:tcPr>
            <w:tcW w:w="535" w:type="pct"/>
            <w:vAlign w:val="center"/>
          </w:tcPr>
          <w:p>
            <w:pPr>
              <w:pStyle w:val="105"/>
              <w:jc w:val="center"/>
            </w:pPr>
            <w:r>
              <w:rPr>
                <w:rFonts w:hint="eastAsia"/>
              </w:rPr>
              <w:t>5</w:t>
            </w:r>
            <w:r>
              <w:t>8</w:t>
            </w:r>
          </w:p>
        </w:tc>
        <w:tc>
          <w:tcPr>
            <w:tcW w:w="466" w:type="pct"/>
            <w:vAlign w:val="center"/>
          </w:tcPr>
          <w:p>
            <w:pPr>
              <w:pStyle w:val="105"/>
              <w:spacing w:before="0" w:after="0"/>
              <w:jc w:val="center"/>
              <w:rPr>
                <w:rFonts w:cs="Times New Roman"/>
                <w:sz w:val="20"/>
                <w:szCs w:val="20"/>
              </w:rPr>
            </w:pPr>
            <w:r>
              <w:rPr>
                <w:rFonts w:cs="Times New Roman"/>
                <w:sz w:val="20"/>
                <w:szCs w:val="20"/>
              </w:rPr>
              <w:t>5</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continue"/>
            <w:vAlign w:val="center"/>
          </w:tcPr>
          <w:p>
            <w:pPr>
              <w:pStyle w:val="105"/>
              <w:spacing w:before="0" w:after="0"/>
              <w:jc w:val="center"/>
              <w:rPr>
                <w:rFonts w:cs="Times New Roman"/>
                <w:sz w:val="20"/>
                <w:szCs w:val="20"/>
              </w:rPr>
            </w:pPr>
          </w:p>
        </w:tc>
        <w:tc>
          <w:tcPr>
            <w:tcW w:w="467" w:type="pct"/>
            <w:vAlign w:val="center"/>
          </w:tcPr>
          <w:p>
            <w:pPr>
              <w:pStyle w:val="105"/>
              <w:spacing w:before="0" w:after="0"/>
              <w:jc w:val="center"/>
              <w:rPr>
                <w:rFonts w:cs="Times New Roman"/>
                <w:sz w:val="20"/>
                <w:szCs w:val="20"/>
              </w:rPr>
            </w:pPr>
            <w:r>
              <w:rPr>
                <w:rFonts w:cs="Times New Roman"/>
                <w:sz w:val="20"/>
                <w:szCs w:val="20"/>
              </w:rPr>
              <w:t>夜间</w:t>
            </w:r>
          </w:p>
        </w:tc>
        <w:tc>
          <w:tcPr>
            <w:tcW w:w="717" w:type="pct"/>
            <w:vAlign w:val="center"/>
          </w:tcPr>
          <w:p>
            <w:pPr>
              <w:pStyle w:val="105"/>
              <w:spacing w:before="0" w:after="0"/>
              <w:jc w:val="center"/>
              <w:rPr>
                <w:rFonts w:cs="Times New Roman"/>
                <w:sz w:val="20"/>
                <w:szCs w:val="20"/>
              </w:rPr>
            </w:pPr>
            <w:r>
              <w:rPr>
                <w:rFonts w:hint="eastAsia" w:cs="Times New Roman"/>
                <w:sz w:val="20"/>
                <w:szCs w:val="20"/>
              </w:rPr>
              <w:t>4</w:t>
            </w:r>
            <w:r>
              <w:rPr>
                <w:rFonts w:cs="Times New Roman"/>
                <w:sz w:val="20"/>
                <w:szCs w:val="20"/>
              </w:rPr>
              <w:t>6</w:t>
            </w:r>
          </w:p>
        </w:tc>
        <w:tc>
          <w:tcPr>
            <w:tcW w:w="456" w:type="pct"/>
            <w:vAlign w:val="center"/>
          </w:tcPr>
          <w:p>
            <w:pPr>
              <w:pStyle w:val="105"/>
              <w:spacing w:before="0" w:after="0"/>
              <w:jc w:val="center"/>
              <w:rPr>
                <w:rFonts w:cs="Times New Roman"/>
                <w:sz w:val="20"/>
                <w:szCs w:val="20"/>
              </w:rPr>
            </w:pPr>
            <w:r>
              <w:rPr>
                <w:rFonts w:cs="Times New Roman"/>
                <w:sz w:val="20"/>
                <w:szCs w:val="20"/>
              </w:rPr>
              <w:t>2</w:t>
            </w:r>
          </w:p>
        </w:tc>
        <w:tc>
          <w:tcPr>
            <w:tcW w:w="535" w:type="pct"/>
            <w:vAlign w:val="center"/>
          </w:tcPr>
          <w:p>
            <w:pPr>
              <w:pStyle w:val="105"/>
              <w:jc w:val="center"/>
            </w:pPr>
            <w:r>
              <w:rPr>
                <w:rFonts w:hint="eastAsia"/>
              </w:rPr>
              <w:t>48</w:t>
            </w:r>
          </w:p>
        </w:tc>
        <w:tc>
          <w:tcPr>
            <w:tcW w:w="466" w:type="pct"/>
            <w:vAlign w:val="center"/>
          </w:tcPr>
          <w:p>
            <w:pPr>
              <w:pStyle w:val="105"/>
              <w:spacing w:before="0" w:after="0"/>
              <w:jc w:val="center"/>
              <w:rPr>
                <w:rFonts w:cs="Times New Roman"/>
                <w:sz w:val="20"/>
                <w:szCs w:val="20"/>
              </w:rPr>
            </w:pPr>
            <w:r>
              <w:rPr>
                <w:rFonts w:cs="Times New Roman"/>
                <w:sz w:val="20"/>
                <w:szCs w:val="20"/>
              </w:rPr>
              <w:t>2</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restart"/>
            <w:vAlign w:val="center"/>
          </w:tcPr>
          <w:p>
            <w:pPr>
              <w:pStyle w:val="105"/>
              <w:spacing w:before="0" w:after="0"/>
              <w:jc w:val="center"/>
              <w:rPr>
                <w:rFonts w:cs="Times New Roman"/>
                <w:sz w:val="20"/>
                <w:szCs w:val="20"/>
              </w:rPr>
            </w:pPr>
            <w:r>
              <w:rPr>
                <w:rFonts w:cs="Times New Roman"/>
                <w:sz w:val="20"/>
                <w:szCs w:val="20"/>
              </w:rPr>
              <w:t>N7上张村王房3（距高铁200m）3F</w:t>
            </w:r>
          </w:p>
        </w:tc>
        <w:tc>
          <w:tcPr>
            <w:tcW w:w="467" w:type="pct"/>
            <w:vAlign w:val="center"/>
          </w:tcPr>
          <w:p>
            <w:pPr>
              <w:pStyle w:val="105"/>
              <w:spacing w:before="0" w:after="0"/>
              <w:jc w:val="center"/>
              <w:rPr>
                <w:rFonts w:cs="Times New Roman"/>
                <w:sz w:val="20"/>
                <w:szCs w:val="20"/>
              </w:rPr>
            </w:pPr>
            <w:r>
              <w:rPr>
                <w:rFonts w:cs="Times New Roman"/>
                <w:sz w:val="20"/>
                <w:szCs w:val="20"/>
              </w:rPr>
              <w:t>昼间</w:t>
            </w:r>
          </w:p>
        </w:tc>
        <w:tc>
          <w:tcPr>
            <w:tcW w:w="717" w:type="pct"/>
            <w:vAlign w:val="center"/>
          </w:tcPr>
          <w:p>
            <w:pPr>
              <w:pStyle w:val="105"/>
              <w:spacing w:before="0" w:after="0"/>
              <w:jc w:val="center"/>
              <w:rPr>
                <w:rFonts w:cs="Times New Roman"/>
                <w:sz w:val="20"/>
                <w:szCs w:val="20"/>
              </w:rPr>
            </w:pPr>
            <w:r>
              <w:rPr>
                <w:rFonts w:hint="eastAsia" w:cs="Times New Roman"/>
                <w:sz w:val="20"/>
                <w:szCs w:val="20"/>
              </w:rPr>
              <w:t>5</w:t>
            </w:r>
            <w:r>
              <w:rPr>
                <w:rFonts w:cs="Times New Roman"/>
                <w:sz w:val="20"/>
                <w:szCs w:val="20"/>
              </w:rPr>
              <w:t>7</w:t>
            </w:r>
          </w:p>
        </w:tc>
        <w:tc>
          <w:tcPr>
            <w:tcW w:w="456" w:type="pct"/>
            <w:vAlign w:val="center"/>
          </w:tcPr>
          <w:p>
            <w:pPr>
              <w:pStyle w:val="105"/>
              <w:spacing w:before="0" w:after="0"/>
              <w:jc w:val="center"/>
              <w:rPr>
                <w:rFonts w:cs="Times New Roman"/>
                <w:sz w:val="20"/>
                <w:szCs w:val="20"/>
              </w:rPr>
            </w:pPr>
            <w:r>
              <w:rPr>
                <w:rFonts w:cs="Times New Roman"/>
                <w:sz w:val="20"/>
                <w:szCs w:val="20"/>
              </w:rPr>
              <w:t>5</w:t>
            </w:r>
          </w:p>
        </w:tc>
        <w:tc>
          <w:tcPr>
            <w:tcW w:w="535" w:type="pct"/>
            <w:vAlign w:val="center"/>
          </w:tcPr>
          <w:p>
            <w:pPr>
              <w:pStyle w:val="105"/>
              <w:jc w:val="center"/>
            </w:pPr>
            <w:r>
              <w:rPr>
                <w:rFonts w:hint="eastAsia"/>
              </w:rPr>
              <w:t>5</w:t>
            </w:r>
            <w:r>
              <w:t>6</w:t>
            </w:r>
          </w:p>
        </w:tc>
        <w:tc>
          <w:tcPr>
            <w:tcW w:w="466" w:type="pct"/>
            <w:vAlign w:val="center"/>
          </w:tcPr>
          <w:p>
            <w:pPr>
              <w:pStyle w:val="105"/>
              <w:spacing w:before="0" w:after="0"/>
              <w:jc w:val="center"/>
              <w:rPr>
                <w:rFonts w:cs="Times New Roman"/>
                <w:sz w:val="20"/>
                <w:szCs w:val="20"/>
              </w:rPr>
            </w:pPr>
            <w:r>
              <w:rPr>
                <w:rFonts w:cs="Times New Roman"/>
                <w:sz w:val="20"/>
                <w:szCs w:val="20"/>
              </w:rPr>
              <w:t>5</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095" w:type="pct"/>
            <w:vMerge w:val="continue"/>
            <w:vAlign w:val="center"/>
          </w:tcPr>
          <w:p>
            <w:pPr>
              <w:pStyle w:val="105"/>
              <w:spacing w:before="0" w:after="0"/>
              <w:jc w:val="center"/>
              <w:rPr>
                <w:rFonts w:cs="Times New Roman"/>
                <w:sz w:val="20"/>
                <w:szCs w:val="20"/>
              </w:rPr>
            </w:pPr>
          </w:p>
        </w:tc>
        <w:tc>
          <w:tcPr>
            <w:tcW w:w="467" w:type="pct"/>
            <w:vAlign w:val="center"/>
          </w:tcPr>
          <w:p>
            <w:pPr>
              <w:pStyle w:val="105"/>
              <w:spacing w:before="0" w:after="0"/>
              <w:jc w:val="center"/>
              <w:rPr>
                <w:rFonts w:cs="Times New Roman"/>
                <w:sz w:val="20"/>
                <w:szCs w:val="20"/>
              </w:rPr>
            </w:pPr>
            <w:r>
              <w:rPr>
                <w:rFonts w:cs="Times New Roman"/>
                <w:sz w:val="20"/>
                <w:szCs w:val="20"/>
              </w:rPr>
              <w:t>夜间</w:t>
            </w:r>
          </w:p>
        </w:tc>
        <w:tc>
          <w:tcPr>
            <w:tcW w:w="717" w:type="pct"/>
            <w:vAlign w:val="center"/>
          </w:tcPr>
          <w:p>
            <w:pPr>
              <w:pStyle w:val="105"/>
              <w:spacing w:before="0" w:after="0"/>
              <w:jc w:val="center"/>
              <w:rPr>
                <w:rFonts w:cs="Times New Roman"/>
                <w:sz w:val="20"/>
                <w:szCs w:val="20"/>
              </w:rPr>
            </w:pPr>
            <w:r>
              <w:rPr>
                <w:rFonts w:hint="eastAsia" w:cs="Times New Roman"/>
                <w:sz w:val="20"/>
                <w:szCs w:val="20"/>
              </w:rPr>
              <w:t>4</w:t>
            </w:r>
            <w:r>
              <w:rPr>
                <w:rFonts w:cs="Times New Roman"/>
                <w:sz w:val="20"/>
                <w:szCs w:val="20"/>
              </w:rPr>
              <w:t>6</w:t>
            </w:r>
          </w:p>
        </w:tc>
        <w:tc>
          <w:tcPr>
            <w:tcW w:w="456" w:type="pct"/>
            <w:vAlign w:val="center"/>
          </w:tcPr>
          <w:p>
            <w:pPr>
              <w:pStyle w:val="105"/>
              <w:spacing w:before="0" w:after="0"/>
              <w:jc w:val="center"/>
              <w:rPr>
                <w:rFonts w:cs="Times New Roman"/>
                <w:sz w:val="20"/>
                <w:szCs w:val="20"/>
              </w:rPr>
            </w:pPr>
            <w:r>
              <w:rPr>
                <w:rFonts w:cs="Times New Roman"/>
                <w:sz w:val="20"/>
                <w:szCs w:val="20"/>
              </w:rPr>
              <w:t>2</w:t>
            </w:r>
          </w:p>
        </w:tc>
        <w:tc>
          <w:tcPr>
            <w:tcW w:w="535" w:type="pct"/>
            <w:vAlign w:val="center"/>
          </w:tcPr>
          <w:p>
            <w:pPr>
              <w:pStyle w:val="105"/>
              <w:jc w:val="center"/>
            </w:pPr>
            <w:r>
              <w:t>47</w:t>
            </w:r>
          </w:p>
        </w:tc>
        <w:tc>
          <w:tcPr>
            <w:tcW w:w="466" w:type="pct"/>
            <w:vAlign w:val="center"/>
          </w:tcPr>
          <w:p>
            <w:pPr>
              <w:pStyle w:val="105"/>
              <w:spacing w:before="0" w:after="0"/>
              <w:jc w:val="center"/>
              <w:rPr>
                <w:rFonts w:cs="Times New Roman"/>
                <w:sz w:val="20"/>
                <w:szCs w:val="20"/>
              </w:rPr>
            </w:pPr>
            <w:r>
              <w:rPr>
                <w:rFonts w:cs="Times New Roman"/>
                <w:sz w:val="20"/>
                <w:szCs w:val="20"/>
              </w:rPr>
              <w:t>2</w:t>
            </w:r>
          </w:p>
        </w:tc>
        <w:tc>
          <w:tcPr>
            <w:tcW w:w="629" w:type="pct"/>
            <w:vMerge w:val="continue"/>
            <w:vAlign w:val="center"/>
          </w:tcPr>
          <w:p>
            <w:pPr>
              <w:pStyle w:val="105"/>
              <w:spacing w:before="0" w:after="0"/>
              <w:jc w:val="center"/>
              <w:rPr>
                <w:rFonts w:cs="Times New Roman"/>
                <w:sz w:val="20"/>
                <w:szCs w:val="20"/>
              </w:rPr>
            </w:pPr>
          </w:p>
        </w:tc>
        <w:tc>
          <w:tcPr>
            <w:tcW w:w="635" w:type="pct"/>
            <w:noWrap/>
            <w:vAlign w:val="center"/>
          </w:tcPr>
          <w:p>
            <w:pPr>
              <w:pStyle w:val="105"/>
              <w:spacing w:before="0" w:after="0"/>
              <w:jc w:val="center"/>
              <w:rPr>
                <w:rFonts w:cs="Times New Roman"/>
                <w:sz w:val="20"/>
                <w:szCs w:val="20"/>
              </w:rPr>
            </w:pPr>
            <w:r>
              <w:rPr>
                <w:rFonts w:cs="Times New Roman"/>
                <w:sz w:val="20"/>
                <w:szCs w:val="20"/>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5000" w:type="pct"/>
            <w:gridSpan w:val="8"/>
            <w:vAlign w:val="center"/>
          </w:tcPr>
          <w:p>
            <w:pPr>
              <w:pStyle w:val="105"/>
              <w:spacing w:before="0" w:after="0"/>
              <w:jc w:val="left"/>
              <w:rPr>
                <w:rFonts w:cs="Times New Roman"/>
                <w:sz w:val="20"/>
                <w:szCs w:val="20"/>
              </w:rPr>
            </w:pPr>
            <w:r>
              <w:rPr>
                <w:rFonts w:hint="eastAsia" w:cs="Times New Roman"/>
                <w:sz w:val="20"/>
                <w:szCs w:val="20"/>
              </w:rPr>
              <w:t>注：点位编号采取本项目制定监测方案的编号。</w:t>
            </w:r>
          </w:p>
        </w:tc>
      </w:tr>
    </w:tbl>
    <w:p>
      <w:pPr>
        <w:ind w:firstLine="480"/>
        <w:rPr>
          <w:lang w:val="zh-CN"/>
        </w:rPr>
      </w:pPr>
    </w:p>
    <w:p>
      <w:pPr>
        <w:ind w:firstLine="480"/>
        <w:rPr>
          <w:lang w:val="zh-CN"/>
        </w:rPr>
      </w:pPr>
    </w:p>
    <w:p>
      <w:pPr>
        <w:pStyle w:val="87"/>
        <w:spacing w:before="0" w:beforeLines="0"/>
        <w:ind w:firstLine="357"/>
        <w:rPr>
          <w:lang w:val="zh-CN"/>
        </w:rPr>
      </w:pPr>
      <w:r>
        <w:rPr>
          <w:rFonts w:hint="eastAsia"/>
          <w:lang w:val="zh-CN"/>
        </w:rPr>
        <w:t xml:space="preserve">项目周边现状公路交通噪声水平/垂直断面现状调查结果 </w:t>
      </w:r>
      <w:r>
        <w:rPr>
          <w:lang w:val="zh-CN"/>
        </w:rPr>
        <w:t xml:space="preserve"> </w:t>
      </w:r>
      <w:r>
        <w:rPr>
          <w:rFonts w:hint="eastAsia"/>
          <w:lang w:val="zh-CN"/>
        </w:rPr>
        <w:t>单位：dB（A）</w:t>
      </w:r>
      <w:bookmarkEnd w:id="412"/>
    </w:p>
    <w:bookmarkEnd w:id="413"/>
    <w:tbl>
      <w:tblPr>
        <w:tblStyle w:val="84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92"/>
        <w:gridCol w:w="1586"/>
        <w:gridCol w:w="1221"/>
        <w:gridCol w:w="1671"/>
        <w:gridCol w:w="922"/>
        <w:gridCol w:w="974"/>
        <w:gridCol w:w="853"/>
        <w:gridCol w:w="8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restart"/>
            <w:vAlign w:val="center"/>
          </w:tcPr>
          <w:p>
            <w:pPr>
              <w:pStyle w:val="105"/>
              <w:spacing w:before="0" w:after="0"/>
              <w:jc w:val="center"/>
            </w:pPr>
            <w:bookmarkStart w:id="414" w:name="_Hlk144826515"/>
            <w:r>
              <w:rPr>
                <w:rFonts w:hint="eastAsia"/>
              </w:rPr>
              <w:t>点位编号</w:t>
            </w:r>
          </w:p>
        </w:tc>
        <w:tc>
          <w:tcPr>
            <w:tcW w:w="874" w:type="pct"/>
            <w:vMerge w:val="restart"/>
            <w:vAlign w:val="center"/>
          </w:tcPr>
          <w:p>
            <w:pPr>
              <w:pStyle w:val="105"/>
              <w:spacing w:before="0" w:after="0"/>
              <w:jc w:val="center"/>
            </w:pPr>
            <w:r>
              <w:rPr>
                <w:rFonts w:hint="eastAsia"/>
              </w:rPr>
              <w:t>检测时段</w:t>
            </w:r>
          </w:p>
        </w:tc>
        <w:tc>
          <w:tcPr>
            <w:tcW w:w="673" w:type="pct"/>
            <w:vMerge w:val="restart"/>
            <w:vAlign w:val="center"/>
          </w:tcPr>
          <w:p>
            <w:pPr>
              <w:pStyle w:val="105"/>
              <w:spacing w:before="0" w:after="0"/>
              <w:jc w:val="center"/>
            </w:pPr>
            <w:r>
              <w:rPr>
                <w:rFonts w:hint="eastAsia"/>
              </w:rPr>
              <w:t>点位名称</w:t>
            </w:r>
          </w:p>
        </w:tc>
        <w:tc>
          <w:tcPr>
            <w:tcW w:w="921" w:type="pct"/>
            <w:vMerge w:val="restart"/>
            <w:vAlign w:val="center"/>
          </w:tcPr>
          <w:p>
            <w:pPr>
              <w:pStyle w:val="105"/>
              <w:spacing w:before="0" w:after="0"/>
              <w:jc w:val="center"/>
            </w:pPr>
            <w:r>
              <w:rPr>
                <w:rFonts w:hint="eastAsia"/>
              </w:rPr>
              <w:t>检测结果</w:t>
            </w:r>
            <w:r>
              <w:t>Leq</w:t>
            </w:r>
          </w:p>
          <w:p>
            <w:pPr>
              <w:pStyle w:val="105"/>
              <w:spacing w:before="0" w:after="0"/>
              <w:jc w:val="center"/>
            </w:pPr>
            <w:r>
              <w:t>dB</w:t>
            </w:r>
            <w:r>
              <w:rPr>
                <w:rFonts w:hint="eastAsia"/>
              </w:rPr>
              <w:t>(</w:t>
            </w:r>
            <w:r>
              <w:t>A</w:t>
            </w:r>
            <w:r>
              <w:rPr>
                <w:rFonts w:hint="eastAsia"/>
              </w:rPr>
              <w:t>)</w:t>
            </w:r>
          </w:p>
        </w:tc>
        <w:tc>
          <w:tcPr>
            <w:tcW w:w="1045" w:type="pct"/>
            <w:gridSpan w:val="2"/>
            <w:vAlign w:val="center"/>
          </w:tcPr>
          <w:p>
            <w:pPr>
              <w:pStyle w:val="105"/>
              <w:spacing w:before="0" w:after="0"/>
              <w:jc w:val="center"/>
            </w:pPr>
            <w:r>
              <w:rPr>
                <w:rFonts w:hint="eastAsia"/>
              </w:rPr>
              <w:t>车流量（辆</w:t>
            </w:r>
            <w:r>
              <w:t>/20min</w:t>
            </w:r>
            <w:r>
              <w:rPr>
                <w:rFonts w:hint="eastAsia"/>
              </w:rPr>
              <w:t>）</w:t>
            </w:r>
          </w:p>
        </w:tc>
        <w:tc>
          <w:tcPr>
            <w:tcW w:w="470" w:type="pct"/>
            <w:vMerge w:val="restart"/>
            <w:vAlign w:val="center"/>
          </w:tcPr>
          <w:p>
            <w:pPr>
              <w:pStyle w:val="105"/>
              <w:spacing w:before="0" w:after="0"/>
              <w:jc w:val="center"/>
            </w:pPr>
            <w:r>
              <w:rPr>
                <w:rFonts w:hint="eastAsia"/>
              </w:rPr>
              <w:t>声环境</w:t>
            </w:r>
          </w:p>
          <w:p>
            <w:pPr>
              <w:pStyle w:val="105"/>
              <w:spacing w:before="0" w:after="0"/>
              <w:jc w:val="center"/>
            </w:pPr>
            <w:r>
              <w:rPr>
                <w:rFonts w:hint="eastAsia"/>
              </w:rPr>
              <w:t>功能区划</w:t>
            </w:r>
          </w:p>
        </w:tc>
        <w:tc>
          <w:tcPr>
            <w:tcW w:w="469" w:type="pct"/>
            <w:vMerge w:val="restart"/>
            <w:vAlign w:val="center"/>
          </w:tcPr>
          <w:p>
            <w:pPr>
              <w:pStyle w:val="105"/>
              <w:spacing w:before="0" w:after="0"/>
              <w:jc w:val="center"/>
            </w:pPr>
            <w:r>
              <w:rPr>
                <w:rFonts w:hint="eastAsia"/>
              </w:rPr>
              <w:t>达标</w:t>
            </w:r>
          </w:p>
          <w:p>
            <w:pPr>
              <w:pStyle w:val="105"/>
              <w:spacing w:before="0" w:after="0"/>
              <w:jc w:val="center"/>
            </w:pPr>
            <w:r>
              <w:rPr>
                <w:rFonts w:hint="eastAsia"/>
              </w:rPr>
              <w:t>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Merge w:val="continue"/>
            <w:vAlign w:val="center"/>
          </w:tcPr>
          <w:p>
            <w:pPr>
              <w:pStyle w:val="105"/>
              <w:spacing w:before="0" w:after="0"/>
              <w:jc w:val="center"/>
            </w:pPr>
          </w:p>
        </w:tc>
        <w:tc>
          <w:tcPr>
            <w:tcW w:w="921" w:type="pct"/>
            <w:vMerge w:val="continue"/>
            <w:vAlign w:val="center"/>
          </w:tcPr>
          <w:p>
            <w:pPr>
              <w:pStyle w:val="105"/>
              <w:spacing w:before="0" w:after="0"/>
              <w:jc w:val="center"/>
            </w:pPr>
          </w:p>
        </w:tc>
        <w:tc>
          <w:tcPr>
            <w:tcW w:w="508" w:type="pct"/>
            <w:vAlign w:val="center"/>
          </w:tcPr>
          <w:p>
            <w:pPr>
              <w:pStyle w:val="105"/>
              <w:spacing w:before="0" w:after="0"/>
              <w:jc w:val="center"/>
            </w:pPr>
            <w:r>
              <w:rPr>
                <w:rFonts w:hint="eastAsia"/>
              </w:rPr>
              <w:t>大型车</w:t>
            </w:r>
          </w:p>
        </w:tc>
        <w:tc>
          <w:tcPr>
            <w:tcW w:w="537" w:type="pct"/>
            <w:vAlign w:val="center"/>
          </w:tcPr>
          <w:p>
            <w:pPr>
              <w:pStyle w:val="105"/>
              <w:spacing w:before="0" w:after="0"/>
              <w:jc w:val="center"/>
            </w:pPr>
            <w:r>
              <w:rPr>
                <w:rFonts w:hint="eastAsia"/>
              </w:rPr>
              <w:t>中/小型车</w:t>
            </w: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restart"/>
            <w:vAlign w:val="center"/>
          </w:tcPr>
          <w:p>
            <w:pPr>
              <w:pStyle w:val="105"/>
              <w:spacing w:before="0" w:after="0"/>
              <w:jc w:val="center"/>
            </w:pPr>
            <w:r>
              <w:rPr>
                <w:rFonts w:hint="eastAsia"/>
              </w:rPr>
              <w:t>N</w:t>
            </w:r>
            <w:r>
              <w:t>1</w:t>
            </w:r>
            <w:r>
              <w:rPr>
                <w:rFonts w:hint="eastAsia"/>
              </w:rPr>
              <w:t>起点G</w:t>
            </w:r>
            <w:r>
              <w:t>324</w:t>
            </w:r>
            <w:r>
              <w:rPr>
                <w:rFonts w:hint="eastAsia"/>
              </w:rPr>
              <w:t>国道水平断面</w:t>
            </w:r>
          </w:p>
        </w:tc>
        <w:tc>
          <w:tcPr>
            <w:tcW w:w="874" w:type="pct"/>
            <w:vMerge w:val="restart"/>
            <w:vAlign w:val="center"/>
          </w:tcPr>
          <w:p>
            <w:pPr>
              <w:pStyle w:val="105"/>
              <w:spacing w:before="0" w:after="0"/>
              <w:jc w:val="center"/>
            </w:pPr>
            <w:r>
              <w:t>2</w:t>
            </w:r>
            <w:r>
              <w:rPr>
                <w:rFonts w:hint="eastAsia"/>
              </w:rPr>
              <w:t>月</w:t>
            </w:r>
            <w:r>
              <w:t>26</w:t>
            </w:r>
            <w:r>
              <w:rPr>
                <w:rFonts w:hint="eastAsia"/>
              </w:rPr>
              <w:t>日</w:t>
            </w:r>
          </w:p>
          <w:p>
            <w:pPr>
              <w:pStyle w:val="105"/>
              <w:spacing w:before="0" w:after="0"/>
              <w:jc w:val="center"/>
            </w:pPr>
            <w:r>
              <w:rPr>
                <w:rFonts w:hint="eastAsia"/>
              </w:rPr>
              <w:t>昼间</w:t>
            </w:r>
          </w:p>
        </w:tc>
        <w:tc>
          <w:tcPr>
            <w:tcW w:w="673" w:type="pct"/>
            <w:vAlign w:val="center"/>
          </w:tcPr>
          <w:p>
            <w:pPr>
              <w:pStyle w:val="105"/>
              <w:spacing w:before="0" w:after="0"/>
              <w:jc w:val="center"/>
            </w:pPr>
            <w:r>
              <w:t>0</w:t>
            </w:r>
            <w:r>
              <w:rPr>
                <w:rFonts w:hint="eastAsia"/>
              </w:rPr>
              <w:t xml:space="preserve"> m</w:t>
            </w:r>
          </w:p>
        </w:tc>
        <w:tc>
          <w:tcPr>
            <w:tcW w:w="921" w:type="pct"/>
            <w:vAlign w:val="center"/>
          </w:tcPr>
          <w:p>
            <w:pPr>
              <w:pStyle w:val="105"/>
              <w:spacing w:before="0" w:after="0"/>
              <w:jc w:val="center"/>
            </w:pPr>
            <w:r>
              <w:t>73</w:t>
            </w:r>
          </w:p>
        </w:tc>
        <w:tc>
          <w:tcPr>
            <w:tcW w:w="508" w:type="pct"/>
            <w:vMerge w:val="restart"/>
            <w:vAlign w:val="center"/>
          </w:tcPr>
          <w:p>
            <w:pPr>
              <w:pStyle w:val="105"/>
              <w:spacing w:before="0" w:after="0"/>
              <w:jc w:val="center"/>
            </w:pPr>
            <w:r>
              <w:t>129</w:t>
            </w:r>
          </w:p>
        </w:tc>
        <w:tc>
          <w:tcPr>
            <w:tcW w:w="537" w:type="pct"/>
            <w:vMerge w:val="restart"/>
            <w:vAlign w:val="center"/>
          </w:tcPr>
          <w:p>
            <w:pPr>
              <w:pStyle w:val="105"/>
              <w:spacing w:before="0" w:after="0"/>
              <w:jc w:val="center"/>
            </w:pPr>
            <w:r>
              <w:t>292</w:t>
            </w:r>
          </w:p>
        </w:tc>
        <w:tc>
          <w:tcPr>
            <w:tcW w:w="470" w:type="pct"/>
            <w:vMerge w:val="restart"/>
            <w:vAlign w:val="center"/>
          </w:tcPr>
          <w:p>
            <w:pPr>
              <w:pStyle w:val="105"/>
              <w:spacing w:before="0" w:after="0"/>
              <w:jc w:val="center"/>
            </w:pPr>
            <w:r>
              <w:t>4a</w:t>
            </w:r>
          </w:p>
        </w:tc>
        <w:tc>
          <w:tcPr>
            <w:tcW w:w="469" w:type="pct"/>
            <w:vAlign w:val="center"/>
          </w:tcPr>
          <w:p>
            <w:pPr>
              <w:pStyle w:val="105"/>
              <w:spacing w:before="0" w:after="0"/>
              <w:jc w:val="center"/>
            </w:pPr>
            <w:r>
              <w:rPr>
                <w:rFonts w:hint="eastAsia"/>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w:t>
            </w:r>
            <w:r>
              <w:rPr>
                <w:rFonts w:hint="eastAsia"/>
              </w:rPr>
              <w:t xml:space="preserve"> m</w:t>
            </w:r>
          </w:p>
        </w:tc>
        <w:tc>
          <w:tcPr>
            <w:tcW w:w="921" w:type="pct"/>
            <w:vAlign w:val="center"/>
          </w:tcPr>
          <w:p>
            <w:pPr>
              <w:pStyle w:val="105"/>
              <w:spacing w:before="0" w:after="0"/>
              <w:jc w:val="center"/>
            </w:pPr>
            <w:r>
              <w:t>68</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w:t>
            </w:r>
            <w:r>
              <w:rPr>
                <w:rFonts w:hint="eastAsia"/>
              </w:rPr>
              <w:t xml:space="preserve"> m</w:t>
            </w:r>
          </w:p>
        </w:tc>
        <w:tc>
          <w:tcPr>
            <w:tcW w:w="921" w:type="pct"/>
            <w:vAlign w:val="center"/>
          </w:tcPr>
          <w:p>
            <w:pPr>
              <w:pStyle w:val="105"/>
              <w:spacing w:before="0" w:after="0"/>
              <w:jc w:val="center"/>
            </w:pPr>
            <w:r>
              <w:t>61</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restart"/>
            <w:vAlign w:val="center"/>
          </w:tcPr>
          <w:p>
            <w:pPr>
              <w:pStyle w:val="105"/>
              <w:spacing w:before="0" w:after="0"/>
              <w:jc w:val="center"/>
            </w:pPr>
            <w:r>
              <w:t>2</w:t>
            </w:r>
            <w:r>
              <w:rPr>
                <w:rFonts w:hint="eastAsia"/>
              </w:rPr>
              <w:t>月</w:t>
            </w:r>
            <w:r>
              <w:t>26~27</w:t>
            </w:r>
            <w:r>
              <w:rPr>
                <w:rFonts w:hint="eastAsia"/>
              </w:rPr>
              <w:t>日</w:t>
            </w:r>
          </w:p>
          <w:p>
            <w:pPr>
              <w:pStyle w:val="105"/>
              <w:spacing w:before="0" w:after="0"/>
              <w:jc w:val="center"/>
            </w:pPr>
            <w:r>
              <w:rPr>
                <w:rFonts w:hint="eastAsia"/>
              </w:rPr>
              <w:t>夜间</w:t>
            </w:r>
          </w:p>
        </w:tc>
        <w:tc>
          <w:tcPr>
            <w:tcW w:w="673" w:type="pct"/>
            <w:vAlign w:val="center"/>
          </w:tcPr>
          <w:p>
            <w:pPr>
              <w:pStyle w:val="105"/>
              <w:spacing w:before="0" w:after="0"/>
              <w:jc w:val="center"/>
            </w:pPr>
            <w:r>
              <w:t>0</w:t>
            </w:r>
            <w:r>
              <w:rPr>
                <w:rFonts w:hint="eastAsia"/>
              </w:rPr>
              <w:t xml:space="preserve"> m</w:t>
            </w:r>
          </w:p>
        </w:tc>
        <w:tc>
          <w:tcPr>
            <w:tcW w:w="921" w:type="pct"/>
            <w:vAlign w:val="center"/>
          </w:tcPr>
          <w:p>
            <w:pPr>
              <w:pStyle w:val="105"/>
              <w:spacing w:before="0" w:after="0"/>
              <w:jc w:val="center"/>
            </w:pPr>
            <w:r>
              <w:t>64</w:t>
            </w:r>
          </w:p>
        </w:tc>
        <w:tc>
          <w:tcPr>
            <w:tcW w:w="508" w:type="pct"/>
            <w:vMerge w:val="restart"/>
            <w:vAlign w:val="center"/>
          </w:tcPr>
          <w:p>
            <w:pPr>
              <w:pStyle w:val="105"/>
              <w:spacing w:before="0" w:after="0"/>
              <w:jc w:val="center"/>
            </w:pPr>
            <w:r>
              <w:t>91</w:t>
            </w:r>
          </w:p>
        </w:tc>
        <w:tc>
          <w:tcPr>
            <w:tcW w:w="537" w:type="pct"/>
            <w:vMerge w:val="restart"/>
            <w:vAlign w:val="center"/>
          </w:tcPr>
          <w:p>
            <w:pPr>
              <w:pStyle w:val="105"/>
              <w:spacing w:before="0" w:after="0"/>
              <w:jc w:val="center"/>
            </w:pPr>
            <w:r>
              <w:t>152</w:t>
            </w:r>
          </w:p>
        </w:tc>
        <w:tc>
          <w:tcPr>
            <w:tcW w:w="470" w:type="pct"/>
            <w:vMerge w:val="restart"/>
            <w:vAlign w:val="center"/>
          </w:tcPr>
          <w:p>
            <w:pPr>
              <w:pStyle w:val="105"/>
              <w:spacing w:before="0" w:after="0"/>
              <w:jc w:val="center"/>
            </w:pPr>
            <w:r>
              <w:t>4a</w:t>
            </w:r>
          </w:p>
        </w:tc>
        <w:tc>
          <w:tcPr>
            <w:tcW w:w="469" w:type="pct"/>
            <w:vAlign w:val="center"/>
          </w:tcPr>
          <w:p>
            <w:pPr>
              <w:pStyle w:val="105"/>
              <w:spacing w:before="0" w:after="0"/>
              <w:jc w:val="center"/>
            </w:pPr>
            <w:r>
              <w:rPr>
                <w:rFonts w:hint="eastAsia"/>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w:t>
            </w:r>
            <w:r>
              <w:rPr>
                <w:rFonts w:hint="eastAsia"/>
              </w:rPr>
              <w:t xml:space="preserve"> m</w:t>
            </w:r>
          </w:p>
        </w:tc>
        <w:tc>
          <w:tcPr>
            <w:tcW w:w="921" w:type="pct"/>
            <w:vAlign w:val="center"/>
          </w:tcPr>
          <w:p>
            <w:pPr>
              <w:pStyle w:val="105"/>
              <w:spacing w:before="0" w:after="0"/>
              <w:jc w:val="center"/>
            </w:pPr>
            <w:r>
              <w:t>62</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Align w:val="center"/>
          </w:tcPr>
          <w:p>
            <w:pPr>
              <w:pStyle w:val="105"/>
              <w:spacing w:before="0" w:after="0"/>
              <w:jc w:val="center"/>
            </w:pPr>
            <w:r>
              <w:rPr>
                <w:rFonts w:hint="eastAsia"/>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w:t>
            </w:r>
            <w:r>
              <w:rPr>
                <w:rFonts w:hint="eastAsia"/>
              </w:rPr>
              <w:t xml:space="preserve"> m</w:t>
            </w:r>
          </w:p>
        </w:tc>
        <w:tc>
          <w:tcPr>
            <w:tcW w:w="921" w:type="pct"/>
            <w:vAlign w:val="center"/>
          </w:tcPr>
          <w:p>
            <w:pPr>
              <w:pStyle w:val="105"/>
              <w:spacing w:before="0" w:after="0"/>
              <w:jc w:val="center"/>
            </w:pPr>
            <w:r>
              <w:t>59</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Align w:val="center"/>
          </w:tcPr>
          <w:p>
            <w:pPr>
              <w:pStyle w:val="105"/>
              <w:spacing w:before="0" w:after="0"/>
              <w:jc w:val="center"/>
            </w:pPr>
            <w:r>
              <w:rPr>
                <w:rFonts w:hint="eastAsia"/>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restart"/>
            <w:vAlign w:val="center"/>
          </w:tcPr>
          <w:p>
            <w:pPr>
              <w:pStyle w:val="105"/>
              <w:spacing w:before="0" w:after="0"/>
              <w:jc w:val="center"/>
            </w:pPr>
            <w:r>
              <w:t>2</w:t>
            </w:r>
            <w:r>
              <w:rPr>
                <w:rFonts w:hint="eastAsia"/>
              </w:rPr>
              <w:t>月</w:t>
            </w:r>
            <w:r>
              <w:t>27</w:t>
            </w:r>
            <w:r>
              <w:rPr>
                <w:rFonts w:hint="eastAsia"/>
              </w:rPr>
              <w:t>日</w:t>
            </w:r>
          </w:p>
          <w:p>
            <w:pPr>
              <w:pStyle w:val="105"/>
              <w:spacing w:before="0" w:after="0"/>
              <w:jc w:val="center"/>
            </w:pPr>
            <w:r>
              <w:rPr>
                <w:rFonts w:hint="eastAsia"/>
              </w:rPr>
              <w:t>昼间</w:t>
            </w:r>
          </w:p>
        </w:tc>
        <w:tc>
          <w:tcPr>
            <w:tcW w:w="673" w:type="pct"/>
            <w:vAlign w:val="center"/>
          </w:tcPr>
          <w:p>
            <w:pPr>
              <w:pStyle w:val="105"/>
              <w:spacing w:before="0" w:after="0"/>
              <w:jc w:val="center"/>
            </w:pPr>
            <w:r>
              <w:t>0</w:t>
            </w:r>
            <w:r>
              <w:rPr>
                <w:rFonts w:hint="eastAsia"/>
              </w:rPr>
              <w:t xml:space="preserve"> m</w:t>
            </w:r>
          </w:p>
        </w:tc>
        <w:tc>
          <w:tcPr>
            <w:tcW w:w="921" w:type="pct"/>
            <w:vAlign w:val="center"/>
          </w:tcPr>
          <w:p>
            <w:pPr>
              <w:pStyle w:val="105"/>
              <w:spacing w:before="0" w:after="0"/>
              <w:jc w:val="center"/>
            </w:pPr>
            <w:r>
              <w:t>71</w:t>
            </w:r>
          </w:p>
        </w:tc>
        <w:tc>
          <w:tcPr>
            <w:tcW w:w="508" w:type="pct"/>
            <w:vMerge w:val="restart"/>
            <w:vAlign w:val="center"/>
          </w:tcPr>
          <w:p>
            <w:pPr>
              <w:pStyle w:val="105"/>
              <w:spacing w:before="0" w:after="0"/>
              <w:jc w:val="center"/>
            </w:pPr>
            <w:r>
              <w:t>117</w:t>
            </w:r>
          </w:p>
        </w:tc>
        <w:tc>
          <w:tcPr>
            <w:tcW w:w="537" w:type="pct"/>
            <w:vMerge w:val="restart"/>
            <w:vAlign w:val="center"/>
          </w:tcPr>
          <w:p>
            <w:pPr>
              <w:pStyle w:val="105"/>
              <w:spacing w:before="0" w:after="0"/>
              <w:jc w:val="center"/>
            </w:pPr>
            <w:r>
              <w:t>312</w:t>
            </w:r>
          </w:p>
        </w:tc>
        <w:tc>
          <w:tcPr>
            <w:tcW w:w="470" w:type="pct"/>
            <w:vMerge w:val="restart"/>
            <w:vAlign w:val="center"/>
          </w:tcPr>
          <w:p>
            <w:pPr>
              <w:pStyle w:val="105"/>
              <w:spacing w:before="0" w:after="0"/>
              <w:jc w:val="center"/>
            </w:pPr>
            <w:r>
              <w:t>4a</w:t>
            </w:r>
          </w:p>
        </w:tc>
        <w:tc>
          <w:tcPr>
            <w:tcW w:w="469" w:type="pct"/>
            <w:vAlign w:val="center"/>
          </w:tcPr>
          <w:p>
            <w:pPr>
              <w:pStyle w:val="105"/>
              <w:spacing w:before="0" w:after="0"/>
              <w:jc w:val="center"/>
            </w:pPr>
            <w:r>
              <w:rPr>
                <w:rFonts w:hint="eastAsia"/>
              </w:rPr>
              <w:t>超标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w:t>
            </w:r>
            <w:r>
              <w:rPr>
                <w:rFonts w:hint="eastAsia"/>
              </w:rPr>
              <w:t xml:space="preserve"> m</w:t>
            </w:r>
          </w:p>
        </w:tc>
        <w:tc>
          <w:tcPr>
            <w:tcW w:w="921" w:type="pct"/>
            <w:vAlign w:val="center"/>
          </w:tcPr>
          <w:p>
            <w:pPr>
              <w:pStyle w:val="105"/>
              <w:spacing w:before="0" w:after="0"/>
              <w:jc w:val="center"/>
            </w:pPr>
            <w:r>
              <w:t>66</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w:t>
            </w:r>
            <w:r>
              <w:rPr>
                <w:rFonts w:hint="eastAsia"/>
              </w:rPr>
              <w:t xml:space="preserve"> m</w:t>
            </w:r>
          </w:p>
        </w:tc>
        <w:tc>
          <w:tcPr>
            <w:tcW w:w="921" w:type="pct"/>
            <w:vAlign w:val="center"/>
          </w:tcPr>
          <w:p>
            <w:pPr>
              <w:pStyle w:val="105"/>
              <w:spacing w:before="0" w:after="0"/>
              <w:jc w:val="center"/>
            </w:pPr>
            <w:r>
              <w:t>63</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restart"/>
            <w:vAlign w:val="center"/>
          </w:tcPr>
          <w:p>
            <w:pPr>
              <w:pStyle w:val="105"/>
              <w:spacing w:before="0" w:after="0"/>
              <w:jc w:val="center"/>
            </w:pPr>
            <w:r>
              <w:t>2</w:t>
            </w:r>
            <w:r>
              <w:rPr>
                <w:rFonts w:hint="eastAsia"/>
              </w:rPr>
              <w:t>月</w:t>
            </w:r>
            <w:r>
              <w:t>27~28</w:t>
            </w:r>
            <w:r>
              <w:rPr>
                <w:rFonts w:hint="eastAsia"/>
              </w:rPr>
              <w:t>日</w:t>
            </w:r>
          </w:p>
          <w:p>
            <w:pPr>
              <w:pStyle w:val="105"/>
              <w:spacing w:before="0" w:after="0"/>
              <w:jc w:val="center"/>
            </w:pPr>
            <w:r>
              <w:rPr>
                <w:rFonts w:hint="eastAsia"/>
              </w:rPr>
              <w:t>夜间</w:t>
            </w:r>
          </w:p>
        </w:tc>
        <w:tc>
          <w:tcPr>
            <w:tcW w:w="673" w:type="pct"/>
            <w:vAlign w:val="center"/>
          </w:tcPr>
          <w:p>
            <w:pPr>
              <w:pStyle w:val="105"/>
              <w:spacing w:before="0" w:after="0"/>
              <w:jc w:val="center"/>
            </w:pPr>
            <w:r>
              <w:t>0</w:t>
            </w:r>
            <w:r>
              <w:rPr>
                <w:rFonts w:hint="eastAsia"/>
              </w:rPr>
              <w:t xml:space="preserve"> m</w:t>
            </w:r>
          </w:p>
        </w:tc>
        <w:tc>
          <w:tcPr>
            <w:tcW w:w="921" w:type="pct"/>
            <w:vAlign w:val="center"/>
          </w:tcPr>
          <w:p>
            <w:pPr>
              <w:pStyle w:val="105"/>
              <w:spacing w:before="0" w:after="0"/>
              <w:jc w:val="center"/>
            </w:pPr>
            <w:r>
              <w:t>65</w:t>
            </w:r>
          </w:p>
        </w:tc>
        <w:tc>
          <w:tcPr>
            <w:tcW w:w="508" w:type="pct"/>
            <w:vMerge w:val="restart"/>
            <w:vAlign w:val="center"/>
          </w:tcPr>
          <w:p>
            <w:pPr>
              <w:pStyle w:val="105"/>
              <w:spacing w:before="0" w:after="0"/>
              <w:jc w:val="center"/>
            </w:pPr>
            <w:r>
              <w:t>98</w:t>
            </w:r>
          </w:p>
        </w:tc>
        <w:tc>
          <w:tcPr>
            <w:tcW w:w="537" w:type="pct"/>
            <w:vMerge w:val="restart"/>
            <w:vAlign w:val="center"/>
          </w:tcPr>
          <w:p>
            <w:pPr>
              <w:pStyle w:val="105"/>
              <w:spacing w:before="0" w:after="0"/>
              <w:jc w:val="center"/>
            </w:pPr>
            <w:r>
              <w:t>137</w:t>
            </w:r>
          </w:p>
        </w:tc>
        <w:tc>
          <w:tcPr>
            <w:tcW w:w="470" w:type="pct"/>
            <w:vMerge w:val="restart"/>
            <w:vAlign w:val="center"/>
          </w:tcPr>
          <w:p>
            <w:pPr>
              <w:pStyle w:val="105"/>
              <w:spacing w:before="0" w:after="0"/>
              <w:jc w:val="center"/>
            </w:pPr>
            <w:r>
              <w:t>4a</w:t>
            </w:r>
          </w:p>
        </w:tc>
        <w:tc>
          <w:tcPr>
            <w:tcW w:w="469" w:type="pct"/>
            <w:vAlign w:val="center"/>
          </w:tcPr>
          <w:p>
            <w:pPr>
              <w:pStyle w:val="105"/>
              <w:spacing w:before="0" w:after="0"/>
              <w:jc w:val="center"/>
            </w:pPr>
            <w:r>
              <w:rPr>
                <w:rFonts w:hint="eastAsia"/>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w:t>
            </w:r>
            <w:r>
              <w:rPr>
                <w:rFonts w:hint="eastAsia"/>
              </w:rPr>
              <w:t xml:space="preserve"> m</w:t>
            </w:r>
          </w:p>
        </w:tc>
        <w:tc>
          <w:tcPr>
            <w:tcW w:w="921" w:type="pct"/>
            <w:vAlign w:val="center"/>
          </w:tcPr>
          <w:p>
            <w:pPr>
              <w:pStyle w:val="105"/>
              <w:spacing w:before="0" w:after="0"/>
              <w:jc w:val="center"/>
            </w:pPr>
            <w:r>
              <w:t>62</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Align w:val="center"/>
          </w:tcPr>
          <w:p>
            <w:pPr>
              <w:pStyle w:val="105"/>
              <w:spacing w:before="0" w:after="0"/>
              <w:jc w:val="center"/>
            </w:pPr>
            <w:r>
              <w:rPr>
                <w:rFonts w:hint="eastAsia"/>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w:t>
            </w:r>
            <w:r>
              <w:rPr>
                <w:rFonts w:hint="eastAsia"/>
              </w:rPr>
              <w:t xml:space="preserve"> m</w:t>
            </w:r>
          </w:p>
        </w:tc>
        <w:tc>
          <w:tcPr>
            <w:tcW w:w="921" w:type="pct"/>
            <w:vAlign w:val="center"/>
          </w:tcPr>
          <w:p>
            <w:pPr>
              <w:pStyle w:val="105"/>
              <w:spacing w:before="0" w:after="0"/>
              <w:jc w:val="center"/>
            </w:pPr>
            <w:r>
              <w:t>61</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Align w:val="center"/>
          </w:tcPr>
          <w:p>
            <w:pPr>
              <w:pStyle w:val="105"/>
              <w:spacing w:before="0" w:after="0"/>
              <w:jc w:val="center"/>
            </w:pPr>
            <w:r>
              <w:rPr>
                <w:rFonts w:hint="eastAsia"/>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227" w:hRule="atLeast"/>
          <w:tblHeader/>
          <w:jc w:val="center"/>
        </w:trPr>
        <w:tc>
          <w:tcPr>
            <w:tcW w:w="547" w:type="pct"/>
            <w:vMerge w:val="restart"/>
            <w:vAlign w:val="center"/>
          </w:tcPr>
          <w:p>
            <w:pPr>
              <w:pStyle w:val="105"/>
              <w:spacing w:before="0" w:after="0"/>
              <w:jc w:val="center"/>
            </w:pPr>
            <w:r>
              <w:rPr>
                <w:rFonts w:hint="eastAsia"/>
              </w:rPr>
              <w:t>N</w:t>
            </w:r>
            <w:r>
              <w:t>8</w:t>
            </w:r>
            <w:r>
              <w:rPr>
                <w:rFonts w:hint="eastAsia"/>
              </w:rPr>
              <w:t>侨丰路水平断面</w:t>
            </w:r>
          </w:p>
        </w:tc>
        <w:tc>
          <w:tcPr>
            <w:tcW w:w="874" w:type="pct"/>
            <w:vMerge w:val="restart"/>
            <w:vAlign w:val="center"/>
          </w:tcPr>
          <w:p>
            <w:pPr>
              <w:pStyle w:val="105"/>
              <w:spacing w:before="0" w:after="0"/>
              <w:jc w:val="center"/>
            </w:pPr>
            <w:r>
              <w:t>2</w:t>
            </w:r>
            <w:r>
              <w:rPr>
                <w:rFonts w:hint="eastAsia"/>
              </w:rPr>
              <w:t>月</w:t>
            </w:r>
            <w:r>
              <w:t>26</w:t>
            </w:r>
            <w:r>
              <w:rPr>
                <w:rFonts w:hint="eastAsia"/>
              </w:rPr>
              <w:t>日</w:t>
            </w:r>
          </w:p>
          <w:p>
            <w:pPr>
              <w:pStyle w:val="105"/>
              <w:spacing w:before="0" w:after="0"/>
              <w:jc w:val="center"/>
            </w:pPr>
            <w:r>
              <w:rPr>
                <w:rFonts w:hint="eastAsia"/>
              </w:rPr>
              <w:t>昼间</w:t>
            </w:r>
          </w:p>
        </w:tc>
        <w:tc>
          <w:tcPr>
            <w:tcW w:w="673" w:type="pct"/>
            <w:vAlign w:val="center"/>
          </w:tcPr>
          <w:p>
            <w:pPr>
              <w:pStyle w:val="105"/>
              <w:spacing w:before="0" w:after="0"/>
              <w:jc w:val="center"/>
            </w:pPr>
            <w:r>
              <w:t>0 m</w:t>
            </w:r>
          </w:p>
        </w:tc>
        <w:tc>
          <w:tcPr>
            <w:tcW w:w="921" w:type="pct"/>
            <w:vAlign w:val="center"/>
          </w:tcPr>
          <w:p>
            <w:pPr>
              <w:pStyle w:val="105"/>
              <w:spacing w:before="0" w:after="0"/>
              <w:jc w:val="center"/>
            </w:pPr>
            <w:r>
              <w:t>54</w:t>
            </w:r>
          </w:p>
        </w:tc>
        <w:tc>
          <w:tcPr>
            <w:tcW w:w="508" w:type="pct"/>
            <w:vMerge w:val="restart"/>
            <w:vAlign w:val="center"/>
          </w:tcPr>
          <w:p>
            <w:pPr>
              <w:pStyle w:val="105"/>
              <w:spacing w:before="0" w:after="0"/>
              <w:jc w:val="center"/>
            </w:pPr>
            <w:r>
              <w:t>1</w:t>
            </w:r>
          </w:p>
        </w:tc>
        <w:tc>
          <w:tcPr>
            <w:tcW w:w="537" w:type="pct"/>
            <w:vMerge w:val="restart"/>
            <w:vAlign w:val="center"/>
          </w:tcPr>
          <w:p>
            <w:pPr>
              <w:pStyle w:val="105"/>
              <w:spacing w:before="0" w:after="0"/>
              <w:jc w:val="center"/>
            </w:pPr>
            <w:r>
              <w:t>27</w:t>
            </w:r>
          </w:p>
        </w:tc>
        <w:tc>
          <w:tcPr>
            <w:tcW w:w="470" w:type="pct"/>
            <w:vMerge w:val="restart"/>
            <w:vAlign w:val="center"/>
          </w:tcPr>
          <w:p>
            <w:pPr>
              <w:pStyle w:val="105"/>
              <w:spacing w:before="0" w:after="0"/>
              <w:jc w:val="center"/>
            </w:pPr>
            <w:r>
              <w:t>2</w:t>
            </w:r>
            <w:r>
              <w:rPr>
                <w:rFonts w:hint="eastAsia"/>
              </w:rPr>
              <w:t>类</w:t>
            </w:r>
          </w:p>
        </w:tc>
        <w:tc>
          <w:tcPr>
            <w:tcW w:w="469" w:type="pct"/>
            <w:vMerge w:val="restar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 m</w:t>
            </w:r>
          </w:p>
        </w:tc>
        <w:tc>
          <w:tcPr>
            <w:tcW w:w="921" w:type="pct"/>
            <w:vAlign w:val="center"/>
          </w:tcPr>
          <w:p>
            <w:pPr>
              <w:pStyle w:val="105"/>
              <w:spacing w:before="0" w:after="0"/>
              <w:jc w:val="center"/>
            </w:pPr>
            <w:r>
              <w:t>54</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 m</w:t>
            </w:r>
          </w:p>
        </w:tc>
        <w:tc>
          <w:tcPr>
            <w:tcW w:w="921" w:type="pct"/>
            <w:vAlign w:val="center"/>
          </w:tcPr>
          <w:p>
            <w:pPr>
              <w:pStyle w:val="105"/>
              <w:spacing w:before="0" w:after="0"/>
              <w:jc w:val="center"/>
            </w:pPr>
            <w:r>
              <w:t>54</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60 m</w:t>
            </w:r>
          </w:p>
        </w:tc>
        <w:tc>
          <w:tcPr>
            <w:tcW w:w="921" w:type="pct"/>
            <w:vAlign w:val="center"/>
          </w:tcPr>
          <w:p>
            <w:pPr>
              <w:pStyle w:val="105"/>
              <w:spacing w:before="0" w:after="0"/>
              <w:jc w:val="center"/>
            </w:pPr>
            <w:r>
              <w:t>53</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restart"/>
            <w:vAlign w:val="center"/>
          </w:tcPr>
          <w:p>
            <w:pPr>
              <w:pStyle w:val="105"/>
              <w:spacing w:before="0" w:after="0"/>
              <w:jc w:val="center"/>
            </w:pPr>
            <w:r>
              <w:t>2</w:t>
            </w:r>
            <w:r>
              <w:rPr>
                <w:rFonts w:hint="eastAsia"/>
              </w:rPr>
              <w:t>月</w:t>
            </w:r>
            <w:r>
              <w:t>26~27</w:t>
            </w:r>
            <w:r>
              <w:rPr>
                <w:rFonts w:hint="eastAsia"/>
              </w:rPr>
              <w:t>日</w:t>
            </w:r>
          </w:p>
          <w:p>
            <w:pPr>
              <w:pStyle w:val="105"/>
              <w:spacing w:before="0" w:after="0"/>
              <w:jc w:val="center"/>
            </w:pPr>
            <w:r>
              <w:rPr>
                <w:rFonts w:hint="eastAsia"/>
              </w:rPr>
              <w:t>夜间</w:t>
            </w:r>
          </w:p>
        </w:tc>
        <w:tc>
          <w:tcPr>
            <w:tcW w:w="673" w:type="pct"/>
            <w:vAlign w:val="center"/>
          </w:tcPr>
          <w:p>
            <w:pPr>
              <w:pStyle w:val="105"/>
              <w:spacing w:before="0" w:after="0"/>
              <w:jc w:val="center"/>
            </w:pPr>
            <w:r>
              <w:t>0 m</w:t>
            </w:r>
          </w:p>
        </w:tc>
        <w:tc>
          <w:tcPr>
            <w:tcW w:w="921" w:type="pct"/>
            <w:vAlign w:val="center"/>
          </w:tcPr>
          <w:p>
            <w:pPr>
              <w:pStyle w:val="105"/>
              <w:spacing w:before="0" w:after="0"/>
              <w:jc w:val="center"/>
            </w:pPr>
            <w:r>
              <w:t>48</w:t>
            </w:r>
          </w:p>
        </w:tc>
        <w:tc>
          <w:tcPr>
            <w:tcW w:w="508" w:type="pct"/>
            <w:vMerge w:val="restart"/>
            <w:vAlign w:val="center"/>
          </w:tcPr>
          <w:p>
            <w:pPr>
              <w:pStyle w:val="105"/>
              <w:spacing w:before="0" w:after="0"/>
              <w:jc w:val="center"/>
            </w:pPr>
            <w:r>
              <w:t>0</w:t>
            </w:r>
          </w:p>
        </w:tc>
        <w:tc>
          <w:tcPr>
            <w:tcW w:w="537" w:type="pct"/>
            <w:vMerge w:val="restart"/>
            <w:vAlign w:val="center"/>
          </w:tcPr>
          <w:p>
            <w:pPr>
              <w:pStyle w:val="105"/>
              <w:spacing w:before="0" w:after="0"/>
              <w:jc w:val="center"/>
            </w:pPr>
            <w:r>
              <w:t>19</w:t>
            </w:r>
          </w:p>
        </w:tc>
        <w:tc>
          <w:tcPr>
            <w:tcW w:w="470" w:type="pct"/>
            <w:vMerge w:val="restart"/>
            <w:vAlign w:val="center"/>
          </w:tcPr>
          <w:p>
            <w:pPr>
              <w:pStyle w:val="105"/>
              <w:spacing w:before="0" w:after="0"/>
              <w:jc w:val="center"/>
            </w:pPr>
            <w:r>
              <w:t>2</w:t>
            </w:r>
            <w:r>
              <w:rPr>
                <w:rFonts w:hint="eastAsia"/>
              </w:rPr>
              <w:t>类</w:t>
            </w:r>
          </w:p>
        </w:tc>
        <w:tc>
          <w:tcPr>
            <w:tcW w:w="469" w:type="pct"/>
            <w:vMerge w:val="restar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 m</w:t>
            </w:r>
          </w:p>
        </w:tc>
        <w:tc>
          <w:tcPr>
            <w:tcW w:w="921" w:type="pct"/>
            <w:vAlign w:val="center"/>
          </w:tcPr>
          <w:p>
            <w:pPr>
              <w:pStyle w:val="105"/>
              <w:spacing w:before="0" w:after="0"/>
              <w:jc w:val="center"/>
            </w:pPr>
            <w:r>
              <w:t>47</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 m</w:t>
            </w:r>
          </w:p>
        </w:tc>
        <w:tc>
          <w:tcPr>
            <w:tcW w:w="921" w:type="pct"/>
            <w:vAlign w:val="center"/>
          </w:tcPr>
          <w:p>
            <w:pPr>
              <w:pStyle w:val="105"/>
              <w:spacing w:before="0" w:after="0"/>
              <w:jc w:val="center"/>
            </w:pPr>
            <w:r>
              <w:t>47</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60 m</w:t>
            </w:r>
          </w:p>
        </w:tc>
        <w:tc>
          <w:tcPr>
            <w:tcW w:w="921" w:type="pct"/>
            <w:vAlign w:val="center"/>
          </w:tcPr>
          <w:p>
            <w:pPr>
              <w:pStyle w:val="105"/>
              <w:spacing w:before="0" w:after="0"/>
              <w:jc w:val="center"/>
            </w:pPr>
            <w:r>
              <w:t>47</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restart"/>
            <w:vAlign w:val="center"/>
          </w:tcPr>
          <w:p>
            <w:pPr>
              <w:pStyle w:val="105"/>
              <w:spacing w:before="0" w:after="0"/>
              <w:jc w:val="center"/>
            </w:pPr>
            <w:r>
              <w:t>2</w:t>
            </w:r>
            <w:r>
              <w:rPr>
                <w:rFonts w:hint="eastAsia"/>
              </w:rPr>
              <w:t>月</w:t>
            </w:r>
            <w:r>
              <w:t>27</w:t>
            </w:r>
            <w:r>
              <w:rPr>
                <w:rFonts w:hint="eastAsia"/>
              </w:rPr>
              <w:t>日</w:t>
            </w:r>
          </w:p>
          <w:p>
            <w:pPr>
              <w:pStyle w:val="105"/>
              <w:spacing w:before="0" w:after="0"/>
              <w:jc w:val="center"/>
            </w:pPr>
            <w:r>
              <w:rPr>
                <w:rFonts w:hint="eastAsia"/>
              </w:rPr>
              <w:t>昼间</w:t>
            </w:r>
          </w:p>
        </w:tc>
        <w:tc>
          <w:tcPr>
            <w:tcW w:w="673" w:type="pct"/>
            <w:vAlign w:val="center"/>
          </w:tcPr>
          <w:p>
            <w:pPr>
              <w:pStyle w:val="105"/>
              <w:spacing w:before="0" w:after="0"/>
              <w:jc w:val="center"/>
            </w:pPr>
            <w:r>
              <w:t>0 m</w:t>
            </w:r>
          </w:p>
        </w:tc>
        <w:tc>
          <w:tcPr>
            <w:tcW w:w="921" w:type="pct"/>
            <w:vAlign w:val="center"/>
          </w:tcPr>
          <w:p>
            <w:pPr>
              <w:pStyle w:val="105"/>
              <w:spacing w:before="0" w:after="0"/>
              <w:jc w:val="center"/>
            </w:pPr>
            <w:r>
              <w:t>54</w:t>
            </w:r>
          </w:p>
        </w:tc>
        <w:tc>
          <w:tcPr>
            <w:tcW w:w="508" w:type="pct"/>
            <w:vMerge w:val="restart"/>
            <w:vAlign w:val="center"/>
          </w:tcPr>
          <w:p>
            <w:pPr>
              <w:pStyle w:val="105"/>
              <w:spacing w:before="0" w:after="0"/>
              <w:jc w:val="center"/>
            </w:pPr>
            <w:r>
              <w:t>2</w:t>
            </w:r>
          </w:p>
        </w:tc>
        <w:tc>
          <w:tcPr>
            <w:tcW w:w="537" w:type="pct"/>
            <w:vMerge w:val="restart"/>
            <w:vAlign w:val="center"/>
          </w:tcPr>
          <w:p>
            <w:pPr>
              <w:pStyle w:val="105"/>
              <w:spacing w:before="0" w:after="0"/>
              <w:jc w:val="center"/>
            </w:pPr>
            <w:r>
              <w:t>21</w:t>
            </w:r>
          </w:p>
        </w:tc>
        <w:tc>
          <w:tcPr>
            <w:tcW w:w="470" w:type="pct"/>
            <w:vMerge w:val="restart"/>
            <w:vAlign w:val="center"/>
          </w:tcPr>
          <w:p>
            <w:pPr>
              <w:pStyle w:val="105"/>
              <w:spacing w:before="0" w:after="0"/>
              <w:jc w:val="center"/>
            </w:pPr>
            <w:r>
              <w:t>2</w:t>
            </w:r>
            <w:r>
              <w:rPr>
                <w:rFonts w:hint="eastAsia"/>
              </w:rPr>
              <w:t>类</w:t>
            </w:r>
          </w:p>
        </w:tc>
        <w:tc>
          <w:tcPr>
            <w:tcW w:w="469" w:type="pct"/>
            <w:vMerge w:val="restar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 m</w:t>
            </w:r>
          </w:p>
        </w:tc>
        <w:tc>
          <w:tcPr>
            <w:tcW w:w="921" w:type="pct"/>
            <w:vAlign w:val="center"/>
          </w:tcPr>
          <w:p>
            <w:pPr>
              <w:pStyle w:val="105"/>
              <w:spacing w:before="0" w:after="0"/>
              <w:jc w:val="center"/>
            </w:pPr>
            <w:r>
              <w:t>54</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 m</w:t>
            </w:r>
          </w:p>
        </w:tc>
        <w:tc>
          <w:tcPr>
            <w:tcW w:w="921" w:type="pct"/>
            <w:vAlign w:val="center"/>
          </w:tcPr>
          <w:p>
            <w:pPr>
              <w:pStyle w:val="105"/>
              <w:spacing w:before="0" w:after="0"/>
              <w:jc w:val="center"/>
            </w:pPr>
            <w:r>
              <w:t>53</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60 m</w:t>
            </w:r>
          </w:p>
        </w:tc>
        <w:tc>
          <w:tcPr>
            <w:tcW w:w="921" w:type="pct"/>
            <w:vAlign w:val="center"/>
          </w:tcPr>
          <w:p>
            <w:pPr>
              <w:pStyle w:val="105"/>
              <w:spacing w:before="0" w:after="0"/>
              <w:jc w:val="center"/>
            </w:pPr>
            <w:r>
              <w:t>53</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restart"/>
            <w:vAlign w:val="center"/>
          </w:tcPr>
          <w:p>
            <w:pPr>
              <w:pStyle w:val="105"/>
              <w:spacing w:before="0" w:after="0"/>
              <w:jc w:val="center"/>
            </w:pPr>
            <w:r>
              <w:t>2</w:t>
            </w:r>
            <w:r>
              <w:rPr>
                <w:rFonts w:hint="eastAsia"/>
              </w:rPr>
              <w:t>月</w:t>
            </w:r>
            <w:r>
              <w:t>27~28</w:t>
            </w:r>
            <w:r>
              <w:rPr>
                <w:rFonts w:hint="eastAsia"/>
              </w:rPr>
              <w:t>日</w:t>
            </w:r>
          </w:p>
          <w:p>
            <w:pPr>
              <w:pStyle w:val="105"/>
              <w:spacing w:before="0" w:after="0"/>
              <w:jc w:val="center"/>
            </w:pPr>
            <w:r>
              <w:rPr>
                <w:rFonts w:hint="eastAsia"/>
              </w:rPr>
              <w:t>夜间</w:t>
            </w:r>
          </w:p>
        </w:tc>
        <w:tc>
          <w:tcPr>
            <w:tcW w:w="673" w:type="pct"/>
            <w:vAlign w:val="center"/>
          </w:tcPr>
          <w:p>
            <w:pPr>
              <w:pStyle w:val="105"/>
              <w:spacing w:before="0" w:after="0"/>
              <w:jc w:val="center"/>
            </w:pPr>
            <w:r>
              <w:t>0 m</w:t>
            </w:r>
          </w:p>
        </w:tc>
        <w:tc>
          <w:tcPr>
            <w:tcW w:w="921" w:type="pct"/>
            <w:vAlign w:val="center"/>
          </w:tcPr>
          <w:p>
            <w:pPr>
              <w:pStyle w:val="105"/>
              <w:spacing w:before="0" w:after="0"/>
              <w:jc w:val="center"/>
            </w:pPr>
            <w:r>
              <w:t>48</w:t>
            </w:r>
          </w:p>
        </w:tc>
        <w:tc>
          <w:tcPr>
            <w:tcW w:w="508" w:type="pct"/>
            <w:vMerge w:val="restart"/>
            <w:vAlign w:val="center"/>
          </w:tcPr>
          <w:p>
            <w:pPr>
              <w:pStyle w:val="105"/>
              <w:spacing w:before="0" w:after="0"/>
              <w:jc w:val="center"/>
            </w:pPr>
            <w:r>
              <w:t>0</w:t>
            </w:r>
          </w:p>
        </w:tc>
        <w:tc>
          <w:tcPr>
            <w:tcW w:w="537" w:type="pct"/>
            <w:vMerge w:val="restart"/>
            <w:vAlign w:val="center"/>
          </w:tcPr>
          <w:p>
            <w:pPr>
              <w:pStyle w:val="105"/>
              <w:spacing w:before="0" w:after="0"/>
              <w:jc w:val="center"/>
            </w:pPr>
            <w:r>
              <w:t>11</w:t>
            </w:r>
          </w:p>
        </w:tc>
        <w:tc>
          <w:tcPr>
            <w:tcW w:w="470" w:type="pct"/>
            <w:vMerge w:val="restart"/>
            <w:vAlign w:val="center"/>
          </w:tcPr>
          <w:p>
            <w:pPr>
              <w:pStyle w:val="105"/>
              <w:spacing w:before="0" w:after="0"/>
              <w:jc w:val="center"/>
            </w:pPr>
            <w:r>
              <w:t>2</w:t>
            </w:r>
            <w:r>
              <w:rPr>
                <w:rFonts w:hint="eastAsia"/>
              </w:rPr>
              <w:t>类</w:t>
            </w:r>
          </w:p>
        </w:tc>
        <w:tc>
          <w:tcPr>
            <w:tcW w:w="469" w:type="pct"/>
            <w:vMerge w:val="restar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 m</w:t>
            </w:r>
          </w:p>
        </w:tc>
        <w:tc>
          <w:tcPr>
            <w:tcW w:w="921" w:type="pct"/>
            <w:vAlign w:val="center"/>
          </w:tcPr>
          <w:p>
            <w:pPr>
              <w:pStyle w:val="105"/>
              <w:spacing w:before="0" w:after="0"/>
              <w:jc w:val="center"/>
            </w:pPr>
            <w:r>
              <w:t>48</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 m</w:t>
            </w:r>
          </w:p>
        </w:tc>
        <w:tc>
          <w:tcPr>
            <w:tcW w:w="921" w:type="pct"/>
            <w:vAlign w:val="center"/>
          </w:tcPr>
          <w:p>
            <w:pPr>
              <w:pStyle w:val="105"/>
              <w:spacing w:before="0" w:after="0"/>
              <w:jc w:val="center"/>
            </w:pPr>
            <w:r>
              <w:t>48</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60 m</w:t>
            </w:r>
          </w:p>
        </w:tc>
        <w:tc>
          <w:tcPr>
            <w:tcW w:w="921" w:type="pct"/>
            <w:vAlign w:val="center"/>
          </w:tcPr>
          <w:p>
            <w:pPr>
              <w:pStyle w:val="105"/>
              <w:spacing w:before="0" w:after="0"/>
              <w:jc w:val="center"/>
            </w:pPr>
            <w:r>
              <w:t>48</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restart"/>
            <w:vAlign w:val="center"/>
          </w:tcPr>
          <w:p>
            <w:pPr>
              <w:pStyle w:val="105"/>
              <w:spacing w:before="0" w:after="0"/>
              <w:jc w:val="center"/>
            </w:pPr>
            <w:r>
              <w:rPr>
                <w:rFonts w:hint="eastAsia"/>
              </w:rPr>
              <w:t>N</w:t>
            </w:r>
            <w:r>
              <w:t>15</w:t>
            </w:r>
            <w:r>
              <w:rPr>
                <w:rFonts w:hint="eastAsia"/>
              </w:rPr>
              <w:t>枝钟路</w:t>
            </w:r>
          </w:p>
          <w:p>
            <w:pPr>
              <w:pStyle w:val="105"/>
              <w:spacing w:before="0" w:after="0"/>
              <w:jc w:val="center"/>
            </w:pPr>
            <w:r>
              <w:rPr>
                <w:rFonts w:hint="eastAsia"/>
              </w:rPr>
              <w:t>水平断面</w:t>
            </w:r>
          </w:p>
        </w:tc>
        <w:tc>
          <w:tcPr>
            <w:tcW w:w="874" w:type="pct"/>
            <w:vMerge w:val="restart"/>
            <w:vAlign w:val="center"/>
          </w:tcPr>
          <w:p>
            <w:pPr>
              <w:pStyle w:val="105"/>
              <w:spacing w:before="0" w:after="0"/>
              <w:jc w:val="center"/>
            </w:pPr>
            <w:r>
              <w:t>2</w:t>
            </w:r>
            <w:r>
              <w:rPr>
                <w:rFonts w:hint="eastAsia"/>
              </w:rPr>
              <w:t>月</w:t>
            </w:r>
            <w:r>
              <w:t>26</w:t>
            </w:r>
            <w:r>
              <w:rPr>
                <w:rFonts w:hint="eastAsia"/>
              </w:rPr>
              <w:t>日</w:t>
            </w:r>
          </w:p>
          <w:p>
            <w:pPr>
              <w:pStyle w:val="105"/>
              <w:spacing w:before="0" w:after="0"/>
              <w:jc w:val="center"/>
            </w:pPr>
            <w:r>
              <w:rPr>
                <w:rFonts w:hint="eastAsia"/>
              </w:rPr>
              <w:t>昼间</w:t>
            </w:r>
          </w:p>
        </w:tc>
        <w:tc>
          <w:tcPr>
            <w:tcW w:w="673" w:type="pct"/>
            <w:vAlign w:val="center"/>
          </w:tcPr>
          <w:p>
            <w:pPr>
              <w:pStyle w:val="105"/>
              <w:spacing w:before="0" w:after="0"/>
              <w:jc w:val="center"/>
            </w:pPr>
            <w:r>
              <w:t>0 m</w:t>
            </w:r>
          </w:p>
        </w:tc>
        <w:tc>
          <w:tcPr>
            <w:tcW w:w="921" w:type="pct"/>
            <w:vAlign w:val="center"/>
          </w:tcPr>
          <w:p>
            <w:pPr>
              <w:pStyle w:val="105"/>
              <w:spacing w:before="0" w:after="0"/>
              <w:jc w:val="center"/>
            </w:pPr>
            <w:r>
              <w:t>57</w:t>
            </w:r>
          </w:p>
        </w:tc>
        <w:tc>
          <w:tcPr>
            <w:tcW w:w="508" w:type="pct"/>
            <w:vMerge w:val="restart"/>
            <w:vAlign w:val="center"/>
          </w:tcPr>
          <w:p>
            <w:pPr>
              <w:pStyle w:val="105"/>
              <w:spacing w:before="0" w:after="0"/>
              <w:jc w:val="center"/>
            </w:pPr>
            <w:r>
              <w:t>3</w:t>
            </w:r>
          </w:p>
        </w:tc>
        <w:tc>
          <w:tcPr>
            <w:tcW w:w="537" w:type="pct"/>
            <w:vMerge w:val="restart"/>
            <w:vAlign w:val="center"/>
          </w:tcPr>
          <w:p>
            <w:pPr>
              <w:pStyle w:val="105"/>
              <w:spacing w:before="0" w:after="0"/>
              <w:jc w:val="center"/>
            </w:pPr>
            <w:r>
              <w:t>16</w:t>
            </w:r>
          </w:p>
        </w:tc>
        <w:tc>
          <w:tcPr>
            <w:tcW w:w="470" w:type="pct"/>
            <w:vMerge w:val="restart"/>
            <w:vAlign w:val="center"/>
          </w:tcPr>
          <w:p>
            <w:pPr>
              <w:pStyle w:val="105"/>
              <w:spacing w:before="0" w:after="0"/>
              <w:jc w:val="center"/>
            </w:pPr>
            <w:r>
              <w:t>2</w:t>
            </w:r>
            <w:r>
              <w:rPr>
                <w:rFonts w:hint="eastAsia"/>
              </w:rPr>
              <w:t>类</w:t>
            </w:r>
          </w:p>
        </w:tc>
        <w:tc>
          <w:tcPr>
            <w:tcW w:w="469" w:type="pct"/>
            <w:vMerge w:val="restar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 m</w:t>
            </w:r>
          </w:p>
        </w:tc>
        <w:tc>
          <w:tcPr>
            <w:tcW w:w="921" w:type="pct"/>
            <w:vAlign w:val="center"/>
          </w:tcPr>
          <w:p>
            <w:pPr>
              <w:pStyle w:val="105"/>
              <w:spacing w:before="0" w:after="0"/>
              <w:jc w:val="center"/>
            </w:pPr>
            <w:r>
              <w:t>55</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 m</w:t>
            </w:r>
          </w:p>
        </w:tc>
        <w:tc>
          <w:tcPr>
            <w:tcW w:w="921" w:type="pct"/>
            <w:vAlign w:val="center"/>
          </w:tcPr>
          <w:p>
            <w:pPr>
              <w:pStyle w:val="105"/>
              <w:spacing w:before="0" w:after="0"/>
              <w:jc w:val="center"/>
            </w:pPr>
            <w:r>
              <w:t>54</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60 m</w:t>
            </w:r>
          </w:p>
        </w:tc>
        <w:tc>
          <w:tcPr>
            <w:tcW w:w="921" w:type="pct"/>
            <w:vAlign w:val="center"/>
          </w:tcPr>
          <w:p>
            <w:pPr>
              <w:pStyle w:val="105"/>
              <w:spacing w:before="0" w:after="0"/>
              <w:jc w:val="center"/>
            </w:pPr>
            <w:r>
              <w:t>52</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restart"/>
            <w:vAlign w:val="center"/>
          </w:tcPr>
          <w:p>
            <w:pPr>
              <w:pStyle w:val="105"/>
              <w:spacing w:before="0" w:after="0"/>
              <w:jc w:val="center"/>
            </w:pPr>
            <w:r>
              <w:t>2</w:t>
            </w:r>
            <w:r>
              <w:rPr>
                <w:rFonts w:hint="eastAsia"/>
              </w:rPr>
              <w:t>月</w:t>
            </w:r>
            <w:r>
              <w:t>26~27</w:t>
            </w:r>
            <w:r>
              <w:rPr>
                <w:rFonts w:hint="eastAsia"/>
              </w:rPr>
              <w:t>日</w:t>
            </w:r>
          </w:p>
          <w:p>
            <w:pPr>
              <w:pStyle w:val="105"/>
              <w:spacing w:before="0" w:after="0"/>
              <w:jc w:val="center"/>
            </w:pPr>
            <w:r>
              <w:rPr>
                <w:rFonts w:hint="eastAsia"/>
              </w:rPr>
              <w:t>夜间</w:t>
            </w:r>
          </w:p>
        </w:tc>
        <w:tc>
          <w:tcPr>
            <w:tcW w:w="673" w:type="pct"/>
            <w:vAlign w:val="center"/>
          </w:tcPr>
          <w:p>
            <w:pPr>
              <w:pStyle w:val="105"/>
              <w:spacing w:before="0" w:after="0"/>
              <w:jc w:val="center"/>
            </w:pPr>
            <w:r>
              <w:t>0 m</w:t>
            </w:r>
          </w:p>
        </w:tc>
        <w:tc>
          <w:tcPr>
            <w:tcW w:w="921" w:type="pct"/>
            <w:vAlign w:val="center"/>
          </w:tcPr>
          <w:p>
            <w:pPr>
              <w:pStyle w:val="105"/>
              <w:spacing w:before="0" w:after="0"/>
              <w:jc w:val="center"/>
            </w:pPr>
            <w:r>
              <w:t>48</w:t>
            </w:r>
          </w:p>
        </w:tc>
        <w:tc>
          <w:tcPr>
            <w:tcW w:w="508" w:type="pct"/>
            <w:vMerge w:val="restart"/>
            <w:vAlign w:val="center"/>
          </w:tcPr>
          <w:p>
            <w:pPr>
              <w:pStyle w:val="105"/>
              <w:spacing w:before="0" w:after="0"/>
              <w:jc w:val="center"/>
            </w:pPr>
            <w:r>
              <w:t>0</w:t>
            </w:r>
          </w:p>
        </w:tc>
        <w:tc>
          <w:tcPr>
            <w:tcW w:w="537" w:type="pct"/>
            <w:vMerge w:val="restart"/>
            <w:vAlign w:val="center"/>
          </w:tcPr>
          <w:p>
            <w:pPr>
              <w:pStyle w:val="105"/>
              <w:spacing w:before="0" w:after="0"/>
              <w:jc w:val="center"/>
            </w:pPr>
            <w:r>
              <w:t>7</w:t>
            </w:r>
          </w:p>
        </w:tc>
        <w:tc>
          <w:tcPr>
            <w:tcW w:w="470" w:type="pct"/>
            <w:vMerge w:val="restart"/>
            <w:vAlign w:val="center"/>
          </w:tcPr>
          <w:p>
            <w:pPr>
              <w:pStyle w:val="105"/>
              <w:spacing w:before="0" w:after="0"/>
              <w:jc w:val="center"/>
            </w:pPr>
            <w:r>
              <w:t>2</w:t>
            </w:r>
            <w:r>
              <w:rPr>
                <w:rFonts w:hint="eastAsia"/>
              </w:rPr>
              <w:t>类</w:t>
            </w:r>
          </w:p>
        </w:tc>
        <w:tc>
          <w:tcPr>
            <w:tcW w:w="469" w:type="pct"/>
            <w:vMerge w:val="restar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 m</w:t>
            </w:r>
          </w:p>
        </w:tc>
        <w:tc>
          <w:tcPr>
            <w:tcW w:w="921" w:type="pct"/>
            <w:vAlign w:val="center"/>
          </w:tcPr>
          <w:p>
            <w:pPr>
              <w:pStyle w:val="105"/>
              <w:spacing w:before="0" w:after="0"/>
              <w:jc w:val="center"/>
            </w:pPr>
            <w:r>
              <w:t>48</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 m</w:t>
            </w:r>
          </w:p>
        </w:tc>
        <w:tc>
          <w:tcPr>
            <w:tcW w:w="921" w:type="pct"/>
            <w:vAlign w:val="center"/>
          </w:tcPr>
          <w:p>
            <w:pPr>
              <w:pStyle w:val="105"/>
              <w:spacing w:before="0" w:after="0"/>
              <w:jc w:val="center"/>
            </w:pPr>
            <w:r>
              <w:t>48</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60 m</w:t>
            </w:r>
          </w:p>
        </w:tc>
        <w:tc>
          <w:tcPr>
            <w:tcW w:w="921" w:type="pct"/>
            <w:vAlign w:val="center"/>
          </w:tcPr>
          <w:p>
            <w:pPr>
              <w:pStyle w:val="105"/>
              <w:spacing w:before="0" w:after="0"/>
              <w:jc w:val="center"/>
            </w:pPr>
            <w:r>
              <w:t>47</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restart"/>
            <w:vAlign w:val="center"/>
          </w:tcPr>
          <w:p>
            <w:pPr>
              <w:pStyle w:val="105"/>
              <w:spacing w:before="0" w:after="0"/>
              <w:jc w:val="center"/>
            </w:pPr>
            <w:r>
              <w:t>2</w:t>
            </w:r>
            <w:r>
              <w:rPr>
                <w:rFonts w:hint="eastAsia"/>
              </w:rPr>
              <w:t>月</w:t>
            </w:r>
            <w:r>
              <w:t>27</w:t>
            </w:r>
            <w:r>
              <w:rPr>
                <w:rFonts w:hint="eastAsia"/>
              </w:rPr>
              <w:t>日</w:t>
            </w:r>
          </w:p>
          <w:p>
            <w:pPr>
              <w:pStyle w:val="105"/>
              <w:spacing w:before="0" w:after="0"/>
              <w:jc w:val="center"/>
            </w:pPr>
            <w:r>
              <w:rPr>
                <w:rFonts w:hint="eastAsia"/>
              </w:rPr>
              <w:t>昼间</w:t>
            </w:r>
          </w:p>
        </w:tc>
        <w:tc>
          <w:tcPr>
            <w:tcW w:w="673" w:type="pct"/>
            <w:vAlign w:val="center"/>
          </w:tcPr>
          <w:p>
            <w:pPr>
              <w:pStyle w:val="105"/>
              <w:spacing w:before="0" w:after="0"/>
              <w:jc w:val="center"/>
            </w:pPr>
            <w:r>
              <w:t>0 m</w:t>
            </w:r>
          </w:p>
        </w:tc>
        <w:tc>
          <w:tcPr>
            <w:tcW w:w="921" w:type="pct"/>
            <w:vAlign w:val="center"/>
          </w:tcPr>
          <w:p>
            <w:pPr>
              <w:pStyle w:val="105"/>
              <w:spacing w:before="0" w:after="0"/>
              <w:jc w:val="center"/>
            </w:pPr>
            <w:r>
              <w:t>56</w:t>
            </w:r>
          </w:p>
        </w:tc>
        <w:tc>
          <w:tcPr>
            <w:tcW w:w="508" w:type="pct"/>
            <w:vMerge w:val="restart"/>
            <w:vAlign w:val="center"/>
          </w:tcPr>
          <w:p>
            <w:pPr>
              <w:pStyle w:val="105"/>
              <w:spacing w:before="0" w:after="0"/>
              <w:jc w:val="center"/>
            </w:pPr>
            <w:r>
              <w:t>4</w:t>
            </w:r>
          </w:p>
        </w:tc>
        <w:tc>
          <w:tcPr>
            <w:tcW w:w="537" w:type="pct"/>
            <w:vMerge w:val="restart"/>
            <w:vAlign w:val="center"/>
          </w:tcPr>
          <w:p>
            <w:pPr>
              <w:pStyle w:val="105"/>
              <w:spacing w:before="0" w:after="0"/>
              <w:jc w:val="center"/>
            </w:pPr>
            <w:r>
              <w:t>13</w:t>
            </w:r>
          </w:p>
        </w:tc>
        <w:tc>
          <w:tcPr>
            <w:tcW w:w="470" w:type="pct"/>
            <w:vMerge w:val="restart"/>
            <w:vAlign w:val="center"/>
          </w:tcPr>
          <w:p>
            <w:pPr>
              <w:pStyle w:val="105"/>
              <w:spacing w:before="0" w:after="0"/>
              <w:jc w:val="center"/>
            </w:pPr>
            <w:r>
              <w:t>2</w:t>
            </w:r>
            <w:r>
              <w:rPr>
                <w:rFonts w:hint="eastAsia"/>
              </w:rPr>
              <w:t>类</w:t>
            </w:r>
          </w:p>
        </w:tc>
        <w:tc>
          <w:tcPr>
            <w:tcW w:w="469" w:type="pct"/>
            <w:vMerge w:val="restar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 m</w:t>
            </w:r>
          </w:p>
        </w:tc>
        <w:tc>
          <w:tcPr>
            <w:tcW w:w="921" w:type="pct"/>
            <w:vAlign w:val="center"/>
          </w:tcPr>
          <w:p>
            <w:pPr>
              <w:pStyle w:val="105"/>
              <w:spacing w:before="0" w:after="0"/>
              <w:jc w:val="center"/>
            </w:pPr>
            <w:r>
              <w:t>56</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 m</w:t>
            </w:r>
          </w:p>
        </w:tc>
        <w:tc>
          <w:tcPr>
            <w:tcW w:w="921" w:type="pct"/>
            <w:vAlign w:val="center"/>
          </w:tcPr>
          <w:p>
            <w:pPr>
              <w:pStyle w:val="105"/>
              <w:spacing w:before="0" w:after="0"/>
              <w:jc w:val="center"/>
            </w:pPr>
            <w:r>
              <w:t>54</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60 m</w:t>
            </w:r>
          </w:p>
        </w:tc>
        <w:tc>
          <w:tcPr>
            <w:tcW w:w="921" w:type="pct"/>
            <w:vAlign w:val="center"/>
          </w:tcPr>
          <w:p>
            <w:pPr>
              <w:pStyle w:val="105"/>
              <w:spacing w:before="0" w:after="0"/>
              <w:jc w:val="center"/>
            </w:pPr>
            <w:r>
              <w:t>53</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restart"/>
            <w:vAlign w:val="center"/>
          </w:tcPr>
          <w:p>
            <w:pPr>
              <w:pStyle w:val="105"/>
              <w:spacing w:before="0" w:after="0"/>
              <w:jc w:val="center"/>
            </w:pPr>
            <w:r>
              <w:t>2</w:t>
            </w:r>
            <w:r>
              <w:rPr>
                <w:rFonts w:hint="eastAsia"/>
              </w:rPr>
              <w:t>月</w:t>
            </w:r>
            <w:r>
              <w:t>27~28</w:t>
            </w:r>
            <w:r>
              <w:rPr>
                <w:rFonts w:hint="eastAsia"/>
              </w:rPr>
              <w:t>日</w:t>
            </w:r>
          </w:p>
          <w:p>
            <w:pPr>
              <w:pStyle w:val="105"/>
              <w:spacing w:before="0" w:after="0"/>
              <w:jc w:val="center"/>
            </w:pPr>
            <w:r>
              <w:rPr>
                <w:rFonts w:hint="eastAsia"/>
              </w:rPr>
              <w:t>夜间</w:t>
            </w:r>
          </w:p>
        </w:tc>
        <w:tc>
          <w:tcPr>
            <w:tcW w:w="673" w:type="pct"/>
            <w:vAlign w:val="center"/>
          </w:tcPr>
          <w:p>
            <w:pPr>
              <w:pStyle w:val="105"/>
              <w:spacing w:before="0" w:after="0"/>
              <w:jc w:val="center"/>
            </w:pPr>
            <w:r>
              <w:t>0 m</w:t>
            </w:r>
          </w:p>
        </w:tc>
        <w:tc>
          <w:tcPr>
            <w:tcW w:w="921" w:type="pct"/>
            <w:vAlign w:val="center"/>
          </w:tcPr>
          <w:p>
            <w:pPr>
              <w:pStyle w:val="105"/>
              <w:spacing w:before="0" w:after="0"/>
              <w:jc w:val="center"/>
            </w:pPr>
            <w:r>
              <w:t>49</w:t>
            </w:r>
          </w:p>
        </w:tc>
        <w:tc>
          <w:tcPr>
            <w:tcW w:w="508" w:type="pct"/>
            <w:vMerge w:val="restart"/>
            <w:vAlign w:val="center"/>
          </w:tcPr>
          <w:p>
            <w:pPr>
              <w:pStyle w:val="105"/>
              <w:spacing w:before="0" w:after="0"/>
              <w:jc w:val="center"/>
            </w:pPr>
            <w:r>
              <w:t>0</w:t>
            </w:r>
          </w:p>
        </w:tc>
        <w:tc>
          <w:tcPr>
            <w:tcW w:w="537" w:type="pct"/>
            <w:vMerge w:val="restart"/>
            <w:vAlign w:val="center"/>
          </w:tcPr>
          <w:p>
            <w:pPr>
              <w:pStyle w:val="105"/>
              <w:spacing w:before="0" w:after="0"/>
              <w:jc w:val="center"/>
            </w:pPr>
            <w:r>
              <w:t>4</w:t>
            </w:r>
          </w:p>
        </w:tc>
        <w:tc>
          <w:tcPr>
            <w:tcW w:w="470" w:type="pct"/>
            <w:vMerge w:val="restart"/>
            <w:vAlign w:val="center"/>
          </w:tcPr>
          <w:p>
            <w:pPr>
              <w:pStyle w:val="105"/>
              <w:spacing w:before="0" w:after="0"/>
              <w:jc w:val="center"/>
            </w:pPr>
            <w:r>
              <w:t>2</w:t>
            </w:r>
            <w:r>
              <w:rPr>
                <w:rFonts w:hint="eastAsia"/>
              </w:rPr>
              <w:t>类</w:t>
            </w:r>
          </w:p>
        </w:tc>
        <w:tc>
          <w:tcPr>
            <w:tcW w:w="469" w:type="pct"/>
            <w:vMerge w:val="restart"/>
            <w:vAlign w:val="center"/>
          </w:tcPr>
          <w:p>
            <w:pPr>
              <w:pStyle w:val="105"/>
              <w:spacing w:before="0" w:after="0"/>
              <w:jc w:val="center"/>
            </w:pPr>
            <w:r>
              <w:rPr>
                <w:rFonts w:hint="eastAsia"/>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20 m</w:t>
            </w:r>
          </w:p>
        </w:tc>
        <w:tc>
          <w:tcPr>
            <w:tcW w:w="921" w:type="pct"/>
            <w:vAlign w:val="center"/>
          </w:tcPr>
          <w:p>
            <w:pPr>
              <w:pStyle w:val="105"/>
              <w:spacing w:before="0" w:after="0"/>
              <w:jc w:val="center"/>
            </w:pPr>
            <w:r>
              <w:t>49</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40 m</w:t>
            </w:r>
          </w:p>
        </w:tc>
        <w:tc>
          <w:tcPr>
            <w:tcW w:w="921" w:type="pct"/>
            <w:vAlign w:val="center"/>
          </w:tcPr>
          <w:p>
            <w:pPr>
              <w:pStyle w:val="105"/>
              <w:spacing w:before="0" w:after="0"/>
              <w:jc w:val="center"/>
            </w:pPr>
            <w:r>
              <w:t>48</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7" w:hRule="atLeast"/>
          <w:tblHeader/>
          <w:jc w:val="center"/>
        </w:trPr>
        <w:tc>
          <w:tcPr>
            <w:tcW w:w="547" w:type="pct"/>
            <w:vMerge w:val="continue"/>
            <w:vAlign w:val="center"/>
          </w:tcPr>
          <w:p>
            <w:pPr>
              <w:pStyle w:val="105"/>
              <w:spacing w:before="0" w:after="0"/>
              <w:jc w:val="center"/>
            </w:pPr>
          </w:p>
        </w:tc>
        <w:tc>
          <w:tcPr>
            <w:tcW w:w="874" w:type="pct"/>
            <w:vMerge w:val="continue"/>
            <w:vAlign w:val="center"/>
          </w:tcPr>
          <w:p>
            <w:pPr>
              <w:pStyle w:val="105"/>
              <w:spacing w:before="0" w:after="0"/>
              <w:jc w:val="center"/>
            </w:pPr>
          </w:p>
        </w:tc>
        <w:tc>
          <w:tcPr>
            <w:tcW w:w="673" w:type="pct"/>
            <w:vAlign w:val="center"/>
          </w:tcPr>
          <w:p>
            <w:pPr>
              <w:pStyle w:val="105"/>
              <w:spacing w:before="0" w:after="0"/>
              <w:jc w:val="center"/>
            </w:pPr>
            <w:r>
              <w:t>60 m</w:t>
            </w:r>
          </w:p>
        </w:tc>
        <w:tc>
          <w:tcPr>
            <w:tcW w:w="921" w:type="pct"/>
            <w:vAlign w:val="center"/>
          </w:tcPr>
          <w:p>
            <w:pPr>
              <w:pStyle w:val="105"/>
              <w:spacing w:before="0" w:after="0"/>
              <w:jc w:val="center"/>
            </w:pPr>
            <w:r>
              <w:t>47</w:t>
            </w:r>
          </w:p>
        </w:tc>
        <w:tc>
          <w:tcPr>
            <w:tcW w:w="508" w:type="pct"/>
            <w:vMerge w:val="continue"/>
            <w:vAlign w:val="center"/>
          </w:tcPr>
          <w:p>
            <w:pPr>
              <w:pStyle w:val="105"/>
              <w:spacing w:before="0" w:after="0"/>
              <w:jc w:val="center"/>
            </w:pPr>
          </w:p>
        </w:tc>
        <w:tc>
          <w:tcPr>
            <w:tcW w:w="537" w:type="pct"/>
            <w:vMerge w:val="continue"/>
            <w:vAlign w:val="center"/>
          </w:tcPr>
          <w:p>
            <w:pPr>
              <w:pStyle w:val="105"/>
              <w:spacing w:before="0" w:after="0"/>
              <w:jc w:val="center"/>
            </w:pPr>
          </w:p>
        </w:tc>
        <w:tc>
          <w:tcPr>
            <w:tcW w:w="470" w:type="pct"/>
            <w:vMerge w:val="continue"/>
            <w:vAlign w:val="center"/>
          </w:tcPr>
          <w:p>
            <w:pPr>
              <w:pStyle w:val="105"/>
              <w:spacing w:before="0" w:after="0"/>
              <w:jc w:val="center"/>
            </w:pPr>
          </w:p>
        </w:tc>
        <w:tc>
          <w:tcPr>
            <w:tcW w:w="469" w:type="pct"/>
            <w:vMerge w:val="continue"/>
            <w:vAlign w:val="center"/>
          </w:tcPr>
          <w:p>
            <w:pPr>
              <w:pStyle w:val="105"/>
              <w:spacing w:before="0" w:after="0"/>
              <w:jc w:val="center"/>
            </w:pPr>
          </w:p>
        </w:tc>
      </w:tr>
      <w:bookmarkEnd w:id="414"/>
    </w:tbl>
    <w:p>
      <w:pPr>
        <w:pStyle w:val="124"/>
        <w:spacing w:before="163"/>
      </w:pPr>
      <w:r>
        <w:t>（2）声环境质量现状评价</w:t>
      </w:r>
      <w:r>
        <w:rPr>
          <w:rFonts w:hint="eastAsia"/>
        </w:rPr>
        <w:t>：目前区域内主要声源为交通噪声、生活噪声。由下表可知，起点G</w:t>
      </w:r>
      <w:r>
        <w:t>324</w:t>
      </w:r>
      <w:r>
        <w:rPr>
          <w:rFonts w:hint="eastAsia"/>
        </w:rPr>
        <w:t>国道交通噪声水平断面调查结果昼间2</w:t>
      </w:r>
      <w:r>
        <w:t>0</w:t>
      </w:r>
      <w:r>
        <w:rPr>
          <w:rFonts w:hint="eastAsia"/>
        </w:rPr>
        <w:t>m、4</w:t>
      </w:r>
      <w:r>
        <w:t>0</w:t>
      </w:r>
      <w:r>
        <w:rPr>
          <w:rFonts w:hint="eastAsia"/>
        </w:rPr>
        <w:t>m能满足4a类标准，昼间0m和夜间均超4a类标准，超标主要原因为国道车流量大，大型车多；</w:t>
      </w:r>
      <w:r>
        <w:t>声环境质量现状评价</w:t>
      </w:r>
      <w:r>
        <w:rPr>
          <w:rFonts w:hint="eastAsia"/>
        </w:rPr>
        <w:t>：目前区域内主要声源为生活噪声和交通噪声。根据监测结果表明：评价区敏感目标除临现状G</w:t>
      </w:r>
      <w:r>
        <w:t>324</w:t>
      </w:r>
      <w:r>
        <w:rPr>
          <w:rFonts w:hint="eastAsia"/>
        </w:rPr>
        <w:t>国道一侧外，其他敏感目标声环境质量现状较好，能够达到4a类、2类标准，没有出现超标现象，总体上区域声环境质量状况较好。但G</w:t>
      </w:r>
      <w:r>
        <w:t>324</w:t>
      </w:r>
      <w:r>
        <w:rPr>
          <w:rFonts w:hint="eastAsia"/>
        </w:rPr>
        <w:t>国道一侧牌边村第一排受国道交通噪声影响，昼夜均出现超标现象。</w:t>
      </w:r>
    </w:p>
    <w:p>
      <w:pPr>
        <w:pStyle w:val="116"/>
      </w:pPr>
      <w:bookmarkStart w:id="415" w:name="3.3大气环境质量现状评价"/>
      <w:bookmarkEnd w:id="415"/>
      <w:bookmarkStart w:id="416" w:name="3.2.1声环境现状监测"/>
      <w:bookmarkEnd w:id="416"/>
      <w:bookmarkStart w:id="417" w:name="3.4水环境现状调查与评价"/>
      <w:bookmarkEnd w:id="417"/>
      <w:bookmarkStart w:id="418" w:name="_Toc32490"/>
      <w:bookmarkStart w:id="419" w:name="_Toc204676244"/>
      <w:bookmarkStart w:id="420" w:name="_Toc159405471"/>
      <w:r>
        <w:t>生态环境现状调查与评价</w:t>
      </w:r>
      <w:bookmarkEnd w:id="418"/>
      <w:bookmarkEnd w:id="419"/>
      <w:bookmarkEnd w:id="420"/>
    </w:p>
    <w:p>
      <w:pPr>
        <w:pStyle w:val="120"/>
        <w:rPr>
          <w:color w:val="auto"/>
        </w:rPr>
      </w:pPr>
      <w:r>
        <w:rPr>
          <w:rFonts w:hint="eastAsia"/>
          <w:color w:val="auto"/>
        </w:rPr>
        <w:t>生态功能区划</w:t>
      </w:r>
    </w:p>
    <w:p>
      <w:pPr>
        <w:ind w:firstLine="480"/>
        <w:rPr>
          <w:strike/>
        </w:rPr>
      </w:pPr>
      <w:r>
        <w:rPr>
          <w:rFonts w:hint="eastAsia"/>
        </w:rPr>
        <w:t>①福建省生态功能区划：根据《福建省人民政府关于印发福建省生态功能区划的通知》（闽政文〔2010〕26号），线路所在地的生态功能单元为“</w:t>
      </w:r>
      <w:r>
        <w:rPr>
          <w:rFonts w:cs="Times New Roman"/>
          <w:kern w:val="0"/>
          <w:szCs w:val="24"/>
          <w:lang w:val="zh-CN"/>
        </w:rPr>
        <w:t>Ⅱ闽东南生态区</w:t>
      </w:r>
      <w:r>
        <w:rPr>
          <w:rFonts w:hint="eastAsia" w:cs="Times New Roman"/>
          <w:kern w:val="0"/>
          <w:szCs w:val="24"/>
          <w:lang w:val="zh-CN"/>
        </w:rPr>
        <w:t>—</w:t>
      </w:r>
      <w:r>
        <w:rPr>
          <w:rFonts w:cs="Times New Roman"/>
          <w:kern w:val="0"/>
          <w:szCs w:val="24"/>
          <w:lang w:val="zh-CN"/>
        </w:rPr>
        <w:t>Ⅱ</w:t>
      </w:r>
      <w:r>
        <w:rPr>
          <w:rFonts w:cs="Times New Roman"/>
          <w:kern w:val="0"/>
          <w:szCs w:val="24"/>
          <w:vertAlign w:val="subscript"/>
          <w:lang w:val="zh-CN"/>
        </w:rPr>
        <w:t>2</w:t>
      </w:r>
      <w:r>
        <w:rPr>
          <w:rFonts w:cs="Times New Roman"/>
          <w:kern w:val="0"/>
          <w:szCs w:val="24"/>
          <w:lang w:val="zh-CN"/>
        </w:rPr>
        <w:t>闽东南沿海台丘平原与近岸海域生态</w:t>
      </w:r>
      <w:r>
        <w:rPr>
          <w:rFonts w:hint="eastAsia"/>
          <w:kern w:val="0"/>
          <w:szCs w:val="24"/>
          <w:lang w:val="zh-CN"/>
        </w:rPr>
        <w:t>亚</w:t>
      </w:r>
      <w:r>
        <w:rPr>
          <w:kern w:val="0"/>
          <w:szCs w:val="24"/>
          <w:lang w:val="zh-CN"/>
        </w:rPr>
        <w:t>区</w:t>
      </w:r>
      <w:r>
        <w:rPr>
          <w:rFonts w:hint="eastAsia"/>
          <w:kern w:val="0"/>
          <w:szCs w:val="24"/>
          <w:lang w:val="zh-CN"/>
        </w:rPr>
        <w:t>——</w:t>
      </w:r>
      <w:r>
        <w:rPr>
          <w:rFonts w:cs="Times New Roman"/>
          <w:kern w:val="0"/>
          <w:szCs w:val="24"/>
          <w:lang w:val="zh-CN"/>
        </w:rPr>
        <w:t>5203 福 清一平潭城镇和集约化高优农业生态功能区</w:t>
      </w:r>
      <w:r>
        <w:rPr>
          <w:rFonts w:hint="eastAsia"/>
        </w:rPr>
        <w:t>”，其主要生态系统服务功能为：福清城镇和集约化高优农业生态功能区</w:t>
      </w:r>
      <w:r>
        <w:t>。项目与</w:t>
      </w:r>
      <w:r>
        <w:rPr>
          <w:rFonts w:hint="eastAsia"/>
        </w:rPr>
        <w:t>福建省</w:t>
      </w:r>
      <w:r>
        <w:t>生态功能区划位置关系图详见</w:t>
      </w:r>
      <w:r>
        <w:fldChar w:fldCharType="begin"/>
      </w:r>
      <w:r>
        <w:instrText xml:space="preserve"> REF _Ref148946245 \r \h  \* MERGEFORMAT </w:instrText>
      </w:r>
      <w:r>
        <w:fldChar w:fldCharType="separate"/>
      </w:r>
      <w:r>
        <w:rPr>
          <w:rFonts w:hint="eastAsia"/>
        </w:rPr>
        <w:t>图3.10-1</w:t>
      </w:r>
      <w:r>
        <w:fldChar w:fldCharType="end"/>
      </w:r>
      <w:r>
        <w:rPr>
          <w:rFonts w:hint="eastAsia"/>
        </w:rPr>
        <w:t>。</w:t>
      </w:r>
    </w:p>
    <w:p>
      <w:pPr>
        <w:ind w:firstLine="480"/>
      </w:pPr>
      <w:r>
        <w:rPr>
          <w:rFonts w:hint="eastAsia"/>
        </w:rPr>
        <w:t>②地方生态功能区划：根据《福清市生态功能区划》，本项目线路位于福清西南部城镇与工业环境</w:t>
      </w:r>
      <w:r>
        <w:rPr>
          <w:rFonts w:hint="eastAsia"/>
          <w:lang w:eastAsia="zh-CN"/>
        </w:rPr>
        <w:t>生态</w:t>
      </w:r>
      <w:r>
        <w:rPr>
          <w:rFonts w:hint="eastAsia"/>
        </w:rPr>
        <w:t>功能小区（520118108）和兴化湾渔业养殖与旅游环境生态功能小区（520118112）。</w:t>
      </w:r>
      <w:r>
        <w:t>项目与生态功能区划位置关系图详见</w:t>
      </w:r>
      <w:r>
        <w:fldChar w:fldCharType="begin"/>
      </w:r>
      <w:r>
        <w:instrText xml:space="preserve"> </w:instrText>
      </w:r>
      <w:r>
        <w:rPr>
          <w:rFonts w:hint="eastAsia"/>
        </w:rPr>
        <w:instrText xml:space="preserve">REF _Ref148946289 \r \h</w:instrText>
      </w:r>
      <w:r>
        <w:instrText xml:space="preserve">  \* MERGEFORMAT </w:instrText>
      </w:r>
      <w:r>
        <w:fldChar w:fldCharType="separate"/>
      </w:r>
      <w:r>
        <w:rPr>
          <w:rFonts w:hint="eastAsia"/>
        </w:rPr>
        <w:t>图3.10-2</w:t>
      </w:r>
      <w:r>
        <w:fldChar w:fldCharType="end"/>
      </w:r>
      <w:r>
        <w:t>。</w:t>
      </w:r>
    </w:p>
    <w:p>
      <w:pPr>
        <w:pStyle w:val="120"/>
        <w:rPr>
          <w:color w:val="auto"/>
        </w:rPr>
      </w:pPr>
      <w:r>
        <w:rPr>
          <w:rFonts w:hint="eastAsia"/>
          <w:color w:val="auto"/>
        </w:rPr>
        <w:t>区域生态系统类型与生态功能</w:t>
      </w:r>
    </w:p>
    <w:p>
      <w:pPr>
        <w:pStyle w:val="118"/>
      </w:pPr>
      <w:r>
        <w:rPr>
          <w:rFonts w:hint="eastAsia"/>
        </w:rPr>
        <w:t>生态系统类型</w:t>
      </w:r>
    </w:p>
    <w:p>
      <w:pPr>
        <w:ind w:firstLine="480"/>
      </w:pPr>
      <w:r>
        <w:t>依据确定的生态评价范围，经过遥感影像解译和实地调查，确定评价区</w:t>
      </w:r>
      <w:r>
        <w:rPr>
          <w:rFonts w:hint="eastAsia"/>
        </w:rPr>
        <w:t>主要生态系统有森林生态系统、城镇生态系统、农田生态系统、湿地生态系统、灌丛生态系统等。工程评价区范围内主要是农业生态系统占比</w:t>
      </w:r>
      <w:r>
        <w:t>50.07%</w:t>
      </w:r>
      <w:r>
        <w:rPr>
          <w:rFonts w:hint="eastAsia"/>
        </w:rPr>
        <w:t>，其次是森林生态系统占比</w:t>
      </w:r>
      <w:r>
        <w:t>25.5</w:t>
      </w:r>
      <w:r>
        <w:rPr>
          <w:rFonts w:hint="eastAsia"/>
        </w:rPr>
        <w:t>%和城镇生态系统占比</w:t>
      </w:r>
      <w:r>
        <w:t>14.79</w:t>
      </w:r>
      <w:r>
        <w:rPr>
          <w:rFonts w:hint="eastAsia"/>
        </w:rPr>
        <w:t>%，其他类型的生态系统类型面积较小。项目评价范围内生态系统分布类型见</w:t>
      </w:r>
      <w:r>
        <w:fldChar w:fldCharType="begin"/>
      </w:r>
      <w:r>
        <w:instrText xml:space="preserve"> </w:instrText>
      </w:r>
      <w:r>
        <w:rPr>
          <w:rFonts w:hint="eastAsia"/>
        </w:rPr>
        <w:instrText xml:space="preserve">REF _Ref149057479 \r \h</w:instrText>
      </w:r>
      <w:r>
        <w:instrText xml:space="preserve">  \* MERGEFORMAT </w:instrText>
      </w:r>
      <w:r>
        <w:fldChar w:fldCharType="separate"/>
      </w:r>
      <w:r>
        <w:rPr>
          <w:rFonts w:hint="eastAsia"/>
        </w:rPr>
        <w:t>表4.3-1</w:t>
      </w:r>
      <w:r>
        <w:fldChar w:fldCharType="end"/>
      </w:r>
      <w:r>
        <w:rPr>
          <w:rFonts w:hint="eastAsia"/>
          <w:b/>
          <w:bCs/>
        </w:rPr>
        <w:t>。</w:t>
      </w:r>
      <w:r>
        <w:rPr>
          <w:rFonts w:hint="eastAsia"/>
        </w:rPr>
        <w:t>区域生态系统主要功能为农业生态环境和水土保持等。</w:t>
      </w:r>
    </w:p>
    <w:p>
      <w:pPr>
        <w:pStyle w:val="87"/>
        <w:spacing w:before="163"/>
        <w:ind w:left="480" w:firstLine="480"/>
      </w:pPr>
      <w:bookmarkStart w:id="421" w:name="_Ref149057479"/>
      <w:r>
        <w:rPr>
          <w:rFonts w:hint="eastAsia"/>
        </w:rPr>
        <w:t>项目评价区范围内生态系统类型一览表</w:t>
      </w:r>
      <w:bookmarkEnd w:id="421"/>
    </w:p>
    <w:tbl>
      <w:tblPr>
        <w:tblStyle w:val="157"/>
        <w:tblW w:w="907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34"/>
        <w:gridCol w:w="884"/>
        <w:gridCol w:w="850"/>
        <w:gridCol w:w="993"/>
        <w:gridCol w:w="992"/>
        <w:gridCol w:w="48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5" w:hRule="atLeast"/>
          <w:tblHeader/>
        </w:trPr>
        <w:tc>
          <w:tcPr>
            <w:tcW w:w="534" w:type="dxa"/>
            <w:noWrap/>
            <w:tcMar>
              <w:left w:w="57" w:type="dxa"/>
              <w:right w:w="57" w:type="dxa"/>
            </w:tcMar>
            <w:vAlign w:val="center"/>
          </w:tcPr>
          <w:p>
            <w:pPr>
              <w:pStyle w:val="105"/>
              <w:widowControl w:val="0"/>
              <w:jc w:val="center"/>
            </w:pPr>
            <w:r>
              <w:rPr>
                <w:rFonts w:hint="eastAsia"/>
              </w:rPr>
              <w:t>序号</w:t>
            </w:r>
          </w:p>
        </w:tc>
        <w:tc>
          <w:tcPr>
            <w:tcW w:w="884" w:type="dxa"/>
            <w:noWrap/>
            <w:tcMar>
              <w:left w:w="57" w:type="dxa"/>
              <w:right w:w="57" w:type="dxa"/>
            </w:tcMar>
            <w:vAlign w:val="center"/>
          </w:tcPr>
          <w:p>
            <w:pPr>
              <w:pStyle w:val="105"/>
              <w:widowControl w:val="0"/>
              <w:jc w:val="center"/>
            </w:pPr>
            <w:r>
              <w:rPr>
                <w:rFonts w:hint="eastAsia"/>
              </w:rPr>
              <w:t>生态系</w:t>
            </w:r>
          </w:p>
          <w:p>
            <w:pPr>
              <w:pStyle w:val="105"/>
              <w:widowControl w:val="0"/>
              <w:jc w:val="center"/>
            </w:pPr>
            <w:r>
              <w:rPr>
                <w:rFonts w:hint="eastAsia"/>
              </w:rPr>
              <w:t>统类型</w:t>
            </w:r>
          </w:p>
        </w:tc>
        <w:tc>
          <w:tcPr>
            <w:tcW w:w="850" w:type="dxa"/>
            <w:tcMar>
              <w:left w:w="57" w:type="dxa"/>
              <w:right w:w="57" w:type="dxa"/>
            </w:tcMar>
            <w:vAlign w:val="center"/>
          </w:tcPr>
          <w:p>
            <w:pPr>
              <w:pStyle w:val="105"/>
              <w:widowControl w:val="0"/>
              <w:jc w:val="center"/>
            </w:pPr>
            <w:r>
              <w:rPr>
                <w:rFonts w:hint="eastAsia"/>
              </w:rPr>
              <w:t>分类</w:t>
            </w:r>
          </w:p>
        </w:tc>
        <w:tc>
          <w:tcPr>
            <w:tcW w:w="993" w:type="dxa"/>
            <w:tcMar>
              <w:left w:w="57" w:type="dxa"/>
              <w:right w:w="57" w:type="dxa"/>
            </w:tcMar>
            <w:vAlign w:val="center"/>
          </w:tcPr>
          <w:p>
            <w:pPr>
              <w:pStyle w:val="105"/>
              <w:widowControl w:val="0"/>
              <w:jc w:val="center"/>
            </w:pPr>
            <w:r>
              <w:rPr>
                <w:rFonts w:hint="eastAsia"/>
              </w:rPr>
              <w:t>面积</w:t>
            </w:r>
          </w:p>
          <w:p>
            <w:pPr>
              <w:pStyle w:val="105"/>
              <w:widowControl w:val="0"/>
              <w:jc w:val="center"/>
            </w:pPr>
            <w:r>
              <w:rPr>
                <w:rFonts w:hint="eastAsia"/>
              </w:rPr>
              <w:t>(hm</w:t>
            </w:r>
            <w:r>
              <w:rPr>
                <w:rFonts w:hint="eastAsia"/>
                <w:vertAlign w:val="superscript"/>
              </w:rPr>
              <w:t>2)</w:t>
            </w:r>
          </w:p>
        </w:tc>
        <w:tc>
          <w:tcPr>
            <w:tcW w:w="992" w:type="dxa"/>
            <w:tcMar>
              <w:left w:w="57" w:type="dxa"/>
              <w:right w:w="57" w:type="dxa"/>
            </w:tcMar>
            <w:vAlign w:val="center"/>
          </w:tcPr>
          <w:p>
            <w:pPr>
              <w:pStyle w:val="105"/>
              <w:widowControl w:val="0"/>
              <w:jc w:val="center"/>
            </w:pPr>
            <w:r>
              <w:rPr>
                <w:rFonts w:hint="eastAsia"/>
              </w:rPr>
              <w:t>面积占比（%）</w:t>
            </w:r>
          </w:p>
        </w:tc>
        <w:tc>
          <w:tcPr>
            <w:tcW w:w="4819" w:type="dxa"/>
            <w:noWrap/>
            <w:tcMar>
              <w:left w:w="57" w:type="dxa"/>
              <w:right w:w="57" w:type="dxa"/>
            </w:tcMar>
            <w:vAlign w:val="center"/>
          </w:tcPr>
          <w:p>
            <w:pPr>
              <w:pStyle w:val="105"/>
              <w:widowControl w:val="0"/>
              <w:jc w:val="center"/>
            </w:pPr>
            <w:r>
              <w:rPr>
                <w:rFonts w:hint="eastAsia"/>
              </w:rPr>
              <w:t>环境特征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1" w:hRule="atLeast"/>
        </w:trPr>
        <w:tc>
          <w:tcPr>
            <w:tcW w:w="534" w:type="dxa"/>
            <w:vMerge w:val="restart"/>
            <w:noWrap/>
            <w:tcMar>
              <w:left w:w="57" w:type="dxa"/>
              <w:right w:w="57" w:type="dxa"/>
            </w:tcMar>
            <w:vAlign w:val="center"/>
          </w:tcPr>
          <w:p>
            <w:pPr>
              <w:pStyle w:val="105"/>
              <w:widowControl w:val="0"/>
              <w:jc w:val="center"/>
            </w:pPr>
            <w:r>
              <w:t>1</w:t>
            </w:r>
          </w:p>
        </w:tc>
        <w:tc>
          <w:tcPr>
            <w:tcW w:w="884" w:type="dxa"/>
            <w:vMerge w:val="restart"/>
            <w:noWrap/>
            <w:tcMar>
              <w:left w:w="57" w:type="dxa"/>
              <w:right w:w="57" w:type="dxa"/>
            </w:tcMar>
            <w:vAlign w:val="center"/>
          </w:tcPr>
          <w:p>
            <w:pPr>
              <w:pStyle w:val="105"/>
              <w:widowControl w:val="0"/>
              <w:jc w:val="center"/>
            </w:pPr>
            <w:r>
              <w:t>森林生</w:t>
            </w:r>
          </w:p>
          <w:p>
            <w:pPr>
              <w:pStyle w:val="105"/>
              <w:widowControl w:val="0"/>
              <w:jc w:val="center"/>
            </w:pPr>
            <w:r>
              <w:t>态系统</w:t>
            </w:r>
          </w:p>
        </w:tc>
        <w:tc>
          <w:tcPr>
            <w:tcW w:w="850" w:type="dxa"/>
            <w:tcMar>
              <w:left w:w="57" w:type="dxa"/>
              <w:right w:w="57" w:type="dxa"/>
            </w:tcMar>
            <w:vAlign w:val="center"/>
          </w:tcPr>
          <w:p>
            <w:pPr>
              <w:pStyle w:val="105"/>
              <w:widowControl w:val="0"/>
              <w:jc w:val="center"/>
            </w:pPr>
            <w:r>
              <w:rPr>
                <w:rFonts w:hint="eastAsia"/>
              </w:rPr>
              <w:t>针叶林</w:t>
            </w:r>
          </w:p>
        </w:tc>
        <w:tc>
          <w:tcPr>
            <w:tcW w:w="993" w:type="dxa"/>
            <w:tcMar>
              <w:left w:w="57" w:type="dxa"/>
              <w:right w:w="57" w:type="dxa"/>
            </w:tcMar>
            <w:vAlign w:val="center"/>
          </w:tcPr>
          <w:p>
            <w:pPr>
              <w:pStyle w:val="105"/>
              <w:widowControl w:val="0"/>
              <w:jc w:val="center"/>
            </w:pPr>
            <w:r>
              <w:rPr>
                <w:rFonts w:hint="eastAsia"/>
              </w:rPr>
              <w:t>58.7472</w:t>
            </w:r>
          </w:p>
        </w:tc>
        <w:tc>
          <w:tcPr>
            <w:tcW w:w="992" w:type="dxa"/>
            <w:tcMar>
              <w:left w:w="57" w:type="dxa"/>
              <w:right w:w="57" w:type="dxa"/>
            </w:tcMar>
            <w:vAlign w:val="center"/>
          </w:tcPr>
          <w:p>
            <w:pPr>
              <w:pStyle w:val="105"/>
              <w:widowControl w:val="0"/>
              <w:jc w:val="center"/>
            </w:pPr>
            <w:r>
              <w:t>15.58%</w:t>
            </w:r>
          </w:p>
        </w:tc>
        <w:tc>
          <w:tcPr>
            <w:tcW w:w="4819" w:type="dxa"/>
            <w:vMerge w:val="restart"/>
            <w:noWrap/>
            <w:tcMar>
              <w:left w:w="57" w:type="dxa"/>
              <w:right w:w="57" w:type="dxa"/>
            </w:tcMar>
            <w:vAlign w:val="center"/>
          </w:tcPr>
          <w:p>
            <w:pPr>
              <w:pStyle w:val="105"/>
              <w:widowControl w:val="0"/>
              <w:jc w:val="center"/>
            </w:pPr>
            <w:r>
              <w:rPr>
                <w:rFonts w:hint="eastAsia"/>
              </w:rPr>
              <w:t>以半自然和人工种植的湿地松、马尾松、桉树、相思树为主，主要分为 3 层：乔木层优势种明显，灌木层不明显；草本层稀疏。主要生态功能是景观服务、水土保持、土壤保持、生物多样性保护等。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98" w:hRule="atLeast"/>
        </w:trPr>
        <w:tc>
          <w:tcPr>
            <w:tcW w:w="534" w:type="dxa"/>
            <w:vMerge w:val="continue"/>
            <w:noWrap/>
            <w:tcMar>
              <w:left w:w="57" w:type="dxa"/>
              <w:right w:w="57" w:type="dxa"/>
            </w:tcMar>
            <w:vAlign w:val="center"/>
          </w:tcPr>
          <w:p>
            <w:pPr>
              <w:pStyle w:val="105"/>
              <w:widowControl w:val="0"/>
              <w:jc w:val="center"/>
            </w:pPr>
          </w:p>
        </w:tc>
        <w:tc>
          <w:tcPr>
            <w:tcW w:w="884" w:type="dxa"/>
            <w:vMerge w:val="continue"/>
            <w:noWrap/>
            <w:tcMar>
              <w:left w:w="57" w:type="dxa"/>
              <w:right w:w="57" w:type="dxa"/>
            </w:tcMar>
            <w:vAlign w:val="center"/>
          </w:tcPr>
          <w:p>
            <w:pPr>
              <w:pStyle w:val="105"/>
              <w:widowControl w:val="0"/>
              <w:jc w:val="center"/>
            </w:pPr>
          </w:p>
        </w:tc>
        <w:tc>
          <w:tcPr>
            <w:tcW w:w="850" w:type="dxa"/>
            <w:tcMar>
              <w:left w:w="57" w:type="dxa"/>
              <w:right w:w="57" w:type="dxa"/>
            </w:tcMar>
            <w:vAlign w:val="center"/>
          </w:tcPr>
          <w:p>
            <w:pPr>
              <w:pStyle w:val="105"/>
              <w:widowControl w:val="0"/>
              <w:jc w:val="center"/>
            </w:pPr>
            <w:r>
              <w:rPr>
                <w:rFonts w:hint="eastAsia"/>
              </w:rPr>
              <w:t>阔叶林</w:t>
            </w:r>
          </w:p>
        </w:tc>
        <w:tc>
          <w:tcPr>
            <w:tcW w:w="993" w:type="dxa"/>
            <w:tcMar>
              <w:left w:w="57" w:type="dxa"/>
              <w:right w:w="57" w:type="dxa"/>
            </w:tcMar>
            <w:vAlign w:val="center"/>
          </w:tcPr>
          <w:p>
            <w:pPr>
              <w:pStyle w:val="105"/>
              <w:widowControl w:val="0"/>
              <w:jc w:val="center"/>
            </w:pPr>
            <w:r>
              <w:rPr>
                <w:rFonts w:hint="eastAsia"/>
              </w:rPr>
              <w:t>37.4243</w:t>
            </w:r>
          </w:p>
        </w:tc>
        <w:tc>
          <w:tcPr>
            <w:tcW w:w="992" w:type="dxa"/>
            <w:tcMar>
              <w:left w:w="57" w:type="dxa"/>
              <w:right w:w="57" w:type="dxa"/>
            </w:tcMar>
            <w:vAlign w:val="center"/>
          </w:tcPr>
          <w:p>
            <w:pPr>
              <w:pStyle w:val="105"/>
              <w:widowControl w:val="0"/>
              <w:jc w:val="center"/>
            </w:pPr>
            <w:r>
              <w:t>9.92%</w:t>
            </w:r>
          </w:p>
        </w:tc>
        <w:tc>
          <w:tcPr>
            <w:tcW w:w="4819" w:type="dxa"/>
            <w:vMerge w:val="continue"/>
            <w:noWrap/>
            <w:tcMar>
              <w:left w:w="57" w:type="dxa"/>
              <w:right w:w="57" w:type="dxa"/>
            </w:tcMar>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5" w:hRule="atLeast"/>
        </w:trPr>
        <w:tc>
          <w:tcPr>
            <w:tcW w:w="534" w:type="dxa"/>
            <w:noWrap/>
            <w:tcMar>
              <w:left w:w="57" w:type="dxa"/>
              <w:right w:w="57" w:type="dxa"/>
            </w:tcMar>
            <w:vAlign w:val="center"/>
          </w:tcPr>
          <w:p>
            <w:pPr>
              <w:pStyle w:val="105"/>
              <w:widowControl w:val="0"/>
              <w:jc w:val="center"/>
            </w:pPr>
            <w:r>
              <w:t>2</w:t>
            </w:r>
          </w:p>
        </w:tc>
        <w:tc>
          <w:tcPr>
            <w:tcW w:w="884" w:type="dxa"/>
            <w:noWrap/>
            <w:tcMar>
              <w:left w:w="57" w:type="dxa"/>
              <w:right w:w="57" w:type="dxa"/>
            </w:tcMar>
            <w:vAlign w:val="center"/>
          </w:tcPr>
          <w:p>
            <w:pPr>
              <w:pStyle w:val="105"/>
              <w:widowControl w:val="0"/>
              <w:jc w:val="center"/>
            </w:pPr>
            <w:r>
              <w:rPr>
                <w:rFonts w:hint="eastAsia"/>
              </w:rPr>
              <w:t>灌丛生态系统</w:t>
            </w:r>
          </w:p>
        </w:tc>
        <w:tc>
          <w:tcPr>
            <w:tcW w:w="850" w:type="dxa"/>
            <w:tcMar>
              <w:left w:w="57" w:type="dxa"/>
              <w:right w:w="57" w:type="dxa"/>
            </w:tcMar>
            <w:vAlign w:val="center"/>
          </w:tcPr>
          <w:p>
            <w:pPr>
              <w:pStyle w:val="105"/>
              <w:widowControl w:val="0"/>
              <w:jc w:val="center"/>
            </w:pPr>
            <w:r>
              <w:rPr>
                <w:rFonts w:hint="eastAsia"/>
              </w:rPr>
              <w:t>灌草丛</w:t>
            </w:r>
          </w:p>
        </w:tc>
        <w:tc>
          <w:tcPr>
            <w:tcW w:w="993" w:type="dxa"/>
            <w:tcMar>
              <w:left w:w="57" w:type="dxa"/>
              <w:right w:w="57" w:type="dxa"/>
            </w:tcMar>
            <w:vAlign w:val="center"/>
          </w:tcPr>
          <w:p>
            <w:pPr>
              <w:pStyle w:val="105"/>
              <w:widowControl w:val="0"/>
              <w:jc w:val="center"/>
            </w:pPr>
            <w:r>
              <w:rPr>
                <w:rFonts w:cs="Times New Roman"/>
                <w:szCs w:val="21"/>
              </w:rPr>
              <w:t>15.6762</w:t>
            </w:r>
          </w:p>
        </w:tc>
        <w:tc>
          <w:tcPr>
            <w:tcW w:w="992" w:type="dxa"/>
            <w:tcMar>
              <w:left w:w="57" w:type="dxa"/>
              <w:right w:w="57" w:type="dxa"/>
            </w:tcMar>
            <w:vAlign w:val="center"/>
          </w:tcPr>
          <w:p>
            <w:pPr>
              <w:pStyle w:val="105"/>
              <w:widowControl w:val="0"/>
              <w:jc w:val="center"/>
            </w:pPr>
            <w:r>
              <w:rPr>
                <w:rFonts w:cs="Times New Roman"/>
                <w:szCs w:val="21"/>
              </w:rPr>
              <w:t>4.16%</w:t>
            </w:r>
          </w:p>
        </w:tc>
        <w:tc>
          <w:tcPr>
            <w:tcW w:w="4819" w:type="dxa"/>
            <w:noWrap/>
            <w:tcMar>
              <w:left w:w="57" w:type="dxa"/>
              <w:right w:w="57" w:type="dxa"/>
            </w:tcMar>
            <w:vAlign w:val="center"/>
          </w:tcPr>
          <w:p>
            <w:pPr>
              <w:pStyle w:val="105"/>
              <w:widowControl w:val="0"/>
              <w:jc w:val="center"/>
            </w:pPr>
            <w:r>
              <w:rPr>
                <w:rFonts w:hint="eastAsia"/>
              </w:rPr>
              <w:t>由灌木丛组成。灌丛是指由多种灌木树种组成的植被群落。灌丛生态系统的特点是植物丰富多样，包括矮灌木、高灌木和亚灌木等不同类型的灌木。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53" w:hRule="atLeast"/>
        </w:trPr>
        <w:tc>
          <w:tcPr>
            <w:tcW w:w="534" w:type="dxa"/>
            <w:noWrap/>
            <w:tcMar>
              <w:left w:w="57" w:type="dxa"/>
              <w:right w:w="57" w:type="dxa"/>
            </w:tcMar>
            <w:vAlign w:val="center"/>
          </w:tcPr>
          <w:p>
            <w:pPr>
              <w:pStyle w:val="105"/>
              <w:widowControl w:val="0"/>
              <w:jc w:val="center"/>
            </w:pPr>
            <w:r>
              <w:t>3</w:t>
            </w:r>
          </w:p>
        </w:tc>
        <w:tc>
          <w:tcPr>
            <w:tcW w:w="884" w:type="dxa"/>
            <w:noWrap/>
            <w:tcMar>
              <w:left w:w="57" w:type="dxa"/>
              <w:right w:w="57" w:type="dxa"/>
            </w:tcMar>
            <w:vAlign w:val="center"/>
          </w:tcPr>
          <w:p>
            <w:pPr>
              <w:pStyle w:val="105"/>
              <w:widowControl w:val="0"/>
              <w:jc w:val="center"/>
            </w:pPr>
            <w:r>
              <w:rPr>
                <w:rFonts w:hint="eastAsia"/>
              </w:rPr>
              <w:t>湿地生态系统</w:t>
            </w:r>
          </w:p>
        </w:tc>
        <w:tc>
          <w:tcPr>
            <w:tcW w:w="850" w:type="dxa"/>
            <w:tcMar>
              <w:left w:w="57" w:type="dxa"/>
              <w:right w:w="57" w:type="dxa"/>
            </w:tcMar>
            <w:vAlign w:val="center"/>
          </w:tcPr>
          <w:p>
            <w:pPr>
              <w:pStyle w:val="105"/>
              <w:widowControl w:val="0"/>
              <w:jc w:val="center"/>
            </w:pPr>
            <w:r>
              <w:t>河流</w:t>
            </w:r>
            <w:r>
              <w:rPr>
                <w:rFonts w:hint="eastAsia"/>
              </w:rPr>
              <w:t>、坑塘、沟渠等</w:t>
            </w:r>
          </w:p>
        </w:tc>
        <w:tc>
          <w:tcPr>
            <w:tcW w:w="993" w:type="dxa"/>
            <w:tcMar>
              <w:left w:w="57" w:type="dxa"/>
              <w:right w:w="57" w:type="dxa"/>
            </w:tcMar>
            <w:vAlign w:val="center"/>
          </w:tcPr>
          <w:p>
            <w:pPr>
              <w:pStyle w:val="105"/>
              <w:widowControl w:val="0"/>
              <w:jc w:val="center"/>
            </w:pPr>
            <w:r>
              <w:rPr>
                <w:rFonts w:cs="Times New Roman"/>
                <w:szCs w:val="21"/>
              </w:rPr>
              <w:t>20.6826</w:t>
            </w:r>
          </w:p>
        </w:tc>
        <w:tc>
          <w:tcPr>
            <w:tcW w:w="992" w:type="dxa"/>
            <w:tcMar>
              <w:left w:w="57" w:type="dxa"/>
              <w:right w:w="57" w:type="dxa"/>
            </w:tcMar>
            <w:vAlign w:val="center"/>
          </w:tcPr>
          <w:p>
            <w:pPr>
              <w:pStyle w:val="105"/>
              <w:widowControl w:val="0"/>
              <w:jc w:val="center"/>
            </w:pPr>
            <w:r>
              <w:rPr>
                <w:rFonts w:cs="Times New Roman"/>
                <w:szCs w:val="21"/>
              </w:rPr>
              <w:t>5.48%</w:t>
            </w:r>
          </w:p>
        </w:tc>
        <w:tc>
          <w:tcPr>
            <w:tcW w:w="4819" w:type="dxa"/>
            <w:noWrap/>
            <w:tcMar>
              <w:left w:w="57" w:type="dxa"/>
              <w:right w:w="57" w:type="dxa"/>
            </w:tcMar>
            <w:vAlign w:val="center"/>
          </w:tcPr>
          <w:p>
            <w:pPr>
              <w:pStyle w:val="105"/>
              <w:widowControl w:val="0"/>
              <w:jc w:val="center"/>
            </w:pPr>
            <w:r>
              <w:rPr>
                <w:rFonts w:hint="eastAsia"/>
              </w:rPr>
              <w:t>主要为河流、沟渠等，是具有重要生态服务功能价值和生态脆弱性较强的生态系统。主要生态服务功能是景观服务、水源涵养、调节气候、保护生物多样性等。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4" w:hRule="atLeast"/>
        </w:trPr>
        <w:tc>
          <w:tcPr>
            <w:tcW w:w="534" w:type="dxa"/>
            <w:vMerge w:val="restart"/>
            <w:noWrap/>
            <w:tcMar>
              <w:left w:w="57" w:type="dxa"/>
              <w:right w:w="57" w:type="dxa"/>
            </w:tcMar>
            <w:vAlign w:val="center"/>
          </w:tcPr>
          <w:p>
            <w:pPr>
              <w:pStyle w:val="105"/>
              <w:widowControl w:val="0"/>
              <w:jc w:val="center"/>
            </w:pPr>
            <w:r>
              <w:rPr>
                <w:rFonts w:hint="eastAsia"/>
              </w:rPr>
              <w:t>4</w:t>
            </w:r>
          </w:p>
        </w:tc>
        <w:tc>
          <w:tcPr>
            <w:tcW w:w="884" w:type="dxa"/>
            <w:vMerge w:val="restart"/>
            <w:noWrap/>
            <w:tcMar>
              <w:left w:w="57" w:type="dxa"/>
              <w:right w:w="57" w:type="dxa"/>
            </w:tcMar>
            <w:vAlign w:val="center"/>
          </w:tcPr>
          <w:p>
            <w:pPr>
              <w:pStyle w:val="105"/>
              <w:widowControl w:val="0"/>
              <w:jc w:val="center"/>
            </w:pPr>
            <w:r>
              <w:rPr>
                <w:rFonts w:hint="eastAsia"/>
              </w:rPr>
              <w:t>农业生</w:t>
            </w:r>
          </w:p>
          <w:p>
            <w:pPr>
              <w:pStyle w:val="105"/>
              <w:widowControl w:val="0"/>
              <w:jc w:val="center"/>
            </w:pPr>
            <w:r>
              <w:rPr>
                <w:rFonts w:hint="eastAsia"/>
              </w:rPr>
              <w:t>态系统</w:t>
            </w:r>
          </w:p>
        </w:tc>
        <w:tc>
          <w:tcPr>
            <w:tcW w:w="850" w:type="dxa"/>
            <w:tcMar>
              <w:left w:w="57" w:type="dxa"/>
              <w:right w:w="57" w:type="dxa"/>
            </w:tcMar>
            <w:vAlign w:val="center"/>
          </w:tcPr>
          <w:p>
            <w:pPr>
              <w:pStyle w:val="105"/>
              <w:widowControl w:val="0"/>
              <w:jc w:val="center"/>
            </w:pPr>
            <w:r>
              <w:t>耕地</w:t>
            </w:r>
          </w:p>
        </w:tc>
        <w:tc>
          <w:tcPr>
            <w:tcW w:w="993" w:type="dxa"/>
            <w:tcMar>
              <w:left w:w="57" w:type="dxa"/>
              <w:right w:w="57" w:type="dxa"/>
            </w:tcMar>
            <w:vAlign w:val="center"/>
          </w:tcPr>
          <w:p>
            <w:pPr>
              <w:pStyle w:val="105"/>
              <w:widowControl w:val="0"/>
              <w:jc w:val="center"/>
            </w:pPr>
            <w:r>
              <w:rPr>
                <w:rFonts w:cs="Times New Roman"/>
                <w:szCs w:val="21"/>
              </w:rPr>
              <w:t>112.5085</w:t>
            </w:r>
          </w:p>
        </w:tc>
        <w:tc>
          <w:tcPr>
            <w:tcW w:w="992" w:type="dxa"/>
            <w:tcMar>
              <w:left w:w="57" w:type="dxa"/>
              <w:right w:w="57" w:type="dxa"/>
            </w:tcMar>
            <w:vAlign w:val="center"/>
          </w:tcPr>
          <w:p>
            <w:pPr>
              <w:pStyle w:val="105"/>
              <w:widowControl w:val="0"/>
              <w:jc w:val="center"/>
            </w:pPr>
            <w:r>
              <w:rPr>
                <w:rFonts w:cs="Times New Roman"/>
                <w:szCs w:val="21"/>
              </w:rPr>
              <w:t>29.83%</w:t>
            </w:r>
          </w:p>
        </w:tc>
        <w:tc>
          <w:tcPr>
            <w:tcW w:w="4819" w:type="dxa"/>
            <w:vMerge w:val="restart"/>
            <w:noWrap/>
            <w:tcMar>
              <w:left w:w="57" w:type="dxa"/>
              <w:right w:w="57" w:type="dxa"/>
            </w:tcMar>
            <w:vAlign w:val="center"/>
          </w:tcPr>
          <w:p>
            <w:pPr>
              <w:pStyle w:val="105"/>
              <w:widowControl w:val="0"/>
              <w:jc w:val="center"/>
            </w:pPr>
            <w:r>
              <w:rPr>
                <w:rFonts w:hint="eastAsia"/>
              </w:rPr>
              <w:t>以农业种植为主的点状村镇、农田等，以人工和半自然生态系统类型为主。旱地作物主要为蔬菜、萝卜、豆类等；水田作物主要为水稻，园地主要以龙眼林为主（约3</w:t>
            </w:r>
            <w:r>
              <w:t>2.6457</w:t>
            </w:r>
            <w:r>
              <w:rPr>
                <w:rFonts w:hint="eastAsia"/>
              </w:rPr>
              <w:t xml:space="preserve"> hm</w:t>
            </w:r>
            <w:r>
              <w:rPr>
                <w:rFonts w:hint="eastAsia"/>
                <w:vertAlign w:val="superscript"/>
              </w:rPr>
              <w:t>2</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 w:hRule="atLeast"/>
        </w:trPr>
        <w:tc>
          <w:tcPr>
            <w:tcW w:w="534" w:type="dxa"/>
            <w:vMerge w:val="continue"/>
            <w:noWrap/>
            <w:tcMar>
              <w:left w:w="57" w:type="dxa"/>
              <w:right w:w="57" w:type="dxa"/>
            </w:tcMar>
            <w:vAlign w:val="center"/>
          </w:tcPr>
          <w:p>
            <w:pPr>
              <w:pStyle w:val="105"/>
              <w:widowControl w:val="0"/>
              <w:jc w:val="center"/>
            </w:pPr>
          </w:p>
        </w:tc>
        <w:tc>
          <w:tcPr>
            <w:tcW w:w="884" w:type="dxa"/>
            <w:vMerge w:val="continue"/>
            <w:noWrap/>
            <w:tcMar>
              <w:left w:w="57" w:type="dxa"/>
              <w:right w:w="57" w:type="dxa"/>
            </w:tcMar>
            <w:vAlign w:val="center"/>
          </w:tcPr>
          <w:p>
            <w:pPr>
              <w:pStyle w:val="105"/>
              <w:widowControl w:val="0"/>
              <w:jc w:val="center"/>
            </w:pPr>
          </w:p>
        </w:tc>
        <w:tc>
          <w:tcPr>
            <w:tcW w:w="850" w:type="dxa"/>
            <w:tcMar>
              <w:left w:w="57" w:type="dxa"/>
              <w:right w:w="57" w:type="dxa"/>
            </w:tcMar>
            <w:vAlign w:val="center"/>
          </w:tcPr>
          <w:p>
            <w:pPr>
              <w:pStyle w:val="105"/>
              <w:widowControl w:val="0"/>
              <w:jc w:val="center"/>
            </w:pPr>
            <w:r>
              <w:rPr>
                <w:rFonts w:hint="eastAsia"/>
              </w:rPr>
              <w:t>园地</w:t>
            </w:r>
          </w:p>
        </w:tc>
        <w:tc>
          <w:tcPr>
            <w:tcW w:w="993" w:type="dxa"/>
            <w:tcMar>
              <w:left w:w="57" w:type="dxa"/>
              <w:right w:w="57" w:type="dxa"/>
            </w:tcMar>
            <w:vAlign w:val="center"/>
          </w:tcPr>
          <w:p>
            <w:pPr>
              <w:pStyle w:val="105"/>
              <w:widowControl w:val="0"/>
              <w:jc w:val="center"/>
            </w:pPr>
            <w:r>
              <w:rPr>
                <w:rFonts w:cs="Times New Roman"/>
                <w:szCs w:val="21"/>
              </w:rPr>
              <w:t>59.4357</w:t>
            </w:r>
          </w:p>
        </w:tc>
        <w:tc>
          <w:tcPr>
            <w:tcW w:w="992" w:type="dxa"/>
            <w:tcMar>
              <w:left w:w="57" w:type="dxa"/>
              <w:right w:w="57" w:type="dxa"/>
            </w:tcMar>
            <w:vAlign w:val="center"/>
          </w:tcPr>
          <w:p>
            <w:pPr>
              <w:pStyle w:val="105"/>
              <w:widowControl w:val="0"/>
              <w:jc w:val="center"/>
            </w:pPr>
            <w:r>
              <w:rPr>
                <w:rFonts w:cs="Times New Roman"/>
                <w:szCs w:val="21"/>
              </w:rPr>
              <w:t>15.76%</w:t>
            </w:r>
          </w:p>
        </w:tc>
        <w:tc>
          <w:tcPr>
            <w:tcW w:w="4819" w:type="dxa"/>
            <w:vMerge w:val="continue"/>
            <w:noWrap/>
            <w:tcMar>
              <w:left w:w="57" w:type="dxa"/>
              <w:right w:w="57" w:type="dxa"/>
            </w:tcMar>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5" w:hRule="atLeast"/>
        </w:trPr>
        <w:tc>
          <w:tcPr>
            <w:tcW w:w="534" w:type="dxa"/>
            <w:vMerge w:val="continue"/>
            <w:noWrap/>
            <w:tcMar>
              <w:left w:w="57" w:type="dxa"/>
              <w:right w:w="57" w:type="dxa"/>
            </w:tcMar>
            <w:vAlign w:val="center"/>
          </w:tcPr>
          <w:p>
            <w:pPr>
              <w:pStyle w:val="105"/>
              <w:widowControl w:val="0"/>
              <w:jc w:val="center"/>
            </w:pPr>
          </w:p>
        </w:tc>
        <w:tc>
          <w:tcPr>
            <w:tcW w:w="884" w:type="dxa"/>
            <w:vMerge w:val="continue"/>
            <w:noWrap/>
            <w:tcMar>
              <w:left w:w="57" w:type="dxa"/>
              <w:right w:w="57" w:type="dxa"/>
            </w:tcMar>
            <w:vAlign w:val="center"/>
          </w:tcPr>
          <w:p>
            <w:pPr>
              <w:pStyle w:val="105"/>
              <w:widowControl w:val="0"/>
              <w:jc w:val="center"/>
            </w:pPr>
          </w:p>
        </w:tc>
        <w:tc>
          <w:tcPr>
            <w:tcW w:w="850" w:type="dxa"/>
            <w:tcMar>
              <w:left w:w="57" w:type="dxa"/>
              <w:right w:w="57" w:type="dxa"/>
            </w:tcMar>
            <w:vAlign w:val="center"/>
          </w:tcPr>
          <w:p>
            <w:pPr>
              <w:pStyle w:val="105"/>
              <w:widowControl w:val="0"/>
              <w:jc w:val="center"/>
            </w:pPr>
            <w:r>
              <w:rPr>
                <w:rFonts w:hint="eastAsia"/>
              </w:rPr>
              <w:t>其他农用地</w:t>
            </w:r>
          </w:p>
        </w:tc>
        <w:tc>
          <w:tcPr>
            <w:tcW w:w="993" w:type="dxa"/>
            <w:tcMar>
              <w:left w:w="57" w:type="dxa"/>
              <w:right w:w="57" w:type="dxa"/>
            </w:tcMar>
            <w:vAlign w:val="center"/>
          </w:tcPr>
          <w:p>
            <w:pPr>
              <w:pStyle w:val="105"/>
              <w:widowControl w:val="0"/>
              <w:jc w:val="center"/>
            </w:pPr>
            <w:r>
              <w:rPr>
                <w:rFonts w:cs="Times New Roman"/>
                <w:szCs w:val="21"/>
              </w:rPr>
              <w:t>16.8815</w:t>
            </w:r>
          </w:p>
        </w:tc>
        <w:tc>
          <w:tcPr>
            <w:tcW w:w="992" w:type="dxa"/>
            <w:tcMar>
              <w:left w:w="57" w:type="dxa"/>
              <w:right w:w="57" w:type="dxa"/>
            </w:tcMar>
            <w:vAlign w:val="center"/>
          </w:tcPr>
          <w:p>
            <w:pPr>
              <w:pStyle w:val="105"/>
              <w:widowControl w:val="0"/>
              <w:jc w:val="center"/>
            </w:pPr>
            <w:r>
              <w:rPr>
                <w:rFonts w:cs="Times New Roman"/>
                <w:szCs w:val="21"/>
              </w:rPr>
              <w:t>4.48%</w:t>
            </w:r>
          </w:p>
        </w:tc>
        <w:tc>
          <w:tcPr>
            <w:tcW w:w="4819" w:type="dxa"/>
            <w:vMerge w:val="continue"/>
            <w:noWrap/>
            <w:tcMar>
              <w:left w:w="57" w:type="dxa"/>
              <w:right w:w="57" w:type="dxa"/>
            </w:tcMar>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 w:hRule="atLeast"/>
        </w:trPr>
        <w:tc>
          <w:tcPr>
            <w:tcW w:w="534" w:type="dxa"/>
            <w:vMerge w:val="restart"/>
            <w:noWrap/>
            <w:tcMar>
              <w:left w:w="57" w:type="dxa"/>
              <w:right w:w="57" w:type="dxa"/>
            </w:tcMar>
            <w:vAlign w:val="center"/>
          </w:tcPr>
          <w:p>
            <w:pPr>
              <w:pStyle w:val="105"/>
              <w:widowControl w:val="0"/>
              <w:jc w:val="center"/>
            </w:pPr>
            <w:r>
              <w:t>5</w:t>
            </w:r>
          </w:p>
        </w:tc>
        <w:tc>
          <w:tcPr>
            <w:tcW w:w="884" w:type="dxa"/>
            <w:vMerge w:val="restart"/>
            <w:noWrap/>
            <w:tcMar>
              <w:left w:w="57" w:type="dxa"/>
              <w:right w:w="57" w:type="dxa"/>
            </w:tcMar>
            <w:vAlign w:val="center"/>
          </w:tcPr>
          <w:p>
            <w:pPr>
              <w:pStyle w:val="105"/>
              <w:widowControl w:val="0"/>
              <w:jc w:val="center"/>
            </w:pPr>
            <w:r>
              <w:rPr>
                <w:rFonts w:hint="eastAsia"/>
              </w:rPr>
              <w:t>城镇生</w:t>
            </w:r>
          </w:p>
          <w:p>
            <w:pPr>
              <w:pStyle w:val="105"/>
              <w:widowControl w:val="0"/>
              <w:jc w:val="center"/>
            </w:pPr>
            <w:r>
              <w:rPr>
                <w:rFonts w:hint="eastAsia"/>
              </w:rPr>
              <w:t>态系统</w:t>
            </w:r>
          </w:p>
        </w:tc>
        <w:tc>
          <w:tcPr>
            <w:tcW w:w="850" w:type="dxa"/>
            <w:tcMar>
              <w:left w:w="57" w:type="dxa"/>
              <w:right w:w="57" w:type="dxa"/>
            </w:tcMar>
            <w:vAlign w:val="center"/>
          </w:tcPr>
          <w:p>
            <w:pPr>
              <w:pStyle w:val="105"/>
              <w:widowControl w:val="0"/>
              <w:jc w:val="center"/>
            </w:pPr>
            <w:r>
              <w:rPr>
                <w:rFonts w:hint="eastAsia"/>
              </w:rPr>
              <w:t>居住地</w:t>
            </w:r>
          </w:p>
        </w:tc>
        <w:tc>
          <w:tcPr>
            <w:tcW w:w="993" w:type="dxa"/>
            <w:tcMar>
              <w:left w:w="57" w:type="dxa"/>
              <w:right w:w="57" w:type="dxa"/>
            </w:tcMar>
            <w:vAlign w:val="center"/>
          </w:tcPr>
          <w:p>
            <w:pPr>
              <w:pStyle w:val="105"/>
              <w:widowControl w:val="0"/>
              <w:jc w:val="center"/>
            </w:pPr>
            <w:r>
              <w:rPr>
                <w:rFonts w:cs="Times New Roman"/>
                <w:szCs w:val="21"/>
              </w:rPr>
              <w:t>34.9623</w:t>
            </w:r>
          </w:p>
        </w:tc>
        <w:tc>
          <w:tcPr>
            <w:tcW w:w="992" w:type="dxa"/>
            <w:tcMar>
              <w:left w:w="57" w:type="dxa"/>
              <w:right w:w="57" w:type="dxa"/>
            </w:tcMar>
            <w:vAlign w:val="center"/>
          </w:tcPr>
          <w:p>
            <w:pPr>
              <w:pStyle w:val="105"/>
              <w:widowControl w:val="0"/>
              <w:jc w:val="center"/>
            </w:pPr>
            <w:r>
              <w:rPr>
                <w:rFonts w:cs="Times New Roman"/>
                <w:szCs w:val="21"/>
              </w:rPr>
              <w:t>9.27%</w:t>
            </w:r>
          </w:p>
        </w:tc>
        <w:tc>
          <w:tcPr>
            <w:tcW w:w="4819" w:type="dxa"/>
            <w:vMerge w:val="restart"/>
            <w:noWrap/>
            <w:tcMar>
              <w:left w:w="57" w:type="dxa"/>
              <w:right w:w="57" w:type="dxa"/>
            </w:tcMar>
            <w:vAlign w:val="center"/>
          </w:tcPr>
          <w:p>
            <w:pPr>
              <w:pStyle w:val="105"/>
              <w:widowControl w:val="0"/>
              <w:jc w:val="center"/>
            </w:pPr>
            <w:r>
              <w:rPr>
                <w:rFonts w:hint="eastAsia"/>
              </w:rPr>
              <w:t>以村镇居住及配套其他功能区，其主要功能为生态良好的生活居住和经济发展区。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5" w:hRule="atLeast"/>
        </w:trPr>
        <w:tc>
          <w:tcPr>
            <w:tcW w:w="534" w:type="dxa"/>
            <w:vMerge w:val="continue"/>
            <w:noWrap/>
            <w:tcMar>
              <w:left w:w="57" w:type="dxa"/>
              <w:right w:w="57" w:type="dxa"/>
            </w:tcMar>
            <w:vAlign w:val="center"/>
          </w:tcPr>
          <w:p>
            <w:pPr>
              <w:pStyle w:val="105"/>
              <w:widowControl w:val="0"/>
              <w:jc w:val="center"/>
            </w:pPr>
          </w:p>
        </w:tc>
        <w:tc>
          <w:tcPr>
            <w:tcW w:w="884" w:type="dxa"/>
            <w:vMerge w:val="continue"/>
            <w:noWrap/>
            <w:tcMar>
              <w:left w:w="57" w:type="dxa"/>
              <w:right w:w="57" w:type="dxa"/>
            </w:tcMar>
            <w:vAlign w:val="center"/>
          </w:tcPr>
          <w:p>
            <w:pPr>
              <w:pStyle w:val="105"/>
              <w:widowControl w:val="0"/>
              <w:jc w:val="center"/>
            </w:pPr>
          </w:p>
        </w:tc>
        <w:tc>
          <w:tcPr>
            <w:tcW w:w="850" w:type="dxa"/>
            <w:tcMar>
              <w:left w:w="57" w:type="dxa"/>
              <w:right w:w="57" w:type="dxa"/>
            </w:tcMar>
            <w:vAlign w:val="center"/>
          </w:tcPr>
          <w:p>
            <w:pPr>
              <w:pStyle w:val="105"/>
              <w:widowControl w:val="0"/>
              <w:jc w:val="center"/>
            </w:pPr>
            <w:r>
              <w:t>交通用地</w:t>
            </w:r>
          </w:p>
        </w:tc>
        <w:tc>
          <w:tcPr>
            <w:tcW w:w="993" w:type="dxa"/>
            <w:tcMar>
              <w:left w:w="57" w:type="dxa"/>
              <w:right w:w="57" w:type="dxa"/>
            </w:tcMar>
            <w:vAlign w:val="center"/>
          </w:tcPr>
          <w:p>
            <w:pPr>
              <w:pStyle w:val="105"/>
              <w:widowControl w:val="0"/>
              <w:jc w:val="center"/>
            </w:pPr>
            <w:r>
              <w:rPr>
                <w:rFonts w:cs="Times New Roman"/>
                <w:szCs w:val="21"/>
              </w:rPr>
              <w:t>11.3214</w:t>
            </w:r>
          </w:p>
        </w:tc>
        <w:tc>
          <w:tcPr>
            <w:tcW w:w="992" w:type="dxa"/>
            <w:tcMar>
              <w:left w:w="57" w:type="dxa"/>
              <w:right w:w="57" w:type="dxa"/>
            </w:tcMar>
            <w:vAlign w:val="center"/>
          </w:tcPr>
          <w:p>
            <w:pPr>
              <w:pStyle w:val="105"/>
              <w:widowControl w:val="0"/>
              <w:jc w:val="center"/>
            </w:pPr>
            <w:r>
              <w:rPr>
                <w:rFonts w:cs="Times New Roman"/>
                <w:szCs w:val="21"/>
              </w:rPr>
              <w:t>3.00%</w:t>
            </w:r>
          </w:p>
        </w:tc>
        <w:tc>
          <w:tcPr>
            <w:tcW w:w="4819" w:type="dxa"/>
            <w:vMerge w:val="continue"/>
            <w:noWrap/>
            <w:tcMar>
              <w:left w:w="57" w:type="dxa"/>
              <w:right w:w="57" w:type="dxa"/>
            </w:tcMar>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5" w:hRule="atLeast"/>
        </w:trPr>
        <w:tc>
          <w:tcPr>
            <w:tcW w:w="534" w:type="dxa"/>
            <w:vMerge w:val="continue"/>
            <w:noWrap/>
            <w:tcMar>
              <w:left w:w="57" w:type="dxa"/>
              <w:right w:w="57" w:type="dxa"/>
            </w:tcMar>
            <w:vAlign w:val="center"/>
          </w:tcPr>
          <w:p>
            <w:pPr>
              <w:pStyle w:val="105"/>
              <w:widowControl w:val="0"/>
              <w:jc w:val="center"/>
            </w:pPr>
          </w:p>
        </w:tc>
        <w:tc>
          <w:tcPr>
            <w:tcW w:w="884" w:type="dxa"/>
            <w:vMerge w:val="continue"/>
            <w:noWrap/>
            <w:tcMar>
              <w:left w:w="57" w:type="dxa"/>
              <w:right w:w="57" w:type="dxa"/>
            </w:tcMar>
            <w:vAlign w:val="center"/>
          </w:tcPr>
          <w:p>
            <w:pPr>
              <w:pStyle w:val="105"/>
              <w:widowControl w:val="0"/>
              <w:jc w:val="center"/>
            </w:pPr>
          </w:p>
        </w:tc>
        <w:tc>
          <w:tcPr>
            <w:tcW w:w="850" w:type="dxa"/>
            <w:tcMar>
              <w:left w:w="57" w:type="dxa"/>
              <w:right w:w="57" w:type="dxa"/>
            </w:tcMar>
            <w:vAlign w:val="center"/>
          </w:tcPr>
          <w:p>
            <w:pPr>
              <w:pStyle w:val="105"/>
              <w:widowControl w:val="0"/>
              <w:jc w:val="center"/>
            </w:pPr>
            <w:r>
              <w:t>其他建设用地</w:t>
            </w:r>
          </w:p>
        </w:tc>
        <w:tc>
          <w:tcPr>
            <w:tcW w:w="993" w:type="dxa"/>
            <w:tcMar>
              <w:left w:w="57" w:type="dxa"/>
              <w:right w:w="57" w:type="dxa"/>
            </w:tcMar>
            <w:vAlign w:val="center"/>
          </w:tcPr>
          <w:p>
            <w:pPr>
              <w:pStyle w:val="105"/>
              <w:widowControl w:val="0"/>
              <w:jc w:val="center"/>
            </w:pPr>
            <w:r>
              <w:rPr>
                <w:rFonts w:cs="Times New Roman"/>
                <w:szCs w:val="21"/>
              </w:rPr>
              <w:t>9.4974</w:t>
            </w:r>
          </w:p>
        </w:tc>
        <w:tc>
          <w:tcPr>
            <w:tcW w:w="992" w:type="dxa"/>
            <w:tcMar>
              <w:left w:w="57" w:type="dxa"/>
              <w:right w:w="57" w:type="dxa"/>
            </w:tcMar>
            <w:vAlign w:val="center"/>
          </w:tcPr>
          <w:p>
            <w:pPr>
              <w:pStyle w:val="105"/>
              <w:widowControl w:val="0"/>
              <w:jc w:val="center"/>
            </w:pPr>
            <w:r>
              <w:rPr>
                <w:rFonts w:cs="Times New Roman"/>
                <w:szCs w:val="21"/>
              </w:rPr>
              <w:t>2.52%</w:t>
            </w:r>
          </w:p>
        </w:tc>
        <w:tc>
          <w:tcPr>
            <w:tcW w:w="4819" w:type="dxa"/>
            <w:vMerge w:val="continue"/>
            <w:noWrap/>
            <w:tcMar>
              <w:left w:w="57" w:type="dxa"/>
              <w:right w:w="57" w:type="dxa"/>
            </w:tcMar>
            <w:vAlign w:val="center"/>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5" w:hRule="atLeast"/>
        </w:trPr>
        <w:tc>
          <w:tcPr>
            <w:tcW w:w="2268" w:type="dxa"/>
            <w:gridSpan w:val="3"/>
            <w:noWrap/>
            <w:tcMar>
              <w:left w:w="57" w:type="dxa"/>
              <w:right w:w="57" w:type="dxa"/>
            </w:tcMar>
            <w:vAlign w:val="center"/>
          </w:tcPr>
          <w:p>
            <w:pPr>
              <w:pStyle w:val="105"/>
              <w:widowControl w:val="0"/>
              <w:jc w:val="center"/>
            </w:pPr>
            <w:r>
              <w:rPr>
                <w:rFonts w:hint="eastAsia"/>
              </w:rPr>
              <w:t>合计</w:t>
            </w:r>
          </w:p>
        </w:tc>
        <w:tc>
          <w:tcPr>
            <w:tcW w:w="993" w:type="dxa"/>
            <w:tcMar>
              <w:left w:w="57" w:type="dxa"/>
              <w:right w:w="57" w:type="dxa"/>
            </w:tcMar>
            <w:vAlign w:val="center"/>
          </w:tcPr>
          <w:p>
            <w:pPr>
              <w:pStyle w:val="105"/>
              <w:widowControl w:val="0"/>
              <w:jc w:val="center"/>
            </w:pPr>
            <w:r>
              <w:rPr>
                <w:rFonts w:cs="Times New Roman"/>
                <w:szCs w:val="21"/>
              </w:rPr>
              <w:t>377.1371</w:t>
            </w:r>
          </w:p>
        </w:tc>
        <w:tc>
          <w:tcPr>
            <w:tcW w:w="992" w:type="dxa"/>
            <w:tcMar>
              <w:left w:w="57" w:type="dxa"/>
              <w:right w:w="57" w:type="dxa"/>
            </w:tcMar>
            <w:vAlign w:val="center"/>
          </w:tcPr>
          <w:p>
            <w:pPr>
              <w:pStyle w:val="105"/>
              <w:widowControl w:val="0"/>
              <w:jc w:val="center"/>
            </w:pPr>
            <w:r>
              <w:rPr>
                <w:rFonts w:cs="Times New Roman"/>
                <w:szCs w:val="21"/>
              </w:rPr>
              <w:t>100.00%</w:t>
            </w:r>
          </w:p>
        </w:tc>
        <w:tc>
          <w:tcPr>
            <w:tcW w:w="4819" w:type="dxa"/>
            <w:noWrap/>
            <w:tcMar>
              <w:left w:w="57" w:type="dxa"/>
              <w:right w:w="57" w:type="dxa"/>
            </w:tcMar>
            <w:vAlign w:val="center"/>
          </w:tcPr>
          <w:p>
            <w:pPr>
              <w:pStyle w:val="105"/>
              <w:widowControl w:val="0"/>
              <w:jc w:val="center"/>
            </w:pPr>
          </w:p>
        </w:tc>
      </w:tr>
    </w:tbl>
    <w:p>
      <w:pPr>
        <w:pStyle w:val="118"/>
        <w:spacing w:before="240"/>
      </w:pPr>
      <w:r>
        <w:rPr>
          <w:rFonts w:hint="eastAsia"/>
        </w:rPr>
        <w:t>生态系统的敏感性</w:t>
      </w:r>
    </w:p>
    <w:p>
      <w:pPr>
        <w:ind w:firstLine="480"/>
      </w:pPr>
      <w:r>
        <w:rPr>
          <w:rFonts w:hint="eastAsia"/>
        </w:rPr>
        <w:t>生态系统的敏感性主要反映了区域生态系统在遇到干扰时，发生生态环境问题的可能性程度。一般把区域生态环境分为极敏感、高度敏感、敏感、轻度敏感、不敏感五个等级进行评价，确定特定生态环境问题可能发生的地区范围与可能程度，以便采取有针对性的保护与建设措施。</w:t>
      </w:r>
    </w:p>
    <w:p>
      <w:pPr>
        <w:ind w:firstLine="480"/>
      </w:pPr>
      <w:r>
        <w:rPr>
          <w:rFonts w:hint="eastAsia"/>
        </w:rPr>
        <w:t>从本项目沿线生态系统的敏感性来看，线路途经地段生态系统敏感性总体不是很高，但在局部有较为敏感区域，主要涉及部分生态公益林用地。</w:t>
      </w:r>
    </w:p>
    <w:p>
      <w:pPr>
        <w:pStyle w:val="120"/>
        <w:rPr>
          <w:color w:val="auto"/>
        </w:rPr>
      </w:pPr>
      <w:r>
        <w:rPr>
          <w:rFonts w:hint="eastAsia"/>
          <w:color w:val="auto"/>
        </w:rPr>
        <w:t>土地利用现状调查与评价</w:t>
      </w:r>
    </w:p>
    <w:p>
      <w:pPr>
        <w:ind w:firstLine="480"/>
      </w:pPr>
      <w:r>
        <w:t>本项目</w:t>
      </w:r>
      <w:r>
        <w:rPr>
          <w:rFonts w:hint="eastAsia"/>
        </w:rPr>
        <w:t>线路</w:t>
      </w:r>
      <w:r>
        <w:t>总长度5.2m，评价范围约377.</w:t>
      </w:r>
      <w:r>
        <w:rPr>
          <w:rFonts w:hint="eastAsia"/>
        </w:rPr>
        <w:t xml:space="preserve"> 1371</w:t>
      </w:r>
      <w:r>
        <w:t>hm</w:t>
      </w:r>
      <w:r>
        <w:rPr>
          <w:vertAlign w:val="superscript"/>
        </w:rPr>
        <w:t>2</w:t>
      </w:r>
      <w:r>
        <w:t>。根据本次评价对</w:t>
      </w:r>
      <w:r>
        <w:rPr>
          <w:rFonts w:hint="eastAsia"/>
        </w:rPr>
        <w:t>线路</w:t>
      </w:r>
      <w:r>
        <w:t>沿线植被类型调查可知，主要分布有乔木林地、</w:t>
      </w:r>
      <w:r>
        <w:rPr>
          <w:rFonts w:hint="eastAsia"/>
        </w:rPr>
        <w:t>耕地、园地、</w:t>
      </w:r>
      <w:r>
        <w:t>公路用地等。</w:t>
      </w:r>
      <w:r>
        <w:rPr>
          <w:rFonts w:hint="eastAsia"/>
        </w:rPr>
        <w:t>工程评价区范围内主要用地类型为水田28.39</w:t>
      </w:r>
      <w:r>
        <w:t>%</w:t>
      </w:r>
      <w:r>
        <w:rPr>
          <w:rFonts w:hint="eastAsia"/>
        </w:rPr>
        <w:t>、</w:t>
      </w:r>
      <w:r>
        <w:t>乔木林地</w:t>
      </w:r>
      <w:r>
        <w:rPr>
          <w:rFonts w:hint="eastAsia"/>
        </w:rPr>
        <w:t>25.50</w:t>
      </w:r>
      <w:r>
        <w:t>%</w:t>
      </w:r>
      <w:r>
        <w:rPr>
          <w:rFonts w:hint="eastAsia"/>
        </w:rPr>
        <w:t>、园地15.7</w:t>
      </w:r>
      <w:r>
        <w:t>6%</w:t>
      </w:r>
      <w:r>
        <w:rPr>
          <w:rFonts w:hint="eastAsia"/>
        </w:rPr>
        <w:t>，其他类型的用地面积较小。</w:t>
      </w:r>
      <w:r>
        <w:t>本项目</w:t>
      </w:r>
      <w:r>
        <w:rPr>
          <w:rFonts w:hint="eastAsia"/>
        </w:rPr>
        <w:t>评价范围土地</w:t>
      </w:r>
      <w:r>
        <w:t>类型统计情况</w:t>
      </w:r>
      <w:r>
        <w:rPr>
          <w:rFonts w:hint="eastAsia"/>
        </w:rPr>
        <w:t>详见</w:t>
      </w:r>
      <w:r>
        <w:fldChar w:fldCharType="begin"/>
      </w:r>
      <w:r>
        <w:instrText xml:space="preserve"> </w:instrText>
      </w:r>
      <w:r>
        <w:rPr>
          <w:rFonts w:hint="eastAsia"/>
        </w:rPr>
        <w:instrText xml:space="preserve">REF _Ref78473865 \r \h</w:instrText>
      </w:r>
      <w:r>
        <w:instrText xml:space="preserve">  \* MERGEFORMAT </w:instrText>
      </w:r>
      <w:r>
        <w:fldChar w:fldCharType="separate"/>
      </w:r>
      <w:r>
        <w:rPr>
          <w:rFonts w:hint="eastAsia"/>
        </w:rPr>
        <w:t>表4.3-2</w:t>
      </w:r>
      <w:r>
        <w:fldChar w:fldCharType="end"/>
      </w:r>
      <w:r>
        <w:rPr>
          <w:rFonts w:hint="eastAsia"/>
        </w:rPr>
        <w:t>、</w:t>
      </w:r>
      <w:r>
        <w:fldChar w:fldCharType="begin"/>
      </w:r>
      <w:r>
        <w:instrText xml:space="preserve"> </w:instrText>
      </w:r>
      <w:r>
        <w:rPr>
          <w:rFonts w:hint="eastAsia"/>
        </w:rPr>
        <w:instrText xml:space="preserve">REF _Ref143698548 \r \h</w:instrText>
      </w:r>
      <w:r>
        <w:instrText xml:space="preserve">  \* MERGEFORMAT </w:instrText>
      </w:r>
      <w:r>
        <w:fldChar w:fldCharType="separate"/>
      </w:r>
      <w:r>
        <w:rPr>
          <w:rFonts w:hint="eastAsia"/>
        </w:rPr>
        <w:t>图4.3-1</w:t>
      </w:r>
      <w:r>
        <w:fldChar w:fldCharType="end"/>
      </w:r>
      <w:r>
        <w:rPr>
          <w:rFonts w:hint="eastAsia"/>
        </w:rPr>
        <w:t>，</w:t>
      </w:r>
      <w:r>
        <w:t>土地利用类型图</w:t>
      </w:r>
      <w:r>
        <w:rPr>
          <w:rFonts w:hint="eastAsia"/>
        </w:rPr>
        <w:t>详见</w:t>
      </w:r>
      <w:r>
        <w:fldChar w:fldCharType="begin"/>
      </w:r>
      <w:r>
        <w:instrText xml:space="preserve"> </w:instrText>
      </w:r>
      <w:r>
        <w:rPr>
          <w:rFonts w:hint="eastAsia"/>
        </w:rPr>
        <w:instrText xml:space="preserve">REF _Ref149719866 \r \h</w:instrText>
      </w:r>
      <w:r>
        <w:instrText xml:space="preserve">  \* MERGEFORMAT </w:instrText>
      </w:r>
      <w:r>
        <w:fldChar w:fldCharType="separate"/>
      </w:r>
      <w:r>
        <w:rPr>
          <w:rFonts w:hint="eastAsia"/>
        </w:rPr>
        <w:t>图4.3-2</w:t>
      </w:r>
      <w:r>
        <w:fldChar w:fldCharType="end"/>
      </w:r>
      <w:r>
        <w:t>。</w:t>
      </w:r>
    </w:p>
    <w:p>
      <w:pPr>
        <w:ind w:firstLine="480"/>
      </w:pPr>
    </w:p>
    <w:p>
      <w:pPr>
        <w:ind w:firstLine="480"/>
      </w:pPr>
    </w:p>
    <w:p>
      <w:pPr>
        <w:ind w:firstLine="480"/>
      </w:pPr>
    </w:p>
    <w:p>
      <w:pPr>
        <w:ind w:firstLine="480"/>
      </w:pPr>
    </w:p>
    <w:p>
      <w:pPr>
        <w:pStyle w:val="87"/>
        <w:spacing w:before="163"/>
        <w:ind w:left="480" w:firstLine="480"/>
      </w:pPr>
      <w:bookmarkStart w:id="422" w:name="_Ref78473865"/>
      <w:r>
        <w:rPr>
          <w:rFonts w:hint="eastAsia"/>
        </w:rPr>
        <w:t>线路评价范围内</w:t>
      </w:r>
      <w:r>
        <w:t>土地利用类型统计表</w:t>
      </w:r>
      <w:bookmarkEnd w:id="422"/>
    </w:p>
    <w:tbl>
      <w:tblPr>
        <w:tblStyle w:val="15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6"/>
        <w:gridCol w:w="1284"/>
        <w:gridCol w:w="1172"/>
        <w:gridCol w:w="1282"/>
        <w:gridCol w:w="716"/>
        <w:gridCol w:w="1563"/>
        <w:gridCol w:w="1172"/>
        <w:gridCol w:w="12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390" w:type="pct"/>
            <w:vMerge w:val="restart"/>
            <w:tcMar>
              <w:left w:w="57" w:type="dxa"/>
              <w:right w:w="57" w:type="dxa"/>
            </w:tcMar>
            <w:vAlign w:val="center"/>
          </w:tcPr>
          <w:p>
            <w:pPr>
              <w:pStyle w:val="105"/>
              <w:widowControl w:val="0"/>
              <w:jc w:val="center"/>
            </w:pPr>
            <w:r>
              <w:t>序号</w:t>
            </w:r>
          </w:p>
        </w:tc>
        <w:tc>
          <w:tcPr>
            <w:tcW w:w="699" w:type="pct"/>
            <w:vMerge w:val="restart"/>
            <w:tcMar>
              <w:left w:w="57" w:type="dxa"/>
              <w:right w:w="57" w:type="dxa"/>
            </w:tcMar>
            <w:vAlign w:val="center"/>
          </w:tcPr>
          <w:p>
            <w:pPr>
              <w:pStyle w:val="105"/>
              <w:widowControl w:val="0"/>
              <w:jc w:val="center"/>
            </w:pPr>
            <w:r>
              <w:t>土地利</w:t>
            </w:r>
          </w:p>
          <w:p>
            <w:pPr>
              <w:pStyle w:val="105"/>
              <w:widowControl w:val="0"/>
              <w:jc w:val="center"/>
            </w:pPr>
            <w:r>
              <w:t>用类型</w:t>
            </w:r>
          </w:p>
        </w:tc>
        <w:tc>
          <w:tcPr>
            <w:tcW w:w="1336" w:type="pct"/>
            <w:gridSpan w:val="2"/>
            <w:tcMar>
              <w:left w:w="57" w:type="dxa"/>
              <w:right w:w="57" w:type="dxa"/>
            </w:tcMar>
            <w:vAlign w:val="center"/>
          </w:tcPr>
          <w:p>
            <w:pPr>
              <w:pStyle w:val="105"/>
              <w:widowControl w:val="0"/>
              <w:jc w:val="center"/>
            </w:pPr>
            <w:r>
              <w:t>评价范围</w:t>
            </w:r>
          </w:p>
        </w:tc>
        <w:tc>
          <w:tcPr>
            <w:tcW w:w="390" w:type="pct"/>
            <w:vMerge w:val="restart"/>
            <w:tcMar>
              <w:left w:w="57" w:type="dxa"/>
              <w:right w:w="57" w:type="dxa"/>
            </w:tcMar>
            <w:vAlign w:val="center"/>
          </w:tcPr>
          <w:p>
            <w:pPr>
              <w:pStyle w:val="105"/>
              <w:widowControl w:val="0"/>
              <w:jc w:val="center"/>
            </w:pPr>
            <w:r>
              <w:t>序号</w:t>
            </w:r>
          </w:p>
        </w:tc>
        <w:tc>
          <w:tcPr>
            <w:tcW w:w="851" w:type="pct"/>
            <w:vMerge w:val="restart"/>
            <w:tcMar>
              <w:left w:w="57" w:type="dxa"/>
              <w:right w:w="57" w:type="dxa"/>
            </w:tcMar>
            <w:vAlign w:val="center"/>
          </w:tcPr>
          <w:p>
            <w:pPr>
              <w:pStyle w:val="105"/>
              <w:widowControl w:val="0"/>
              <w:jc w:val="center"/>
            </w:pPr>
            <w:r>
              <w:t>土地利</w:t>
            </w:r>
          </w:p>
          <w:p>
            <w:pPr>
              <w:pStyle w:val="105"/>
              <w:widowControl w:val="0"/>
              <w:jc w:val="center"/>
            </w:pPr>
            <w:r>
              <w:t>用类型</w:t>
            </w:r>
          </w:p>
        </w:tc>
        <w:tc>
          <w:tcPr>
            <w:tcW w:w="1334" w:type="pct"/>
            <w:gridSpan w:val="2"/>
            <w:tcMar>
              <w:left w:w="57" w:type="dxa"/>
              <w:right w:w="57" w:type="dxa"/>
            </w:tcMar>
            <w:vAlign w:val="center"/>
          </w:tcPr>
          <w:p>
            <w:pPr>
              <w:pStyle w:val="105"/>
              <w:widowControl w:val="0"/>
              <w:jc w:val="center"/>
            </w:pPr>
            <w:r>
              <w:t>评价范围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90" w:type="pct"/>
            <w:vMerge w:val="continue"/>
            <w:tcMar>
              <w:left w:w="57" w:type="dxa"/>
              <w:right w:w="57" w:type="dxa"/>
            </w:tcMar>
            <w:vAlign w:val="center"/>
          </w:tcPr>
          <w:p>
            <w:pPr>
              <w:pStyle w:val="105"/>
              <w:widowControl w:val="0"/>
              <w:jc w:val="center"/>
            </w:pPr>
          </w:p>
        </w:tc>
        <w:tc>
          <w:tcPr>
            <w:tcW w:w="699" w:type="pct"/>
            <w:vMerge w:val="continue"/>
            <w:tcMar>
              <w:left w:w="57" w:type="dxa"/>
              <w:right w:w="57" w:type="dxa"/>
            </w:tcMar>
            <w:vAlign w:val="center"/>
          </w:tcPr>
          <w:p>
            <w:pPr>
              <w:pStyle w:val="105"/>
              <w:widowControl w:val="0"/>
              <w:jc w:val="center"/>
            </w:pPr>
          </w:p>
        </w:tc>
        <w:tc>
          <w:tcPr>
            <w:tcW w:w="638" w:type="pct"/>
            <w:tcMar>
              <w:left w:w="57" w:type="dxa"/>
              <w:right w:w="57" w:type="dxa"/>
            </w:tcMar>
            <w:vAlign w:val="center"/>
          </w:tcPr>
          <w:p>
            <w:pPr>
              <w:pStyle w:val="105"/>
              <w:widowControl w:val="0"/>
              <w:jc w:val="center"/>
            </w:pPr>
            <w:r>
              <w:t>面积</w:t>
            </w:r>
          </w:p>
          <w:p>
            <w:pPr>
              <w:pStyle w:val="105"/>
              <w:widowControl w:val="0"/>
              <w:jc w:val="center"/>
            </w:pPr>
            <w:r>
              <w:rPr>
                <w:rFonts w:hint="eastAsia"/>
              </w:rPr>
              <w:t>(</w:t>
            </w:r>
            <w:r>
              <w:t>hm</w:t>
            </w:r>
            <w:r>
              <w:rPr>
                <w:vertAlign w:val="superscript"/>
              </w:rPr>
              <w:t>2</w:t>
            </w:r>
            <w:r>
              <w:rPr>
                <w:rFonts w:hint="eastAsia"/>
                <w:vertAlign w:val="superscript"/>
              </w:rPr>
              <w:t>)</w:t>
            </w:r>
          </w:p>
        </w:tc>
        <w:tc>
          <w:tcPr>
            <w:tcW w:w="698" w:type="pct"/>
            <w:tcMar>
              <w:left w:w="57" w:type="dxa"/>
              <w:right w:w="57" w:type="dxa"/>
            </w:tcMar>
            <w:vAlign w:val="center"/>
          </w:tcPr>
          <w:p>
            <w:pPr>
              <w:pStyle w:val="105"/>
              <w:widowControl w:val="0"/>
              <w:jc w:val="center"/>
            </w:pPr>
            <w:r>
              <w:t>面积比例</w:t>
            </w:r>
          </w:p>
          <w:p>
            <w:pPr>
              <w:pStyle w:val="105"/>
              <w:widowControl w:val="0"/>
              <w:jc w:val="center"/>
            </w:pPr>
            <w:r>
              <w:t>（%）</w:t>
            </w:r>
          </w:p>
        </w:tc>
        <w:tc>
          <w:tcPr>
            <w:tcW w:w="390" w:type="pct"/>
            <w:vMerge w:val="continue"/>
            <w:tcMar>
              <w:left w:w="57" w:type="dxa"/>
              <w:right w:w="57" w:type="dxa"/>
            </w:tcMar>
            <w:vAlign w:val="center"/>
          </w:tcPr>
          <w:p>
            <w:pPr>
              <w:pStyle w:val="105"/>
              <w:widowControl w:val="0"/>
              <w:jc w:val="center"/>
            </w:pPr>
          </w:p>
        </w:tc>
        <w:tc>
          <w:tcPr>
            <w:tcW w:w="851" w:type="pct"/>
            <w:vMerge w:val="continue"/>
            <w:tcMar>
              <w:left w:w="57" w:type="dxa"/>
              <w:right w:w="57" w:type="dxa"/>
            </w:tcMar>
            <w:vAlign w:val="center"/>
          </w:tcPr>
          <w:p>
            <w:pPr>
              <w:pStyle w:val="105"/>
              <w:widowControl w:val="0"/>
              <w:jc w:val="center"/>
            </w:pPr>
          </w:p>
        </w:tc>
        <w:tc>
          <w:tcPr>
            <w:tcW w:w="638" w:type="pct"/>
            <w:tcMar>
              <w:left w:w="57" w:type="dxa"/>
              <w:right w:w="57" w:type="dxa"/>
            </w:tcMar>
            <w:vAlign w:val="center"/>
          </w:tcPr>
          <w:p>
            <w:pPr>
              <w:pStyle w:val="105"/>
              <w:widowControl w:val="0"/>
              <w:jc w:val="center"/>
            </w:pPr>
            <w:r>
              <w:t>面积</w:t>
            </w:r>
          </w:p>
          <w:p>
            <w:pPr>
              <w:pStyle w:val="105"/>
              <w:widowControl w:val="0"/>
              <w:jc w:val="center"/>
            </w:pPr>
            <w:r>
              <w:rPr>
                <w:rFonts w:hint="eastAsia"/>
              </w:rPr>
              <w:t>(</w:t>
            </w:r>
            <w:r>
              <w:t>hm</w:t>
            </w:r>
            <w:r>
              <w:rPr>
                <w:vertAlign w:val="superscript"/>
              </w:rPr>
              <w:t>2</w:t>
            </w:r>
            <w:r>
              <w:rPr>
                <w:rFonts w:hint="eastAsia"/>
                <w:vertAlign w:val="superscript"/>
              </w:rPr>
              <w:t>)</w:t>
            </w:r>
          </w:p>
        </w:tc>
        <w:tc>
          <w:tcPr>
            <w:tcW w:w="696" w:type="pct"/>
            <w:tcMar>
              <w:left w:w="57" w:type="dxa"/>
              <w:right w:w="57" w:type="dxa"/>
            </w:tcMar>
            <w:vAlign w:val="center"/>
          </w:tcPr>
          <w:p>
            <w:pPr>
              <w:pStyle w:val="105"/>
              <w:widowControl w:val="0"/>
              <w:jc w:val="center"/>
            </w:pPr>
            <w:r>
              <w:t>面积比例</w:t>
            </w:r>
          </w:p>
          <w:p>
            <w:pPr>
              <w:pStyle w:val="105"/>
              <w:widowControl w:val="0"/>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1</w:t>
            </w:r>
          </w:p>
        </w:tc>
        <w:tc>
          <w:tcPr>
            <w:tcW w:w="699" w:type="pct"/>
            <w:tcMar>
              <w:left w:w="57" w:type="dxa"/>
              <w:right w:w="57" w:type="dxa"/>
            </w:tcMar>
            <w:vAlign w:val="center"/>
          </w:tcPr>
          <w:p>
            <w:pPr>
              <w:pStyle w:val="105"/>
              <w:widowControl w:val="0"/>
              <w:jc w:val="center"/>
            </w:pPr>
            <w:r>
              <w:rPr>
                <w:rFonts w:hint="eastAsia"/>
              </w:rPr>
              <w:t>水田</w:t>
            </w:r>
          </w:p>
        </w:tc>
        <w:tc>
          <w:tcPr>
            <w:tcW w:w="638" w:type="pct"/>
            <w:noWrap/>
            <w:tcMar>
              <w:left w:w="57" w:type="dxa"/>
              <w:right w:w="57" w:type="dxa"/>
            </w:tcMar>
            <w:vAlign w:val="bottom"/>
          </w:tcPr>
          <w:p>
            <w:pPr>
              <w:pStyle w:val="105"/>
              <w:widowControl w:val="0"/>
              <w:jc w:val="center"/>
            </w:pPr>
            <w:r>
              <w:rPr>
                <w:rFonts w:hint="eastAsia"/>
              </w:rPr>
              <w:t>107.078</w:t>
            </w:r>
          </w:p>
        </w:tc>
        <w:tc>
          <w:tcPr>
            <w:tcW w:w="698" w:type="pct"/>
            <w:tcMar>
              <w:left w:w="57" w:type="dxa"/>
              <w:right w:w="57" w:type="dxa"/>
            </w:tcMar>
            <w:vAlign w:val="bottom"/>
          </w:tcPr>
          <w:p>
            <w:pPr>
              <w:pStyle w:val="105"/>
              <w:widowControl w:val="0"/>
              <w:jc w:val="center"/>
            </w:pPr>
            <w:r>
              <w:rPr>
                <w:rFonts w:hint="eastAsia"/>
              </w:rPr>
              <w:t>28.39%</w:t>
            </w:r>
          </w:p>
        </w:tc>
        <w:tc>
          <w:tcPr>
            <w:tcW w:w="390" w:type="pct"/>
            <w:tcMar>
              <w:left w:w="57" w:type="dxa"/>
              <w:right w:w="57" w:type="dxa"/>
            </w:tcMar>
            <w:vAlign w:val="bottom"/>
          </w:tcPr>
          <w:p>
            <w:pPr>
              <w:pStyle w:val="105"/>
              <w:widowControl w:val="0"/>
              <w:jc w:val="center"/>
            </w:pPr>
            <w:r>
              <w:rPr>
                <w:rFonts w:hint="eastAsia"/>
              </w:rPr>
              <w:t>12</w:t>
            </w:r>
          </w:p>
        </w:tc>
        <w:tc>
          <w:tcPr>
            <w:tcW w:w="851" w:type="pct"/>
            <w:tcMar>
              <w:left w:w="57" w:type="dxa"/>
              <w:right w:w="57" w:type="dxa"/>
            </w:tcMar>
            <w:vAlign w:val="center"/>
          </w:tcPr>
          <w:p>
            <w:pPr>
              <w:pStyle w:val="105"/>
              <w:widowControl w:val="0"/>
              <w:jc w:val="center"/>
            </w:pPr>
            <w:r>
              <w:rPr>
                <w:rFonts w:hint="eastAsia"/>
              </w:rPr>
              <w:t>设施农用地</w:t>
            </w:r>
          </w:p>
        </w:tc>
        <w:tc>
          <w:tcPr>
            <w:tcW w:w="638" w:type="pct"/>
            <w:tcMar>
              <w:left w:w="57" w:type="dxa"/>
              <w:right w:w="57" w:type="dxa"/>
            </w:tcMar>
            <w:vAlign w:val="bottom"/>
          </w:tcPr>
          <w:p>
            <w:pPr>
              <w:pStyle w:val="105"/>
              <w:widowControl w:val="0"/>
              <w:jc w:val="center"/>
            </w:pPr>
            <w:r>
              <w:rPr>
                <w:rFonts w:hint="eastAsia"/>
              </w:rPr>
              <w:t>13.6521</w:t>
            </w:r>
          </w:p>
        </w:tc>
        <w:tc>
          <w:tcPr>
            <w:tcW w:w="696" w:type="pct"/>
            <w:tcMar>
              <w:left w:w="57" w:type="dxa"/>
              <w:right w:w="57" w:type="dxa"/>
            </w:tcMar>
            <w:vAlign w:val="bottom"/>
          </w:tcPr>
          <w:p>
            <w:pPr>
              <w:pStyle w:val="105"/>
              <w:widowControl w:val="0"/>
              <w:jc w:val="center"/>
            </w:pPr>
            <w:r>
              <w:rPr>
                <w:rFonts w:hint="eastAsia"/>
              </w:rPr>
              <w:t>3.62%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2</w:t>
            </w:r>
          </w:p>
        </w:tc>
        <w:tc>
          <w:tcPr>
            <w:tcW w:w="699" w:type="pct"/>
            <w:tcMar>
              <w:left w:w="57" w:type="dxa"/>
              <w:right w:w="57" w:type="dxa"/>
            </w:tcMar>
            <w:vAlign w:val="center"/>
          </w:tcPr>
          <w:p>
            <w:pPr>
              <w:pStyle w:val="105"/>
              <w:widowControl w:val="0"/>
              <w:jc w:val="center"/>
            </w:pPr>
            <w:r>
              <w:rPr>
                <w:rFonts w:hint="eastAsia"/>
              </w:rPr>
              <w:t>旱地</w:t>
            </w:r>
          </w:p>
        </w:tc>
        <w:tc>
          <w:tcPr>
            <w:tcW w:w="638" w:type="pct"/>
            <w:noWrap/>
            <w:tcMar>
              <w:left w:w="57" w:type="dxa"/>
              <w:right w:w="57" w:type="dxa"/>
            </w:tcMar>
            <w:vAlign w:val="bottom"/>
          </w:tcPr>
          <w:p>
            <w:pPr>
              <w:pStyle w:val="105"/>
              <w:widowControl w:val="0"/>
              <w:jc w:val="center"/>
            </w:pPr>
            <w:r>
              <w:rPr>
                <w:rFonts w:hint="eastAsia"/>
              </w:rPr>
              <w:t>5.4305</w:t>
            </w:r>
          </w:p>
        </w:tc>
        <w:tc>
          <w:tcPr>
            <w:tcW w:w="698" w:type="pct"/>
            <w:tcMar>
              <w:left w:w="57" w:type="dxa"/>
              <w:right w:w="57" w:type="dxa"/>
            </w:tcMar>
            <w:vAlign w:val="bottom"/>
          </w:tcPr>
          <w:p>
            <w:pPr>
              <w:pStyle w:val="105"/>
              <w:widowControl w:val="0"/>
              <w:jc w:val="center"/>
            </w:pPr>
            <w:r>
              <w:rPr>
                <w:rFonts w:hint="eastAsia"/>
              </w:rPr>
              <w:t>1.44%</w:t>
            </w:r>
          </w:p>
        </w:tc>
        <w:tc>
          <w:tcPr>
            <w:tcW w:w="390" w:type="pct"/>
            <w:tcMar>
              <w:left w:w="57" w:type="dxa"/>
              <w:right w:w="57" w:type="dxa"/>
            </w:tcMar>
            <w:vAlign w:val="bottom"/>
          </w:tcPr>
          <w:p>
            <w:pPr>
              <w:pStyle w:val="105"/>
              <w:widowControl w:val="0"/>
              <w:jc w:val="center"/>
            </w:pPr>
            <w:r>
              <w:rPr>
                <w:rFonts w:hint="eastAsia"/>
              </w:rPr>
              <w:t>13</w:t>
            </w:r>
          </w:p>
        </w:tc>
        <w:tc>
          <w:tcPr>
            <w:tcW w:w="851" w:type="pct"/>
            <w:tcMar>
              <w:left w:w="57" w:type="dxa"/>
              <w:right w:w="57" w:type="dxa"/>
            </w:tcMar>
            <w:vAlign w:val="center"/>
          </w:tcPr>
          <w:p>
            <w:pPr>
              <w:pStyle w:val="105"/>
              <w:widowControl w:val="0"/>
              <w:jc w:val="center"/>
            </w:pPr>
            <w:r>
              <w:rPr>
                <w:rFonts w:hint="eastAsia"/>
              </w:rPr>
              <w:t>田坎</w:t>
            </w:r>
          </w:p>
        </w:tc>
        <w:tc>
          <w:tcPr>
            <w:tcW w:w="638" w:type="pct"/>
            <w:tcMar>
              <w:left w:w="57" w:type="dxa"/>
              <w:right w:w="57" w:type="dxa"/>
            </w:tcMar>
            <w:vAlign w:val="bottom"/>
          </w:tcPr>
          <w:p>
            <w:pPr>
              <w:pStyle w:val="105"/>
              <w:widowControl w:val="0"/>
              <w:jc w:val="center"/>
            </w:pPr>
            <w:r>
              <w:rPr>
                <w:rFonts w:hint="eastAsia"/>
              </w:rPr>
              <w:t>3.2294</w:t>
            </w:r>
          </w:p>
        </w:tc>
        <w:tc>
          <w:tcPr>
            <w:tcW w:w="696" w:type="pct"/>
            <w:tcMar>
              <w:left w:w="57" w:type="dxa"/>
              <w:right w:w="57" w:type="dxa"/>
            </w:tcMar>
            <w:vAlign w:val="bottom"/>
          </w:tcPr>
          <w:p>
            <w:pPr>
              <w:pStyle w:val="105"/>
              <w:widowControl w:val="0"/>
              <w:jc w:val="center"/>
            </w:pPr>
            <w:r>
              <w:rPr>
                <w:rFonts w:hint="eastAsia"/>
              </w:rPr>
              <w:t>0.86%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3</w:t>
            </w:r>
          </w:p>
        </w:tc>
        <w:tc>
          <w:tcPr>
            <w:tcW w:w="699" w:type="pct"/>
            <w:tcMar>
              <w:left w:w="57" w:type="dxa"/>
              <w:right w:w="57" w:type="dxa"/>
            </w:tcMar>
            <w:vAlign w:val="center"/>
          </w:tcPr>
          <w:p>
            <w:pPr>
              <w:pStyle w:val="105"/>
              <w:widowControl w:val="0"/>
              <w:jc w:val="center"/>
            </w:pPr>
            <w:r>
              <w:rPr>
                <w:rFonts w:hint="eastAsia"/>
              </w:rPr>
              <w:t>果园</w:t>
            </w:r>
          </w:p>
        </w:tc>
        <w:tc>
          <w:tcPr>
            <w:tcW w:w="638" w:type="pct"/>
            <w:noWrap/>
            <w:tcMar>
              <w:left w:w="57" w:type="dxa"/>
              <w:right w:w="57" w:type="dxa"/>
            </w:tcMar>
            <w:vAlign w:val="bottom"/>
          </w:tcPr>
          <w:p>
            <w:pPr>
              <w:pStyle w:val="105"/>
              <w:widowControl w:val="0"/>
              <w:jc w:val="center"/>
            </w:pPr>
            <w:r>
              <w:rPr>
                <w:rFonts w:hint="eastAsia"/>
              </w:rPr>
              <w:t>59.3744</w:t>
            </w:r>
          </w:p>
        </w:tc>
        <w:tc>
          <w:tcPr>
            <w:tcW w:w="698" w:type="pct"/>
            <w:tcMar>
              <w:left w:w="57" w:type="dxa"/>
              <w:right w:w="57" w:type="dxa"/>
            </w:tcMar>
            <w:vAlign w:val="bottom"/>
          </w:tcPr>
          <w:p>
            <w:pPr>
              <w:pStyle w:val="105"/>
              <w:widowControl w:val="0"/>
              <w:jc w:val="center"/>
            </w:pPr>
            <w:r>
              <w:rPr>
                <w:rFonts w:hint="eastAsia"/>
              </w:rPr>
              <w:t>15.74%</w:t>
            </w:r>
          </w:p>
        </w:tc>
        <w:tc>
          <w:tcPr>
            <w:tcW w:w="390" w:type="pct"/>
            <w:tcMar>
              <w:left w:w="57" w:type="dxa"/>
              <w:right w:w="57" w:type="dxa"/>
            </w:tcMar>
            <w:vAlign w:val="bottom"/>
          </w:tcPr>
          <w:p>
            <w:pPr>
              <w:pStyle w:val="105"/>
              <w:widowControl w:val="0"/>
              <w:jc w:val="center"/>
            </w:pPr>
            <w:r>
              <w:rPr>
                <w:rFonts w:hint="eastAsia"/>
              </w:rPr>
              <w:t>14</w:t>
            </w:r>
          </w:p>
        </w:tc>
        <w:tc>
          <w:tcPr>
            <w:tcW w:w="851" w:type="pct"/>
            <w:tcMar>
              <w:left w:w="57" w:type="dxa"/>
              <w:right w:w="57" w:type="dxa"/>
            </w:tcMar>
            <w:vAlign w:val="center"/>
          </w:tcPr>
          <w:p>
            <w:pPr>
              <w:pStyle w:val="105"/>
              <w:widowControl w:val="0"/>
              <w:jc w:val="center"/>
            </w:pPr>
            <w:r>
              <w:rPr>
                <w:rFonts w:hint="eastAsia"/>
              </w:rPr>
              <w:t>建制镇</w:t>
            </w:r>
          </w:p>
        </w:tc>
        <w:tc>
          <w:tcPr>
            <w:tcW w:w="638" w:type="pct"/>
            <w:tcMar>
              <w:left w:w="57" w:type="dxa"/>
              <w:right w:w="57" w:type="dxa"/>
            </w:tcMar>
            <w:vAlign w:val="bottom"/>
          </w:tcPr>
          <w:p>
            <w:pPr>
              <w:pStyle w:val="105"/>
              <w:widowControl w:val="0"/>
              <w:jc w:val="center"/>
            </w:pPr>
            <w:r>
              <w:rPr>
                <w:rFonts w:hint="eastAsia"/>
              </w:rPr>
              <w:t>6.4</w:t>
            </w:r>
          </w:p>
        </w:tc>
        <w:tc>
          <w:tcPr>
            <w:tcW w:w="696" w:type="pct"/>
            <w:tcMar>
              <w:left w:w="57" w:type="dxa"/>
              <w:right w:w="57" w:type="dxa"/>
            </w:tcMar>
            <w:vAlign w:val="bottom"/>
          </w:tcPr>
          <w:p>
            <w:pPr>
              <w:pStyle w:val="105"/>
              <w:widowControl w:val="0"/>
              <w:jc w:val="center"/>
            </w:pPr>
            <w:r>
              <w:rPr>
                <w:rFonts w:hint="eastAsia"/>
              </w:rPr>
              <w:t>1.70%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4</w:t>
            </w:r>
          </w:p>
        </w:tc>
        <w:tc>
          <w:tcPr>
            <w:tcW w:w="699" w:type="pct"/>
            <w:tcMar>
              <w:left w:w="57" w:type="dxa"/>
              <w:right w:w="57" w:type="dxa"/>
            </w:tcMar>
            <w:vAlign w:val="center"/>
          </w:tcPr>
          <w:p>
            <w:pPr>
              <w:pStyle w:val="105"/>
              <w:widowControl w:val="0"/>
              <w:jc w:val="center"/>
            </w:pPr>
            <w:r>
              <w:rPr>
                <w:rFonts w:hint="eastAsia"/>
              </w:rPr>
              <w:t>其他园地</w:t>
            </w:r>
          </w:p>
        </w:tc>
        <w:tc>
          <w:tcPr>
            <w:tcW w:w="638" w:type="pct"/>
            <w:noWrap/>
            <w:tcMar>
              <w:left w:w="57" w:type="dxa"/>
              <w:right w:w="57" w:type="dxa"/>
            </w:tcMar>
            <w:vAlign w:val="bottom"/>
          </w:tcPr>
          <w:p>
            <w:pPr>
              <w:pStyle w:val="105"/>
              <w:widowControl w:val="0"/>
              <w:jc w:val="center"/>
            </w:pPr>
            <w:r>
              <w:rPr>
                <w:rFonts w:hint="eastAsia"/>
              </w:rPr>
              <w:t>0.0613</w:t>
            </w:r>
          </w:p>
        </w:tc>
        <w:tc>
          <w:tcPr>
            <w:tcW w:w="698" w:type="pct"/>
            <w:tcMar>
              <w:left w:w="57" w:type="dxa"/>
              <w:right w:w="57" w:type="dxa"/>
            </w:tcMar>
            <w:vAlign w:val="bottom"/>
          </w:tcPr>
          <w:p>
            <w:pPr>
              <w:pStyle w:val="105"/>
              <w:widowControl w:val="0"/>
              <w:jc w:val="center"/>
            </w:pPr>
            <w:r>
              <w:rPr>
                <w:rFonts w:hint="eastAsia"/>
              </w:rPr>
              <w:t>0.02%</w:t>
            </w:r>
          </w:p>
        </w:tc>
        <w:tc>
          <w:tcPr>
            <w:tcW w:w="390" w:type="pct"/>
            <w:tcMar>
              <w:left w:w="57" w:type="dxa"/>
              <w:right w:w="57" w:type="dxa"/>
            </w:tcMar>
            <w:vAlign w:val="bottom"/>
          </w:tcPr>
          <w:p>
            <w:pPr>
              <w:pStyle w:val="105"/>
              <w:widowControl w:val="0"/>
              <w:jc w:val="center"/>
            </w:pPr>
            <w:r>
              <w:rPr>
                <w:rFonts w:hint="eastAsia"/>
              </w:rPr>
              <w:t>15</w:t>
            </w:r>
          </w:p>
        </w:tc>
        <w:tc>
          <w:tcPr>
            <w:tcW w:w="851" w:type="pct"/>
            <w:tcMar>
              <w:left w:w="57" w:type="dxa"/>
              <w:right w:w="57" w:type="dxa"/>
            </w:tcMar>
            <w:vAlign w:val="center"/>
          </w:tcPr>
          <w:p>
            <w:pPr>
              <w:pStyle w:val="105"/>
              <w:widowControl w:val="0"/>
              <w:jc w:val="center"/>
            </w:pPr>
            <w:r>
              <w:rPr>
                <w:rFonts w:hint="eastAsia"/>
              </w:rPr>
              <w:t>村庄</w:t>
            </w:r>
          </w:p>
        </w:tc>
        <w:tc>
          <w:tcPr>
            <w:tcW w:w="638" w:type="pct"/>
            <w:tcMar>
              <w:left w:w="57" w:type="dxa"/>
              <w:right w:w="57" w:type="dxa"/>
            </w:tcMar>
            <w:vAlign w:val="bottom"/>
          </w:tcPr>
          <w:p>
            <w:pPr>
              <w:pStyle w:val="105"/>
              <w:widowControl w:val="0"/>
              <w:jc w:val="center"/>
            </w:pPr>
            <w:r>
              <w:rPr>
                <w:rFonts w:hint="eastAsia"/>
              </w:rPr>
              <w:t>28.5623</w:t>
            </w:r>
          </w:p>
        </w:tc>
        <w:tc>
          <w:tcPr>
            <w:tcW w:w="696" w:type="pct"/>
            <w:tcMar>
              <w:left w:w="57" w:type="dxa"/>
              <w:right w:w="57" w:type="dxa"/>
            </w:tcMar>
            <w:vAlign w:val="bottom"/>
          </w:tcPr>
          <w:p>
            <w:pPr>
              <w:pStyle w:val="105"/>
              <w:widowControl w:val="0"/>
              <w:jc w:val="center"/>
            </w:pPr>
            <w:r>
              <w:rPr>
                <w:rFonts w:hint="eastAsia"/>
              </w:rPr>
              <w:t>7.57%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5</w:t>
            </w:r>
          </w:p>
        </w:tc>
        <w:tc>
          <w:tcPr>
            <w:tcW w:w="699" w:type="pct"/>
            <w:tcMar>
              <w:left w:w="57" w:type="dxa"/>
              <w:right w:w="57" w:type="dxa"/>
            </w:tcMar>
            <w:vAlign w:val="center"/>
          </w:tcPr>
          <w:p>
            <w:pPr>
              <w:pStyle w:val="105"/>
              <w:widowControl w:val="0"/>
              <w:jc w:val="center"/>
            </w:pPr>
            <w:r>
              <w:rPr>
                <w:rFonts w:hint="eastAsia"/>
              </w:rPr>
              <w:t>乔木林地</w:t>
            </w:r>
          </w:p>
        </w:tc>
        <w:tc>
          <w:tcPr>
            <w:tcW w:w="638" w:type="pct"/>
            <w:noWrap/>
            <w:tcMar>
              <w:left w:w="57" w:type="dxa"/>
              <w:right w:w="57" w:type="dxa"/>
            </w:tcMar>
            <w:vAlign w:val="bottom"/>
          </w:tcPr>
          <w:p>
            <w:pPr>
              <w:pStyle w:val="105"/>
              <w:widowControl w:val="0"/>
              <w:jc w:val="center"/>
            </w:pPr>
            <w:r>
              <w:rPr>
                <w:rFonts w:hint="eastAsia"/>
              </w:rPr>
              <w:t>96.1715</w:t>
            </w:r>
          </w:p>
        </w:tc>
        <w:tc>
          <w:tcPr>
            <w:tcW w:w="698" w:type="pct"/>
            <w:tcMar>
              <w:left w:w="57" w:type="dxa"/>
              <w:right w:w="57" w:type="dxa"/>
            </w:tcMar>
            <w:vAlign w:val="bottom"/>
          </w:tcPr>
          <w:p>
            <w:pPr>
              <w:pStyle w:val="105"/>
              <w:widowControl w:val="0"/>
              <w:jc w:val="center"/>
            </w:pPr>
            <w:r>
              <w:rPr>
                <w:rFonts w:hint="eastAsia"/>
              </w:rPr>
              <w:t>25.50%</w:t>
            </w:r>
          </w:p>
        </w:tc>
        <w:tc>
          <w:tcPr>
            <w:tcW w:w="390" w:type="pct"/>
            <w:tcMar>
              <w:left w:w="57" w:type="dxa"/>
              <w:right w:w="57" w:type="dxa"/>
            </w:tcMar>
            <w:vAlign w:val="bottom"/>
          </w:tcPr>
          <w:p>
            <w:pPr>
              <w:pStyle w:val="105"/>
              <w:widowControl w:val="0"/>
              <w:jc w:val="center"/>
            </w:pPr>
            <w:r>
              <w:rPr>
                <w:rFonts w:hint="eastAsia"/>
              </w:rPr>
              <w:t>16</w:t>
            </w:r>
          </w:p>
        </w:tc>
        <w:tc>
          <w:tcPr>
            <w:tcW w:w="851" w:type="pct"/>
            <w:tcMar>
              <w:left w:w="57" w:type="dxa"/>
              <w:right w:w="57" w:type="dxa"/>
            </w:tcMar>
            <w:vAlign w:val="center"/>
          </w:tcPr>
          <w:p>
            <w:pPr>
              <w:pStyle w:val="105"/>
              <w:widowControl w:val="0"/>
              <w:jc w:val="center"/>
            </w:pPr>
            <w:r>
              <w:rPr>
                <w:rFonts w:hint="eastAsia"/>
              </w:rPr>
              <w:t>特殊用地</w:t>
            </w:r>
          </w:p>
        </w:tc>
        <w:tc>
          <w:tcPr>
            <w:tcW w:w="638" w:type="pct"/>
            <w:tcMar>
              <w:left w:w="57" w:type="dxa"/>
              <w:right w:w="57" w:type="dxa"/>
            </w:tcMar>
            <w:vAlign w:val="bottom"/>
          </w:tcPr>
          <w:p>
            <w:pPr>
              <w:pStyle w:val="105"/>
              <w:widowControl w:val="0"/>
              <w:jc w:val="center"/>
            </w:pPr>
            <w:r>
              <w:rPr>
                <w:rFonts w:hint="eastAsia"/>
              </w:rPr>
              <w:t>2.9829</w:t>
            </w:r>
          </w:p>
        </w:tc>
        <w:tc>
          <w:tcPr>
            <w:tcW w:w="696" w:type="pct"/>
            <w:tcMar>
              <w:left w:w="57" w:type="dxa"/>
              <w:right w:w="57" w:type="dxa"/>
            </w:tcMar>
            <w:vAlign w:val="bottom"/>
          </w:tcPr>
          <w:p>
            <w:pPr>
              <w:pStyle w:val="105"/>
              <w:widowControl w:val="0"/>
              <w:jc w:val="center"/>
            </w:pPr>
            <w:r>
              <w:rPr>
                <w:rFonts w:hint="eastAsia"/>
              </w:rPr>
              <w:t>0.79%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6</w:t>
            </w:r>
          </w:p>
        </w:tc>
        <w:tc>
          <w:tcPr>
            <w:tcW w:w="699" w:type="pct"/>
            <w:tcMar>
              <w:left w:w="57" w:type="dxa"/>
              <w:right w:w="57" w:type="dxa"/>
            </w:tcMar>
            <w:vAlign w:val="center"/>
          </w:tcPr>
          <w:p>
            <w:pPr>
              <w:pStyle w:val="105"/>
              <w:widowControl w:val="0"/>
              <w:jc w:val="center"/>
            </w:pPr>
            <w:r>
              <w:rPr>
                <w:rFonts w:hint="eastAsia"/>
              </w:rPr>
              <w:t>灌木林地</w:t>
            </w:r>
          </w:p>
        </w:tc>
        <w:tc>
          <w:tcPr>
            <w:tcW w:w="638" w:type="pct"/>
            <w:noWrap/>
            <w:tcMar>
              <w:left w:w="57" w:type="dxa"/>
              <w:right w:w="57" w:type="dxa"/>
            </w:tcMar>
            <w:vAlign w:val="bottom"/>
          </w:tcPr>
          <w:p>
            <w:pPr>
              <w:pStyle w:val="105"/>
              <w:widowControl w:val="0"/>
              <w:jc w:val="center"/>
            </w:pPr>
            <w:r>
              <w:rPr>
                <w:rFonts w:hint="eastAsia"/>
              </w:rPr>
              <w:t>1.0887</w:t>
            </w:r>
          </w:p>
        </w:tc>
        <w:tc>
          <w:tcPr>
            <w:tcW w:w="698" w:type="pct"/>
            <w:tcMar>
              <w:left w:w="57" w:type="dxa"/>
              <w:right w:w="57" w:type="dxa"/>
            </w:tcMar>
            <w:vAlign w:val="bottom"/>
          </w:tcPr>
          <w:p>
            <w:pPr>
              <w:pStyle w:val="105"/>
              <w:widowControl w:val="0"/>
              <w:jc w:val="center"/>
            </w:pPr>
            <w:r>
              <w:rPr>
                <w:rFonts w:hint="eastAsia"/>
              </w:rPr>
              <w:t>0.29%</w:t>
            </w:r>
          </w:p>
        </w:tc>
        <w:tc>
          <w:tcPr>
            <w:tcW w:w="390" w:type="pct"/>
            <w:tcMar>
              <w:left w:w="57" w:type="dxa"/>
              <w:right w:w="57" w:type="dxa"/>
            </w:tcMar>
            <w:vAlign w:val="bottom"/>
          </w:tcPr>
          <w:p>
            <w:pPr>
              <w:pStyle w:val="105"/>
              <w:widowControl w:val="0"/>
              <w:jc w:val="center"/>
            </w:pPr>
            <w:r>
              <w:rPr>
                <w:rFonts w:hint="eastAsia"/>
              </w:rPr>
              <w:t>17</w:t>
            </w:r>
          </w:p>
        </w:tc>
        <w:tc>
          <w:tcPr>
            <w:tcW w:w="851" w:type="pct"/>
            <w:tcMar>
              <w:left w:w="57" w:type="dxa"/>
              <w:right w:w="57" w:type="dxa"/>
            </w:tcMar>
            <w:vAlign w:val="center"/>
          </w:tcPr>
          <w:p>
            <w:pPr>
              <w:pStyle w:val="105"/>
              <w:widowControl w:val="0"/>
              <w:jc w:val="center"/>
            </w:pPr>
            <w:r>
              <w:rPr>
                <w:rFonts w:hint="eastAsia"/>
              </w:rPr>
              <w:t>铁路用地</w:t>
            </w:r>
          </w:p>
        </w:tc>
        <w:tc>
          <w:tcPr>
            <w:tcW w:w="638" w:type="pct"/>
            <w:tcMar>
              <w:left w:w="57" w:type="dxa"/>
              <w:right w:w="57" w:type="dxa"/>
            </w:tcMar>
            <w:vAlign w:val="bottom"/>
          </w:tcPr>
          <w:p>
            <w:pPr>
              <w:pStyle w:val="105"/>
              <w:widowControl w:val="0"/>
              <w:jc w:val="center"/>
            </w:pPr>
            <w:r>
              <w:rPr>
                <w:rFonts w:hint="eastAsia"/>
              </w:rPr>
              <w:t>2.9598</w:t>
            </w:r>
          </w:p>
        </w:tc>
        <w:tc>
          <w:tcPr>
            <w:tcW w:w="696" w:type="pct"/>
            <w:tcMar>
              <w:left w:w="57" w:type="dxa"/>
              <w:right w:w="57" w:type="dxa"/>
            </w:tcMar>
            <w:vAlign w:val="bottom"/>
          </w:tcPr>
          <w:p>
            <w:pPr>
              <w:pStyle w:val="105"/>
              <w:widowControl w:val="0"/>
              <w:jc w:val="center"/>
            </w:pPr>
            <w:r>
              <w:rPr>
                <w:rFonts w:hint="eastAsia"/>
              </w:rPr>
              <w:t>0.78%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7</w:t>
            </w:r>
          </w:p>
        </w:tc>
        <w:tc>
          <w:tcPr>
            <w:tcW w:w="699" w:type="pct"/>
            <w:tcMar>
              <w:left w:w="57" w:type="dxa"/>
              <w:right w:w="57" w:type="dxa"/>
            </w:tcMar>
            <w:vAlign w:val="center"/>
          </w:tcPr>
          <w:p>
            <w:pPr>
              <w:pStyle w:val="105"/>
              <w:widowControl w:val="0"/>
              <w:jc w:val="center"/>
            </w:pPr>
            <w:r>
              <w:rPr>
                <w:rFonts w:hint="eastAsia"/>
              </w:rPr>
              <w:t>其他林地</w:t>
            </w:r>
          </w:p>
        </w:tc>
        <w:tc>
          <w:tcPr>
            <w:tcW w:w="638" w:type="pct"/>
            <w:noWrap/>
            <w:tcMar>
              <w:left w:w="57" w:type="dxa"/>
              <w:right w:w="57" w:type="dxa"/>
            </w:tcMar>
            <w:vAlign w:val="bottom"/>
          </w:tcPr>
          <w:p>
            <w:pPr>
              <w:pStyle w:val="105"/>
              <w:widowControl w:val="0"/>
              <w:jc w:val="center"/>
            </w:pPr>
            <w:r>
              <w:rPr>
                <w:rFonts w:hint="eastAsia"/>
              </w:rPr>
              <w:t>7.8066</w:t>
            </w:r>
          </w:p>
        </w:tc>
        <w:tc>
          <w:tcPr>
            <w:tcW w:w="698" w:type="pct"/>
            <w:tcMar>
              <w:left w:w="57" w:type="dxa"/>
              <w:right w:w="57" w:type="dxa"/>
            </w:tcMar>
            <w:vAlign w:val="bottom"/>
          </w:tcPr>
          <w:p>
            <w:pPr>
              <w:pStyle w:val="105"/>
              <w:widowControl w:val="0"/>
              <w:jc w:val="center"/>
            </w:pPr>
            <w:r>
              <w:rPr>
                <w:rFonts w:hint="eastAsia"/>
              </w:rPr>
              <w:t>2.07%</w:t>
            </w:r>
          </w:p>
        </w:tc>
        <w:tc>
          <w:tcPr>
            <w:tcW w:w="390" w:type="pct"/>
            <w:tcMar>
              <w:left w:w="57" w:type="dxa"/>
              <w:right w:w="57" w:type="dxa"/>
            </w:tcMar>
            <w:vAlign w:val="bottom"/>
          </w:tcPr>
          <w:p>
            <w:pPr>
              <w:pStyle w:val="105"/>
              <w:widowControl w:val="0"/>
              <w:jc w:val="center"/>
            </w:pPr>
            <w:r>
              <w:rPr>
                <w:rFonts w:hint="eastAsia"/>
              </w:rPr>
              <w:t>18</w:t>
            </w:r>
          </w:p>
        </w:tc>
        <w:tc>
          <w:tcPr>
            <w:tcW w:w="851" w:type="pct"/>
            <w:tcMar>
              <w:left w:w="57" w:type="dxa"/>
              <w:right w:w="57" w:type="dxa"/>
            </w:tcMar>
            <w:vAlign w:val="center"/>
          </w:tcPr>
          <w:p>
            <w:pPr>
              <w:pStyle w:val="105"/>
              <w:widowControl w:val="0"/>
              <w:jc w:val="center"/>
            </w:pPr>
            <w:r>
              <w:rPr>
                <w:rFonts w:hint="eastAsia"/>
              </w:rPr>
              <w:t>公路用地</w:t>
            </w:r>
          </w:p>
        </w:tc>
        <w:tc>
          <w:tcPr>
            <w:tcW w:w="638" w:type="pct"/>
            <w:tcMar>
              <w:left w:w="57" w:type="dxa"/>
              <w:right w:w="57" w:type="dxa"/>
            </w:tcMar>
            <w:vAlign w:val="bottom"/>
          </w:tcPr>
          <w:p>
            <w:pPr>
              <w:pStyle w:val="105"/>
              <w:widowControl w:val="0"/>
              <w:jc w:val="center"/>
            </w:pPr>
            <w:r>
              <w:rPr>
                <w:rFonts w:hint="eastAsia"/>
              </w:rPr>
              <w:t>8.3616</w:t>
            </w:r>
          </w:p>
        </w:tc>
        <w:tc>
          <w:tcPr>
            <w:tcW w:w="696" w:type="pct"/>
            <w:tcMar>
              <w:left w:w="57" w:type="dxa"/>
              <w:right w:w="57" w:type="dxa"/>
            </w:tcMar>
            <w:vAlign w:val="bottom"/>
          </w:tcPr>
          <w:p>
            <w:pPr>
              <w:pStyle w:val="105"/>
              <w:widowControl w:val="0"/>
              <w:jc w:val="center"/>
            </w:pPr>
            <w:r>
              <w:rPr>
                <w:rFonts w:hint="eastAsia"/>
              </w:rPr>
              <w:t>2.22%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8</w:t>
            </w:r>
          </w:p>
        </w:tc>
        <w:tc>
          <w:tcPr>
            <w:tcW w:w="699" w:type="pct"/>
            <w:tcMar>
              <w:left w:w="57" w:type="dxa"/>
              <w:right w:w="57" w:type="dxa"/>
            </w:tcMar>
            <w:vAlign w:val="center"/>
          </w:tcPr>
          <w:p>
            <w:pPr>
              <w:pStyle w:val="105"/>
              <w:widowControl w:val="0"/>
              <w:jc w:val="center"/>
            </w:pPr>
            <w:r>
              <w:rPr>
                <w:rFonts w:hint="eastAsia"/>
              </w:rPr>
              <w:t>其他草地</w:t>
            </w:r>
          </w:p>
        </w:tc>
        <w:tc>
          <w:tcPr>
            <w:tcW w:w="638" w:type="pct"/>
            <w:noWrap/>
            <w:tcMar>
              <w:left w:w="57" w:type="dxa"/>
              <w:right w:w="57" w:type="dxa"/>
            </w:tcMar>
            <w:vAlign w:val="bottom"/>
          </w:tcPr>
          <w:p>
            <w:pPr>
              <w:pStyle w:val="105"/>
              <w:widowControl w:val="0"/>
              <w:jc w:val="center"/>
            </w:pPr>
            <w:r>
              <w:rPr>
                <w:rFonts w:hint="eastAsia"/>
              </w:rPr>
              <w:t>6.6057</w:t>
            </w:r>
          </w:p>
        </w:tc>
        <w:tc>
          <w:tcPr>
            <w:tcW w:w="698" w:type="pct"/>
            <w:tcMar>
              <w:left w:w="57" w:type="dxa"/>
              <w:right w:w="57" w:type="dxa"/>
            </w:tcMar>
            <w:vAlign w:val="bottom"/>
          </w:tcPr>
          <w:p>
            <w:pPr>
              <w:pStyle w:val="105"/>
              <w:widowControl w:val="0"/>
              <w:jc w:val="center"/>
            </w:pPr>
            <w:r>
              <w:rPr>
                <w:rFonts w:hint="eastAsia"/>
              </w:rPr>
              <w:t>1.75%</w:t>
            </w:r>
          </w:p>
        </w:tc>
        <w:tc>
          <w:tcPr>
            <w:tcW w:w="390" w:type="pct"/>
            <w:tcMar>
              <w:left w:w="57" w:type="dxa"/>
              <w:right w:w="57" w:type="dxa"/>
            </w:tcMar>
            <w:vAlign w:val="bottom"/>
          </w:tcPr>
          <w:p>
            <w:pPr>
              <w:pStyle w:val="105"/>
              <w:widowControl w:val="0"/>
              <w:jc w:val="center"/>
            </w:pPr>
            <w:r>
              <w:rPr>
                <w:rFonts w:hint="eastAsia"/>
              </w:rPr>
              <w:t>19</w:t>
            </w:r>
          </w:p>
        </w:tc>
        <w:tc>
          <w:tcPr>
            <w:tcW w:w="851" w:type="pct"/>
            <w:tcMar>
              <w:left w:w="57" w:type="dxa"/>
              <w:right w:w="57" w:type="dxa"/>
            </w:tcMar>
            <w:vAlign w:val="center"/>
          </w:tcPr>
          <w:p>
            <w:pPr>
              <w:pStyle w:val="105"/>
              <w:widowControl w:val="0"/>
              <w:jc w:val="center"/>
            </w:pPr>
            <w:r>
              <w:rPr>
                <w:rFonts w:hint="eastAsia"/>
              </w:rPr>
              <w:t>河流水面</w:t>
            </w:r>
          </w:p>
        </w:tc>
        <w:tc>
          <w:tcPr>
            <w:tcW w:w="638" w:type="pct"/>
            <w:tcMar>
              <w:left w:w="57" w:type="dxa"/>
              <w:right w:w="57" w:type="dxa"/>
            </w:tcMar>
            <w:vAlign w:val="bottom"/>
          </w:tcPr>
          <w:p>
            <w:pPr>
              <w:pStyle w:val="105"/>
              <w:widowControl w:val="0"/>
              <w:jc w:val="center"/>
            </w:pPr>
            <w:r>
              <w:rPr>
                <w:rFonts w:hint="eastAsia"/>
              </w:rPr>
              <w:t>11.8887</w:t>
            </w:r>
          </w:p>
        </w:tc>
        <w:tc>
          <w:tcPr>
            <w:tcW w:w="696" w:type="pct"/>
            <w:tcMar>
              <w:left w:w="57" w:type="dxa"/>
              <w:right w:w="57" w:type="dxa"/>
            </w:tcMar>
            <w:vAlign w:val="bottom"/>
          </w:tcPr>
          <w:p>
            <w:pPr>
              <w:pStyle w:val="105"/>
              <w:widowControl w:val="0"/>
              <w:jc w:val="center"/>
            </w:pPr>
            <w:r>
              <w:rPr>
                <w:rFonts w:hint="eastAsia"/>
              </w:rPr>
              <w:t>3.15%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9</w:t>
            </w:r>
          </w:p>
        </w:tc>
        <w:tc>
          <w:tcPr>
            <w:tcW w:w="699" w:type="pct"/>
            <w:tcMar>
              <w:left w:w="57" w:type="dxa"/>
              <w:right w:w="57" w:type="dxa"/>
            </w:tcMar>
            <w:vAlign w:val="center"/>
          </w:tcPr>
          <w:p>
            <w:pPr>
              <w:pStyle w:val="105"/>
              <w:widowControl w:val="0"/>
              <w:jc w:val="center"/>
            </w:pPr>
            <w:r>
              <w:rPr>
                <w:rFonts w:hint="eastAsia"/>
              </w:rPr>
              <w:t>农村道路</w:t>
            </w:r>
          </w:p>
        </w:tc>
        <w:tc>
          <w:tcPr>
            <w:tcW w:w="638" w:type="pct"/>
            <w:noWrap/>
            <w:tcMar>
              <w:left w:w="57" w:type="dxa"/>
              <w:right w:w="57" w:type="dxa"/>
            </w:tcMar>
            <w:vAlign w:val="bottom"/>
          </w:tcPr>
          <w:p>
            <w:pPr>
              <w:pStyle w:val="105"/>
              <w:widowControl w:val="0"/>
              <w:jc w:val="center"/>
            </w:pPr>
            <w:r>
              <w:rPr>
                <w:rFonts w:hint="eastAsia"/>
              </w:rPr>
              <w:t>6.5145</w:t>
            </w:r>
          </w:p>
        </w:tc>
        <w:tc>
          <w:tcPr>
            <w:tcW w:w="698" w:type="pct"/>
            <w:tcMar>
              <w:left w:w="57" w:type="dxa"/>
              <w:right w:w="57" w:type="dxa"/>
            </w:tcMar>
            <w:vAlign w:val="bottom"/>
          </w:tcPr>
          <w:p>
            <w:pPr>
              <w:pStyle w:val="105"/>
              <w:widowControl w:val="0"/>
              <w:jc w:val="center"/>
            </w:pPr>
            <w:r>
              <w:rPr>
                <w:rFonts w:hint="eastAsia"/>
              </w:rPr>
              <w:t>1.73%</w:t>
            </w:r>
          </w:p>
        </w:tc>
        <w:tc>
          <w:tcPr>
            <w:tcW w:w="390" w:type="pct"/>
            <w:tcMar>
              <w:left w:w="57" w:type="dxa"/>
              <w:right w:w="57" w:type="dxa"/>
            </w:tcMar>
            <w:vAlign w:val="bottom"/>
          </w:tcPr>
          <w:p>
            <w:pPr>
              <w:pStyle w:val="105"/>
              <w:widowControl w:val="0"/>
              <w:jc w:val="center"/>
            </w:pPr>
            <w:r>
              <w:rPr>
                <w:rFonts w:hint="eastAsia"/>
              </w:rPr>
              <w:t>20</w:t>
            </w:r>
          </w:p>
        </w:tc>
        <w:tc>
          <w:tcPr>
            <w:tcW w:w="851" w:type="pct"/>
            <w:tcMar>
              <w:left w:w="57" w:type="dxa"/>
              <w:right w:w="57" w:type="dxa"/>
            </w:tcMar>
            <w:vAlign w:val="center"/>
          </w:tcPr>
          <w:p>
            <w:pPr>
              <w:pStyle w:val="105"/>
              <w:widowControl w:val="0"/>
              <w:jc w:val="center"/>
            </w:pPr>
            <w:r>
              <w:rPr>
                <w:rFonts w:hint="eastAsia"/>
              </w:rPr>
              <w:t>内陆滩涂</w:t>
            </w:r>
          </w:p>
        </w:tc>
        <w:tc>
          <w:tcPr>
            <w:tcW w:w="638" w:type="pct"/>
            <w:tcMar>
              <w:left w:w="57" w:type="dxa"/>
              <w:right w:w="57" w:type="dxa"/>
            </w:tcMar>
            <w:vAlign w:val="bottom"/>
          </w:tcPr>
          <w:p>
            <w:pPr>
              <w:pStyle w:val="105"/>
              <w:widowControl w:val="0"/>
              <w:jc w:val="center"/>
            </w:pPr>
            <w:r>
              <w:rPr>
                <w:rFonts w:hint="eastAsia"/>
              </w:rPr>
              <w:t>0.4961</w:t>
            </w:r>
          </w:p>
        </w:tc>
        <w:tc>
          <w:tcPr>
            <w:tcW w:w="696" w:type="pct"/>
            <w:tcMar>
              <w:left w:w="57" w:type="dxa"/>
              <w:right w:w="57" w:type="dxa"/>
            </w:tcMar>
            <w:vAlign w:val="bottom"/>
          </w:tcPr>
          <w:p>
            <w:pPr>
              <w:pStyle w:val="105"/>
              <w:widowControl w:val="0"/>
              <w:jc w:val="center"/>
            </w:pPr>
            <w:r>
              <w:rPr>
                <w:rFonts w:hint="eastAsia"/>
              </w:rPr>
              <w:t>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10</w:t>
            </w:r>
          </w:p>
        </w:tc>
        <w:tc>
          <w:tcPr>
            <w:tcW w:w="699" w:type="pct"/>
            <w:tcMar>
              <w:left w:w="57" w:type="dxa"/>
              <w:right w:w="57" w:type="dxa"/>
            </w:tcMar>
            <w:vAlign w:val="center"/>
          </w:tcPr>
          <w:p>
            <w:pPr>
              <w:pStyle w:val="105"/>
              <w:widowControl w:val="0"/>
              <w:jc w:val="center"/>
            </w:pPr>
            <w:r>
              <w:rPr>
                <w:rFonts w:hint="eastAsia"/>
              </w:rPr>
              <w:t>坑塘水面</w:t>
            </w:r>
          </w:p>
        </w:tc>
        <w:tc>
          <w:tcPr>
            <w:tcW w:w="638" w:type="pct"/>
            <w:noWrap/>
            <w:tcMar>
              <w:left w:w="57" w:type="dxa"/>
              <w:right w:w="57" w:type="dxa"/>
            </w:tcMar>
            <w:vAlign w:val="bottom"/>
          </w:tcPr>
          <w:p>
            <w:pPr>
              <w:pStyle w:val="105"/>
              <w:widowControl w:val="0"/>
              <w:jc w:val="center"/>
            </w:pPr>
            <w:r>
              <w:rPr>
                <w:rFonts w:hint="eastAsia"/>
              </w:rPr>
              <w:t>5.1086</w:t>
            </w:r>
          </w:p>
        </w:tc>
        <w:tc>
          <w:tcPr>
            <w:tcW w:w="698" w:type="pct"/>
            <w:tcMar>
              <w:left w:w="57" w:type="dxa"/>
              <w:right w:w="57" w:type="dxa"/>
            </w:tcMar>
            <w:vAlign w:val="bottom"/>
          </w:tcPr>
          <w:p>
            <w:pPr>
              <w:pStyle w:val="105"/>
              <w:widowControl w:val="0"/>
              <w:jc w:val="center"/>
            </w:pPr>
            <w:r>
              <w:rPr>
                <w:rFonts w:hint="eastAsia"/>
              </w:rPr>
              <w:t>1.35%</w:t>
            </w:r>
          </w:p>
        </w:tc>
        <w:tc>
          <w:tcPr>
            <w:tcW w:w="390" w:type="pct"/>
            <w:tcMar>
              <w:left w:w="57" w:type="dxa"/>
              <w:right w:w="57" w:type="dxa"/>
            </w:tcMar>
            <w:vAlign w:val="bottom"/>
          </w:tcPr>
          <w:p>
            <w:pPr>
              <w:pStyle w:val="105"/>
              <w:widowControl w:val="0"/>
              <w:jc w:val="center"/>
            </w:pPr>
            <w:r>
              <w:rPr>
                <w:rFonts w:hint="eastAsia"/>
              </w:rPr>
              <w:t>21</w:t>
            </w:r>
          </w:p>
        </w:tc>
        <w:tc>
          <w:tcPr>
            <w:tcW w:w="851" w:type="pct"/>
            <w:tcMar>
              <w:left w:w="57" w:type="dxa"/>
              <w:right w:w="57" w:type="dxa"/>
            </w:tcMar>
            <w:vAlign w:val="center"/>
          </w:tcPr>
          <w:p>
            <w:pPr>
              <w:pStyle w:val="105"/>
              <w:widowControl w:val="0"/>
              <w:jc w:val="center"/>
            </w:pPr>
            <w:r>
              <w:rPr>
                <w:rFonts w:hint="eastAsia"/>
              </w:rPr>
              <w:t>裸岩石砾地</w:t>
            </w:r>
          </w:p>
        </w:tc>
        <w:tc>
          <w:tcPr>
            <w:tcW w:w="638" w:type="pct"/>
            <w:tcMar>
              <w:left w:w="57" w:type="dxa"/>
              <w:right w:w="57" w:type="dxa"/>
            </w:tcMar>
            <w:vAlign w:val="bottom"/>
          </w:tcPr>
          <w:p>
            <w:pPr>
              <w:pStyle w:val="105"/>
              <w:widowControl w:val="0"/>
              <w:jc w:val="center"/>
            </w:pPr>
            <w:r>
              <w:rPr>
                <w:rFonts w:hint="eastAsia"/>
              </w:rPr>
              <w:t>0.1752</w:t>
            </w:r>
          </w:p>
        </w:tc>
        <w:tc>
          <w:tcPr>
            <w:tcW w:w="696" w:type="pct"/>
            <w:tcMar>
              <w:left w:w="57" w:type="dxa"/>
              <w:right w:w="57" w:type="dxa"/>
            </w:tcMar>
            <w:vAlign w:val="bottom"/>
          </w:tcPr>
          <w:p>
            <w:pPr>
              <w:pStyle w:val="105"/>
              <w:widowControl w:val="0"/>
              <w:jc w:val="center"/>
            </w:pPr>
            <w:r>
              <w:rPr>
                <w:rFonts w:hint="eastAsia"/>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90" w:type="pct"/>
            <w:tcMar>
              <w:left w:w="57" w:type="dxa"/>
              <w:right w:w="57" w:type="dxa"/>
            </w:tcMar>
            <w:vAlign w:val="center"/>
          </w:tcPr>
          <w:p>
            <w:pPr>
              <w:pStyle w:val="105"/>
              <w:widowControl w:val="0"/>
              <w:jc w:val="center"/>
            </w:pPr>
            <w:r>
              <w:rPr>
                <w:rFonts w:cs="Times New Roman"/>
                <w:szCs w:val="21"/>
              </w:rPr>
              <w:t>11</w:t>
            </w:r>
          </w:p>
        </w:tc>
        <w:tc>
          <w:tcPr>
            <w:tcW w:w="699" w:type="pct"/>
            <w:tcMar>
              <w:left w:w="57" w:type="dxa"/>
              <w:right w:w="57" w:type="dxa"/>
            </w:tcMar>
            <w:vAlign w:val="center"/>
          </w:tcPr>
          <w:p>
            <w:pPr>
              <w:pStyle w:val="105"/>
              <w:widowControl w:val="0"/>
              <w:jc w:val="center"/>
            </w:pPr>
            <w:r>
              <w:rPr>
                <w:rFonts w:hint="eastAsia"/>
                <w:szCs w:val="21"/>
              </w:rPr>
              <w:t>沟渠</w:t>
            </w:r>
          </w:p>
        </w:tc>
        <w:tc>
          <w:tcPr>
            <w:tcW w:w="638" w:type="pct"/>
            <w:noWrap/>
            <w:tcMar>
              <w:left w:w="57" w:type="dxa"/>
              <w:right w:w="57" w:type="dxa"/>
            </w:tcMar>
            <w:vAlign w:val="bottom"/>
          </w:tcPr>
          <w:p>
            <w:pPr>
              <w:pStyle w:val="105"/>
              <w:widowControl w:val="0"/>
              <w:jc w:val="center"/>
            </w:pPr>
            <w:r>
              <w:rPr>
                <w:rFonts w:hint="eastAsia" w:ascii="等线" w:hAnsi="等线" w:eastAsia="等线"/>
                <w:sz w:val="22"/>
              </w:rPr>
              <w:t>3.1892</w:t>
            </w:r>
          </w:p>
        </w:tc>
        <w:tc>
          <w:tcPr>
            <w:tcW w:w="698" w:type="pct"/>
            <w:tcMar>
              <w:left w:w="57" w:type="dxa"/>
              <w:right w:w="57" w:type="dxa"/>
            </w:tcMar>
            <w:vAlign w:val="bottom"/>
          </w:tcPr>
          <w:p>
            <w:pPr>
              <w:pStyle w:val="105"/>
              <w:widowControl w:val="0"/>
              <w:jc w:val="center"/>
            </w:pPr>
            <w:r>
              <w:rPr>
                <w:rFonts w:hint="eastAsia"/>
              </w:rPr>
              <w:t>0.85%</w:t>
            </w:r>
          </w:p>
        </w:tc>
        <w:tc>
          <w:tcPr>
            <w:tcW w:w="390" w:type="pct"/>
            <w:tcMar>
              <w:left w:w="57" w:type="dxa"/>
              <w:right w:w="57" w:type="dxa"/>
            </w:tcMar>
            <w:vAlign w:val="bottom"/>
          </w:tcPr>
          <w:p>
            <w:pPr>
              <w:pStyle w:val="105"/>
              <w:widowControl w:val="0"/>
              <w:jc w:val="center"/>
            </w:pPr>
          </w:p>
        </w:tc>
        <w:tc>
          <w:tcPr>
            <w:tcW w:w="851" w:type="pct"/>
            <w:tcMar>
              <w:left w:w="57" w:type="dxa"/>
              <w:right w:w="57" w:type="dxa"/>
            </w:tcMar>
            <w:vAlign w:val="center"/>
          </w:tcPr>
          <w:p>
            <w:pPr>
              <w:pStyle w:val="105"/>
              <w:widowControl w:val="0"/>
              <w:jc w:val="center"/>
            </w:pPr>
          </w:p>
        </w:tc>
        <w:tc>
          <w:tcPr>
            <w:tcW w:w="638" w:type="pct"/>
            <w:tcMar>
              <w:left w:w="57" w:type="dxa"/>
              <w:right w:w="57" w:type="dxa"/>
            </w:tcMar>
            <w:vAlign w:val="bottom"/>
          </w:tcPr>
          <w:p>
            <w:pPr>
              <w:pStyle w:val="105"/>
              <w:widowControl w:val="0"/>
              <w:jc w:val="center"/>
            </w:pPr>
          </w:p>
        </w:tc>
        <w:tc>
          <w:tcPr>
            <w:tcW w:w="696" w:type="pct"/>
            <w:tcMar>
              <w:left w:w="57" w:type="dxa"/>
              <w:right w:w="57" w:type="dxa"/>
            </w:tcMar>
            <w:vAlign w:val="bottom"/>
          </w:tcPr>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089" w:type="pct"/>
            <w:gridSpan w:val="2"/>
            <w:tcMar>
              <w:left w:w="57" w:type="dxa"/>
              <w:right w:w="57" w:type="dxa"/>
            </w:tcMar>
            <w:vAlign w:val="center"/>
          </w:tcPr>
          <w:p>
            <w:pPr>
              <w:pStyle w:val="105"/>
              <w:widowControl w:val="0"/>
              <w:jc w:val="center"/>
            </w:pPr>
            <w:r>
              <w:t>合计</w:t>
            </w:r>
          </w:p>
        </w:tc>
        <w:tc>
          <w:tcPr>
            <w:tcW w:w="3911" w:type="pct"/>
            <w:gridSpan w:val="6"/>
            <w:tcMar>
              <w:left w:w="57" w:type="dxa"/>
              <w:right w:w="57" w:type="dxa"/>
            </w:tcMar>
            <w:vAlign w:val="center"/>
          </w:tcPr>
          <w:p>
            <w:pPr>
              <w:pStyle w:val="105"/>
              <w:widowControl w:val="0"/>
              <w:jc w:val="center"/>
            </w:pPr>
            <w:r>
              <w:rPr>
                <w:rFonts w:hint="eastAsia"/>
              </w:rPr>
              <w:t>377.1371</w:t>
            </w:r>
          </w:p>
        </w:tc>
      </w:tr>
    </w:tbl>
    <w:p>
      <w:pPr>
        <w:pStyle w:val="124"/>
        <w:spacing w:before="163"/>
        <w:ind w:firstLine="0" w:firstLineChars="0"/>
        <w:rPr>
          <w:rFonts w:hint="eastAsia" w:eastAsia="宋体"/>
          <w:lang w:eastAsia="zh-CN"/>
        </w:rPr>
      </w:pPr>
    </w:p>
    <w:p>
      <w:pPr>
        <w:pStyle w:val="122"/>
      </w:pPr>
      <w:bookmarkStart w:id="423" w:name="_Ref143698548"/>
      <w:r>
        <w:rPr>
          <w:rFonts w:hint="eastAsia"/>
        </w:rPr>
        <w:t>线路评价范围土地利用现状</w:t>
      </w:r>
      <w:r>
        <w:t>统计情况图</w:t>
      </w:r>
      <w:bookmarkEnd w:id="423"/>
    </w:p>
    <w:p>
      <w:pPr>
        <w:ind w:firstLine="480"/>
      </w:pPr>
    </w:p>
    <w:p>
      <w:pPr>
        <w:ind w:firstLine="480"/>
      </w:pPr>
    </w:p>
    <w:p>
      <w:pPr>
        <w:ind w:firstLine="480"/>
        <w:sectPr>
          <w:pgSz w:w="11906" w:h="16838"/>
          <w:pgMar w:top="1418" w:right="1418" w:bottom="1418" w:left="1418" w:header="851" w:footer="851" w:gutter="0"/>
          <w:cols w:space="425" w:num="1"/>
          <w:docGrid w:type="lines" w:linePitch="326" w:charSpace="0"/>
        </w:sectPr>
      </w:pPr>
    </w:p>
    <w:p>
      <w:pPr>
        <w:pStyle w:val="105"/>
        <w:jc w:val="center"/>
        <w:rPr>
          <w:rFonts w:hint="eastAsia" w:eastAsia="宋体"/>
          <w:lang w:eastAsia="zh-CN"/>
        </w:rPr>
      </w:pPr>
    </w:p>
    <w:p>
      <w:pPr>
        <w:pStyle w:val="122"/>
        <w:ind w:left="420" w:hanging="420"/>
      </w:pPr>
      <w:bookmarkStart w:id="424" w:name="_Ref149719866"/>
      <w:r>
        <w:rPr>
          <w:rFonts w:hint="eastAsia"/>
        </w:rPr>
        <w:t>评价范围土地利用现状图</w:t>
      </w:r>
      <w:bookmarkEnd w:id="424"/>
    </w:p>
    <w:p>
      <w:pPr>
        <w:ind w:firstLine="480"/>
        <w:sectPr>
          <w:pgSz w:w="16838" w:h="11906" w:orient="landscape"/>
          <w:pgMar w:top="1134" w:right="1134" w:bottom="1134" w:left="1134" w:header="709" w:footer="709" w:gutter="0"/>
          <w:cols w:space="425" w:num="1"/>
          <w:docGrid w:type="lines" w:linePitch="326" w:charSpace="0"/>
        </w:sectPr>
      </w:pPr>
    </w:p>
    <w:p>
      <w:pPr>
        <w:pStyle w:val="120"/>
        <w:rPr>
          <w:color w:val="auto"/>
        </w:rPr>
      </w:pPr>
      <w:r>
        <w:rPr>
          <w:rFonts w:hint="eastAsia"/>
          <w:color w:val="auto"/>
        </w:rPr>
        <w:t>植被调查</w:t>
      </w:r>
    </w:p>
    <w:p>
      <w:pPr>
        <w:ind w:firstLine="480"/>
      </w:pPr>
      <w:bookmarkStart w:id="425" w:name="_Hlk193726207"/>
      <w:r>
        <w:rPr>
          <w:rFonts w:hint="eastAsia"/>
        </w:rPr>
        <w:t>拟建公路位于福清，属于南亚热带雨林植被带——闽粤沿海丘陵平原南亚热带雨林区——闽江口鹫峰山南部湿暖亚热带雨林小区及闽东南戴云山东部湿暖南亚热带雨林小区</w:t>
      </w:r>
      <w:bookmarkEnd w:id="425"/>
      <w:r>
        <w:rPr>
          <w:rFonts w:hint="eastAsia"/>
        </w:rPr>
        <w:t>。</w:t>
      </w:r>
    </w:p>
    <w:p>
      <w:pPr>
        <w:ind w:firstLine="480"/>
      </w:pPr>
      <w:r>
        <w:rPr>
          <w:rFonts w:hint="eastAsia"/>
        </w:rPr>
        <w:t>项目区的地带性典型植被类型为具有热带性质的南亚热带雨林，这种森林破坏后常呈次生萌芽林或稀阳性林或各种各样的过渡类型，本区域具有代表性的原生热带雨林植被，受到长期的人为活动影响，数量大大减少，在一些村庄、河岸地仍可见到具有南亚热雨林特征的植物，如榕属植物。丘陵台地，可见次生的台湾相思、巨桉、马尾松、湿地松等，在水湿条件较好的湿地有水蓼、水龙草、短叶水蜈蚣草、白花鬼针草、野牡丹等，伴生草本以芒其为主，并有五节芒等，在较干燥或风力较大、土壤瘠薄的地区，灌木种类比较简单，有耐旱的车桑子等以及菝葜、金樱子等呈局部优势。</w:t>
      </w:r>
    </w:p>
    <w:p>
      <w:pPr>
        <w:pStyle w:val="118"/>
      </w:pPr>
      <w:r>
        <w:rPr>
          <w:rFonts w:hint="eastAsia"/>
        </w:rPr>
        <w:t>沿线主要植物群系特征</w:t>
      </w:r>
    </w:p>
    <w:p>
      <w:pPr>
        <w:ind w:firstLine="480"/>
      </w:pPr>
      <w:r>
        <w:rPr>
          <w:rFonts w:hint="eastAsia"/>
        </w:rPr>
        <w:t>（1）针叶林</w:t>
      </w:r>
    </w:p>
    <w:p>
      <w:pPr>
        <w:ind w:firstLine="480"/>
      </w:pPr>
      <w:r>
        <w:rPr>
          <w:rFonts w:hint="eastAsia"/>
        </w:rPr>
        <w:t>①马尾松林（</w:t>
      </w:r>
      <w:r>
        <w:t>Form. Pinus massoniana</w:t>
      </w:r>
      <w:r>
        <w:rPr>
          <w:rFonts w:hint="eastAsia"/>
        </w:rPr>
        <w:t>）：</w:t>
      </w:r>
      <w:r>
        <w:rPr>
          <w:rFonts w:ascii="Segoe UI" w:hAnsi="Segoe UI" w:cs="Segoe UI"/>
        </w:rPr>
        <w:t>马尾松林是福清地区常见的植被类型之一，</w:t>
      </w:r>
      <w:r>
        <w:rPr>
          <w:rFonts w:hint="eastAsia" w:ascii="Segoe UI" w:hAnsi="Segoe UI" w:cs="Segoe UI"/>
        </w:rPr>
        <w:t>在本项目评价范围</w:t>
      </w:r>
      <w:r>
        <w:rPr>
          <w:rFonts w:hint="eastAsia"/>
        </w:rPr>
        <w:t>马尾松林大多分布丘陵和低山上，评价区可见成片或斑块状分布相对较少，面积大小不等，大都组成纯林，部分区段与相思树、巨桉等混生。其群落特征如下：乔木层：以马尾松（Pinus massoniana）为绝对优势种，平均高度6.5~15.3 m，平均胸径10.2~15.6 cm，郁闭度为0.5~0.7。乔木层组成较为单一，除马尾松外，偶见少量相思树、巨桉、木荷（Schima superba）等混生其中。马尾松树干通直，树冠呈伞形，林下透光性较好，为灌木层和草本层的生长提供了条件。灌木层：盖度为20~45%，以鹅掌柴（Schefflera octophylla）、檵木（Loropetalum chinense）为优势种，其他常见物种包括毛冬青（Ilex pubescens）、青冈（Cyclobalanopsis glauca）、油茶（Camellia oleifera）、野牡丹（Melastoma candidum）、乌药（Lindera aggregata）、桃金娘（Rhodomyrtus tomentosa）、胡枝子（Lespedeza bicolor）、黄栀子（Gardenia jasminoides）、小叶石楠（Photinia parvifolia）等。这些灌木多为耐荫、耐贫瘠的乡土物种，适应性强，能够在马尾松林下形成稳定的次生植被层。草本层：以五节芒（Miscanthus floridulus）为优势种，其他常见物种包括芒萁（Dicranopteris dichotoma）、菝葜（Smilax spp.）、淡竹叶（Lophatherum gracile）等。草本层盖度较高，通常为30%-50%，具有较强的水土保持能力。</w:t>
      </w:r>
    </w:p>
    <w:p>
      <w:pPr>
        <w:ind w:firstLine="480"/>
      </w:pPr>
      <w:r>
        <w:rPr>
          <w:rFonts w:hint="eastAsia"/>
        </w:rPr>
        <w:t>②湿地松林：湿地松（</w:t>
      </w:r>
      <w:r>
        <w:rPr>
          <w:i/>
          <w:iCs/>
        </w:rPr>
        <w:t>Pinus elliottii</w:t>
      </w:r>
      <w:r>
        <w:rPr>
          <w:rFonts w:hint="eastAsia"/>
        </w:rPr>
        <w:t>）主要分布于K</w:t>
      </w:r>
      <w:r>
        <w:t>4+000~</w:t>
      </w:r>
      <w:r>
        <w:rPr>
          <w:rFonts w:hint="eastAsia"/>
        </w:rPr>
        <w:t>终点路左的丘陵、山体中下部，乔木层以湿地松为优势种，多为中幼林，少量为成熟林，高度</w:t>
      </w:r>
      <w:r>
        <w:t xml:space="preserve">6.2~11.6m </w:t>
      </w:r>
      <w:r>
        <w:rPr>
          <w:rFonts w:hint="eastAsia"/>
        </w:rPr>
        <w:t>左右，胸径6</w:t>
      </w:r>
      <w:r>
        <w:t xml:space="preserve">.3~12cm </w:t>
      </w:r>
      <w:r>
        <w:rPr>
          <w:rFonts w:hint="eastAsia"/>
        </w:rPr>
        <w:t>左右；灌木层以青冈（</w:t>
      </w:r>
      <w:r>
        <w:rPr>
          <w:i/>
          <w:iCs/>
        </w:rPr>
        <w:t>Cyclobalanopsis glauca</w:t>
      </w:r>
      <w:r>
        <w:rPr>
          <w:rFonts w:hint="eastAsia"/>
        </w:rPr>
        <w:t>）、檵木（</w:t>
      </w:r>
      <w:r>
        <w:rPr>
          <w:i/>
          <w:iCs/>
        </w:rPr>
        <w:t>Loropetalumchinense</w:t>
      </w:r>
      <w:r>
        <w:rPr>
          <w:rFonts w:hint="eastAsia"/>
        </w:rPr>
        <w:t>）为优势种，伴生桃金娘（</w:t>
      </w:r>
      <w:r>
        <w:rPr>
          <w:i/>
          <w:iCs/>
        </w:rPr>
        <w:t>Rhodomyrtus tomentosa</w:t>
      </w:r>
      <w:r>
        <w:rPr>
          <w:rFonts w:hint="eastAsia"/>
        </w:rPr>
        <w:t>）、胡枝子（</w:t>
      </w:r>
      <w:r>
        <w:rPr>
          <w:i/>
          <w:iCs/>
        </w:rPr>
        <w:t>Lespedeza bicolor</w:t>
      </w:r>
      <w:r>
        <w:rPr>
          <w:rFonts w:hint="eastAsia"/>
        </w:rPr>
        <w:t>）、黄栀子（</w:t>
      </w:r>
      <w:r>
        <w:rPr>
          <w:i/>
          <w:iCs/>
        </w:rPr>
        <w:t>Lespedeza bicolor</w:t>
      </w:r>
      <w:r>
        <w:rPr>
          <w:rFonts w:hint="eastAsia"/>
        </w:rPr>
        <w:t>）、小叶石楠（</w:t>
      </w:r>
      <w:r>
        <w:rPr>
          <w:i/>
          <w:iCs/>
        </w:rPr>
        <w:t>Photinia parvifolia</w:t>
      </w:r>
      <w:r>
        <w:rPr>
          <w:rFonts w:hint="eastAsia"/>
        </w:rPr>
        <w:t>）等；草本层以芒萁（</w:t>
      </w:r>
      <w:r>
        <w:rPr>
          <w:i/>
          <w:iCs/>
        </w:rPr>
        <w:t>Dicranopteris dichotoma</w:t>
      </w:r>
      <w:r>
        <w:rPr>
          <w:rFonts w:hint="eastAsia"/>
        </w:rPr>
        <w:t>）为优势种，伴生鬼针草（</w:t>
      </w:r>
      <w:r>
        <w:rPr>
          <w:i/>
          <w:iCs/>
        </w:rPr>
        <w:t>Bidens pilosa</w:t>
      </w:r>
      <w:r>
        <w:rPr>
          <w:rFonts w:hint="eastAsia"/>
        </w:rPr>
        <w:t>）、海金沙（</w:t>
      </w:r>
      <w:r>
        <w:rPr>
          <w:i/>
          <w:iCs/>
        </w:rPr>
        <w:t>Lygodium japonicum</w:t>
      </w:r>
      <w:r>
        <w:rPr>
          <w:rFonts w:hint="eastAsia"/>
        </w:rPr>
        <w:t>）、五节芒（</w:t>
      </w:r>
      <w:r>
        <w:rPr>
          <w:i/>
          <w:iCs/>
        </w:rPr>
        <w:t>Miscanthus floridulus</w:t>
      </w:r>
      <w:r>
        <w:rPr>
          <w:rFonts w:hint="eastAsia"/>
        </w:rPr>
        <w:t>）、野古草（</w:t>
      </w:r>
      <w:r>
        <w:rPr>
          <w:i/>
          <w:iCs/>
        </w:rPr>
        <w:t>Arundinella hirta</w:t>
      </w:r>
      <w:r>
        <w:rPr>
          <w:rFonts w:hint="eastAsia"/>
        </w:rPr>
        <w:t>）、地桃花（</w:t>
      </w:r>
      <w:r>
        <w:t>Urena lobata</w:t>
      </w:r>
      <w:r>
        <w:rPr>
          <w:rFonts w:hint="eastAsia"/>
        </w:rPr>
        <w:t>）等。</w:t>
      </w:r>
    </w:p>
    <w:p>
      <w:pPr>
        <w:ind w:firstLine="480"/>
      </w:pPr>
      <w:r>
        <w:t>（2）</w:t>
      </w:r>
      <w:r>
        <w:rPr>
          <w:rFonts w:hint="eastAsia"/>
        </w:rPr>
        <w:t>阔叶林</w:t>
      </w:r>
    </w:p>
    <w:p>
      <w:pPr>
        <w:ind w:firstLine="480"/>
      </w:pPr>
      <w:r>
        <w:rPr>
          <w:rFonts w:hint="eastAsia" w:ascii="宋体" w:hAnsi="宋体"/>
        </w:rPr>
        <w:t>①</w:t>
      </w:r>
      <w:r>
        <w:t>台湾相思树林：根据实地调查，评价区范围内的相思树林主要分布在起点~K1+360段两侧低海拔丘陵。相思树群系通常具有明显的垂直分层结构，包括乔木层、灌木层和草本层。</w:t>
      </w:r>
      <w:r>
        <w:rPr>
          <w:b/>
          <w:bCs/>
        </w:rPr>
        <w:t>乔木层</w:t>
      </w:r>
      <w:r>
        <w:t>：高度6~15m，树冠呈伞形，枝叶茂密，具有较强的遮荫能力，群落郁闭度约0.6~0.8。乔木层以台湾相思（</w:t>
      </w:r>
      <w:r>
        <w:rPr>
          <w:i/>
          <w:iCs/>
        </w:rPr>
        <w:t>Acaciaconfusa</w:t>
      </w:r>
      <w:r>
        <w:t>）为优势种，平均胸径约6~13cm，伴生种包括朴树（</w:t>
      </w:r>
      <w:r>
        <w:rPr>
          <w:i/>
          <w:iCs/>
        </w:rPr>
        <w:t>Celtissinensis</w:t>
      </w:r>
      <w:r>
        <w:t>）、木麻黄（</w:t>
      </w:r>
      <w:r>
        <w:rPr>
          <w:i/>
          <w:iCs/>
        </w:rPr>
        <w:t>Casuarinaequisetifolia</w:t>
      </w:r>
      <w:r>
        <w:t>）等。</w:t>
      </w:r>
      <w:r>
        <w:rPr>
          <w:b/>
          <w:bCs/>
        </w:rPr>
        <w:t>灌木层</w:t>
      </w:r>
      <w:r>
        <w:t>：盖度约0.3~0.4，主要物种有马缨丹（</w:t>
      </w:r>
      <w:r>
        <w:rPr>
          <w:i/>
          <w:iCs/>
        </w:rPr>
        <w:t>Lantanacamara</w:t>
      </w:r>
      <w:r>
        <w:t>）、桃金娘（</w:t>
      </w:r>
      <w:r>
        <w:rPr>
          <w:i/>
          <w:iCs/>
        </w:rPr>
        <w:t>Rhodomyrtustomentosa</w:t>
      </w:r>
      <w:r>
        <w:t>）、檵木（</w:t>
      </w:r>
      <w:r>
        <w:rPr>
          <w:i/>
          <w:iCs/>
        </w:rPr>
        <w:t>Loropetalumchinense</w:t>
      </w:r>
      <w:r>
        <w:t>）、朴树幼树、山黄麻（</w:t>
      </w:r>
      <w:r>
        <w:rPr>
          <w:i/>
          <w:iCs/>
        </w:rPr>
        <w:t>Trematomentosa</w:t>
      </w:r>
      <w:r>
        <w:t>）、两面针（</w:t>
      </w:r>
      <w:r>
        <w:rPr>
          <w:i/>
          <w:iCs/>
        </w:rPr>
        <w:t>Zanthoxylumnitidum</w:t>
      </w:r>
      <w:r>
        <w:t>）等。灌木层物种多样性较高，多为耐旱、耐贫瘠的乡土植物。</w:t>
      </w:r>
      <w:r>
        <w:rPr>
          <w:b/>
          <w:bCs/>
        </w:rPr>
        <w:t>草本层</w:t>
      </w:r>
      <w:r>
        <w:t>：草本层盖度较高，通常为30-50%，以耐旱、耐贫瘠的禾本科植物为主。主要种类包括狗尾草（</w:t>
      </w:r>
      <w:r>
        <w:rPr>
          <w:i/>
          <w:iCs/>
        </w:rPr>
        <w:t>Setariaviridis</w:t>
      </w:r>
      <w:r>
        <w:t>）、狗牙根（</w:t>
      </w:r>
      <w:r>
        <w:rPr>
          <w:i/>
          <w:iCs/>
        </w:rPr>
        <w:t>Cynodondactylon</w:t>
      </w:r>
      <w:r>
        <w:t>）、白茅（</w:t>
      </w:r>
      <w:r>
        <w:rPr>
          <w:i/>
          <w:iCs/>
        </w:rPr>
        <w:t>Imperatacylindrica</w:t>
      </w:r>
      <w:r>
        <w:t>）、假臭草（</w:t>
      </w:r>
      <w:r>
        <w:rPr>
          <w:i/>
          <w:iCs/>
        </w:rPr>
        <w:t>Praxelisclematidea</w:t>
      </w:r>
      <w:r>
        <w:t>）、鬼针草（</w:t>
      </w:r>
      <w:r>
        <w:rPr>
          <w:i/>
          <w:iCs/>
        </w:rPr>
        <w:t>Bidenspilosa</w:t>
      </w:r>
      <w:r>
        <w:t>）、淡竹叶（</w:t>
      </w:r>
      <w:r>
        <w:rPr>
          <w:i/>
          <w:iCs/>
        </w:rPr>
        <w:t>Lophatherumgracile</w:t>
      </w:r>
      <w:r>
        <w:t>）、白花鬼针草（</w:t>
      </w:r>
      <w:r>
        <w:rPr>
          <w:i/>
          <w:iCs/>
        </w:rPr>
        <w:t>Bidensalba</w:t>
      </w:r>
      <w:r>
        <w:t>）等。草本层物种丰富，反映了群落的次生性和较强的恢复能力。</w:t>
      </w:r>
    </w:p>
    <w:p>
      <w:pPr>
        <w:ind w:firstLine="480"/>
      </w:pPr>
      <w:r>
        <w:rPr>
          <w:rFonts w:hint="eastAsia"/>
        </w:rPr>
        <w:t>台湾相思树林具有较强的适应性，耐干旱、耐贫瘠，能在低海拔丘陵地区形成稳定的群落结构。群落垂直分层明显，乔木层遮荫能力强，为灌木层和草本层提供了适宜的生长环境。相思树根系发达，具有固氮能力，能改善土壤肥力，促进群落演替。</w:t>
      </w:r>
    </w:p>
    <w:p>
      <w:pPr>
        <w:ind w:firstLine="480"/>
      </w:pPr>
      <w:r>
        <w:rPr>
          <w:rFonts w:hint="eastAsia"/>
        </w:rPr>
        <w:t>②巨桉群系：巨桉群系：巨桉（Eucalyptus grandis）是速生用材树种之一，评价范围内主要分布在山坡坡中以上区域（集中在K0+260~K0+420段南侧山包及主线终点西侧的山坡上）。该群系多为人工种植，具有明显的乔木层和灌木层结构。乔木层：以巨桉为绝对优势种，多形成人工纯林，群落郁闭度为0.4~0.5，平均高度约13.6 m。巨桉树干通直，树冠稀疏，林下透光性较好，为灌木层和草本层的生长提供了条件。灌木层：盖度为10~30%，主要物种包括相思树（Acacia confusa）幼林、青冈（Cyclobalanopsis glauca）、石栎（Lithocarpus glaber）、野牡丹（Melastoma candidum）、毛冬青（Ilex pubescens）、黄栀子（Gardenia jasminoides）等。这些灌木多为耐荫、耐贫瘠的乡土物种，适应性强，能够在巨桉林下形成稳定的次生植被层。草本层：以耐荫、耐旱的草本植物为主，常见物种包括五节芒（Miscanthus floridulus）、芒萁（Dicranopteris pedata）、菝葜（Smilax china）、淡竹叶（Lophatherum gracile）、常春藤（Hedera spp.）等。草本层盖度较高，通常为30%-50%，具有较强的水土保持能力。</w:t>
      </w:r>
    </w:p>
    <w:p>
      <w:pPr>
        <w:ind w:firstLine="480"/>
      </w:pPr>
      <w:r>
        <w:rPr>
          <w:rFonts w:hint="eastAsia"/>
        </w:rPr>
        <w:t>（</w:t>
      </w:r>
      <w:r>
        <w:t>3</w:t>
      </w:r>
      <w:r>
        <w:rPr>
          <w:rFonts w:hint="eastAsia"/>
        </w:rPr>
        <w:t>）灌草丛</w:t>
      </w:r>
    </w:p>
    <w:p>
      <w:pPr>
        <w:ind w:firstLine="480"/>
        <w:rPr>
          <w:rFonts w:ascii="Segoe UI" w:hAnsi="Segoe UI" w:cs="Segoe UI"/>
          <w:kern w:val="0"/>
          <w:szCs w:val="24"/>
        </w:rPr>
      </w:pPr>
      <w:r>
        <w:rPr>
          <w:rFonts w:hint="eastAsia"/>
        </w:rPr>
        <w:t>评价区分布的灌丛属于亚热带地区丘陵山地的一种灌木植被类型，一般为亚热带常绿阔叶林遭受破坏后的次生植被类型，由于受人为的不断影响，成为一种常见的植被类型。</w:t>
      </w:r>
      <w:r>
        <w:rPr>
          <w:b/>
          <w:bCs/>
        </w:rPr>
        <w:t>灌丛层</w:t>
      </w:r>
      <w:r>
        <w:t>：以多年生灌木为主要建群种，常见物种包括山胡椒（Litsea cubeba）、胡枝子（Lespedeza bicolor）、油茶（Camellia oleifera）、青冈（Cyclobalanopsis glauca）、白栎（Quercus fabri）、茅栗（Castanea seguinii）、野漆（Toxicodendron succedaneum）、盐肤木（Rhus chinensis）、鹅掌柴（Schefflera heptaphylla）以及杜鹃科（Ericaceae）植物等。这些灌木多具有耐旱、耐贫瘠的特性，适应性强，能够在退化土地上形成稳定的群落结构。</w:t>
      </w:r>
      <w:r>
        <w:rPr>
          <w:b/>
          <w:bCs/>
        </w:rPr>
        <w:t>草丛层</w:t>
      </w:r>
      <w:r>
        <w:t>：以多年生草本植物为主，常见物种包括五节芒（Miscanthus floridulus）、芒萁（Dicranopteris pedata）、野古草（Arundinella hirta）、狗脊（Woodwardia japonica）以及多种蕨类植物。草丛层盖度较高，通常为50%-70%，具有较强的水土保持能力。</w:t>
      </w:r>
      <w:r>
        <w:rPr>
          <w:rFonts w:ascii="Segoe UI" w:hAnsi="Segoe UI" w:cs="Segoe UI"/>
          <w:kern w:val="0"/>
          <w:szCs w:val="24"/>
        </w:rPr>
        <w:t>灌丛层和草丛层共同构成了群落的垂直结构，灌丛层为草本层提供了一定的遮荫和庇护，而草本层则通过密集的根系网络固土防蚀。</w:t>
      </w:r>
    </w:p>
    <w:p>
      <w:pPr>
        <w:ind w:firstLine="480"/>
      </w:pPr>
      <w:r>
        <w:rPr>
          <w:rFonts w:hint="eastAsia"/>
        </w:rPr>
        <w:t>（</w:t>
      </w:r>
      <w:r>
        <w:t>4</w:t>
      </w:r>
      <w:r>
        <w:rPr>
          <w:rFonts w:hint="eastAsia"/>
        </w:rPr>
        <w:t xml:space="preserve">）经济林：评价范围内，主要近距离植被为龙眼林。在项目评价范围内分布较广，从起点到终点沿线的园地、山坡广泛分布，根据调查，每100 </w:t>
      </w:r>
      <w:r>
        <w:t>m</w:t>
      </w:r>
      <w:r>
        <w:rPr>
          <w:vertAlign w:val="superscript"/>
        </w:rPr>
        <w:t>2</w:t>
      </w:r>
      <w:r>
        <w:rPr>
          <w:rFonts w:hint="eastAsia"/>
        </w:rPr>
        <w:t xml:space="preserve">约有龙眼 7 </w:t>
      </w:r>
      <w:r>
        <w:t>~10</w:t>
      </w:r>
      <w:r>
        <w:rPr>
          <w:rFonts w:hint="eastAsia"/>
        </w:rPr>
        <w:t>株，平均胸径 13.5  cm，树高 4.5  m，乔木层仅有龙眼；灌木层盖度8 %，主要有蓖麻、苎麻、地桃花、盐肤木、山乌桕、小蜡树等；草本层盖度20 %，主要有白花鬼针草、芭蕉、牛筋草、肿柄菊、假臭草、类芦、白花鬼针草、空心莲子草等等；层间植物主要有葎草、杠板归。</w:t>
      </w:r>
    </w:p>
    <w:p>
      <w:pPr>
        <w:ind w:firstLine="480"/>
        <w:rPr>
          <w:rFonts w:cs="Times New Roman"/>
        </w:rPr>
      </w:pPr>
      <w:r>
        <w:rPr>
          <w:rFonts w:hint="eastAsia"/>
        </w:rPr>
        <w:t>（</w:t>
      </w:r>
      <w:r>
        <w:t>5</w:t>
      </w:r>
      <w:r>
        <w:rPr>
          <w:rFonts w:hint="eastAsia"/>
        </w:rPr>
        <w:t>）农田耕作植被</w:t>
      </w:r>
    </w:p>
    <w:p>
      <w:pPr>
        <w:ind w:firstLine="480"/>
      </w:pPr>
      <w:r>
        <w:rPr>
          <w:rFonts w:hint="eastAsia"/>
        </w:rPr>
        <w:t>根据实地调查，评价区范围内，分布着较大面积的农田耕地。主要种植萝卜、花生，以及各式蔬菜和瓜果类等。</w:t>
      </w:r>
    </w:p>
    <w:p>
      <w:pPr>
        <w:ind w:firstLine="480"/>
        <w:sectPr>
          <w:footerReference r:id="rId15" w:type="default"/>
          <w:pgSz w:w="11910" w:h="16840"/>
          <w:pgMar w:top="1418" w:right="1418" w:bottom="1418" w:left="1418" w:header="851" w:footer="851" w:gutter="0"/>
          <w:cols w:space="720" w:num="1"/>
        </w:sectPr>
      </w:pPr>
    </w:p>
    <w:tbl>
      <w:tblPr>
        <w:tblStyle w:val="14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02"/>
        <w:gridCol w:w="222"/>
        <w:gridCol w:w="4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rFonts w:hint="eastAsia" w:eastAsia="宋体"/>
                <w:snapToGrid w:val="0"/>
                <w:lang w:eastAsia="zh-CN"/>
              </w:rPr>
            </w:pPr>
          </w:p>
        </w:tc>
        <w:tc>
          <w:tcPr>
            <w:tcW w:w="222" w:type="dxa"/>
            <w:vAlign w:val="center"/>
          </w:tcPr>
          <w:p>
            <w:pPr>
              <w:pStyle w:val="105"/>
              <w:jc w:val="center"/>
              <w:rPr>
                <w:snapToGrid w:val="0"/>
              </w:rPr>
            </w:pPr>
          </w:p>
        </w:tc>
        <w:tc>
          <w:tcPr>
            <w:tcW w:w="4550" w:type="dxa"/>
            <w:vAlign w:val="center"/>
          </w:tcPr>
          <w:p>
            <w:pPr>
              <w:pStyle w:val="105"/>
              <w:jc w:val="center"/>
              <w:rPr>
                <w:rFonts w:hint="eastAsia" w:eastAsia="宋体"/>
                <w:snapToGrid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snapToGrid w:val="0"/>
              </w:rPr>
            </w:pPr>
            <w:r>
              <w:rPr>
                <w:rFonts w:hint="eastAsia"/>
                <w:snapToGrid w:val="0"/>
              </w:rPr>
              <w:t>相思树</w:t>
            </w:r>
          </w:p>
        </w:tc>
        <w:tc>
          <w:tcPr>
            <w:tcW w:w="222" w:type="dxa"/>
            <w:vAlign w:val="center"/>
          </w:tcPr>
          <w:p>
            <w:pPr>
              <w:pStyle w:val="105"/>
              <w:jc w:val="center"/>
              <w:rPr>
                <w:snapToGrid w:val="0"/>
              </w:rPr>
            </w:pPr>
          </w:p>
        </w:tc>
        <w:tc>
          <w:tcPr>
            <w:tcW w:w="4550" w:type="dxa"/>
            <w:vAlign w:val="center"/>
          </w:tcPr>
          <w:p>
            <w:pPr>
              <w:pStyle w:val="105"/>
              <w:jc w:val="center"/>
              <w:rPr>
                <w:snapToGrid w:val="0"/>
              </w:rPr>
            </w:pPr>
            <w:r>
              <w:rPr>
                <w:rFonts w:hint="eastAsia"/>
                <w:snapToGrid w:val="0"/>
              </w:rPr>
              <w:t>相思树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rFonts w:hint="eastAsia" w:eastAsia="宋体"/>
                <w:snapToGrid w:val="0"/>
                <w:lang w:eastAsia="zh-CN"/>
              </w:rPr>
            </w:pPr>
          </w:p>
        </w:tc>
        <w:tc>
          <w:tcPr>
            <w:tcW w:w="222" w:type="dxa"/>
            <w:vAlign w:val="center"/>
          </w:tcPr>
          <w:p>
            <w:pPr>
              <w:pStyle w:val="105"/>
              <w:jc w:val="center"/>
              <w:rPr>
                <w:snapToGrid w:val="0"/>
              </w:rPr>
            </w:pPr>
          </w:p>
        </w:tc>
        <w:tc>
          <w:tcPr>
            <w:tcW w:w="4550" w:type="dxa"/>
            <w:vAlign w:val="center"/>
          </w:tcPr>
          <w:p>
            <w:pPr>
              <w:pStyle w:val="105"/>
              <w:jc w:val="center"/>
              <w:rPr>
                <w:rFonts w:hint="eastAsia" w:eastAsia="宋体"/>
                <w:snapToGrid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snapToGrid w:val="0"/>
              </w:rPr>
            </w:pPr>
            <w:r>
              <w:rPr>
                <w:rFonts w:hint="eastAsia"/>
                <w:snapToGrid w:val="0"/>
              </w:rPr>
              <w:t>桉树</w:t>
            </w:r>
          </w:p>
        </w:tc>
        <w:tc>
          <w:tcPr>
            <w:tcW w:w="222" w:type="dxa"/>
            <w:vAlign w:val="center"/>
          </w:tcPr>
          <w:p>
            <w:pPr>
              <w:pStyle w:val="105"/>
              <w:jc w:val="center"/>
              <w:rPr>
                <w:snapToGrid w:val="0"/>
              </w:rPr>
            </w:pPr>
          </w:p>
        </w:tc>
        <w:tc>
          <w:tcPr>
            <w:tcW w:w="4550" w:type="dxa"/>
            <w:vAlign w:val="center"/>
          </w:tcPr>
          <w:p>
            <w:pPr>
              <w:pStyle w:val="105"/>
              <w:jc w:val="center"/>
              <w:rPr>
                <w:snapToGrid w:val="0"/>
              </w:rPr>
            </w:pPr>
            <w:r>
              <w:rPr>
                <w:rFonts w:hint="eastAsia"/>
                <w:snapToGrid w:val="0"/>
              </w:rPr>
              <w:t>桉树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rFonts w:hint="eastAsia" w:eastAsia="宋体"/>
                <w:snapToGrid w:val="0"/>
                <w:lang w:eastAsia="zh-CN"/>
              </w:rPr>
            </w:pPr>
          </w:p>
        </w:tc>
        <w:tc>
          <w:tcPr>
            <w:tcW w:w="222" w:type="dxa"/>
            <w:vAlign w:val="center"/>
          </w:tcPr>
          <w:p>
            <w:pPr>
              <w:pStyle w:val="105"/>
              <w:jc w:val="center"/>
              <w:rPr>
                <w:snapToGrid w:val="0"/>
              </w:rPr>
            </w:pPr>
          </w:p>
        </w:tc>
        <w:tc>
          <w:tcPr>
            <w:tcW w:w="4550" w:type="dxa"/>
            <w:vAlign w:val="center"/>
          </w:tcPr>
          <w:p>
            <w:pPr>
              <w:pStyle w:val="105"/>
              <w:jc w:val="center"/>
              <w:rPr>
                <w:rFonts w:hint="eastAsia" w:eastAsia="宋体"/>
                <w:snapToGrid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snapToGrid w:val="0"/>
              </w:rPr>
            </w:pPr>
            <w:r>
              <w:rPr>
                <w:rFonts w:hint="eastAsia"/>
                <w:snapToGrid w:val="0"/>
              </w:rPr>
              <w:t>马尾松</w:t>
            </w:r>
          </w:p>
        </w:tc>
        <w:tc>
          <w:tcPr>
            <w:tcW w:w="222" w:type="dxa"/>
            <w:vAlign w:val="center"/>
          </w:tcPr>
          <w:p>
            <w:pPr>
              <w:pStyle w:val="105"/>
              <w:jc w:val="center"/>
              <w:rPr>
                <w:snapToGrid w:val="0"/>
              </w:rPr>
            </w:pPr>
          </w:p>
        </w:tc>
        <w:tc>
          <w:tcPr>
            <w:tcW w:w="4550" w:type="dxa"/>
            <w:vAlign w:val="center"/>
          </w:tcPr>
          <w:p>
            <w:pPr>
              <w:pStyle w:val="105"/>
              <w:jc w:val="center"/>
              <w:rPr>
                <w:snapToGrid w:val="0"/>
              </w:rPr>
            </w:pPr>
            <w:r>
              <w:rPr>
                <w:rFonts w:hint="eastAsia"/>
                <w:snapToGrid w:val="0"/>
              </w:rPr>
              <w:t>迳江支流（上游）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rFonts w:hint="eastAsia" w:eastAsia="宋体"/>
                <w:snapToGrid w:val="0"/>
                <w:lang w:eastAsia="zh-CN"/>
              </w:rPr>
            </w:pPr>
          </w:p>
        </w:tc>
        <w:tc>
          <w:tcPr>
            <w:tcW w:w="222" w:type="dxa"/>
            <w:vAlign w:val="center"/>
          </w:tcPr>
          <w:p>
            <w:pPr>
              <w:pStyle w:val="105"/>
              <w:jc w:val="center"/>
              <w:rPr>
                <w:snapToGrid w:val="0"/>
              </w:rPr>
            </w:pPr>
          </w:p>
        </w:tc>
        <w:tc>
          <w:tcPr>
            <w:tcW w:w="4550" w:type="dxa"/>
            <w:vAlign w:val="center"/>
          </w:tcPr>
          <w:p>
            <w:pPr>
              <w:pStyle w:val="105"/>
              <w:jc w:val="center"/>
              <w:rPr>
                <w:rFonts w:hint="eastAsia" w:eastAsia="宋体"/>
                <w:snapToGrid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snapToGrid w:val="0"/>
              </w:rPr>
            </w:pPr>
            <w:r>
              <w:rPr>
                <w:rFonts w:hint="eastAsia"/>
                <w:snapToGrid w:val="0"/>
              </w:rPr>
              <w:t>迳江支流中下游</w:t>
            </w:r>
          </w:p>
        </w:tc>
        <w:tc>
          <w:tcPr>
            <w:tcW w:w="222" w:type="dxa"/>
            <w:vAlign w:val="center"/>
          </w:tcPr>
          <w:p>
            <w:pPr>
              <w:pStyle w:val="105"/>
              <w:jc w:val="center"/>
              <w:rPr>
                <w:snapToGrid w:val="0"/>
              </w:rPr>
            </w:pPr>
          </w:p>
        </w:tc>
        <w:tc>
          <w:tcPr>
            <w:tcW w:w="4550" w:type="dxa"/>
            <w:vAlign w:val="center"/>
          </w:tcPr>
          <w:p>
            <w:pPr>
              <w:pStyle w:val="105"/>
              <w:jc w:val="center"/>
              <w:rPr>
                <w:snapToGrid w:val="0"/>
              </w:rPr>
            </w:pPr>
            <w:r>
              <w:rPr>
                <w:rFonts w:hint="eastAsia"/>
                <w:snapToGrid w:val="0"/>
              </w:rPr>
              <w:t>迳江干流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rFonts w:hint="eastAsia" w:eastAsia="宋体"/>
                <w:snapToGrid w:val="0"/>
                <w:lang w:eastAsia="zh-CN"/>
              </w:rPr>
            </w:pPr>
          </w:p>
        </w:tc>
        <w:tc>
          <w:tcPr>
            <w:tcW w:w="222" w:type="dxa"/>
            <w:vAlign w:val="center"/>
          </w:tcPr>
          <w:p>
            <w:pPr>
              <w:pStyle w:val="105"/>
              <w:jc w:val="center"/>
              <w:rPr>
                <w:snapToGrid w:val="0"/>
              </w:rPr>
            </w:pPr>
          </w:p>
        </w:tc>
        <w:tc>
          <w:tcPr>
            <w:tcW w:w="4550" w:type="dxa"/>
            <w:vAlign w:val="center"/>
          </w:tcPr>
          <w:p>
            <w:pPr>
              <w:pStyle w:val="105"/>
              <w:jc w:val="center"/>
              <w:rPr>
                <w:rFonts w:hint="eastAsia" w:eastAsia="宋体"/>
                <w:snapToGrid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snapToGrid w:val="0"/>
              </w:rPr>
            </w:pPr>
            <w:r>
              <w:rPr>
                <w:rFonts w:hint="eastAsia"/>
                <w:snapToGrid w:val="0"/>
              </w:rPr>
              <w:t>福渠现状</w:t>
            </w:r>
          </w:p>
        </w:tc>
        <w:tc>
          <w:tcPr>
            <w:tcW w:w="222" w:type="dxa"/>
            <w:vAlign w:val="center"/>
          </w:tcPr>
          <w:p>
            <w:pPr>
              <w:pStyle w:val="105"/>
              <w:jc w:val="center"/>
              <w:rPr>
                <w:snapToGrid w:val="0"/>
              </w:rPr>
            </w:pPr>
          </w:p>
        </w:tc>
        <w:tc>
          <w:tcPr>
            <w:tcW w:w="4550" w:type="dxa"/>
            <w:vAlign w:val="center"/>
          </w:tcPr>
          <w:p>
            <w:pPr>
              <w:pStyle w:val="105"/>
              <w:jc w:val="center"/>
              <w:rPr>
                <w:snapToGrid w:val="0"/>
              </w:rPr>
            </w:pPr>
            <w:r>
              <w:rPr>
                <w:rFonts w:hint="eastAsia"/>
                <w:snapToGrid w:val="0"/>
              </w:rPr>
              <w:t>耕地、园地现状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rFonts w:hint="eastAsia" w:eastAsia="宋体"/>
                <w:snapToGrid w:val="0"/>
                <w:lang w:eastAsia="zh-CN"/>
              </w:rPr>
            </w:pPr>
          </w:p>
        </w:tc>
        <w:tc>
          <w:tcPr>
            <w:tcW w:w="222" w:type="dxa"/>
            <w:vAlign w:val="center"/>
          </w:tcPr>
          <w:p>
            <w:pPr>
              <w:pStyle w:val="105"/>
              <w:jc w:val="center"/>
              <w:rPr>
                <w:snapToGrid w:val="0"/>
              </w:rPr>
            </w:pPr>
          </w:p>
        </w:tc>
        <w:tc>
          <w:tcPr>
            <w:tcW w:w="4550" w:type="dxa"/>
            <w:vAlign w:val="center"/>
          </w:tcPr>
          <w:p>
            <w:pPr>
              <w:pStyle w:val="105"/>
              <w:jc w:val="center"/>
              <w:rPr>
                <w:rFonts w:hint="eastAsia" w:eastAsia="宋体"/>
                <w:snapToGrid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2" w:type="dxa"/>
            <w:vAlign w:val="center"/>
          </w:tcPr>
          <w:p>
            <w:pPr>
              <w:pStyle w:val="105"/>
              <w:jc w:val="center"/>
              <w:rPr>
                <w:snapToGrid w:val="0"/>
              </w:rPr>
            </w:pPr>
            <w:r>
              <w:rPr>
                <w:rFonts w:hint="eastAsia"/>
                <w:snapToGrid w:val="0"/>
              </w:rPr>
              <w:t>龙眼林</w:t>
            </w:r>
          </w:p>
        </w:tc>
        <w:tc>
          <w:tcPr>
            <w:tcW w:w="222" w:type="dxa"/>
            <w:vAlign w:val="center"/>
          </w:tcPr>
          <w:p>
            <w:pPr>
              <w:pStyle w:val="105"/>
              <w:jc w:val="center"/>
              <w:rPr>
                <w:snapToGrid w:val="0"/>
              </w:rPr>
            </w:pPr>
          </w:p>
        </w:tc>
        <w:tc>
          <w:tcPr>
            <w:tcW w:w="4550" w:type="dxa"/>
            <w:vAlign w:val="center"/>
          </w:tcPr>
          <w:p>
            <w:pPr>
              <w:pStyle w:val="105"/>
              <w:jc w:val="center"/>
              <w:rPr>
                <w:snapToGrid w:val="0"/>
              </w:rPr>
            </w:pPr>
            <w:r>
              <w:rPr>
                <w:rFonts w:hint="eastAsia"/>
                <w:snapToGrid w:val="0"/>
              </w:rPr>
              <w:t>龙眼林</w:t>
            </w:r>
          </w:p>
        </w:tc>
      </w:tr>
    </w:tbl>
    <w:p>
      <w:pPr>
        <w:pStyle w:val="122"/>
      </w:pPr>
      <w:r>
        <w:rPr>
          <w:rFonts w:hint="eastAsia"/>
        </w:rPr>
        <w:t>项目沿线现状图</w:t>
      </w:r>
    </w:p>
    <w:p>
      <w:pPr>
        <w:ind w:firstLine="480"/>
        <w:sectPr>
          <w:pgSz w:w="11910" w:h="16840"/>
          <w:pgMar w:top="1418" w:right="1418" w:bottom="1418" w:left="1418" w:header="851" w:footer="851" w:gutter="0"/>
          <w:cols w:space="720" w:num="1"/>
        </w:sectPr>
      </w:pPr>
    </w:p>
    <w:p>
      <w:pPr>
        <w:pStyle w:val="118"/>
      </w:pPr>
      <w:r>
        <w:t>古树名木</w:t>
      </w:r>
    </w:p>
    <w:p>
      <w:pPr>
        <w:ind w:firstLine="480"/>
      </w:pPr>
      <w:r>
        <w:rPr>
          <w:rFonts w:hint="eastAsia"/>
          <w:bCs/>
        </w:rPr>
        <w:t>根据调查，线路两侧3</w:t>
      </w:r>
      <w:r>
        <w:rPr>
          <w:bCs/>
        </w:rPr>
        <w:t>00</w:t>
      </w:r>
      <w:r>
        <w:rPr>
          <w:rFonts w:hint="eastAsia"/>
          <w:bCs/>
        </w:rPr>
        <w:t>m评价范围内</w:t>
      </w:r>
      <w:r>
        <w:rPr>
          <w:rFonts w:hint="eastAsia"/>
        </w:rPr>
        <w:t>有</w:t>
      </w:r>
      <w:r>
        <w:t>8</w:t>
      </w:r>
      <w:r>
        <w:rPr>
          <w:rFonts w:hint="eastAsia"/>
        </w:rPr>
        <w:t>株百年古树，项目占地红线内没有挂牌的名木古树和野生珍贵树木，线路与沿线名木古树位置关系详见</w:t>
      </w:r>
      <w:r>
        <w:fldChar w:fldCharType="begin"/>
      </w:r>
      <w:r>
        <w:instrText xml:space="preserve"> </w:instrText>
      </w:r>
      <w:r>
        <w:rPr>
          <w:rFonts w:hint="eastAsia"/>
        </w:rPr>
        <w:instrText xml:space="preserve">REF _Ref192540333 \r \h</w:instrText>
      </w:r>
      <w:r>
        <w:instrText xml:space="preserve">  \* MERGEFORMAT </w:instrText>
      </w:r>
      <w:r>
        <w:fldChar w:fldCharType="separate"/>
      </w:r>
      <w:r>
        <w:rPr>
          <w:rFonts w:hint="eastAsia"/>
        </w:rPr>
        <w:t>表2.7-6</w:t>
      </w:r>
      <w:r>
        <w:fldChar w:fldCharType="end"/>
      </w:r>
      <w:r>
        <w:t>及</w:t>
      </w:r>
      <w:r>
        <w:fldChar w:fldCharType="begin"/>
      </w:r>
      <w:r>
        <w:instrText xml:space="preserve"> REF _Ref192757826 \r \h  \* MERGEFORMAT </w:instrText>
      </w:r>
      <w:r>
        <w:fldChar w:fldCharType="separate"/>
      </w:r>
      <w:r>
        <w:rPr>
          <w:rFonts w:hint="eastAsia"/>
        </w:rPr>
        <w:t>图2.7-8</w:t>
      </w:r>
      <w:r>
        <w:fldChar w:fldCharType="end"/>
      </w:r>
      <w:r>
        <w:t>。</w:t>
      </w:r>
    </w:p>
    <w:p>
      <w:pPr>
        <w:pStyle w:val="87"/>
        <w:spacing w:before="120"/>
      </w:pPr>
      <w:r>
        <w:rPr>
          <w:rFonts w:hint="eastAsia"/>
        </w:rPr>
        <w:t>古树现状调查情况表</w:t>
      </w:r>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1"/>
        <w:gridCol w:w="768"/>
        <w:gridCol w:w="613"/>
        <w:gridCol w:w="3744"/>
        <w:gridCol w:w="791"/>
        <w:gridCol w:w="566"/>
        <w:gridCol w:w="568"/>
        <w:gridCol w:w="566"/>
        <w:gridCol w:w="671"/>
        <w:gridCol w:w="4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7" w:type="pct"/>
            <w:vAlign w:val="center"/>
          </w:tcPr>
          <w:p>
            <w:pPr>
              <w:pStyle w:val="105"/>
              <w:ind w:left="-48" w:leftChars="-20" w:right="-48" w:rightChars="-20"/>
              <w:jc w:val="center"/>
            </w:pPr>
            <w:r>
              <w:rPr>
                <w:rFonts w:hint="eastAsia"/>
              </w:rPr>
              <w:t>序</w:t>
            </w:r>
          </w:p>
          <w:p>
            <w:pPr>
              <w:pStyle w:val="105"/>
              <w:ind w:left="-48" w:leftChars="-20" w:right="-48" w:rightChars="-20"/>
              <w:jc w:val="center"/>
            </w:pPr>
            <w:r>
              <w:rPr>
                <w:rFonts w:hint="eastAsia"/>
              </w:rPr>
              <w:t>号</w:t>
            </w:r>
          </w:p>
        </w:tc>
        <w:tc>
          <w:tcPr>
            <w:tcW w:w="423" w:type="pct"/>
            <w:vAlign w:val="center"/>
          </w:tcPr>
          <w:p>
            <w:pPr>
              <w:pStyle w:val="105"/>
              <w:ind w:left="-48" w:leftChars="-20" w:right="-48" w:rightChars="-20"/>
              <w:jc w:val="center"/>
            </w:pPr>
            <w:r>
              <w:rPr>
                <w:rFonts w:hint="eastAsia"/>
              </w:rPr>
              <w:t>路</w:t>
            </w:r>
          </w:p>
          <w:p>
            <w:pPr>
              <w:pStyle w:val="105"/>
              <w:ind w:left="-48" w:leftChars="-20" w:right="-48" w:rightChars="-20"/>
              <w:jc w:val="center"/>
            </w:pPr>
            <w:r>
              <w:rPr>
                <w:rFonts w:hint="eastAsia"/>
              </w:rPr>
              <w:t>段</w:t>
            </w:r>
          </w:p>
        </w:tc>
        <w:tc>
          <w:tcPr>
            <w:tcW w:w="338" w:type="pct"/>
            <w:vAlign w:val="center"/>
          </w:tcPr>
          <w:p>
            <w:pPr>
              <w:pStyle w:val="105"/>
              <w:ind w:left="-48" w:leftChars="-20" w:right="-48" w:rightChars="-20"/>
              <w:jc w:val="center"/>
            </w:pPr>
            <w:r>
              <w:rPr>
                <w:rFonts w:hint="eastAsia"/>
              </w:rPr>
              <w:t>名木/</w:t>
            </w:r>
          </w:p>
          <w:p>
            <w:pPr>
              <w:pStyle w:val="105"/>
              <w:ind w:left="-48" w:leftChars="-20" w:right="-48" w:rightChars="-20"/>
              <w:jc w:val="center"/>
            </w:pPr>
            <w:r>
              <w:rPr>
                <w:rFonts w:hint="eastAsia"/>
              </w:rPr>
              <w:t>古树</w:t>
            </w:r>
          </w:p>
        </w:tc>
        <w:tc>
          <w:tcPr>
            <w:tcW w:w="2063" w:type="pct"/>
            <w:vAlign w:val="center"/>
          </w:tcPr>
          <w:p>
            <w:pPr>
              <w:pStyle w:val="105"/>
              <w:ind w:left="-48" w:leftChars="-20" w:right="-48" w:rightChars="-20"/>
              <w:jc w:val="center"/>
            </w:pPr>
            <w:r>
              <w:rPr>
                <w:rFonts w:hint="eastAsia"/>
              </w:rPr>
              <w:t>现状</w:t>
            </w:r>
          </w:p>
        </w:tc>
        <w:tc>
          <w:tcPr>
            <w:tcW w:w="436" w:type="pct"/>
            <w:vAlign w:val="center"/>
          </w:tcPr>
          <w:p>
            <w:pPr>
              <w:pStyle w:val="105"/>
              <w:ind w:left="-48" w:leftChars="-20" w:right="-48" w:rightChars="-20"/>
              <w:jc w:val="center"/>
            </w:pPr>
            <w:r>
              <w:rPr>
                <w:rFonts w:hint="eastAsia"/>
              </w:rPr>
              <w:t>位置</w:t>
            </w:r>
          </w:p>
          <w:p>
            <w:pPr>
              <w:pStyle w:val="105"/>
              <w:ind w:left="-48" w:leftChars="-20" w:right="-48" w:rightChars="-20"/>
              <w:jc w:val="center"/>
            </w:pPr>
            <w:r>
              <w:rPr>
                <w:rFonts w:hint="eastAsia"/>
              </w:rPr>
              <w:t>关系</w:t>
            </w:r>
          </w:p>
        </w:tc>
        <w:tc>
          <w:tcPr>
            <w:tcW w:w="312" w:type="pct"/>
            <w:vAlign w:val="center"/>
          </w:tcPr>
          <w:p>
            <w:pPr>
              <w:pStyle w:val="105"/>
              <w:ind w:left="-48" w:leftChars="-20" w:right="-48" w:rightChars="-20"/>
              <w:jc w:val="center"/>
            </w:pPr>
            <w:r>
              <w:rPr>
                <w:rFonts w:hint="eastAsia"/>
              </w:rPr>
              <w:t>树龄</w:t>
            </w:r>
          </w:p>
        </w:tc>
        <w:tc>
          <w:tcPr>
            <w:tcW w:w="313" w:type="pct"/>
            <w:vAlign w:val="center"/>
          </w:tcPr>
          <w:p>
            <w:pPr>
              <w:pStyle w:val="105"/>
              <w:ind w:left="-48" w:leftChars="-20" w:right="-48" w:rightChars="-20"/>
              <w:jc w:val="center"/>
            </w:pPr>
            <w:r>
              <w:rPr>
                <w:rFonts w:hint="eastAsia"/>
              </w:rPr>
              <w:t>树高</w:t>
            </w:r>
          </w:p>
          <w:p>
            <w:pPr>
              <w:pStyle w:val="105"/>
              <w:ind w:left="-48" w:leftChars="-20" w:right="-48" w:rightChars="-20"/>
              <w:jc w:val="center"/>
            </w:pPr>
            <w:r>
              <w:rPr>
                <w:rFonts w:hint="eastAsia"/>
              </w:rPr>
              <w:t>（m）</w:t>
            </w:r>
          </w:p>
        </w:tc>
        <w:tc>
          <w:tcPr>
            <w:tcW w:w="312" w:type="pct"/>
            <w:vAlign w:val="center"/>
          </w:tcPr>
          <w:p>
            <w:pPr>
              <w:pStyle w:val="105"/>
              <w:ind w:left="-48" w:leftChars="-20" w:right="-48" w:rightChars="-20"/>
              <w:jc w:val="center"/>
            </w:pPr>
            <w:r>
              <w:rPr>
                <w:rFonts w:hint="eastAsia"/>
              </w:rPr>
              <w:t>胸围</w:t>
            </w:r>
          </w:p>
          <w:p>
            <w:pPr>
              <w:pStyle w:val="105"/>
              <w:ind w:left="-48" w:leftChars="-20" w:right="-48" w:rightChars="-20"/>
              <w:jc w:val="center"/>
            </w:pPr>
            <w:r>
              <w:rPr>
                <w:rFonts w:hint="eastAsia"/>
              </w:rPr>
              <w:t>（m）</w:t>
            </w:r>
          </w:p>
        </w:tc>
        <w:tc>
          <w:tcPr>
            <w:tcW w:w="370" w:type="pct"/>
            <w:vAlign w:val="center"/>
          </w:tcPr>
          <w:p>
            <w:pPr>
              <w:pStyle w:val="105"/>
              <w:ind w:left="-48" w:leftChars="-20" w:right="-48" w:rightChars="-20"/>
              <w:jc w:val="center"/>
            </w:pPr>
            <w:r>
              <w:rPr>
                <w:rFonts w:hint="eastAsia"/>
              </w:rPr>
              <w:t>树冠</w:t>
            </w:r>
          </w:p>
          <w:p>
            <w:pPr>
              <w:pStyle w:val="105"/>
              <w:ind w:left="-48" w:leftChars="-20" w:right="-48" w:rightChars="-20"/>
              <w:jc w:val="center"/>
            </w:pPr>
            <w:r>
              <w:rPr>
                <w:rFonts w:hint="eastAsia"/>
              </w:rPr>
              <w:t>（m）</w:t>
            </w:r>
          </w:p>
        </w:tc>
        <w:tc>
          <w:tcPr>
            <w:tcW w:w="256" w:type="pct"/>
            <w:vAlign w:val="center"/>
          </w:tcPr>
          <w:p>
            <w:pPr>
              <w:pStyle w:val="105"/>
              <w:ind w:left="-48" w:leftChars="-20" w:right="-48" w:rightChars="-20"/>
              <w:jc w:val="center"/>
            </w:pPr>
            <w:r>
              <w:rPr>
                <w:rFonts w:hint="eastAsia"/>
              </w:rPr>
              <w:t>生长</w:t>
            </w:r>
          </w:p>
          <w:p>
            <w:pPr>
              <w:pStyle w:val="105"/>
              <w:ind w:left="-48" w:leftChars="-20" w:right="-48" w:rightChars="-20"/>
              <w:jc w:val="center"/>
            </w:pPr>
            <w:r>
              <w:rPr>
                <w:rFonts w:hint="eastAsia"/>
              </w:rPr>
              <w:t>状况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7" w:type="pct"/>
            <w:vMerge w:val="restart"/>
            <w:vAlign w:val="center"/>
          </w:tcPr>
          <w:p>
            <w:pPr>
              <w:pStyle w:val="105"/>
              <w:ind w:left="-48" w:leftChars="-20" w:right="-48" w:rightChars="-20"/>
              <w:jc w:val="center"/>
            </w:pPr>
            <w:r>
              <w:rPr>
                <w:rFonts w:hint="eastAsia"/>
              </w:rPr>
              <w:t>1</w:t>
            </w:r>
          </w:p>
        </w:tc>
        <w:tc>
          <w:tcPr>
            <w:tcW w:w="423" w:type="pct"/>
            <w:vMerge w:val="restart"/>
            <w:vAlign w:val="center"/>
          </w:tcPr>
          <w:p>
            <w:pPr>
              <w:pStyle w:val="105"/>
              <w:ind w:left="-48" w:leftChars="-20" w:right="-48" w:rightChars="-20"/>
              <w:jc w:val="center"/>
            </w:pPr>
            <w:r>
              <w:t>K2+260~</w:t>
            </w:r>
          </w:p>
          <w:p>
            <w:pPr>
              <w:pStyle w:val="105"/>
              <w:ind w:left="-48" w:leftChars="-20" w:right="-48" w:rightChars="-20"/>
              <w:jc w:val="center"/>
            </w:pPr>
            <w:r>
              <w:t>K2+300</w:t>
            </w:r>
            <w:r>
              <w:rPr>
                <w:rFonts w:hint="eastAsia"/>
              </w:rPr>
              <w:t>路左</w:t>
            </w:r>
          </w:p>
        </w:tc>
        <w:tc>
          <w:tcPr>
            <w:tcW w:w="338" w:type="pct"/>
            <w:vAlign w:val="center"/>
          </w:tcPr>
          <w:p>
            <w:pPr>
              <w:pStyle w:val="105"/>
              <w:ind w:left="-48" w:leftChars="-20" w:right="-48" w:rightChars="-20"/>
              <w:jc w:val="center"/>
            </w:pPr>
            <w:r>
              <w:rPr>
                <w:rFonts w:hint="eastAsia"/>
              </w:rPr>
              <w:t>龙眼</w:t>
            </w:r>
          </w:p>
          <w:p>
            <w:pPr>
              <w:pStyle w:val="105"/>
              <w:ind w:left="-48" w:leftChars="-20" w:right="-48" w:rightChars="-20"/>
              <w:jc w:val="center"/>
            </w:pPr>
            <w:r>
              <w:rPr>
                <w:rFonts w:hint="eastAsia"/>
              </w:rPr>
              <w:t>（桂圆）</w:t>
            </w:r>
          </w:p>
        </w:tc>
        <w:tc>
          <w:tcPr>
            <w:tcW w:w="2063" w:type="pct"/>
            <w:vAlign w:val="center"/>
          </w:tcPr>
          <w:p>
            <w:pPr>
              <w:pStyle w:val="105"/>
              <w:ind w:left="-48" w:leftChars="-20" w:right="-48" w:rightChars="-20"/>
              <w:jc w:val="center"/>
              <w:rPr>
                <w:rFonts w:hint="eastAsia" w:eastAsia="宋体"/>
                <w:lang w:eastAsia="zh-CN"/>
              </w:rPr>
            </w:pPr>
          </w:p>
        </w:tc>
        <w:tc>
          <w:tcPr>
            <w:tcW w:w="436" w:type="pct"/>
            <w:vAlign w:val="center"/>
          </w:tcPr>
          <w:p>
            <w:pPr>
              <w:pStyle w:val="105"/>
              <w:ind w:left="-48" w:leftChars="-20" w:right="-48" w:rightChars="-20"/>
              <w:jc w:val="center"/>
            </w:pPr>
            <w:r>
              <w:rPr>
                <w:rFonts w:hint="eastAsia"/>
              </w:rPr>
              <w:t>S</w:t>
            </w:r>
            <w:r>
              <w:t>222</w:t>
            </w:r>
            <w:r>
              <w:rPr>
                <w:rFonts w:hint="eastAsia"/>
              </w:rPr>
              <w:t>m</w:t>
            </w:r>
          </w:p>
        </w:tc>
        <w:tc>
          <w:tcPr>
            <w:tcW w:w="312" w:type="pct"/>
            <w:vAlign w:val="center"/>
          </w:tcPr>
          <w:p>
            <w:pPr>
              <w:pStyle w:val="105"/>
              <w:ind w:left="-48" w:leftChars="-20" w:right="-48" w:rightChars="-20"/>
              <w:jc w:val="center"/>
              <w:rPr>
                <w:b/>
                <w:bCs/>
              </w:rPr>
            </w:pPr>
            <w:r>
              <w:rPr>
                <w:rFonts w:hint="eastAsia"/>
                <w:b/>
                <w:bCs/>
              </w:rPr>
              <w:t>1</w:t>
            </w:r>
            <w:r>
              <w:rPr>
                <w:b/>
                <w:bCs/>
              </w:rPr>
              <w:t>50</w:t>
            </w:r>
          </w:p>
        </w:tc>
        <w:tc>
          <w:tcPr>
            <w:tcW w:w="313" w:type="pct"/>
            <w:vAlign w:val="center"/>
          </w:tcPr>
          <w:p>
            <w:pPr>
              <w:pStyle w:val="105"/>
              <w:ind w:left="-48" w:leftChars="-20" w:right="-48" w:rightChars="-20"/>
              <w:jc w:val="center"/>
              <w:rPr>
                <w:b/>
                <w:bCs/>
              </w:rPr>
            </w:pPr>
            <w:r>
              <w:rPr>
                <w:rFonts w:hint="eastAsia"/>
                <w:b/>
                <w:bCs/>
              </w:rPr>
              <w:t>7</w:t>
            </w:r>
          </w:p>
        </w:tc>
        <w:tc>
          <w:tcPr>
            <w:tcW w:w="312" w:type="pct"/>
            <w:vAlign w:val="center"/>
          </w:tcPr>
          <w:p>
            <w:pPr>
              <w:pStyle w:val="105"/>
              <w:ind w:left="-48" w:leftChars="-20" w:right="-48" w:rightChars="-20"/>
              <w:jc w:val="center"/>
              <w:rPr>
                <w:b/>
                <w:bCs/>
              </w:rPr>
            </w:pPr>
            <w:r>
              <w:rPr>
                <w:rFonts w:hint="eastAsia"/>
                <w:b/>
                <w:bCs/>
              </w:rPr>
              <w:t>2</w:t>
            </w:r>
            <w:r>
              <w:rPr>
                <w:b/>
                <w:bCs/>
              </w:rPr>
              <w:t>.8</w:t>
            </w:r>
          </w:p>
        </w:tc>
        <w:tc>
          <w:tcPr>
            <w:tcW w:w="370" w:type="pct"/>
            <w:vAlign w:val="center"/>
          </w:tcPr>
          <w:p>
            <w:pPr>
              <w:pStyle w:val="105"/>
              <w:ind w:left="-48" w:leftChars="-20" w:right="-48" w:rightChars="-20"/>
              <w:jc w:val="center"/>
              <w:rPr>
                <w:b/>
                <w:bCs/>
              </w:rPr>
            </w:pPr>
            <w:r>
              <w:rPr>
                <w:rFonts w:hint="eastAsia"/>
                <w:b/>
                <w:bCs/>
              </w:rPr>
              <w:t>——</w:t>
            </w:r>
          </w:p>
        </w:tc>
        <w:tc>
          <w:tcPr>
            <w:tcW w:w="256" w:type="pct"/>
            <w:vAlign w:val="center"/>
          </w:tcPr>
          <w:p>
            <w:pPr>
              <w:pStyle w:val="105"/>
              <w:ind w:left="-48" w:leftChars="-20" w:right="-48" w:rightChars="-20"/>
              <w:jc w:val="center"/>
              <w:rPr>
                <w:b/>
                <w:bCs/>
              </w:rPr>
            </w:pPr>
            <w:r>
              <w:rPr>
                <w:rFonts w:hint="eastAsia"/>
                <w:b/>
                <w:bCs/>
              </w:rPr>
              <w:t>枯死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7" w:type="pct"/>
            <w:vMerge w:val="continue"/>
            <w:vAlign w:val="center"/>
          </w:tcPr>
          <w:p>
            <w:pPr>
              <w:pStyle w:val="105"/>
              <w:ind w:left="-48" w:leftChars="-20" w:right="-48" w:rightChars="-20"/>
              <w:jc w:val="center"/>
            </w:pPr>
          </w:p>
        </w:tc>
        <w:tc>
          <w:tcPr>
            <w:tcW w:w="423" w:type="pct"/>
            <w:vMerge w:val="continue"/>
            <w:vAlign w:val="center"/>
          </w:tcPr>
          <w:p>
            <w:pPr>
              <w:pStyle w:val="105"/>
              <w:ind w:left="-48" w:leftChars="-20" w:right="-48" w:rightChars="-20"/>
              <w:jc w:val="center"/>
            </w:pPr>
          </w:p>
        </w:tc>
        <w:tc>
          <w:tcPr>
            <w:tcW w:w="338" w:type="pct"/>
            <w:vAlign w:val="center"/>
          </w:tcPr>
          <w:p>
            <w:pPr>
              <w:pStyle w:val="105"/>
              <w:ind w:left="-48" w:leftChars="-20" w:right="-48" w:rightChars="-20"/>
              <w:jc w:val="center"/>
            </w:pPr>
            <w:r>
              <w:rPr>
                <w:rFonts w:hint="eastAsia"/>
              </w:rPr>
              <w:t>龙眼</w:t>
            </w:r>
          </w:p>
          <w:p>
            <w:pPr>
              <w:pStyle w:val="105"/>
              <w:ind w:left="-48" w:leftChars="-20" w:right="-48" w:rightChars="-20"/>
              <w:jc w:val="center"/>
            </w:pPr>
            <w:r>
              <w:rPr>
                <w:rFonts w:hint="eastAsia"/>
              </w:rPr>
              <w:t>（桂圆）</w:t>
            </w:r>
          </w:p>
        </w:tc>
        <w:tc>
          <w:tcPr>
            <w:tcW w:w="2063" w:type="pct"/>
            <w:vAlign w:val="center"/>
          </w:tcPr>
          <w:p>
            <w:pPr>
              <w:pStyle w:val="105"/>
              <w:ind w:left="-48" w:leftChars="-20" w:right="-48" w:rightChars="-20"/>
              <w:jc w:val="center"/>
              <w:rPr>
                <w:rFonts w:hint="eastAsia" w:eastAsia="宋体"/>
                <w:lang w:eastAsia="zh-CN"/>
              </w:rPr>
            </w:pPr>
          </w:p>
        </w:tc>
        <w:tc>
          <w:tcPr>
            <w:tcW w:w="436" w:type="pct"/>
            <w:vAlign w:val="center"/>
          </w:tcPr>
          <w:p>
            <w:pPr>
              <w:pStyle w:val="105"/>
              <w:ind w:left="-48" w:leftChars="-20" w:right="-48" w:rightChars="-20"/>
              <w:jc w:val="center"/>
            </w:pPr>
            <w:r>
              <w:rPr>
                <w:rFonts w:hint="eastAsia"/>
              </w:rPr>
              <w:t>S</w:t>
            </w:r>
            <w:r>
              <w:t>222</w:t>
            </w:r>
            <w:r>
              <w:rPr>
                <w:rFonts w:hint="eastAsia"/>
              </w:rPr>
              <w:t>m</w:t>
            </w:r>
          </w:p>
        </w:tc>
        <w:tc>
          <w:tcPr>
            <w:tcW w:w="312" w:type="pct"/>
            <w:vAlign w:val="center"/>
          </w:tcPr>
          <w:p>
            <w:pPr>
              <w:pStyle w:val="105"/>
              <w:ind w:left="-48" w:leftChars="-20" w:right="-48" w:rightChars="-20"/>
              <w:jc w:val="center"/>
            </w:pPr>
            <w:r>
              <w:rPr>
                <w:rFonts w:hint="eastAsia"/>
              </w:rPr>
              <w:t>1</w:t>
            </w:r>
            <w:r>
              <w:t>00</w:t>
            </w:r>
          </w:p>
        </w:tc>
        <w:tc>
          <w:tcPr>
            <w:tcW w:w="313" w:type="pct"/>
            <w:vAlign w:val="center"/>
          </w:tcPr>
          <w:p>
            <w:pPr>
              <w:pStyle w:val="105"/>
              <w:ind w:left="-48" w:leftChars="-20" w:right="-48" w:rightChars="-20"/>
              <w:jc w:val="center"/>
            </w:pPr>
            <w:r>
              <w:rPr>
                <w:rFonts w:hint="eastAsia"/>
              </w:rPr>
              <w:t>7</w:t>
            </w:r>
          </w:p>
        </w:tc>
        <w:tc>
          <w:tcPr>
            <w:tcW w:w="312" w:type="pct"/>
            <w:vAlign w:val="center"/>
          </w:tcPr>
          <w:p>
            <w:pPr>
              <w:pStyle w:val="105"/>
              <w:ind w:left="-48" w:leftChars="-20" w:right="-48" w:rightChars="-20"/>
              <w:jc w:val="center"/>
            </w:pPr>
            <w:r>
              <w:rPr>
                <w:rFonts w:hint="eastAsia"/>
              </w:rPr>
              <w:t>2</w:t>
            </w:r>
            <w:r>
              <w:t>.2</w:t>
            </w:r>
          </w:p>
        </w:tc>
        <w:tc>
          <w:tcPr>
            <w:tcW w:w="370" w:type="pct"/>
            <w:vAlign w:val="center"/>
          </w:tcPr>
          <w:p>
            <w:pPr>
              <w:pStyle w:val="105"/>
              <w:ind w:left="-48" w:leftChars="-20" w:right="-48" w:rightChars="-20"/>
              <w:jc w:val="center"/>
            </w:pPr>
            <w:r>
              <w:rPr>
                <w:rFonts w:hint="eastAsia"/>
              </w:rPr>
              <w:t>8</w:t>
            </w:r>
          </w:p>
        </w:tc>
        <w:tc>
          <w:tcPr>
            <w:tcW w:w="256" w:type="pct"/>
            <w:vAlign w:val="center"/>
          </w:tcPr>
          <w:p>
            <w:pPr>
              <w:pStyle w:val="105"/>
              <w:ind w:left="-48" w:leftChars="-20" w:right="-48" w:rightChars="-20"/>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7" w:type="pct"/>
            <w:vMerge w:val="continue"/>
            <w:vAlign w:val="center"/>
          </w:tcPr>
          <w:p>
            <w:pPr>
              <w:pStyle w:val="105"/>
              <w:ind w:left="-48" w:leftChars="-20" w:right="-48" w:rightChars="-20"/>
              <w:jc w:val="center"/>
            </w:pPr>
          </w:p>
        </w:tc>
        <w:tc>
          <w:tcPr>
            <w:tcW w:w="423" w:type="pct"/>
            <w:vMerge w:val="continue"/>
            <w:vAlign w:val="center"/>
          </w:tcPr>
          <w:p>
            <w:pPr>
              <w:pStyle w:val="105"/>
              <w:ind w:left="-48" w:leftChars="-20" w:right="-48" w:rightChars="-20"/>
              <w:jc w:val="center"/>
            </w:pPr>
          </w:p>
        </w:tc>
        <w:tc>
          <w:tcPr>
            <w:tcW w:w="338" w:type="pct"/>
            <w:vAlign w:val="center"/>
          </w:tcPr>
          <w:p>
            <w:pPr>
              <w:pStyle w:val="105"/>
              <w:ind w:left="-48" w:leftChars="-20" w:right="-48" w:rightChars="-20"/>
              <w:jc w:val="center"/>
            </w:pPr>
            <w:r>
              <w:rPr>
                <w:rFonts w:hint="eastAsia"/>
              </w:rPr>
              <w:t>榕树（榕）</w:t>
            </w:r>
          </w:p>
        </w:tc>
        <w:tc>
          <w:tcPr>
            <w:tcW w:w="2063" w:type="pct"/>
            <w:vAlign w:val="center"/>
          </w:tcPr>
          <w:p>
            <w:pPr>
              <w:pStyle w:val="105"/>
              <w:ind w:left="-48" w:leftChars="-20" w:right="-48" w:rightChars="-20"/>
              <w:jc w:val="center"/>
              <w:rPr>
                <w:rFonts w:hint="eastAsia" w:eastAsia="宋体"/>
                <w:lang w:eastAsia="zh-CN"/>
              </w:rPr>
            </w:pPr>
          </w:p>
        </w:tc>
        <w:tc>
          <w:tcPr>
            <w:tcW w:w="436" w:type="pct"/>
            <w:vAlign w:val="center"/>
          </w:tcPr>
          <w:p>
            <w:pPr>
              <w:pStyle w:val="105"/>
              <w:ind w:left="-48" w:leftChars="-20" w:right="-48" w:rightChars="-20"/>
              <w:jc w:val="center"/>
            </w:pPr>
            <w:r>
              <w:rPr>
                <w:rFonts w:hint="eastAsia"/>
              </w:rPr>
              <w:t>S</w:t>
            </w:r>
            <w:r>
              <w:t>252</w:t>
            </w:r>
            <w:r>
              <w:rPr>
                <w:rFonts w:hint="eastAsia"/>
              </w:rPr>
              <w:t>m</w:t>
            </w:r>
          </w:p>
        </w:tc>
        <w:tc>
          <w:tcPr>
            <w:tcW w:w="312" w:type="pct"/>
            <w:vAlign w:val="center"/>
          </w:tcPr>
          <w:p>
            <w:pPr>
              <w:pStyle w:val="105"/>
              <w:ind w:left="-48" w:leftChars="-20" w:right="-48" w:rightChars="-20"/>
              <w:jc w:val="center"/>
            </w:pPr>
            <w:r>
              <w:rPr>
                <w:rFonts w:hint="eastAsia"/>
              </w:rPr>
              <w:t>1</w:t>
            </w:r>
            <w:r>
              <w:t>10</w:t>
            </w:r>
          </w:p>
        </w:tc>
        <w:tc>
          <w:tcPr>
            <w:tcW w:w="313" w:type="pct"/>
            <w:vAlign w:val="center"/>
          </w:tcPr>
          <w:p>
            <w:pPr>
              <w:pStyle w:val="105"/>
              <w:ind w:left="-48" w:leftChars="-20" w:right="-48" w:rightChars="-20"/>
              <w:jc w:val="center"/>
            </w:pPr>
            <w:r>
              <w:rPr>
                <w:rFonts w:hint="eastAsia"/>
              </w:rPr>
              <w:t>1</w:t>
            </w:r>
            <w:r>
              <w:t>8</w:t>
            </w:r>
          </w:p>
        </w:tc>
        <w:tc>
          <w:tcPr>
            <w:tcW w:w="312" w:type="pct"/>
            <w:vAlign w:val="center"/>
          </w:tcPr>
          <w:p>
            <w:pPr>
              <w:pStyle w:val="105"/>
              <w:ind w:left="-48" w:leftChars="-20" w:right="-48" w:rightChars="-20"/>
              <w:jc w:val="center"/>
            </w:pPr>
            <w:r>
              <w:rPr>
                <w:rFonts w:hint="eastAsia"/>
              </w:rPr>
              <w:t>3</w:t>
            </w:r>
            <w:r>
              <w:t>.3</w:t>
            </w:r>
          </w:p>
        </w:tc>
        <w:tc>
          <w:tcPr>
            <w:tcW w:w="370" w:type="pct"/>
            <w:vAlign w:val="center"/>
          </w:tcPr>
          <w:p>
            <w:pPr>
              <w:pStyle w:val="105"/>
              <w:ind w:left="-48" w:leftChars="-20" w:right="-48" w:rightChars="-20"/>
              <w:jc w:val="center"/>
            </w:pPr>
            <w:r>
              <w:rPr>
                <w:rFonts w:hint="eastAsia"/>
              </w:rPr>
              <w:t>2</w:t>
            </w:r>
            <w:r>
              <w:t>2</w:t>
            </w:r>
          </w:p>
        </w:tc>
        <w:tc>
          <w:tcPr>
            <w:tcW w:w="256" w:type="pct"/>
            <w:vAlign w:val="center"/>
          </w:tcPr>
          <w:p>
            <w:pPr>
              <w:pStyle w:val="105"/>
              <w:ind w:left="-48" w:leftChars="-20" w:right="-48" w:rightChars="-20"/>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7" w:type="pct"/>
            <w:vAlign w:val="center"/>
          </w:tcPr>
          <w:p>
            <w:pPr>
              <w:pStyle w:val="105"/>
              <w:ind w:left="-48" w:leftChars="-20" w:right="-48" w:rightChars="-20"/>
              <w:jc w:val="center"/>
            </w:pPr>
            <w:r>
              <w:rPr>
                <w:rFonts w:hint="eastAsia"/>
              </w:rPr>
              <w:t>2</w:t>
            </w:r>
          </w:p>
        </w:tc>
        <w:tc>
          <w:tcPr>
            <w:tcW w:w="423" w:type="pct"/>
            <w:vAlign w:val="center"/>
          </w:tcPr>
          <w:p>
            <w:pPr>
              <w:pStyle w:val="105"/>
              <w:ind w:left="-48" w:leftChars="-20" w:right="-48" w:rightChars="-20"/>
              <w:jc w:val="center"/>
            </w:pPr>
            <w:r>
              <w:t>K3+480</w:t>
            </w:r>
            <w:r>
              <w:rPr>
                <w:rFonts w:hint="eastAsia"/>
              </w:rPr>
              <w:t>路左</w:t>
            </w:r>
          </w:p>
        </w:tc>
        <w:tc>
          <w:tcPr>
            <w:tcW w:w="338" w:type="pct"/>
            <w:vAlign w:val="center"/>
          </w:tcPr>
          <w:p>
            <w:pPr>
              <w:pStyle w:val="105"/>
              <w:ind w:left="-48" w:leftChars="-20" w:right="-48" w:rightChars="-20"/>
              <w:jc w:val="center"/>
            </w:pPr>
            <w:r>
              <w:rPr>
                <w:rFonts w:hint="eastAsia"/>
              </w:rPr>
              <w:t>秋枫</w:t>
            </w:r>
          </w:p>
          <w:p>
            <w:pPr>
              <w:pStyle w:val="105"/>
              <w:ind w:left="-48" w:leftChars="-20" w:right="-48" w:rightChars="-20"/>
              <w:jc w:val="center"/>
            </w:pPr>
            <w:r>
              <w:rPr>
                <w:rFonts w:hint="eastAsia"/>
              </w:rPr>
              <w:t>（茄冬）</w:t>
            </w:r>
          </w:p>
        </w:tc>
        <w:tc>
          <w:tcPr>
            <w:tcW w:w="2063" w:type="pct"/>
            <w:vAlign w:val="center"/>
          </w:tcPr>
          <w:p>
            <w:pPr>
              <w:pStyle w:val="105"/>
              <w:ind w:left="-48" w:leftChars="-20" w:right="-48" w:rightChars="-20"/>
              <w:jc w:val="center"/>
              <w:rPr>
                <w:rFonts w:hint="eastAsia" w:eastAsia="宋体"/>
                <w:lang w:eastAsia="zh-CN"/>
              </w:rPr>
            </w:pPr>
          </w:p>
        </w:tc>
        <w:tc>
          <w:tcPr>
            <w:tcW w:w="436" w:type="pct"/>
            <w:vAlign w:val="center"/>
          </w:tcPr>
          <w:p>
            <w:pPr>
              <w:pStyle w:val="105"/>
              <w:ind w:left="-48" w:leftChars="-20" w:right="-48" w:rightChars="-20"/>
              <w:jc w:val="center"/>
            </w:pPr>
            <w:r>
              <w:rPr>
                <w:rFonts w:hint="eastAsia"/>
              </w:rPr>
              <w:t>S</w:t>
            </w:r>
            <w:r>
              <w:t>151</w:t>
            </w:r>
            <w:r>
              <w:rPr>
                <w:rFonts w:hint="eastAsia"/>
              </w:rPr>
              <w:t>m</w:t>
            </w:r>
          </w:p>
        </w:tc>
        <w:tc>
          <w:tcPr>
            <w:tcW w:w="312" w:type="pct"/>
            <w:vAlign w:val="center"/>
          </w:tcPr>
          <w:p>
            <w:pPr>
              <w:pStyle w:val="105"/>
              <w:ind w:left="-48" w:leftChars="-20" w:right="-48" w:rightChars="-20"/>
              <w:jc w:val="center"/>
            </w:pPr>
            <w:r>
              <w:rPr>
                <w:rFonts w:hint="eastAsia"/>
              </w:rPr>
              <w:t>1</w:t>
            </w:r>
            <w:r>
              <w:t>10</w:t>
            </w:r>
          </w:p>
        </w:tc>
        <w:tc>
          <w:tcPr>
            <w:tcW w:w="313" w:type="pct"/>
            <w:vAlign w:val="center"/>
          </w:tcPr>
          <w:p>
            <w:pPr>
              <w:pStyle w:val="105"/>
              <w:ind w:left="-48" w:leftChars="-20" w:right="-48" w:rightChars="-20"/>
              <w:jc w:val="center"/>
            </w:pPr>
            <w:r>
              <w:rPr>
                <w:rFonts w:hint="eastAsia"/>
              </w:rPr>
              <w:t>1</w:t>
            </w:r>
            <w:r>
              <w:t>3</w:t>
            </w:r>
          </w:p>
        </w:tc>
        <w:tc>
          <w:tcPr>
            <w:tcW w:w="312" w:type="pct"/>
            <w:vAlign w:val="center"/>
          </w:tcPr>
          <w:p>
            <w:pPr>
              <w:pStyle w:val="105"/>
              <w:ind w:left="-48" w:leftChars="-20" w:right="-48" w:rightChars="-20"/>
              <w:jc w:val="center"/>
            </w:pPr>
            <w:r>
              <w:rPr>
                <w:rFonts w:hint="eastAsia"/>
              </w:rPr>
              <w:t>2</w:t>
            </w:r>
            <w:r>
              <w:t>.35</w:t>
            </w:r>
          </w:p>
        </w:tc>
        <w:tc>
          <w:tcPr>
            <w:tcW w:w="370" w:type="pct"/>
            <w:vAlign w:val="center"/>
          </w:tcPr>
          <w:p>
            <w:pPr>
              <w:pStyle w:val="105"/>
              <w:ind w:left="-48" w:leftChars="-20" w:right="-48" w:rightChars="-20"/>
              <w:jc w:val="center"/>
            </w:pPr>
            <w:r>
              <w:rPr>
                <w:rFonts w:hint="eastAsia"/>
              </w:rPr>
              <w:t>1</w:t>
            </w:r>
            <w:r>
              <w:t>3</w:t>
            </w:r>
          </w:p>
        </w:tc>
        <w:tc>
          <w:tcPr>
            <w:tcW w:w="256" w:type="pct"/>
            <w:vAlign w:val="center"/>
          </w:tcPr>
          <w:p>
            <w:pPr>
              <w:pStyle w:val="105"/>
              <w:ind w:left="-48" w:leftChars="-20" w:right="-48" w:rightChars="-20"/>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7" w:type="pct"/>
            <w:vAlign w:val="center"/>
          </w:tcPr>
          <w:p>
            <w:pPr>
              <w:pStyle w:val="105"/>
              <w:ind w:left="-48" w:leftChars="-20" w:right="-48" w:rightChars="-20"/>
              <w:jc w:val="center"/>
            </w:pPr>
            <w:r>
              <w:rPr>
                <w:rFonts w:hint="eastAsia"/>
              </w:rPr>
              <w:t>3</w:t>
            </w:r>
          </w:p>
        </w:tc>
        <w:tc>
          <w:tcPr>
            <w:tcW w:w="423" w:type="pct"/>
            <w:vAlign w:val="center"/>
          </w:tcPr>
          <w:p>
            <w:pPr>
              <w:pStyle w:val="105"/>
              <w:ind w:left="-48" w:leftChars="-20" w:right="-48" w:rightChars="-20"/>
              <w:jc w:val="center"/>
            </w:pPr>
            <w:r>
              <w:t>K3+960</w:t>
            </w:r>
            <w:r>
              <w:rPr>
                <w:rFonts w:hint="eastAsia"/>
              </w:rPr>
              <w:t>路右</w:t>
            </w:r>
          </w:p>
        </w:tc>
        <w:tc>
          <w:tcPr>
            <w:tcW w:w="338" w:type="pct"/>
            <w:vAlign w:val="center"/>
          </w:tcPr>
          <w:p>
            <w:pPr>
              <w:pStyle w:val="105"/>
              <w:ind w:left="-48" w:leftChars="-20" w:right="-48" w:rightChars="-20"/>
              <w:jc w:val="center"/>
            </w:pPr>
            <w:r>
              <w:rPr>
                <w:rFonts w:hint="eastAsia"/>
              </w:rPr>
              <w:t>榕树（榕）</w:t>
            </w:r>
          </w:p>
        </w:tc>
        <w:tc>
          <w:tcPr>
            <w:tcW w:w="2063" w:type="pct"/>
            <w:vAlign w:val="center"/>
          </w:tcPr>
          <w:p>
            <w:pPr>
              <w:pStyle w:val="105"/>
              <w:ind w:left="-48" w:leftChars="-20" w:right="-48" w:rightChars="-20"/>
              <w:jc w:val="center"/>
              <w:rPr>
                <w:rFonts w:hint="eastAsia" w:eastAsia="宋体"/>
                <w:lang w:eastAsia="zh-CN"/>
              </w:rPr>
            </w:pPr>
          </w:p>
        </w:tc>
        <w:tc>
          <w:tcPr>
            <w:tcW w:w="436" w:type="pct"/>
            <w:vAlign w:val="center"/>
          </w:tcPr>
          <w:p>
            <w:pPr>
              <w:pStyle w:val="105"/>
              <w:ind w:left="-48" w:leftChars="-20" w:right="-48" w:rightChars="-20"/>
              <w:jc w:val="center"/>
            </w:pPr>
            <w:r>
              <w:rPr>
                <w:rFonts w:hint="eastAsia"/>
              </w:rPr>
              <w:t>N</w:t>
            </w:r>
            <w:r>
              <w:t>E 255</w:t>
            </w:r>
            <w:r>
              <w:rPr>
                <w:rFonts w:hint="eastAsia"/>
              </w:rPr>
              <w:t>m</w:t>
            </w:r>
          </w:p>
        </w:tc>
        <w:tc>
          <w:tcPr>
            <w:tcW w:w="312" w:type="pct"/>
            <w:vAlign w:val="center"/>
          </w:tcPr>
          <w:p>
            <w:pPr>
              <w:pStyle w:val="105"/>
              <w:ind w:left="-48" w:leftChars="-20" w:right="-48" w:rightChars="-20"/>
              <w:jc w:val="center"/>
            </w:pPr>
            <w:r>
              <w:rPr>
                <w:rFonts w:hint="eastAsia"/>
              </w:rPr>
              <w:t>2</w:t>
            </w:r>
            <w:r>
              <w:t>73</w:t>
            </w:r>
          </w:p>
        </w:tc>
        <w:tc>
          <w:tcPr>
            <w:tcW w:w="313" w:type="pct"/>
            <w:vAlign w:val="center"/>
          </w:tcPr>
          <w:p>
            <w:pPr>
              <w:pStyle w:val="105"/>
              <w:ind w:left="-48" w:leftChars="-20" w:right="-48" w:rightChars="-20"/>
              <w:jc w:val="center"/>
            </w:pPr>
            <w:r>
              <w:rPr>
                <w:rFonts w:hint="eastAsia"/>
              </w:rPr>
              <w:t>1</w:t>
            </w:r>
            <w:r>
              <w:t>5</w:t>
            </w:r>
          </w:p>
        </w:tc>
        <w:tc>
          <w:tcPr>
            <w:tcW w:w="312" w:type="pct"/>
            <w:vAlign w:val="center"/>
          </w:tcPr>
          <w:p>
            <w:pPr>
              <w:pStyle w:val="105"/>
              <w:ind w:left="-48" w:leftChars="-20" w:right="-48" w:rightChars="-20"/>
              <w:jc w:val="center"/>
            </w:pPr>
            <w:r>
              <w:rPr>
                <w:rFonts w:hint="eastAsia"/>
              </w:rPr>
              <w:t>5</w:t>
            </w:r>
            <w:r>
              <w:t>.0</w:t>
            </w:r>
          </w:p>
        </w:tc>
        <w:tc>
          <w:tcPr>
            <w:tcW w:w="370" w:type="pct"/>
            <w:vAlign w:val="center"/>
          </w:tcPr>
          <w:p>
            <w:pPr>
              <w:pStyle w:val="105"/>
              <w:ind w:left="-48" w:leftChars="-20" w:right="-48" w:rightChars="-20"/>
              <w:jc w:val="center"/>
            </w:pPr>
            <w:r>
              <w:rPr>
                <w:rFonts w:hint="eastAsia"/>
              </w:rPr>
              <w:t>1</w:t>
            </w:r>
            <w:r>
              <w:t>5</w:t>
            </w:r>
          </w:p>
        </w:tc>
        <w:tc>
          <w:tcPr>
            <w:tcW w:w="256" w:type="pct"/>
            <w:vAlign w:val="center"/>
          </w:tcPr>
          <w:p>
            <w:pPr>
              <w:pStyle w:val="105"/>
              <w:ind w:left="-48" w:leftChars="-20" w:right="-48" w:rightChars="-20"/>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7" w:type="pct"/>
            <w:vAlign w:val="center"/>
          </w:tcPr>
          <w:p>
            <w:pPr>
              <w:pStyle w:val="105"/>
              <w:ind w:left="-48" w:leftChars="-20" w:right="-48" w:rightChars="-20"/>
              <w:jc w:val="center"/>
            </w:pPr>
            <w:r>
              <w:rPr>
                <w:rFonts w:hint="eastAsia"/>
              </w:rPr>
              <w:t>4</w:t>
            </w:r>
          </w:p>
        </w:tc>
        <w:tc>
          <w:tcPr>
            <w:tcW w:w="423" w:type="pct"/>
            <w:vAlign w:val="center"/>
          </w:tcPr>
          <w:p>
            <w:pPr>
              <w:pStyle w:val="105"/>
              <w:ind w:left="-48" w:leftChars="-20" w:right="-48" w:rightChars="-20"/>
              <w:jc w:val="center"/>
            </w:pPr>
            <w:r>
              <w:t>K5+000</w:t>
            </w:r>
            <w:r>
              <w:rPr>
                <w:rFonts w:hint="eastAsia"/>
              </w:rPr>
              <w:t>路右</w:t>
            </w:r>
          </w:p>
        </w:tc>
        <w:tc>
          <w:tcPr>
            <w:tcW w:w="338" w:type="pct"/>
            <w:vAlign w:val="center"/>
          </w:tcPr>
          <w:p>
            <w:pPr>
              <w:pStyle w:val="105"/>
              <w:ind w:left="-48" w:leftChars="-20" w:right="-48" w:rightChars="-20"/>
              <w:jc w:val="center"/>
            </w:pPr>
            <w:r>
              <w:rPr>
                <w:rFonts w:hint="eastAsia"/>
              </w:rPr>
              <w:t>秋枫</w:t>
            </w:r>
          </w:p>
          <w:p>
            <w:pPr>
              <w:pStyle w:val="105"/>
              <w:ind w:left="-48" w:leftChars="-20" w:right="-48" w:rightChars="-20"/>
              <w:jc w:val="center"/>
            </w:pPr>
            <w:r>
              <w:rPr>
                <w:rFonts w:hint="eastAsia"/>
              </w:rPr>
              <w:t>（茄冬）</w:t>
            </w:r>
          </w:p>
        </w:tc>
        <w:tc>
          <w:tcPr>
            <w:tcW w:w="2063" w:type="pct"/>
            <w:vAlign w:val="center"/>
          </w:tcPr>
          <w:p>
            <w:pPr>
              <w:pStyle w:val="105"/>
              <w:ind w:left="-48" w:leftChars="-20" w:right="-48" w:rightChars="-20"/>
              <w:jc w:val="center"/>
              <w:rPr>
                <w:rFonts w:hint="eastAsia" w:eastAsia="宋体"/>
                <w:lang w:eastAsia="zh-CN"/>
              </w:rPr>
            </w:pPr>
          </w:p>
        </w:tc>
        <w:tc>
          <w:tcPr>
            <w:tcW w:w="436" w:type="pct"/>
            <w:vAlign w:val="center"/>
          </w:tcPr>
          <w:p>
            <w:pPr>
              <w:pStyle w:val="105"/>
              <w:ind w:left="-48" w:leftChars="-20" w:right="-48" w:rightChars="-20"/>
              <w:jc w:val="center"/>
            </w:pPr>
            <w:r>
              <w:rPr>
                <w:rFonts w:hint="eastAsia"/>
              </w:rPr>
              <w:t>N</w:t>
            </w:r>
            <w:r>
              <w:t>E90</w:t>
            </w:r>
            <w:r>
              <w:rPr>
                <w:rFonts w:hint="eastAsia"/>
              </w:rPr>
              <w:t>m</w:t>
            </w:r>
          </w:p>
        </w:tc>
        <w:tc>
          <w:tcPr>
            <w:tcW w:w="312" w:type="pct"/>
            <w:vAlign w:val="center"/>
          </w:tcPr>
          <w:p>
            <w:pPr>
              <w:pStyle w:val="105"/>
              <w:ind w:left="-48" w:leftChars="-20" w:right="-48" w:rightChars="-20"/>
              <w:jc w:val="center"/>
            </w:pPr>
            <w:r>
              <w:rPr>
                <w:rFonts w:hint="eastAsia"/>
              </w:rPr>
              <w:t>2</w:t>
            </w:r>
            <w:r>
              <w:t>03</w:t>
            </w:r>
          </w:p>
        </w:tc>
        <w:tc>
          <w:tcPr>
            <w:tcW w:w="313" w:type="pct"/>
            <w:vAlign w:val="center"/>
          </w:tcPr>
          <w:p>
            <w:pPr>
              <w:pStyle w:val="105"/>
              <w:ind w:left="-48" w:leftChars="-20" w:right="-48" w:rightChars="-20"/>
              <w:jc w:val="center"/>
            </w:pPr>
            <w:r>
              <w:rPr>
                <w:rFonts w:hint="eastAsia"/>
              </w:rPr>
              <w:t>1</w:t>
            </w:r>
            <w:r>
              <w:t>5</w:t>
            </w:r>
          </w:p>
        </w:tc>
        <w:tc>
          <w:tcPr>
            <w:tcW w:w="312" w:type="pct"/>
            <w:vAlign w:val="center"/>
          </w:tcPr>
          <w:p>
            <w:pPr>
              <w:pStyle w:val="105"/>
              <w:ind w:left="-48" w:leftChars="-20" w:right="-48" w:rightChars="-20"/>
              <w:jc w:val="center"/>
            </w:pPr>
            <w:r>
              <w:rPr>
                <w:rFonts w:hint="eastAsia"/>
              </w:rPr>
              <w:t>3</w:t>
            </w:r>
            <w:r>
              <w:t>.0</w:t>
            </w:r>
          </w:p>
        </w:tc>
        <w:tc>
          <w:tcPr>
            <w:tcW w:w="370" w:type="pct"/>
            <w:vAlign w:val="center"/>
          </w:tcPr>
          <w:p>
            <w:pPr>
              <w:pStyle w:val="105"/>
              <w:ind w:left="-48" w:leftChars="-20" w:right="-48" w:rightChars="-20"/>
              <w:jc w:val="center"/>
            </w:pPr>
            <w:r>
              <w:rPr>
                <w:rFonts w:hint="eastAsia"/>
              </w:rPr>
              <w:t>2</w:t>
            </w:r>
            <w:r>
              <w:t>3</w:t>
            </w:r>
          </w:p>
        </w:tc>
        <w:tc>
          <w:tcPr>
            <w:tcW w:w="256" w:type="pct"/>
            <w:vAlign w:val="center"/>
          </w:tcPr>
          <w:p>
            <w:pPr>
              <w:pStyle w:val="105"/>
              <w:ind w:left="-48" w:leftChars="-20" w:right="-48" w:rightChars="-20"/>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7" w:type="pct"/>
            <w:vAlign w:val="center"/>
          </w:tcPr>
          <w:p>
            <w:pPr>
              <w:pStyle w:val="105"/>
              <w:ind w:left="-48" w:leftChars="-20" w:right="-48" w:rightChars="-20"/>
              <w:jc w:val="center"/>
            </w:pPr>
            <w:r>
              <w:rPr>
                <w:rFonts w:hint="eastAsia"/>
              </w:rPr>
              <w:t>5</w:t>
            </w:r>
          </w:p>
        </w:tc>
        <w:tc>
          <w:tcPr>
            <w:tcW w:w="423" w:type="pct"/>
            <w:vAlign w:val="center"/>
          </w:tcPr>
          <w:p>
            <w:pPr>
              <w:pStyle w:val="105"/>
              <w:ind w:left="-48" w:leftChars="-20" w:right="-48" w:rightChars="-20"/>
              <w:jc w:val="center"/>
            </w:pPr>
            <w:r>
              <w:rPr>
                <w:rFonts w:hint="eastAsia"/>
              </w:rPr>
              <w:t>终点</w:t>
            </w:r>
          </w:p>
          <w:p>
            <w:pPr>
              <w:pStyle w:val="105"/>
              <w:ind w:left="-48" w:leftChars="-20" w:right="-48" w:rightChars="-20"/>
              <w:jc w:val="center"/>
            </w:pPr>
            <w:r>
              <w:rPr>
                <w:rFonts w:hint="eastAsia"/>
              </w:rPr>
              <w:t>北侧</w:t>
            </w:r>
          </w:p>
        </w:tc>
        <w:tc>
          <w:tcPr>
            <w:tcW w:w="338" w:type="pct"/>
            <w:vAlign w:val="center"/>
          </w:tcPr>
          <w:p>
            <w:pPr>
              <w:pStyle w:val="105"/>
              <w:ind w:left="-48" w:leftChars="-20" w:right="-48" w:rightChars="-20"/>
              <w:jc w:val="center"/>
            </w:pPr>
            <w:r>
              <w:rPr>
                <w:rFonts w:hint="eastAsia"/>
              </w:rPr>
              <w:t>荔枝</w:t>
            </w:r>
          </w:p>
        </w:tc>
        <w:tc>
          <w:tcPr>
            <w:tcW w:w="2063" w:type="pct"/>
            <w:vAlign w:val="center"/>
          </w:tcPr>
          <w:p>
            <w:pPr>
              <w:pStyle w:val="105"/>
              <w:ind w:left="-48" w:leftChars="-20" w:right="-48" w:rightChars="-20"/>
              <w:jc w:val="center"/>
              <w:rPr>
                <w:rFonts w:hint="eastAsia" w:eastAsia="宋体"/>
                <w:lang w:eastAsia="zh-CN"/>
              </w:rPr>
            </w:pPr>
          </w:p>
        </w:tc>
        <w:tc>
          <w:tcPr>
            <w:tcW w:w="436" w:type="pct"/>
            <w:vAlign w:val="center"/>
          </w:tcPr>
          <w:p>
            <w:pPr>
              <w:pStyle w:val="105"/>
              <w:ind w:left="-48" w:leftChars="-20" w:right="-48" w:rightChars="-20"/>
              <w:jc w:val="center"/>
            </w:pPr>
            <w:r>
              <w:rPr>
                <w:rFonts w:hint="eastAsia"/>
              </w:rPr>
              <w:t>N</w:t>
            </w:r>
            <w:r>
              <w:t>217</w:t>
            </w:r>
            <w:r>
              <w:rPr>
                <w:rFonts w:hint="eastAsia"/>
              </w:rPr>
              <w:t>m</w:t>
            </w:r>
          </w:p>
        </w:tc>
        <w:tc>
          <w:tcPr>
            <w:tcW w:w="312" w:type="pct"/>
            <w:vAlign w:val="center"/>
          </w:tcPr>
          <w:p>
            <w:pPr>
              <w:pStyle w:val="105"/>
              <w:ind w:left="-48" w:leftChars="-20" w:right="-48" w:rightChars="-20"/>
              <w:jc w:val="center"/>
            </w:pPr>
            <w:r>
              <w:rPr>
                <w:rFonts w:hint="eastAsia"/>
              </w:rPr>
              <w:t>1</w:t>
            </w:r>
            <w:r>
              <w:t>33</w:t>
            </w:r>
          </w:p>
        </w:tc>
        <w:tc>
          <w:tcPr>
            <w:tcW w:w="313" w:type="pct"/>
            <w:vAlign w:val="center"/>
          </w:tcPr>
          <w:p>
            <w:pPr>
              <w:pStyle w:val="105"/>
              <w:ind w:left="-48" w:leftChars="-20" w:right="-48" w:rightChars="-20"/>
              <w:jc w:val="center"/>
            </w:pPr>
            <w:r>
              <w:rPr>
                <w:rFonts w:hint="eastAsia"/>
              </w:rPr>
              <w:t>7</w:t>
            </w:r>
          </w:p>
        </w:tc>
        <w:tc>
          <w:tcPr>
            <w:tcW w:w="312" w:type="pct"/>
            <w:vAlign w:val="center"/>
          </w:tcPr>
          <w:p>
            <w:pPr>
              <w:pStyle w:val="105"/>
              <w:ind w:left="-48" w:leftChars="-20" w:right="-48" w:rightChars="-20"/>
              <w:jc w:val="center"/>
            </w:pPr>
            <w:r>
              <w:rPr>
                <w:rFonts w:hint="eastAsia"/>
              </w:rPr>
              <w:t>1</w:t>
            </w:r>
            <w:r>
              <w:t>.73</w:t>
            </w:r>
          </w:p>
        </w:tc>
        <w:tc>
          <w:tcPr>
            <w:tcW w:w="370" w:type="pct"/>
            <w:vAlign w:val="center"/>
          </w:tcPr>
          <w:p>
            <w:pPr>
              <w:pStyle w:val="105"/>
              <w:ind w:left="-48" w:leftChars="-20" w:right="-48" w:rightChars="-20"/>
              <w:jc w:val="center"/>
            </w:pPr>
            <w:r>
              <w:rPr>
                <w:rFonts w:hint="eastAsia"/>
              </w:rPr>
              <w:t>1</w:t>
            </w:r>
            <w:r>
              <w:t>1</w:t>
            </w:r>
          </w:p>
        </w:tc>
        <w:tc>
          <w:tcPr>
            <w:tcW w:w="256" w:type="pct"/>
            <w:vAlign w:val="center"/>
          </w:tcPr>
          <w:p>
            <w:pPr>
              <w:pStyle w:val="105"/>
              <w:ind w:left="-48" w:leftChars="-20" w:right="-48" w:rightChars="-20"/>
              <w:jc w:val="center"/>
            </w:pPr>
            <w:r>
              <w:rPr>
                <w:rFonts w:hint="eastAsia"/>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7" w:type="pct"/>
            <w:vAlign w:val="center"/>
          </w:tcPr>
          <w:p>
            <w:pPr>
              <w:pStyle w:val="105"/>
              <w:ind w:left="-48" w:leftChars="-20" w:right="-48" w:rightChars="-20"/>
              <w:jc w:val="center"/>
            </w:pPr>
            <w:r>
              <w:rPr>
                <w:rFonts w:hint="eastAsia"/>
              </w:rPr>
              <w:t>6</w:t>
            </w:r>
          </w:p>
        </w:tc>
        <w:tc>
          <w:tcPr>
            <w:tcW w:w="423" w:type="pct"/>
            <w:vAlign w:val="center"/>
          </w:tcPr>
          <w:p>
            <w:pPr>
              <w:pStyle w:val="105"/>
              <w:ind w:left="-48" w:leftChars="-20" w:right="-48" w:rightChars="-20"/>
              <w:jc w:val="center"/>
            </w:pPr>
            <w:r>
              <w:rPr>
                <w:rFonts w:hint="eastAsia"/>
              </w:rPr>
              <w:t>终点西侧</w:t>
            </w:r>
          </w:p>
        </w:tc>
        <w:tc>
          <w:tcPr>
            <w:tcW w:w="338" w:type="pct"/>
            <w:vAlign w:val="center"/>
          </w:tcPr>
          <w:p>
            <w:pPr>
              <w:pStyle w:val="105"/>
              <w:ind w:left="-48" w:leftChars="-20" w:right="-48" w:rightChars="-20"/>
              <w:jc w:val="center"/>
            </w:pPr>
            <w:r>
              <w:rPr>
                <w:rFonts w:hint="eastAsia"/>
              </w:rPr>
              <w:tab/>
            </w:r>
            <w:r>
              <w:rPr>
                <w:rFonts w:hint="eastAsia"/>
              </w:rPr>
              <w:t>秋枫</w:t>
            </w:r>
          </w:p>
          <w:p>
            <w:pPr>
              <w:pStyle w:val="105"/>
              <w:ind w:left="-48" w:leftChars="-20" w:right="-48" w:rightChars="-20"/>
              <w:jc w:val="center"/>
            </w:pPr>
            <w:r>
              <w:rPr>
                <w:rFonts w:hint="eastAsia"/>
              </w:rPr>
              <w:t>（茄冬）</w:t>
            </w:r>
          </w:p>
        </w:tc>
        <w:tc>
          <w:tcPr>
            <w:tcW w:w="2063" w:type="pct"/>
            <w:vAlign w:val="center"/>
          </w:tcPr>
          <w:p>
            <w:pPr>
              <w:pStyle w:val="105"/>
              <w:ind w:left="-48" w:leftChars="-20" w:right="-48" w:rightChars="-20"/>
              <w:jc w:val="center"/>
              <w:rPr>
                <w:rFonts w:hint="eastAsia" w:eastAsia="宋体"/>
                <w:lang w:eastAsia="zh-CN"/>
              </w:rPr>
            </w:pPr>
          </w:p>
        </w:tc>
        <w:tc>
          <w:tcPr>
            <w:tcW w:w="436" w:type="pct"/>
            <w:vAlign w:val="center"/>
          </w:tcPr>
          <w:p>
            <w:pPr>
              <w:pStyle w:val="105"/>
              <w:ind w:left="-48" w:leftChars="-20" w:right="-48" w:rightChars="-20"/>
              <w:jc w:val="center"/>
            </w:pPr>
            <w:r>
              <w:rPr>
                <w:rFonts w:hint="eastAsia"/>
              </w:rPr>
              <w:t>N</w:t>
            </w:r>
            <w:r>
              <w:t>W293</w:t>
            </w:r>
            <w:r>
              <w:rPr>
                <w:rFonts w:hint="eastAsia"/>
              </w:rPr>
              <w:t>m</w:t>
            </w:r>
          </w:p>
        </w:tc>
        <w:tc>
          <w:tcPr>
            <w:tcW w:w="312" w:type="pct"/>
            <w:vAlign w:val="center"/>
          </w:tcPr>
          <w:p>
            <w:pPr>
              <w:pStyle w:val="105"/>
              <w:ind w:left="-48" w:leftChars="-20" w:right="-48" w:rightChars="-20"/>
              <w:jc w:val="center"/>
            </w:pPr>
            <w:r>
              <w:rPr>
                <w:rFonts w:hint="eastAsia"/>
              </w:rPr>
              <w:t>2</w:t>
            </w:r>
            <w:r>
              <w:t>23</w:t>
            </w:r>
          </w:p>
        </w:tc>
        <w:tc>
          <w:tcPr>
            <w:tcW w:w="313" w:type="pct"/>
            <w:vAlign w:val="center"/>
          </w:tcPr>
          <w:p>
            <w:pPr>
              <w:pStyle w:val="105"/>
              <w:ind w:left="-48" w:leftChars="-20" w:right="-48" w:rightChars="-20"/>
              <w:jc w:val="center"/>
            </w:pPr>
            <w:r>
              <w:t>14</w:t>
            </w:r>
          </w:p>
        </w:tc>
        <w:tc>
          <w:tcPr>
            <w:tcW w:w="312" w:type="pct"/>
            <w:vAlign w:val="center"/>
          </w:tcPr>
          <w:p>
            <w:pPr>
              <w:pStyle w:val="105"/>
              <w:ind w:left="-48" w:leftChars="-20" w:right="-48" w:rightChars="-20"/>
              <w:jc w:val="center"/>
            </w:pPr>
            <w:r>
              <w:rPr>
                <w:rFonts w:hint="eastAsia"/>
              </w:rPr>
              <w:t>3</w:t>
            </w:r>
            <w:r>
              <w:t>.8</w:t>
            </w:r>
          </w:p>
        </w:tc>
        <w:tc>
          <w:tcPr>
            <w:tcW w:w="370" w:type="pct"/>
            <w:vAlign w:val="center"/>
          </w:tcPr>
          <w:p>
            <w:pPr>
              <w:pStyle w:val="105"/>
              <w:ind w:left="-48" w:leftChars="-20" w:right="-48" w:rightChars="-20"/>
              <w:jc w:val="center"/>
            </w:pPr>
            <w:r>
              <w:rPr>
                <w:rFonts w:hint="eastAsia"/>
              </w:rPr>
              <w:t>1</w:t>
            </w:r>
            <w:r>
              <w:t>6</w:t>
            </w:r>
          </w:p>
        </w:tc>
        <w:tc>
          <w:tcPr>
            <w:tcW w:w="256" w:type="pct"/>
            <w:vAlign w:val="center"/>
          </w:tcPr>
          <w:p>
            <w:pPr>
              <w:pStyle w:val="105"/>
              <w:ind w:left="-48" w:leftChars="-20" w:right="-48" w:rightChars="-20"/>
              <w:jc w:val="center"/>
            </w:pPr>
            <w:r>
              <w:rPr>
                <w:rFonts w:hint="eastAsia"/>
              </w:rPr>
              <w:t>正常</w:t>
            </w:r>
          </w:p>
        </w:tc>
      </w:tr>
    </w:tbl>
    <w:p>
      <w:pPr>
        <w:pStyle w:val="120"/>
        <w:rPr>
          <w:color w:val="auto"/>
        </w:rPr>
      </w:pPr>
      <w:r>
        <w:rPr>
          <w:rFonts w:hint="eastAsia"/>
          <w:color w:val="auto"/>
        </w:rPr>
        <w:t>动物资源现状调查</w:t>
      </w:r>
    </w:p>
    <w:p>
      <w:pPr>
        <w:ind w:firstLine="480"/>
      </w:pPr>
      <w:r>
        <w:rPr>
          <w:rFonts w:hint="eastAsia"/>
        </w:rPr>
        <w:t>项目所在地位于福清区中西部城镇，评价区属于中亚热带海洋性季风气候和中亚热带森林生态系统。根据实地调查，本项目周边评价区内，受当地居民的开垦和生产生活活动的影响，现状区位生境中活动的野生脊椎动物以鸟类最多，其他的野生脊椎动物的物种多样性及种群数量相对较小。</w:t>
      </w:r>
    </w:p>
    <w:p>
      <w:pPr>
        <w:ind w:firstLine="480"/>
        <w:rPr>
          <w:rFonts w:cs="Times New Roman"/>
        </w:rPr>
      </w:pPr>
      <w:r>
        <w:rPr>
          <w:rFonts w:hint="eastAsia" w:cs="Times New Roman"/>
        </w:rPr>
        <w:t>（1）两栖类群落：据调查，项目影响评价区的两栖类共有1 目5 科11 种，未见国家或福建省重点保护野生动物，黑眶蟾蜍、泽陆蛙、斑腿树蛙等属于列入《三有名录》物种。项目评价区的两栖动物群落生态类型主要有陆栖静水型、陆栖流水型和树栖型群落。陆栖静水型分布在项目影响评价区等湿地及周边居民区、农田，主要有黑眶蟾蜍、沼水蛙、泽陆蛙、小弧斑姬蛙、饰纹姬蛙等；陆栖流水型分布在项目沿线河流湿地的溪流中，主要有大绿臭蛙、花臭蛙等；树栖型分布在项目影响评价区等阴湿地带，主要有中国树蟾中国雨蛙、斑腿树蛙、大树蛙等。</w:t>
      </w:r>
    </w:p>
    <w:p>
      <w:pPr>
        <w:ind w:firstLine="480"/>
        <w:rPr>
          <w:rFonts w:cs="Times New Roman"/>
        </w:rPr>
      </w:pPr>
      <w:r>
        <w:rPr>
          <w:rFonts w:hint="eastAsia" w:cs="Times New Roman"/>
        </w:rPr>
        <w:t>（2）爬行类群落</w:t>
      </w:r>
    </w:p>
    <w:p>
      <w:pPr>
        <w:ind w:firstLine="480"/>
        <w:rPr>
          <w:rFonts w:cs="Times New Roman"/>
        </w:rPr>
      </w:pPr>
      <w:r>
        <w:rPr>
          <w:rFonts w:hint="eastAsia" w:cs="Times New Roman"/>
        </w:rPr>
        <w:t>项目评价区的爬行类共有2 目5 科14 种，未见国家或福建省重点保护野生动物，多疣壁虎、中国石龙子、银环蛇等属于列入《三有名录》物种。</w:t>
      </w:r>
    </w:p>
    <w:p>
      <w:pPr>
        <w:ind w:firstLine="480"/>
        <w:rPr>
          <w:rFonts w:cs="Times New Roman"/>
        </w:rPr>
      </w:pPr>
      <w:r>
        <w:rPr>
          <w:rFonts w:hint="eastAsia" w:cs="Times New Roman"/>
        </w:rPr>
        <w:t>①水生爬行动物群落：分布在评价区的库塘等湿地附近，有赤链华游蛇等。</w:t>
      </w:r>
    </w:p>
    <w:p>
      <w:pPr>
        <w:ind w:firstLine="480"/>
        <w:rPr>
          <w:rFonts w:cs="Times New Roman"/>
        </w:rPr>
      </w:pPr>
      <w:r>
        <w:rPr>
          <w:rFonts w:hint="eastAsia" w:cs="Times New Roman"/>
        </w:rPr>
        <w:t>②灌丛草地爬行动物类群：分布于评价区的灌草丛、石堆等处，主要有中国石龙子、蓝尾石龙子、北草蜥等爬行动物。</w:t>
      </w:r>
    </w:p>
    <w:p>
      <w:pPr>
        <w:ind w:firstLine="480"/>
        <w:rPr>
          <w:rFonts w:cs="Times New Roman"/>
        </w:rPr>
      </w:pPr>
      <w:r>
        <w:rPr>
          <w:rFonts w:hint="eastAsia" w:cs="Times New Roman"/>
        </w:rPr>
        <w:t>③林缘山地爬行动物类群：分布于评价区库塘沿岸的林缘灌丛草地中，主要爬行动物有竹叶青、繁花林蛇、滑鼠蛇等。</w:t>
      </w:r>
    </w:p>
    <w:p>
      <w:pPr>
        <w:ind w:firstLine="480"/>
        <w:rPr>
          <w:rFonts w:cs="Times New Roman"/>
        </w:rPr>
      </w:pPr>
      <w:r>
        <w:rPr>
          <w:rFonts w:hint="eastAsia" w:cs="Times New Roman"/>
        </w:rPr>
        <w:t xml:space="preserve">④居民点爬行动物类群：分布于评价区周边居民住宅点的多疣壁虎等。 </w:t>
      </w:r>
    </w:p>
    <w:p>
      <w:pPr>
        <w:ind w:firstLine="480"/>
      </w:pPr>
      <w:r>
        <w:rPr>
          <w:rFonts w:hint="eastAsia"/>
        </w:rPr>
        <w:t xml:space="preserve">（3）鸟类群落 </w:t>
      </w:r>
    </w:p>
    <w:p>
      <w:pPr>
        <w:ind w:firstLine="480"/>
      </w:pPr>
      <w:r>
        <w:rPr>
          <w:rFonts w:hint="eastAsia"/>
        </w:rPr>
        <w:t xml:space="preserve">根据调查并结合相关资料统计，评价区主要鸟类群落为涉禽、游禽及部分攀禽、猛禽等。鸟类代表种类为䴙䴘类、黑鸢等猛禽类、鹎类、秧鸡类等。分布于评价区的鸟类群落主要有以下几个类群。 </w:t>
      </w:r>
    </w:p>
    <w:p>
      <w:pPr>
        <w:ind w:firstLine="480"/>
      </w:pPr>
      <w:r>
        <w:rPr>
          <w:rFonts w:hint="eastAsia"/>
        </w:rPr>
        <w:t xml:space="preserve">①涉禽该鸟类群主要分布于评价区水库及沿岸。其代表种类有：鹭类、秧鸡类等。 </w:t>
      </w:r>
    </w:p>
    <w:p>
      <w:pPr>
        <w:ind w:firstLine="480"/>
      </w:pPr>
      <w:r>
        <w:rPr>
          <w:rFonts w:hint="eastAsia"/>
        </w:rPr>
        <w:t>②游禽该鸟类群主要分布于评价区水库水面等地带。其代表种有小䴙䴘、凤头䴙䴘、斑嘴鸭等。</w:t>
      </w:r>
      <w:r>
        <w:t xml:space="preserve"> </w:t>
      </w:r>
    </w:p>
    <w:p>
      <w:pPr>
        <w:ind w:firstLine="480"/>
      </w:pPr>
      <w:r>
        <w:rPr>
          <w:rFonts w:hint="eastAsia"/>
        </w:rPr>
        <w:t xml:space="preserve">③攀禽该鸟类群主要分布于评价区水库水面等地带。其代表种有普通翠鸟等。 </w:t>
      </w:r>
    </w:p>
    <w:p>
      <w:pPr>
        <w:ind w:firstLine="480"/>
      </w:pPr>
      <w:r>
        <w:rPr>
          <w:rFonts w:hint="eastAsia"/>
        </w:rPr>
        <w:t xml:space="preserve">④鸣禽该鸟类群主要分布于评价区林缘地带及周边居民点等。其代表种有：白头鹎、栗背短脚鹎、麻雀、鹊鸲等。 </w:t>
      </w:r>
    </w:p>
    <w:p>
      <w:pPr>
        <w:ind w:firstLine="480"/>
      </w:pPr>
      <w:r>
        <w:rPr>
          <w:rFonts w:hint="eastAsia"/>
        </w:rPr>
        <w:t xml:space="preserve">⑤猛禽该鸟类群主要分布于评价区水库、周边山地森林和林缘地带，见于林缘开阔地带和水库上空盘旋翱翔，其代表种有黑鸢。 </w:t>
      </w:r>
    </w:p>
    <w:p>
      <w:pPr>
        <w:ind w:firstLine="480"/>
      </w:pPr>
      <w:r>
        <w:rPr>
          <w:rFonts w:hint="eastAsia"/>
        </w:rPr>
        <w:t>鸟类保护级别：项目影响评价区有</w:t>
      </w:r>
      <w:r>
        <w:rPr>
          <w:rFonts w:hint="eastAsia"/>
          <w:lang w:eastAsia="zh-CN"/>
        </w:rPr>
        <w:t>二级</w:t>
      </w:r>
      <w:r>
        <w:rPr>
          <w:rFonts w:hint="eastAsia"/>
        </w:rPr>
        <w:t>重点保护野生动物黑鸢；福建省重点保护野生动物有戴胜1种。未见列入IUCN红色名录（2022年）的物种。</w:t>
      </w:r>
    </w:p>
    <w:p>
      <w:pPr>
        <w:ind w:firstLine="480"/>
      </w:pPr>
      <w:r>
        <w:rPr>
          <w:rFonts w:hint="eastAsia"/>
        </w:rPr>
        <w:t xml:space="preserve">（4）哺乳动物群落 </w:t>
      </w:r>
    </w:p>
    <w:p>
      <w:pPr>
        <w:ind w:firstLine="480"/>
      </w:pPr>
      <w:r>
        <w:rPr>
          <w:rFonts w:hint="eastAsia"/>
        </w:rPr>
        <w:t>评价区陆生哺乳动物分布少，以栖息于堤岸、附近村庄鼠类和翼手目种类为优势种，主要有臭鼩、普通伏翼、褐家鼠等。此外在影响评价区林缘附近还分布有黄鼬、华南兔等哺乳类。</w:t>
      </w:r>
    </w:p>
    <w:p>
      <w:pPr>
        <w:ind w:firstLine="480"/>
      </w:pPr>
      <w:r>
        <w:rPr>
          <w:rFonts w:hint="eastAsia"/>
        </w:rPr>
        <w:t>重要物种：福建省重点保护野生动物及 CITES 附录Ⅲ物种黄鼬。其余哺乳类均为“三有保护动物”。</w:t>
      </w:r>
    </w:p>
    <w:p>
      <w:pPr>
        <w:pStyle w:val="120"/>
        <w:rPr>
          <w:color w:val="auto"/>
        </w:rPr>
      </w:pPr>
      <w:r>
        <w:rPr>
          <w:rFonts w:hint="eastAsia"/>
          <w:color w:val="auto"/>
        </w:rPr>
        <w:t>外来入侵物种</w:t>
      </w:r>
    </w:p>
    <w:p>
      <w:pPr>
        <w:ind w:firstLine="480"/>
      </w:pPr>
      <w:r>
        <w:rPr>
          <w:rFonts w:hint="eastAsia"/>
        </w:rPr>
        <w:t>在对项目影响评价区实地调查中，农田、村庄路边等区域可见入侵植物，根据《重点管理外来入侵物种名录》（农业农村部自然资源部生态环境部住房和城乡建设部海关总署国家林草局公告第 567 号）公布的名单，项目评价区调查到入侵植物有土荆芥、刺苋、垂序商陆、落葵薯、五爪金龙、马缨丹、假臭草、钻叶紫菀、三叶鬼针草、白花鬼针草（三叶鬼针草分类单元下的变种）等 11种。影响评价区外来入侵物种大多已形成归化种，局部地域有一定数量的外来入侵有害生物分布，外来入侵物种在一定程度上危害和挤占本土物种的生长，目前尚未大面积扩散，危害程度属于较低。</w:t>
      </w:r>
    </w:p>
    <w:p>
      <w:pPr>
        <w:pStyle w:val="120"/>
        <w:rPr>
          <w:color w:val="auto"/>
        </w:rPr>
      </w:pPr>
      <w:r>
        <w:rPr>
          <w:rFonts w:hint="eastAsia"/>
          <w:color w:val="auto"/>
        </w:rPr>
        <w:t>生态敏感区调查</w:t>
      </w:r>
    </w:p>
    <w:p>
      <w:pPr>
        <w:ind w:firstLine="480"/>
      </w:pPr>
      <w:r>
        <w:rPr>
          <w:rFonts w:hint="eastAsia"/>
        </w:rPr>
        <w:t>评价范围内不涉及</w:t>
      </w:r>
      <w:r>
        <w:rPr>
          <w:lang w:val="zh-CN"/>
        </w:rPr>
        <w:t>自然保护区、风景名胜区、世界文化和自然遗产地、</w:t>
      </w:r>
      <w:r>
        <w:rPr>
          <w:rFonts w:hint="eastAsia"/>
          <w:spacing w:val="-2"/>
        </w:rPr>
        <w:t>生态保护红线等敏感区，但线路</w:t>
      </w:r>
      <w:r>
        <w:rPr>
          <w:rFonts w:hint="eastAsia"/>
        </w:rPr>
        <w:t>占地涉及</w:t>
      </w:r>
      <w:r>
        <w:rPr>
          <w:rFonts w:hint="eastAsia"/>
          <w:lang w:eastAsia="zh-CN"/>
        </w:rPr>
        <w:t>二级</w:t>
      </w:r>
      <w:r>
        <w:rPr>
          <w:rFonts w:hint="eastAsia"/>
        </w:rPr>
        <w:t>生态公益林（</w:t>
      </w:r>
      <w:r>
        <w:t>0.5538</w:t>
      </w:r>
      <w:r>
        <w:rPr>
          <w:rFonts w:hint="eastAsia"/>
        </w:rPr>
        <w:t>hm</w:t>
      </w:r>
      <w:r>
        <w:rPr>
          <w:vertAlign w:val="superscript"/>
        </w:rPr>
        <w:t>2</w:t>
      </w:r>
      <w:r>
        <w:rPr>
          <w:rFonts w:hint="eastAsia"/>
        </w:rPr>
        <w:t>），公路不涉及重要湿地，但涉及一般湿地；项目占地红线内没有挂牌的名木古树和野生珍贵树木，也无其他国家和省级重点保护的野生植物，亦无明显的重点保护野生动物栖息地。</w:t>
      </w:r>
    </w:p>
    <w:p>
      <w:pPr>
        <w:pStyle w:val="118"/>
      </w:pPr>
      <w:r>
        <w:rPr>
          <w:rFonts w:hint="eastAsia"/>
        </w:rPr>
        <w:t>生态公益林</w:t>
      </w:r>
    </w:p>
    <w:p>
      <w:pPr>
        <w:ind w:firstLine="480"/>
      </w:pPr>
      <w:bookmarkStart w:id="426" w:name="_Hlk66086977"/>
      <w:r>
        <w:rPr>
          <w:rFonts w:hint="eastAsia"/>
        </w:rPr>
        <w:t>根据收集资料及叠图分析</w:t>
      </w:r>
      <w:r>
        <w:t>，本项目</w:t>
      </w:r>
      <w:r>
        <w:rPr>
          <w:rFonts w:hint="eastAsia"/>
        </w:rPr>
        <w:t>评价范围内生态公益林面积</w:t>
      </w:r>
      <w:r>
        <w:t>7.6294</w:t>
      </w:r>
      <w:r>
        <w:rPr>
          <w:rFonts w:hint="eastAsia"/>
        </w:rPr>
        <w:t>hm</w:t>
      </w:r>
      <w:r>
        <w:rPr>
          <w:vertAlign w:val="superscript"/>
        </w:rPr>
        <w:t>2</w:t>
      </w:r>
      <w:r>
        <w:rPr>
          <w:rFonts w:hint="eastAsia"/>
        </w:rPr>
        <w:t>（详见</w:t>
      </w:r>
      <w:r>
        <w:fldChar w:fldCharType="begin"/>
      </w:r>
      <w:r>
        <w:instrText xml:space="preserve"> </w:instrText>
      </w:r>
      <w:r>
        <w:rPr>
          <w:rFonts w:hint="eastAsia"/>
        </w:rPr>
        <w:instrText xml:space="preserve">REF _Ref78385385 \r \h</w:instrText>
      </w:r>
      <w:r>
        <w:instrText xml:space="preserve">  \* MERGEFORMAT </w:instrText>
      </w:r>
      <w:r>
        <w:fldChar w:fldCharType="separate"/>
      </w:r>
      <w:r>
        <w:rPr>
          <w:rFonts w:hint="eastAsia"/>
        </w:rPr>
        <w:t>表4.3-4</w:t>
      </w:r>
      <w:r>
        <w:fldChar w:fldCharType="end"/>
      </w:r>
      <w:r>
        <w:rPr>
          <w:rFonts w:hint="eastAsia"/>
        </w:rPr>
        <w:t>），公路主体占地范围内涉及占用生态公益林</w:t>
      </w:r>
      <w:r>
        <w:t>0.5538</w:t>
      </w:r>
      <w:r>
        <w:rPr>
          <w:rFonts w:hint="eastAsia"/>
        </w:rPr>
        <w:t>hm</w:t>
      </w:r>
      <w:r>
        <w:rPr>
          <w:vertAlign w:val="superscript"/>
        </w:rPr>
        <w:t>2</w:t>
      </w:r>
      <w:r>
        <w:t>，</w:t>
      </w:r>
      <w:r>
        <w:rPr>
          <w:rFonts w:hint="eastAsia"/>
        </w:rPr>
        <w:t>项目已取得林地预审意见。线路与</w:t>
      </w:r>
      <w:r>
        <w:t>生态公益林</w:t>
      </w:r>
      <w:r>
        <w:rPr>
          <w:rFonts w:hint="eastAsia"/>
        </w:rPr>
        <w:t>位置关系图详见</w:t>
      </w:r>
      <w:r>
        <w:fldChar w:fldCharType="begin"/>
      </w:r>
      <w:r>
        <w:instrText xml:space="preserve"> </w:instrText>
      </w:r>
      <w:r>
        <w:rPr>
          <w:rFonts w:hint="eastAsia"/>
        </w:rPr>
        <w:instrText xml:space="preserve">REF _Ref78385385 \r \h</w:instrText>
      </w:r>
      <w:r>
        <w:instrText xml:space="preserve"> </w:instrText>
      </w:r>
      <w:r>
        <w:fldChar w:fldCharType="separate"/>
      </w:r>
      <w:r>
        <w:rPr>
          <w:rFonts w:hint="eastAsia"/>
        </w:rPr>
        <w:t>表4.3-4</w:t>
      </w:r>
      <w:r>
        <w:fldChar w:fldCharType="end"/>
      </w:r>
      <w:r>
        <w:rPr>
          <w:rFonts w:hint="eastAsia"/>
        </w:rPr>
        <w:t>，</w:t>
      </w:r>
      <w:r>
        <w:rPr>
          <w:highlight w:val="yellow"/>
        </w:rPr>
        <w:fldChar w:fldCharType="begin"/>
      </w:r>
      <w:r>
        <w:instrText xml:space="preserve"> </w:instrText>
      </w:r>
      <w:r>
        <w:rPr>
          <w:rFonts w:hint="eastAsia"/>
        </w:rPr>
        <w:instrText xml:space="preserve">REF _Ref192757837 \r \h</w:instrText>
      </w:r>
      <w:r>
        <w:instrText xml:space="preserve"> </w:instrText>
      </w:r>
      <w:r>
        <w:rPr>
          <w:highlight w:val="yellow"/>
        </w:rPr>
        <w:fldChar w:fldCharType="separate"/>
      </w:r>
      <w:r>
        <w:rPr>
          <w:rFonts w:hint="eastAsia"/>
        </w:rPr>
        <w:t>图2.7-5</w:t>
      </w:r>
      <w:r>
        <w:rPr>
          <w:highlight w:val="yellow"/>
        </w:rPr>
        <w:fldChar w:fldCharType="end"/>
      </w:r>
      <w:r>
        <w:rPr>
          <w:rFonts w:hint="eastAsia"/>
        </w:rPr>
        <w:t>。</w:t>
      </w:r>
    </w:p>
    <w:p>
      <w:pPr>
        <w:ind w:firstLine="480"/>
      </w:pPr>
      <w:r>
        <w:rPr>
          <w:rFonts w:hint="eastAsia"/>
        </w:rPr>
        <w:t>根据现状调查：项目占地范围内生态公益林分布在K</w:t>
      </w:r>
      <w:r>
        <w:t>0+260~</w:t>
      </w:r>
      <w:r>
        <w:rPr>
          <w:rFonts w:hint="eastAsia"/>
        </w:rPr>
        <w:t xml:space="preserve"> K</w:t>
      </w:r>
      <w:r>
        <w:t>0+336</w:t>
      </w:r>
      <w:r>
        <w:rPr>
          <w:rFonts w:hint="eastAsia"/>
        </w:rPr>
        <w:t>段，主要植被为相思树林</w:t>
      </w:r>
      <w:r>
        <w:t>。乔木层高度6~15m，树冠呈伞形，枝叶茂密，具有较强的遮荫能力，群落郁闭度约0.6</w:t>
      </w:r>
      <w:r>
        <w:rPr>
          <w:rFonts w:hint="eastAsia"/>
        </w:rPr>
        <w:t>，</w:t>
      </w:r>
      <w:r>
        <w:t>乔木层以台湾相思（</w:t>
      </w:r>
      <w:r>
        <w:rPr>
          <w:i/>
          <w:iCs/>
        </w:rPr>
        <w:t>Acaciaconfusa</w:t>
      </w:r>
      <w:r>
        <w:t>）为优势种，平均胸径约6~13cm，伴生种木麻黄等。灌木层主要物种有桃金娘、檵木、朴树幼树等。草本层以耐旱、耐贫瘠的禾本科植物为主</w:t>
      </w:r>
      <w:r>
        <w:rPr>
          <w:rFonts w:hint="eastAsia"/>
        </w:rPr>
        <w:t>，主要</w:t>
      </w:r>
      <w:r>
        <w:t>狗尾草、狗牙根、白茅、假臭草、鬼针草、白花鬼针草等。</w:t>
      </w:r>
    </w:p>
    <w:p>
      <w:pPr>
        <w:pStyle w:val="87"/>
        <w:spacing w:before="120"/>
        <w:ind w:left="480" w:firstLine="480"/>
      </w:pPr>
      <w:bookmarkStart w:id="427" w:name="_Ref78385385"/>
      <w:r>
        <w:t>本项目</w:t>
      </w:r>
      <w:r>
        <w:rPr>
          <w:rFonts w:hint="eastAsia"/>
        </w:rPr>
        <w:t>评价范围及占地范围涉及</w:t>
      </w:r>
      <w:r>
        <w:t>生态公益林的情况表</w:t>
      </w:r>
      <w:bookmarkEnd w:id="427"/>
    </w:p>
    <w:tbl>
      <w:tblPr>
        <w:tblStyle w:val="24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97"/>
        <w:gridCol w:w="838"/>
        <w:gridCol w:w="410"/>
        <w:gridCol w:w="2118"/>
        <w:gridCol w:w="898"/>
        <w:gridCol w:w="898"/>
        <w:gridCol w:w="699"/>
        <w:gridCol w:w="554"/>
        <w:gridCol w:w="978"/>
        <w:gridCol w:w="9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00" w:hRule="atLeast"/>
          <w:tblHeader/>
          <w:jc w:val="center"/>
        </w:trPr>
        <w:tc>
          <w:tcPr>
            <w:tcW w:w="384" w:type="pct"/>
            <w:vMerge w:val="restart"/>
            <w:noWrap/>
            <w:vAlign w:val="center"/>
          </w:tcPr>
          <w:p>
            <w:pPr>
              <w:pStyle w:val="105"/>
              <w:jc w:val="center"/>
            </w:pPr>
            <w:r>
              <w:rPr>
                <w:rFonts w:hint="eastAsia"/>
              </w:rPr>
              <w:t>地区</w:t>
            </w:r>
          </w:p>
        </w:tc>
        <w:tc>
          <w:tcPr>
            <w:tcW w:w="2845" w:type="pct"/>
            <w:gridSpan w:val="5"/>
            <w:vAlign w:val="center"/>
          </w:tcPr>
          <w:p>
            <w:pPr>
              <w:pStyle w:val="105"/>
              <w:jc w:val="center"/>
            </w:pPr>
            <w:r>
              <w:rPr>
                <w:rFonts w:hint="eastAsia"/>
              </w:rPr>
              <w:t>评价范围公益林（</w:t>
            </w:r>
            <w:r>
              <w:t>hm</w:t>
            </w:r>
            <w:r>
              <w:rPr>
                <w:vertAlign w:val="superscript"/>
              </w:rPr>
              <w:t>2</w:t>
            </w:r>
            <w:r>
              <w:rPr>
                <w:rFonts w:hint="eastAsia"/>
              </w:rPr>
              <w:t>）</w:t>
            </w:r>
          </w:p>
        </w:tc>
        <w:tc>
          <w:tcPr>
            <w:tcW w:w="1771" w:type="pct"/>
            <w:gridSpan w:val="4"/>
            <w:vAlign w:val="center"/>
          </w:tcPr>
          <w:p>
            <w:pPr>
              <w:pStyle w:val="105"/>
              <w:jc w:val="center"/>
            </w:pPr>
            <w:r>
              <w:rPr>
                <w:rFonts w:hint="eastAsia"/>
              </w:rPr>
              <w:t>占地范围公益林（</w:t>
            </w:r>
            <w:r>
              <w:t>hm</w:t>
            </w:r>
            <w:r>
              <w:rPr>
                <w:vertAlign w:val="superscript"/>
              </w:rPr>
              <w:t>2</w:t>
            </w: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384" w:type="pct"/>
            <w:vMerge w:val="continue"/>
            <w:vAlign w:val="center"/>
          </w:tcPr>
          <w:p>
            <w:pPr>
              <w:pStyle w:val="105"/>
              <w:jc w:val="center"/>
            </w:pPr>
          </w:p>
        </w:tc>
        <w:tc>
          <w:tcPr>
            <w:tcW w:w="462" w:type="pct"/>
            <w:vAlign w:val="center"/>
          </w:tcPr>
          <w:p>
            <w:pPr>
              <w:pStyle w:val="105"/>
              <w:jc w:val="center"/>
            </w:pPr>
            <w:r>
              <w:rPr>
                <w:rFonts w:hint="eastAsia"/>
              </w:rPr>
              <w:t>面积</w:t>
            </w:r>
          </w:p>
        </w:tc>
        <w:tc>
          <w:tcPr>
            <w:tcW w:w="226" w:type="pct"/>
            <w:vAlign w:val="center"/>
          </w:tcPr>
          <w:p>
            <w:pPr>
              <w:pStyle w:val="105"/>
              <w:jc w:val="center"/>
            </w:pPr>
            <w:r>
              <w:rPr>
                <w:rFonts w:hint="eastAsia"/>
              </w:rPr>
              <w:t>等级</w:t>
            </w:r>
          </w:p>
        </w:tc>
        <w:tc>
          <w:tcPr>
            <w:tcW w:w="1167" w:type="pct"/>
            <w:vAlign w:val="center"/>
          </w:tcPr>
          <w:p>
            <w:pPr>
              <w:pStyle w:val="105"/>
              <w:jc w:val="center"/>
            </w:pPr>
            <w:r>
              <w:rPr>
                <w:rFonts w:hint="eastAsia"/>
              </w:rPr>
              <w:t>生态公益林功能</w:t>
            </w:r>
          </w:p>
        </w:tc>
        <w:tc>
          <w:tcPr>
            <w:tcW w:w="495" w:type="pct"/>
            <w:vAlign w:val="center"/>
          </w:tcPr>
          <w:p>
            <w:pPr>
              <w:pStyle w:val="105"/>
              <w:jc w:val="center"/>
            </w:pPr>
            <w:r>
              <w:rPr>
                <w:rFonts w:hint="eastAsia"/>
              </w:rPr>
              <w:t>对应</w:t>
            </w:r>
          </w:p>
          <w:p>
            <w:pPr>
              <w:pStyle w:val="105"/>
              <w:jc w:val="center"/>
            </w:pPr>
            <w:r>
              <w:rPr>
                <w:rFonts w:hint="eastAsia"/>
              </w:rPr>
              <w:t>路段</w:t>
            </w:r>
          </w:p>
        </w:tc>
        <w:tc>
          <w:tcPr>
            <w:tcW w:w="495" w:type="pct"/>
            <w:vAlign w:val="center"/>
          </w:tcPr>
          <w:p>
            <w:pPr>
              <w:pStyle w:val="105"/>
              <w:jc w:val="center"/>
            </w:pPr>
            <w:r>
              <w:rPr>
                <w:rFonts w:hint="eastAsia"/>
              </w:rPr>
              <w:t>植被</w:t>
            </w:r>
          </w:p>
        </w:tc>
        <w:tc>
          <w:tcPr>
            <w:tcW w:w="385" w:type="pct"/>
            <w:vAlign w:val="center"/>
          </w:tcPr>
          <w:p>
            <w:pPr>
              <w:pStyle w:val="105"/>
              <w:jc w:val="center"/>
            </w:pPr>
            <w:r>
              <w:rPr>
                <w:rFonts w:hint="eastAsia"/>
              </w:rPr>
              <w:t>面积</w:t>
            </w:r>
          </w:p>
        </w:tc>
        <w:tc>
          <w:tcPr>
            <w:tcW w:w="305" w:type="pct"/>
            <w:vAlign w:val="center"/>
          </w:tcPr>
          <w:p>
            <w:pPr>
              <w:pStyle w:val="105"/>
              <w:jc w:val="center"/>
            </w:pPr>
            <w:r>
              <w:rPr>
                <w:rFonts w:hint="eastAsia"/>
              </w:rPr>
              <w:t>等级</w:t>
            </w:r>
          </w:p>
        </w:tc>
        <w:tc>
          <w:tcPr>
            <w:tcW w:w="539" w:type="pct"/>
            <w:vAlign w:val="center"/>
          </w:tcPr>
          <w:p>
            <w:pPr>
              <w:pStyle w:val="105"/>
              <w:jc w:val="center"/>
            </w:pPr>
            <w:r>
              <w:rPr>
                <w:rFonts w:hint="eastAsia"/>
              </w:rPr>
              <w:t>生态公益林功能</w:t>
            </w:r>
          </w:p>
        </w:tc>
        <w:tc>
          <w:tcPr>
            <w:tcW w:w="542" w:type="pct"/>
            <w:vAlign w:val="center"/>
          </w:tcPr>
          <w:p>
            <w:pPr>
              <w:pStyle w:val="105"/>
              <w:jc w:val="center"/>
            </w:pPr>
            <w:r>
              <w:rPr>
                <w:rFonts w:hint="eastAsia"/>
              </w:rPr>
              <w:t>对应</w:t>
            </w:r>
          </w:p>
          <w:p>
            <w:pPr>
              <w:pStyle w:val="105"/>
              <w:jc w:val="center"/>
            </w:pPr>
            <w:r>
              <w:rPr>
                <w:rFonts w:hint="eastAsia"/>
              </w:rPr>
              <w:t>路段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384" w:type="pct"/>
            <w:noWrap/>
            <w:vAlign w:val="center"/>
          </w:tcPr>
          <w:p>
            <w:pPr>
              <w:pStyle w:val="105"/>
              <w:jc w:val="center"/>
            </w:pPr>
            <w:r>
              <w:rPr>
                <w:rFonts w:hint="eastAsia"/>
              </w:rPr>
              <w:t>牌边村</w:t>
            </w:r>
          </w:p>
        </w:tc>
        <w:tc>
          <w:tcPr>
            <w:tcW w:w="462" w:type="pct"/>
            <w:vAlign w:val="center"/>
          </w:tcPr>
          <w:p>
            <w:pPr>
              <w:pStyle w:val="105"/>
              <w:jc w:val="center"/>
            </w:pPr>
            <w:r>
              <w:t>1.2453</w:t>
            </w:r>
          </w:p>
        </w:tc>
        <w:tc>
          <w:tcPr>
            <w:tcW w:w="226" w:type="pct"/>
            <w:vMerge w:val="restart"/>
            <w:vAlign w:val="center"/>
          </w:tcPr>
          <w:p>
            <w:pPr>
              <w:pStyle w:val="105"/>
              <w:jc w:val="center"/>
              <w:rPr>
                <w:rFonts w:hint="eastAsia" w:eastAsia="宋体"/>
                <w:lang w:eastAsia="zh-CN"/>
              </w:rPr>
            </w:pPr>
            <w:r>
              <w:rPr>
                <w:rFonts w:hint="eastAsia"/>
                <w:lang w:eastAsia="zh-CN"/>
              </w:rPr>
              <w:t>二级</w:t>
            </w:r>
          </w:p>
        </w:tc>
        <w:tc>
          <w:tcPr>
            <w:tcW w:w="1167" w:type="pct"/>
            <w:vAlign w:val="center"/>
          </w:tcPr>
          <w:p>
            <w:pPr>
              <w:pStyle w:val="105"/>
              <w:jc w:val="center"/>
            </w:pPr>
            <w:r>
              <w:rPr>
                <w:rFonts w:hint="eastAsia"/>
              </w:rPr>
              <w:t>西部水源涵养林区</w:t>
            </w:r>
          </w:p>
        </w:tc>
        <w:tc>
          <w:tcPr>
            <w:tcW w:w="495" w:type="pct"/>
            <w:vMerge w:val="restart"/>
            <w:vAlign w:val="center"/>
          </w:tcPr>
          <w:p>
            <w:pPr>
              <w:pStyle w:val="105"/>
              <w:jc w:val="center"/>
            </w:pPr>
            <w:r>
              <w:rPr>
                <w:rFonts w:hint="eastAsia"/>
              </w:rPr>
              <w:t>K</w:t>
            </w:r>
            <w:r>
              <w:t>0+260~</w:t>
            </w:r>
            <w:r>
              <w:rPr>
                <w:rFonts w:hint="eastAsia"/>
              </w:rPr>
              <w:t xml:space="preserve"> K</w:t>
            </w:r>
            <w:r>
              <w:t>0+336</w:t>
            </w:r>
          </w:p>
        </w:tc>
        <w:tc>
          <w:tcPr>
            <w:tcW w:w="495" w:type="pct"/>
            <w:vAlign w:val="center"/>
          </w:tcPr>
          <w:p>
            <w:pPr>
              <w:pStyle w:val="105"/>
              <w:jc w:val="center"/>
            </w:pPr>
            <w:bookmarkStart w:id="428" w:name="_Hlk196644842"/>
            <w:r>
              <w:rPr>
                <w:rFonts w:hint="eastAsia"/>
              </w:rPr>
              <w:t>相思树</w:t>
            </w:r>
            <w:bookmarkEnd w:id="428"/>
          </w:p>
        </w:tc>
        <w:tc>
          <w:tcPr>
            <w:tcW w:w="385" w:type="pct"/>
            <w:vAlign w:val="center"/>
          </w:tcPr>
          <w:p>
            <w:pPr>
              <w:pStyle w:val="105"/>
              <w:jc w:val="center"/>
            </w:pPr>
            <w:r>
              <w:t>0.5538</w:t>
            </w:r>
          </w:p>
        </w:tc>
        <w:tc>
          <w:tcPr>
            <w:tcW w:w="305" w:type="pct"/>
            <w:vAlign w:val="center"/>
          </w:tcPr>
          <w:p>
            <w:pPr>
              <w:pStyle w:val="105"/>
              <w:jc w:val="center"/>
              <w:rPr>
                <w:rFonts w:hint="eastAsia" w:eastAsia="宋体"/>
                <w:lang w:eastAsia="zh-CN"/>
              </w:rPr>
            </w:pPr>
            <w:r>
              <w:rPr>
                <w:rFonts w:hint="eastAsia"/>
                <w:lang w:eastAsia="zh-CN"/>
              </w:rPr>
              <w:t>二级</w:t>
            </w:r>
          </w:p>
        </w:tc>
        <w:tc>
          <w:tcPr>
            <w:tcW w:w="539" w:type="pct"/>
            <w:vAlign w:val="center"/>
          </w:tcPr>
          <w:p>
            <w:pPr>
              <w:pStyle w:val="105"/>
              <w:jc w:val="center"/>
            </w:pPr>
            <w:r>
              <w:rPr>
                <w:rFonts w:hint="eastAsia"/>
              </w:rPr>
              <w:t>西部水源涵养林区</w:t>
            </w:r>
          </w:p>
        </w:tc>
        <w:tc>
          <w:tcPr>
            <w:tcW w:w="542" w:type="pct"/>
            <w:vAlign w:val="center"/>
          </w:tcPr>
          <w:p>
            <w:pPr>
              <w:pStyle w:val="105"/>
              <w:jc w:val="center"/>
            </w:pPr>
            <w:r>
              <w:rPr>
                <w:rFonts w:hint="eastAsia"/>
              </w:rPr>
              <w:t>K</w:t>
            </w:r>
            <w:r>
              <w:t>0+260~</w:t>
            </w:r>
            <w:r>
              <w:rPr>
                <w:rFonts w:hint="eastAsia"/>
              </w:rPr>
              <w:t xml:space="preserve"> K</w:t>
            </w:r>
            <w:r>
              <w:t>0+336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384" w:type="pct"/>
            <w:noWrap/>
            <w:vAlign w:val="center"/>
          </w:tcPr>
          <w:p>
            <w:pPr>
              <w:pStyle w:val="105"/>
              <w:jc w:val="center"/>
            </w:pPr>
            <w:r>
              <w:rPr>
                <w:rFonts w:hint="eastAsia"/>
              </w:rPr>
              <w:t>牌边村</w:t>
            </w:r>
          </w:p>
        </w:tc>
        <w:tc>
          <w:tcPr>
            <w:tcW w:w="462" w:type="pct"/>
            <w:vAlign w:val="center"/>
          </w:tcPr>
          <w:p>
            <w:pPr>
              <w:pStyle w:val="105"/>
              <w:jc w:val="center"/>
            </w:pPr>
            <w:r>
              <w:t>6.2867</w:t>
            </w:r>
          </w:p>
        </w:tc>
        <w:tc>
          <w:tcPr>
            <w:tcW w:w="226" w:type="pct"/>
            <w:vMerge w:val="continue"/>
            <w:vAlign w:val="center"/>
          </w:tcPr>
          <w:p>
            <w:pPr>
              <w:pStyle w:val="105"/>
              <w:jc w:val="center"/>
            </w:pPr>
          </w:p>
        </w:tc>
        <w:tc>
          <w:tcPr>
            <w:tcW w:w="1167" w:type="pct"/>
            <w:vAlign w:val="center"/>
          </w:tcPr>
          <w:p>
            <w:pPr>
              <w:pStyle w:val="105"/>
              <w:jc w:val="center"/>
            </w:pPr>
            <w:r>
              <w:rPr>
                <w:rFonts w:hint="eastAsia"/>
              </w:rPr>
              <w:t>南部沿海防护林保育区</w:t>
            </w:r>
          </w:p>
        </w:tc>
        <w:tc>
          <w:tcPr>
            <w:tcW w:w="495" w:type="pct"/>
            <w:vMerge w:val="continue"/>
            <w:vAlign w:val="center"/>
          </w:tcPr>
          <w:p>
            <w:pPr>
              <w:pStyle w:val="105"/>
              <w:jc w:val="center"/>
            </w:pPr>
          </w:p>
        </w:tc>
        <w:tc>
          <w:tcPr>
            <w:tcW w:w="495" w:type="pct"/>
            <w:vAlign w:val="center"/>
          </w:tcPr>
          <w:p>
            <w:pPr>
              <w:pStyle w:val="105"/>
              <w:jc w:val="center"/>
            </w:pPr>
            <w:r>
              <w:rPr>
                <w:rFonts w:hint="eastAsia"/>
              </w:rPr>
              <w:t>相思树</w:t>
            </w:r>
          </w:p>
        </w:tc>
        <w:tc>
          <w:tcPr>
            <w:tcW w:w="385" w:type="pct"/>
            <w:vAlign w:val="center"/>
          </w:tcPr>
          <w:p>
            <w:pPr>
              <w:pStyle w:val="105"/>
              <w:jc w:val="center"/>
            </w:pPr>
          </w:p>
        </w:tc>
        <w:tc>
          <w:tcPr>
            <w:tcW w:w="305" w:type="pct"/>
            <w:vAlign w:val="center"/>
          </w:tcPr>
          <w:p>
            <w:pPr>
              <w:pStyle w:val="105"/>
              <w:jc w:val="center"/>
            </w:pPr>
          </w:p>
        </w:tc>
        <w:tc>
          <w:tcPr>
            <w:tcW w:w="539" w:type="pct"/>
            <w:vAlign w:val="center"/>
          </w:tcPr>
          <w:p>
            <w:pPr>
              <w:pStyle w:val="105"/>
              <w:jc w:val="center"/>
            </w:pPr>
          </w:p>
        </w:tc>
        <w:tc>
          <w:tcPr>
            <w:tcW w:w="542"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384" w:type="pct"/>
            <w:noWrap/>
            <w:vAlign w:val="center"/>
          </w:tcPr>
          <w:p>
            <w:pPr>
              <w:pStyle w:val="105"/>
              <w:jc w:val="center"/>
            </w:pPr>
            <w:r>
              <w:rPr>
                <w:rFonts w:hint="eastAsia"/>
              </w:rPr>
              <w:t>黄柏寺</w:t>
            </w:r>
          </w:p>
          <w:p>
            <w:pPr>
              <w:pStyle w:val="105"/>
              <w:jc w:val="center"/>
            </w:pPr>
            <w:r>
              <w:rPr>
                <w:rFonts w:hint="eastAsia"/>
              </w:rPr>
              <w:t>林场</w:t>
            </w:r>
          </w:p>
        </w:tc>
        <w:tc>
          <w:tcPr>
            <w:tcW w:w="462" w:type="pct"/>
            <w:vAlign w:val="center"/>
          </w:tcPr>
          <w:p>
            <w:pPr>
              <w:pStyle w:val="105"/>
              <w:jc w:val="center"/>
            </w:pPr>
            <w:r>
              <w:t>0.0975</w:t>
            </w:r>
          </w:p>
        </w:tc>
        <w:tc>
          <w:tcPr>
            <w:tcW w:w="226" w:type="pct"/>
            <w:vMerge w:val="continue"/>
            <w:vAlign w:val="center"/>
          </w:tcPr>
          <w:p>
            <w:pPr>
              <w:pStyle w:val="105"/>
              <w:jc w:val="center"/>
            </w:pPr>
          </w:p>
        </w:tc>
        <w:tc>
          <w:tcPr>
            <w:tcW w:w="1167" w:type="pct"/>
            <w:vAlign w:val="center"/>
          </w:tcPr>
          <w:p>
            <w:pPr>
              <w:pStyle w:val="105"/>
              <w:jc w:val="center"/>
            </w:pPr>
            <w:r>
              <w:rPr>
                <w:rFonts w:hint="eastAsia"/>
              </w:rPr>
              <w:t>西部水源涵养林区</w:t>
            </w:r>
          </w:p>
        </w:tc>
        <w:tc>
          <w:tcPr>
            <w:tcW w:w="495" w:type="pct"/>
            <w:vAlign w:val="center"/>
          </w:tcPr>
          <w:p>
            <w:pPr>
              <w:pStyle w:val="105"/>
              <w:jc w:val="center"/>
            </w:pPr>
            <w:r>
              <w:rPr>
                <w:rFonts w:hint="eastAsia"/>
              </w:rPr>
              <w:t>终点N</w:t>
            </w:r>
            <w:r>
              <w:t>W</w:t>
            </w:r>
            <w:r>
              <w:rPr>
                <w:rFonts w:hint="eastAsia"/>
              </w:rPr>
              <w:t>侧</w:t>
            </w:r>
          </w:p>
        </w:tc>
        <w:tc>
          <w:tcPr>
            <w:tcW w:w="495" w:type="pct"/>
            <w:vAlign w:val="center"/>
          </w:tcPr>
          <w:p>
            <w:pPr>
              <w:pStyle w:val="105"/>
              <w:jc w:val="center"/>
            </w:pPr>
            <w:r>
              <w:rPr>
                <w:rFonts w:hint="eastAsia"/>
              </w:rPr>
              <w:t>灌草地</w:t>
            </w:r>
          </w:p>
        </w:tc>
        <w:tc>
          <w:tcPr>
            <w:tcW w:w="385" w:type="pct"/>
            <w:vAlign w:val="center"/>
          </w:tcPr>
          <w:p>
            <w:pPr>
              <w:pStyle w:val="105"/>
              <w:jc w:val="center"/>
            </w:pPr>
          </w:p>
        </w:tc>
        <w:tc>
          <w:tcPr>
            <w:tcW w:w="305" w:type="pct"/>
            <w:vAlign w:val="center"/>
          </w:tcPr>
          <w:p>
            <w:pPr>
              <w:pStyle w:val="105"/>
              <w:jc w:val="center"/>
            </w:pPr>
          </w:p>
        </w:tc>
        <w:tc>
          <w:tcPr>
            <w:tcW w:w="539" w:type="pct"/>
            <w:vAlign w:val="center"/>
          </w:tcPr>
          <w:p>
            <w:pPr>
              <w:pStyle w:val="105"/>
              <w:jc w:val="center"/>
            </w:pPr>
          </w:p>
        </w:tc>
        <w:tc>
          <w:tcPr>
            <w:tcW w:w="542"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384" w:type="pct"/>
            <w:noWrap/>
            <w:vAlign w:val="center"/>
          </w:tcPr>
          <w:p>
            <w:pPr>
              <w:pStyle w:val="105"/>
              <w:jc w:val="center"/>
            </w:pPr>
            <w:r>
              <w:rPr>
                <w:rFonts w:hint="eastAsia"/>
              </w:rPr>
              <w:t>合计</w:t>
            </w:r>
          </w:p>
        </w:tc>
        <w:tc>
          <w:tcPr>
            <w:tcW w:w="462" w:type="pct"/>
            <w:vAlign w:val="center"/>
          </w:tcPr>
          <w:p>
            <w:pPr>
              <w:pStyle w:val="105"/>
              <w:jc w:val="center"/>
            </w:pPr>
            <w:r>
              <w:t>7.6294</w:t>
            </w:r>
          </w:p>
        </w:tc>
        <w:tc>
          <w:tcPr>
            <w:tcW w:w="226" w:type="pct"/>
            <w:vAlign w:val="center"/>
          </w:tcPr>
          <w:p>
            <w:pPr>
              <w:pStyle w:val="105"/>
              <w:jc w:val="center"/>
            </w:pPr>
          </w:p>
        </w:tc>
        <w:tc>
          <w:tcPr>
            <w:tcW w:w="1167" w:type="pct"/>
            <w:vAlign w:val="center"/>
          </w:tcPr>
          <w:p>
            <w:pPr>
              <w:pStyle w:val="105"/>
              <w:jc w:val="center"/>
            </w:pPr>
          </w:p>
        </w:tc>
        <w:tc>
          <w:tcPr>
            <w:tcW w:w="495" w:type="pct"/>
            <w:vAlign w:val="center"/>
          </w:tcPr>
          <w:p>
            <w:pPr>
              <w:pStyle w:val="105"/>
              <w:jc w:val="center"/>
            </w:pPr>
          </w:p>
        </w:tc>
        <w:tc>
          <w:tcPr>
            <w:tcW w:w="495" w:type="pct"/>
            <w:vAlign w:val="center"/>
          </w:tcPr>
          <w:p>
            <w:pPr>
              <w:pStyle w:val="105"/>
              <w:jc w:val="center"/>
            </w:pPr>
          </w:p>
        </w:tc>
        <w:tc>
          <w:tcPr>
            <w:tcW w:w="385" w:type="pct"/>
            <w:vAlign w:val="center"/>
          </w:tcPr>
          <w:p>
            <w:pPr>
              <w:pStyle w:val="105"/>
              <w:jc w:val="center"/>
            </w:pPr>
            <w:r>
              <w:t>0.5538</w:t>
            </w:r>
          </w:p>
        </w:tc>
        <w:tc>
          <w:tcPr>
            <w:tcW w:w="305" w:type="pct"/>
            <w:vAlign w:val="center"/>
          </w:tcPr>
          <w:p>
            <w:pPr>
              <w:pStyle w:val="105"/>
              <w:jc w:val="center"/>
            </w:pPr>
          </w:p>
        </w:tc>
        <w:tc>
          <w:tcPr>
            <w:tcW w:w="539" w:type="pct"/>
            <w:vAlign w:val="center"/>
          </w:tcPr>
          <w:p>
            <w:pPr>
              <w:pStyle w:val="105"/>
              <w:jc w:val="center"/>
            </w:pPr>
          </w:p>
        </w:tc>
        <w:tc>
          <w:tcPr>
            <w:tcW w:w="542" w:type="pct"/>
            <w:vAlign w:val="center"/>
          </w:tcPr>
          <w:p>
            <w:pPr>
              <w:pStyle w:val="105"/>
              <w:jc w:val="center"/>
            </w:pPr>
          </w:p>
        </w:tc>
      </w:tr>
      <w:bookmarkEnd w:id="426"/>
    </w:tbl>
    <w:p>
      <w:pPr>
        <w:pStyle w:val="105"/>
        <w:rPr>
          <w:rFonts w:hint="eastAsia" w:eastAsia="宋体"/>
          <w:lang w:eastAsia="zh-CN"/>
        </w:rPr>
      </w:pPr>
    </w:p>
    <w:p>
      <w:pPr>
        <w:pStyle w:val="122"/>
      </w:pPr>
      <w:r>
        <w:rPr>
          <w:rFonts w:hint="eastAsia"/>
        </w:rPr>
        <w:t>生态公益林处植被现状图</w:t>
      </w:r>
    </w:p>
    <w:p>
      <w:pPr>
        <w:pStyle w:val="118"/>
      </w:pPr>
      <w:r>
        <w:rPr>
          <w:rFonts w:hint="eastAsia"/>
        </w:rPr>
        <w:t>一般湿地</w:t>
      </w:r>
    </w:p>
    <w:p>
      <w:pPr>
        <w:ind w:firstLine="480"/>
      </w:pPr>
      <w:bookmarkStart w:id="429" w:name="OLE_LINK64"/>
      <w:r>
        <w:rPr>
          <w:rFonts w:hint="eastAsia"/>
        </w:rPr>
        <w:t>根据《</w:t>
      </w:r>
      <w:r>
        <w:rPr>
          <w:rFonts w:cs="Times New Roman"/>
          <w:kern w:val="0"/>
          <w:szCs w:val="24"/>
          <w:lang w:val="zh-CN"/>
        </w:rPr>
        <w:t>黄檗山万福寺旅游公路项目对福清市一般湿地生态功能影响评价报告》</w:t>
      </w:r>
      <w:r>
        <w:rPr>
          <w:rFonts w:hint="eastAsia" w:cs="Times New Roman"/>
          <w:kern w:val="0"/>
          <w:szCs w:val="24"/>
          <w:lang w:val="zh-CN"/>
        </w:rPr>
        <w:t>及现场调查，本项目</w:t>
      </w:r>
      <w:r>
        <w:rPr>
          <w:rFonts w:cs="Times New Roman"/>
          <w:kern w:val="0"/>
          <w:szCs w:val="24"/>
          <w:lang w:val="zh-CN"/>
        </w:rPr>
        <w:t>涉及占用一般湿地面积9060</w:t>
      </w:r>
      <w:r>
        <w:rPr>
          <w:rFonts w:hint="eastAsia" w:cs="Times New Roman"/>
          <w:kern w:val="0"/>
          <w:szCs w:val="24"/>
          <w:lang w:val="zh-CN"/>
        </w:rPr>
        <w:t>m</w:t>
      </w:r>
      <w:r>
        <w:rPr>
          <w:rFonts w:cs="Times New Roman"/>
          <w:kern w:val="0"/>
          <w:szCs w:val="24"/>
          <w:vertAlign w:val="superscript"/>
          <w:lang w:val="zh-CN"/>
        </w:rPr>
        <w:t>2</w:t>
      </w:r>
      <w:r>
        <w:rPr>
          <w:rFonts w:cs="Times New Roman"/>
          <w:kern w:val="0"/>
          <w:szCs w:val="24"/>
          <w:lang w:val="zh-CN"/>
        </w:rPr>
        <w:t>（其中：一般湿地名录面积697</w:t>
      </w:r>
      <w:r>
        <w:rPr>
          <w:rFonts w:hint="eastAsia" w:cs="Times New Roman"/>
          <w:kern w:val="0"/>
          <w:szCs w:val="24"/>
          <w:lang w:val="zh-CN"/>
        </w:rPr>
        <w:t xml:space="preserve"> m</w:t>
      </w:r>
      <w:r>
        <w:rPr>
          <w:rFonts w:cs="Times New Roman"/>
          <w:kern w:val="0"/>
          <w:szCs w:val="24"/>
          <w:vertAlign w:val="superscript"/>
          <w:lang w:val="zh-CN"/>
        </w:rPr>
        <w:t>2</w:t>
      </w:r>
      <w:r>
        <w:rPr>
          <w:rFonts w:cs="Times New Roman"/>
          <w:kern w:val="0"/>
          <w:szCs w:val="24"/>
          <w:lang w:val="zh-CN"/>
        </w:rPr>
        <w:t>），类型为沟渠、河流水面、坑塘水面和内陆滩涂</w:t>
      </w:r>
      <w:r>
        <w:rPr>
          <w:rFonts w:hint="eastAsia"/>
        </w:rPr>
        <w:t>，详见</w:t>
      </w:r>
      <w:r>
        <w:fldChar w:fldCharType="begin"/>
      </w:r>
      <w:r>
        <w:instrText xml:space="preserve"> </w:instrText>
      </w:r>
      <w:r>
        <w:rPr>
          <w:rFonts w:hint="eastAsia"/>
        </w:rPr>
        <w:instrText xml:space="preserve">REF _Ref192516652 \r \h</w:instrText>
      </w:r>
      <w:r>
        <w:instrText xml:space="preserve"> </w:instrText>
      </w:r>
      <w:r>
        <w:fldChar w:fldCharType="separate"/>
      </w:r>
      <w:r>
        <w:rPr>
          <w:rFonts w:hint="eastAsia"/>
        </w:rPr>
        <w:t>表2.7-5</w:t>
      </w:r>
      <w:r>
        <w:fldChar w:fldCharType="end"/>
      </w:r>
      <w:r>
        <w:rPr>
          <w:rFonts w:hint="eastAsia"/>
        </w:rPr>
        <w:t>，未占用国家重要湿地。</w:t>
      </w:r>
    </w:p>
    <w:bookmarkEnd w:id="429"/>
    <w:p>
      <w:pPr>
        <w:ind w:firstLine="482"/>
        <w:rPr>
          <w:b/>
          <w:bCs/>
        </w:rPr>
      </w:pPr>
      <w:r>
        <w:rPr>
          <w:rFonts w:hint="eastAsia"/>
          <w:b/>
          <w:bCs/>
        </w:rPr>
        <w:t>（1）湿地植被群落现状</w:t>
      </w:r>
    </w:p>
    <w:p>
      <w:pPr>
        <w:ind w:firstLine="480"/>
      </w:pPr>
      <w:r>
        <w:rPr>
          <w:rFonts w:hint="eastAsia"/>
        </w:rPr>
        <w:t>区域一般湿地及两侧分布有维管束植物75 科183 属226 种，其中蕨类植物6 科6 属7 种，裸子植物3 科3 属3 种，被子植物66 科174 属216 种（双子叶植物55 科132 属162 种，单子叶植物11 科42 属54 种）。湿地植被类型有龙眼群落、草丛等 2 个类型，有龙眼群落、水稻草丛、白花鬼针草草丛、水蓼草丛、丁香蓼草丛、水龙草丛、短叶水蜈蚣草丛等7 个群系。</w:t>
      </w:r>
    </w:p>
    <w:p>
      <w:pPr>
        <w:ind w:firstLine="480"/>
      </w:pPr>
      <w:r>
        <w:rPr>
          <w:rFonts w:hint="eastAsia"/>
        </w:rPr>
        <w:t>①龙眼群落：主要分布在河道两侧的园地，群落较破碎，每100</w:t>
      </w:r>
      <w:r>
        <w:t>m</w:t>
      </w:r>
      <w:r>
        <w:rPr>
          <w:vertAlign w:val="superscript"/>
        </w:rPr>
        <w:t>2</w:t>
      </w:r>
      <w:r>
        <w:rPr>
          <w:rFonts w:hint="eastAsia"/>
        </w:rPr>
        <w:t>约有龙眼7株，平均胸径13.5cm，树高4.5m，乔木层仅有龙眼；灌木层盖度8%，主要有蓖麻、苎麻、地桃花、盐肤木等；草本层盖度20%，主要有白花鬼针草、芭蕉、青葙、牛筋草等；层间植物主要有葎草、杠板归。</w:t>
      </w:r>
    </w:p>
    <w:p>
      <w:pPr>
        <w:ind w:firstLine="480"/>
      </w:pPr>
      <w:r>
        <w:rPr>
          <w:rFonts w:hint="eastAsia"/>
        </w:rPr>
        <w:t>②水稻草丛：一年生草本，生于水稻田，广布于亚洲和美洲的热带和亚热带地区。水稻在本项目迳江河段岸边常见，多成片分布。</w:t>
      </w:r>
    </w:p>
    <w:p>
      <w:pPr>
        <w:ind w:firstLine="480"/>
      </w:pPr>
      <w:r>
        <w:rPr>
          <w:rFonts w:hint="eastAsia"/>
        </w:rPr>
        <w:t>③白花鬼针草草丛：一年生草本，生于村旁、路边及荒地中，广布于亚洲和美洲的热带和亚热带地区。白花鬼针草在本项目迳江河段岸边常见，多呈小片状分布。</w:t>
      </w:r>
    </w:p>
    <w:p>
      <w:pPr>
        <w:ind w:firstLine="480"/>
      </w:pPr>
      <w:r>
        <w:rPr>
          <w:rFonts w:hint="eastAsia"/>
        </w:rPr>
        <w:t>④水蓼草丛：一年生草本，生于河岸边，广布于亚洲和美洲的热带和亚热带地区。水蓼在本项目迳江河段岸边常见，多呈小片状分布。</w:t>
      </w:r>
    </w:p>
    <w:p>
      <w:pPr>
        <w:ind w:firstLine="480"/>
      </w:pPr>
      <w:r>
        <w:rPr>
          <w:rFonts w:hint="eastAsia"/>
        </w:rPr>
        <w:t>⑤丁香蓼草丛：一年生草本，生于河岸边，广布于亚洲和美洲的热带和亚热带地区。丁香蓼在本项目迳江河段岸边常见，多呈小片状分布。</w:t>
      </w:r>
    </w:p>
    <w:p>
      <w:pPr>
        <w:ind w:firstLine="480"/>
      </w:pPr>
      <w:r>
        <w:rPr>
          <w:rFonts w:hint="eastAsia"/>
        </w:rPr>
        <w:t>⑥水龙草丛：一年生草本，生于河岸边，广布于亚洲和美洲的热带和亚热带地区。水龙在本项目迳江河段岸边常见，多呈小片状分布</w:t>
      </w:r>
    </w:p>
    <w:p>
      <w:pPr>
        <w:ind w:firstLine="480"/>
      </w:pPr>
      <w:r>
        <w:rPr>
          <w:rFonts w:hint="eastAsia"/>
        </w:rPr>
        <w:t>⑦短叶水蜈蚣草丛：一年生草本，生于河岸边，广布于亚洲和美洲的热带和亚热带地区。水蓼在本项目迳江河段岸边常见，多呈小片状分布。</w:t>
      </w:r>
    </w:p>
    <w:p>
      <w:pPr>
        <w:ind w:firstLine="482"/>
        <w:rPr>
          <w:b/>
          <w:bCs/>
        </w:rPr>
      </w:pPr>
      <w:r>
        <w:rPr>
          <w:rFonts w:hint="eastAsia"/>
          <w:b/>
          <w:bCs/>
        </w:rPr>
        <w:t>（2）湿地动物群落</w:t>
      </w:r>
    </w:p>
    <w:p>
      <w:pPr>
        <w:ind w:firstLine="480"/>
      </w:pPr>
      <w:r>
        <w:rPr>
          <w:rFonts w:hint="eastAsia"/>
        </w:rPr>
        <w:t>主要包括两栖类群落、爬行类群落、鸟类群落、哺乳动物群落等，详见4</w:t>
      </w:r>
      <w:r>
        <w:t>.3.4</w:t>
      </w:r>
      <w:r>
        <w:rPr>
          <w:rFonts w:hint="eastAsia"/>
        </w:rPr>
        <w:t>章节。</w:t>
      </w:r>
    </w:p>
    <w:p>
      <w:pPr>
        <w:ind w:firstLine="482"/>
        <w:rPr>
          <w:b/>
          <w:bCs/>
        </w:rPr>
      </w:pPr>
      <w:r>
        <w:rPr>
          <w:rFonts w:hint="eastAsia"/>
          <w:b/>
          <w:bCs/>
        </w:rPr>
        <w:t>（3）水生生物群落</w:t>
      </w:r>
    </w:p>
    <w:p>
      <w:pPr>
        <w:ind w:firstLine="480"/>
      </w:pPr>
      <w:r>
        <w:rPr>
          <w:rFonts w:hint="eastAsia"/>
        </w:rPr>
        <w:t>根据《黄檗山万福寺旅游公路项目对福清市一般湿地生态功能影响评价报告》调查，线路沿线水生生物群落现状如下：</w:t>
      </w:r>
    </w:p>
    <w:p>
      <w:pPr>
        <w:ind w:firstLine="480"/>
      </w:pPr>
      <w:r>
        <w:rPr>
          <w:rFonts w:hint="eastAsia"/>
        </w:rPr>
        <w:t>①浮游植物：评价区湿地浮游植物的平均群密度约为16014.33×103个细胞数/L，其中蓝藻类约占78.3%，隐藻类约占11.4%，绿藻类约占7.0%，硅藻类约占总平均密度的3.3%，甲藻类约占0.02%。其中优势种主要有尖尾蓝隐藻、隐球藻和铜绿微囊藻，三者约占浮游植物总平均密度的82%。</w:t>
      </w:r>
    </w:p>
    <w:p>
      <w:pPr>
        <w:ind w:firstLine="480"/>
      </w:pPr>
      <w:r>
        <w:rPr>
          <w:rFonts w:hint="eastAsia"/>
        </w:rPr>
        <w:t>此外，卷曲鱼腥藻、不定腔球藻、网状空星藻和远距直链藻等的数量也相对较多。</w:t>
      </w:r>
    </w:p>
    <w:p>
      <w:pPr>
        <w:ind w:firstLine="480"/>
      </w:pPr>
      <w:r>
        <w:rPr>
          <w:rFonts w:hint="eastAsia"/>
        </w:rPr>
        <w:t>②浮游动物：评价区湿地浮游动物种群密度的平均值约为4340.7个/L，其中原生动物约占98.5%，轮虫约占0.8%，桡足类约占0.6%，枝角类约占0.08%。优势种主要有绿急游虫、陀螺侠盗虫、树状聚缩虫、瓶累枝虫和大弹跳虫等，它们约占总平均密度的96.7%。</w:t>
      </w:r>
    </w:p>
    <w:p>
      <w:pPr>
        <w:ind w:firstLine="480"/>
      </w:pPr>
      <w:r>
        <w:rPr>
          <w:rFonts w:hint="eastAsia"/>
        </w:rPr>
        <w:t>③底栖动物：评价区共有底栖动物6类37种，其中环节动物寡毛类10种、软体动物腹足类2种、瓣鳃类5种、节肢动物虾类9种、蟹类5种、水生昆虫类6种。主要有水生昆虫类的花翅前突摇蚊、短触多足摇蚊；寡毛类的霍甫水丝蚓、苏氏尾鳃蚓；瓣鳃类的湖沼股蛤；腹足类的中国圆田螺、静水椎实螺；蟹类的铲肢华南溪蟹；虾类的罗氏沼虾等。</w:t>
      </w:r>
    </w:p>
    <w:p>
      <w:pPr>
        <w:ind w:firstLine="480"/>
      </w:pPr>
      <w:r>
        <w:rPr>
          <w:rFonts w:hint="eastAsia"/>
        </w:rPr>
        <w:t>④鱼类资源现状：评价区的鱼类4 目10 科33 种，主要以草、鲢、鳙、鲤、鲫等种类为主。详见下表。</w:t>
      </w:r>
    </w:p>
    <w:p>
      <w:pPr>
        <w:ind w:firstLine="480"/>
      </w:pPr>
    </w:p>
    <w:p>
      <w:pPr>
        <w:pStyle w:val="857"/>
        <w:rPr>
          <w:rFonts w:hint="eastAsia" w:eastAsia="宋体"/>
          <w:lang w:eastAsia="zh-CN"/>
        </w:rPr>
      </w:pPr>
    </w:p>
    <w:p>
      <w:pPr>
        <w:pStyle w:val="122"/>
      </w:pPr>
      <w:r>
        <w:rPr>
          <w:rFonts w:hint="eastAsia"/>
        </w:rPr>
        <w:t>湿地植被现状图</w:t>
      </w:r>
    </w:p>
    <w:p>
      <w:pPr>
        <w:pStyle w:val="87"/>
        <w:spacing w:before="120"/>
      </w:pPr>
      <w:r>
        <w:rPr>
          <w:rFonts w:hint="eastAsia"/>
        </w:rPr>
        <w:t>评价区鱼类资源调查表</w:t>
      </w:r>
    </w:p>
    <w:p>
      <w:pPr>
        <w:pStyle w:val="105"/>
        <w:rPr>
          <w:rFonts w:hint="eastAsia" w:eastAsia="宋体"/>
          <w:lang w:eastAsia="zh-CN"/>
        </w:rPr>
      </w:pPr>
    </w:p>
    <w:p>
      <w:pPr>
        <w:ind w:firstLine="420"/>
        <w:rPr>
          <w:rFonts w:ascii="楷体" w:hAnsi="楷体" w:eastAsia="楷体" w:cs="Times New Roman"/>
          <w:sz w:val="21"/>
          <w:szCs w:val="20"/>
        </w:rPr>
      </w:pPr>
      <w:r>
        <w:rPr>
          <w:rFonts w:ascii="楷体" w:hAnsi="楷体" w:eastAsia="楷体" w:cs="Times New Roman"/>
          <w:sz w:val="21"/>
          <w:szCs w:val="20"/>
        </w:rPr>
        <w:t>注：附表来源于《黄檗山万福寺旅游公路项目对福清市一般湿地生态功能影响评价报告》</w:t>
      </w:r>
    </w:p>
    <w:p>
      <w:pPr>
        <w:pStyle w:val="120"/>
        <w:rPr>
          <w:color w:val="auto"/>
        </w:rPr>
      </w:pPr>
      <w:r>
        <w:rPr>
          <w:color w:val="auto"/>
        </w:rPr>
        <w:t>施工临时占地植被调查</w:t>
      </w:r>
    </w:p>
    <w:p>
      <w:pPr>
        <w:ind w:firstLine="480"/>
      </w:pPr>
      <w:r>
        <w:t>本项目施工临时占地主要1处</w:t>
      </w:r>
      <w:r>
        <w:rPr>
          <w:rFonts w:hint="eastAsia"/>
        </w:rPr>
        <w:t>施工场地及</w:t>
      </w:r>
      <w:r>
        <w:t>3</w:t>
      </w:r>
      <w:r>
        <w:rPr>
          <w:rFonts w:hint="eastAsia"/>
        </w:rPr>
        <w:t>处表土堆场。</w:t>
      </w:r>
    </w:p>
    <w:p>
      <w:pPr>
        <w:ind w:firstLine="480"/>
      </w:pPr>
    </w:p>
    <w:p>
      <w:pPr>
        <w:ind w:firstLine="480"/>
      </w:pPr>
    </w:p>
    <w:p>
      <w:pPr>
        <w:ind w:firstLine="480"/>
      </w:pPr>
    </w:p>
    <w:p>
      <w:pPr>
        <w:ind w:firstLine="480"/>
      </w:pPr>
    </w:p>
    <w:p>
      <w:pPr>
        <w:ind w:firstLine="480"/>
      </w:pPr>
    </w:p>
    <w:p>
      <w:pPr>
        <w:ind w:firstLine="480"/>
      </w:pPr>
    </w:p>
    <w:p>
      <w:pPr>
        <w:ind w:firstLine="480"/>
      </w:pPr>
    </w:p>
    <w:p>
      <w:pPr>
        <w:pStyle w:val="87"/>
        <w:spacing w:before="120"/>
      </w:pPr>
      <w:bookmarkStart w:id="430" w:name="3.5.2评价区植被现状调查"/>
      <w:bookmarkEnd w:id="430"/>
      <w:bookmarkStart w:id="431" w:name="3.5.3野生动物资源调查"/>
      <w:bookmarkEnd w:id="431"/>
      <w:bookmarkStart w:id="432" w:name="3.5.4水土保持现状调查"/>
      <w:bookmarkEnd w:id="432"/>
      <w:bookmarkStart w:id="433" w:name="_Ref80781519"/>
      <w:r>
        <w:rPr>
          <w:rFonts w:hint="eastAsia"/>
        </w:rPr>
        <w:t>施工场地和表土堆场</w:t>
      </w:r>
      <w:bookmarkEnd w:id="433"/>
      <w:r>
        <w:rPr>
          <w:rFonts w:hint="eastAsia"/>
        </w:rPr>
        <w:t>植被现状一览表</w:t>
      </w:r>
    </w:p>
    <w:tbl>
      <w:tblPr>
        <w:tblStyle w:val="1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447"/>
        <w:gridCol w:w="1035"/>
        <w:gridCol w:w="1146"/>
        <w:gridCol w:w="1538"/>
        <w:gridCol w:w="33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0" w:type="pct"/>
            <w:vAlign w:val="center"/>
          </w:tcPr>
          <w:p>
            <w:pPr>
              <w:pStyle w:val="105"/>
              <w:jc w:val="center"/>
              <w:rPr>
                <w:snapToGrid w:val="0"/>
              </w:rPr>
            </w:pPr>
            <w:r>
              <w:rPr>
                <w:snapToGrid w:val="0"/>
              </w:rPr>
              <w:t>项目</w:t>
            </w:r>
          </w:p>
        </w:tc>
        <w:tc>
          <w:tcPr>
            <w:tcW w:w="779" w:type="pct"/>
            <w:vAlign w:val="center"/>
          </w:tcPr>
          <w:p>
            <w:pPr>
              <w:pStyle w:val="105"/>
              <w:jc w:val="center"/>
              <w:rPr>
                <w:snapToGrid w:val="0"/>
              </w:rPr>
            </w:pPr>
            <w:r>
              <w:rPr>
                <w:snapToGrid w:val="0"/>
              </w:rPr>
              <w:t>位置</w:t>
            </w:r>
          </w:p>
        </w:tc>
        <w:tc>
          <w:tcPr>
            <w:tcW w:w="557" w:type="pct"/>
            <w:vAlign w:val="center"/>
          </w:tcPr>
          <w:p>
            <w:pPr>
              <w:pStyle w:val="105"/>
              <w:jc w:val="center"/>
              <w:rPr>
                <w:snapToGrid w:val="0"/>
              </w:rPr>
            </w:pPr>
            <w:r>
              <w:rPr>
                <w:snapToGrid w:val="0"/>
              </w:rPr>
              <w:t>面积（hm</w:t>
            </w:r>
            <w:r>
              <w:rPr>
                <w:snapToGrid w:val="0"/>
                <w:vertAlign w:val="superscript"/>
              </w:rPr>
              <w:t>2</w:t>
            </w:r>
            <w:r>
              <w:rPr>
                <w:snapToGrid w:val="0"/>
              </w:rPr>
              <w:t>）</w:t>
            </w:r>
          </w:p>
        </w:tc>
        <w:tc>
          <w:tcPr>
            <w:tcW w:w="617" w:type="pct"/>
            <w:vAlign w:val="center"/>
          </w:tcPr>
          <w:p>
            <w:pPr>
              <w:pStyle w:val="105"/>
              <w:jc w:val="center"/>
              <w:rPr>
                <w:snapToGrid w:val="0"/>
              </w:rPr>
            </w:pPr>
            <w:r>
              <w:rPr>
                <w:rFonts w:hint="eastAsia"/>
                <w:snapToGrid w:val="0"/>
              </w:rPr>
              <w:t>用地类型现状</w:t>
            </w:r>
          </w:p>
        </w:tc>
        <w:tc>
          <w:tcPr>
            <w:tcW w:w="828" w:type="pct"/>
            <w:vAlign w:val="center"/>
          </w:tcPr>
          <w:p>
            <w:pPr>
              <w:pStyle w:val="105"/>
              <w:jc w:val="center"/>
              <w:rPr>
                <w:snapToGrid w:val="0"/>
              </w:rPr>
            </w:pPr>
            <w:r>
              <w:rPr>
                <w:rFonts w:hint="eastAsia"/>
                <w:snapToGrid w:val="0"/>
              </w:rPr>
              <w:t>用途</w:t>
            </w:r>
          </w:p>
        </w:tc>
        <w:tc>
          <w:tcPr>
            <w:tcW w:w="1829" w:type="pct"/>
            <w:vAlign w:val="center"/>
          </w:tcPr>
          <w:p>
            <w:pPr>
              <w:pStyle w:val="105"/>
              <w:jc w:val="center"/>
              <w:rPr>
                <w:snapToGrid w:val="0"/>
              </w:rPr>
            </w:pPr>
            <w:r>
              <w:rPr>
                <w:snapToGrid w:val="0"/>
              </w:rPr>
              <w:t>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0" w:type="pct"/>
            <w:vAlign w:val="center"/>
          </w:tcPr>
          <w:p>
            <w:pPr>
              <w:pStyle w:val="105"/>
              <w:jc w:val="center"/>
              <w:rPr>
                <w:snapToGrid w:val="0"/>
              </w:rPr>
            </w:pPr>
            <w:r>
              <w:rPr>
                <w:rFonts w:hint="eastAsia"/>
                <w:snapToGrid w:val="0"/>
              </w:rPr>
              <w:t>1</w:t>
            </w:r>
            <w:r>
              <w:rPr>
                <w:snapToGrid w:val="0"/>
              </w:rPr>
              <w:t>#</w:t>
            </w:r>
            <w:r>
              <w:rPr>
                <w:rFonts w:hint="eastAsia"/>
                <w:snapToGrid w:val="0"/>
              </w:rPr>
              <w:t>施工场地</w:t>
            </w:r>
          </w:p>
        </w:tc>
        <w:tc>
          <w:tcPr>
            <w:tcW w:w="779" w:type="pct"/>
            <w:vAlign w:val="center"/>
          </w:tcPr>
          <w:p>
            <w:pPr>
              <w:pStyle w:val="105"/>
              <w:jc w:val="center"/>
              <w:rPr>
                <w:snapToGrid w:val="0"/>
              </w:rPr>
            </w:pPr>
            <w:r>
              <w:rPr>
                <w:snapToGrid w:val="0"/>
              </w:rPr>
              <w:t>K1+900</w:t>
            </w:r>
            <w:r>
              <w:rPr>
                <w:rFonts w:hint="eastAsia"/>
                <w:snapToGrid w:val="0"/>
              </w:rPr>
              <w:t>路右</w:t>
            </w:r>
          </w:p>
        </w:tc>
        <w:tc>
          <w:tcPr>
            <w:tcW w:w="557" w:type="pct"/>
            <w:vAlign w:val="center"/>
          </w:tcPr>
          <w:p>
            <w:pPr>
              <w:pStyle w:val="105"/>
              <w:jc w:val="center"/>
              <w:rPr>
                <w:snapToGrid w:val="0"/>
              </w:rPr>
            </w:pPr>
            <w:r>
              <w:rPr>
                <w:snapToGrid w:val="0"/>
              </w:rPr>
              <w:t>0.70</w:t>
            </w:r>
          </w:p>
        </w:tc>
        <w:tc>
          <w:tcPr>
            <w:tcW w:w="617" w:type="pct"/>
            <w:vAlign w:val="center"/>
          </w:tcPr>
          <w:p>
            <w:pPr>
              <w:pStyle w:val="105"/>
              <w:jc w:val="center"/>
              <w:rPr>
                <w:snapToGrid w:val="0"/>
              </w:rPr>
            </w:pPr>
            <w:r>
              <w:rPr>
                <w:rFonts w:hint="eastAsia"/>
                <w:snapToGrid w:val="0"/>
              </w:rPr>
              <w:t>其他草地和其他林地</w:t>
            </w:r>
          </w:p>
        </w:tc>
        <w:tc>
          <w:tcPr>
            <w:tcW w:w="828" w:type="pct"/>
            <w:vAlign w:val="center"/>
          </w:tcPr>
          <w:p>
            <w:pPr>
              <w:pStyle w:val="105"/>
              <w:jc w:val="center"/>
              <w:rPr>
                <w:snapToGrid w:val="0"/>
              </w:rPr>
            </w:pPr>
            <w:r>
              <w:rPr>
                <w:rFonts w:hint="eastAsia"/>
                <w:snapToGrid w:val="0"/>
              </w:rPr>
              <w:t>钢筋加工场、预制场、存梁区、材料堆场、小型构件预制场、临时办公值班房等</w:t>
            </w:r>
          </w:p>
        </w:tc>
        <w:tc>
          <w:tcPr>
            <w:tcW w:w="1829" w:type="pct"/>
            <w:vAlign w:val="center"/>
          </w:tcPr>
          <w:p>
            <w:pPr>
              <w:pStyle w:val="105"/>
              <w:jc w:val="left"/>
              <w:rPr>
                <w:snapToGrid w:val="0"/>
              </w:rPr>
            </w:pPr>
            <w:r>
              <w:rPr>
                <w:rFonts w:hint="eastAsia"/>
                <w:snapToGrid w:val="0"/>
              </w:rPr>
              <w:t>现状为杂草地和一般林地（稀疏桉树），不涉及基本农田、生态公益林、生态保护红线等生态敏感区。南侧</w:t>
            </w:r>
            <w:r>
              <w:rPr>
                <w:snapToGrid w:val="0"/>
              </w:rPr>
              <w:t>5</w:t>
            </w:r>
            <w:r>
              <w:rPr>
                <w:rFonts w:hint="eastAsia"/>
                <w:snapToGrid w:val="0"/>
              </w:rPr>
              <w:t>m临近基本农田。</w:t>
            </w:r>
          </w:p>
          <w:p>
            <w:pPr>
              <w:pStyle w:val="105"/>
              <w:jc w:val="left"/>
              <w:rPr>
                <w:snapToGrid w:val="0"/>
              </w:rPr>
            </w:pPr>
            <w:r>
              <w:rPr>
                <w:rFonts w:hint="eastAsia"/>
                <w:snapToGrid w:val="0"/>
              </w:rPr>
              <w:t>植被：稀疏桉树及灌草丛。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0" w:type="pct"/>
            <w:vAlign w:val="center"/>
          </w:tcPr>
          <w:p>
            <w:pPr>
              <w:pStyle w:val="105"/>
              <w:jc w:val="center"/>
              <w:rPr>
                <w:snapToGrid w:val="0"/>
              </w:rPr>
            </w:pPr>
            <w:r>
              <w:rPr>
                <w:rFonts w:hint="eastAsia"/>
                <w:snapToGrid w:val="0"/>
              </w:rPr>
              <w:t>1</w:t>
            </w:r>
            <w:r>
              <w:rPr>
                <w:snapToGrid w:val="0"/>
              </w:rPr>
              <w:t>#</w:t>
            </w:r>
            <w:r>
              <w:rPr>
                <w:rFonts w:hint="eastAsia"/>
                <w:snapToGrid w:val="0"/>
              </w:rPr>
              <w:t>表土堆场</w:t>
            </w:r>
          </w:p>
        </w:tc>
        <w:tc>
          <w:tcPr>
            <w:tcW w:w="779" w:type="pct"/>
            <w:vAlign w:val="center"/>
          </w:tcPr>
          <w:p>
            <w:pPr>
              <w:pStyle w:val="105"/>
              <w:jc w:val="center"/>
              <w:rPr>
                <w:snapToGrid w:val="0"/>
              </w:rPr>
            </w:pPr>
            <w:r>
              <w:rPr>
                <w:rFonts w:eastAsia="Times New Roman" w:cs="Times New Roman"/>
                <w:snapToGrid w:val="0"/>
                <w:spacing w:val="-1"/>
                <w:sz w:val="18"/>
                <w:szCs w:val="22"/>
              </w:rPr>
              <w:t>K0+620</w:t>
            </w:r>
            <w:r>
              <w:rPr>
                <w:rFonts w:hint="eastAsia"/>
                <w:snapToGrid w:val="0"/>
                <w:spacing w:val="-1"/>
                <w:sz w:val="18"/>
                <w:szCs w:val="22"/>
              </w:rPr>
              <w:t>~</w:t>
            </w:r>
            <w:r>
              <w:rPr>
                <w:rFonts w:eastAsia="Times New Roman" w:cs="Times New Roman"/>
                <w:snapToGrid w:val="0"/>
                <w:spacing w:val="-1"/>
                <w:sz w:val="18"/>
                <w:szCs w:val="22"/>
              </w:rPr>
              <w:t xml:space="preserve"> K0+780</w:t>
            </w:r>
            <w:r>
              <w:rPr>
                <w:rFonts w:hint="eastAsia"/>
                <w:snapToGrid w:val="0"/>
                <w:spacing w:val="-1"/>
                <w:sz w:val="18"/>
                <w:szCs w:val="22"/>
              </w:rPr>
              <w:t>路基红线</w:t>
            </w:r>
          </w:p>
        </w:tc>
        <w:tc>
          <w:tcPr>
            <w:tcW w:w="557" w:type="pct"/>
            <w:vAlign w:val="center"/>
          </w:tcPr>
          <w:p>
            <w:pPr>
              <w:pStyle w:val="105"/>
              <w:jc w:val="center"/>
              <w:rPr>
                <w:snapToGrid w:val="0"/>
              </w:rPr>
            </w:pPr>
            <w:r>
              <w:rPr>
                <w:rFonts w:eastAsia="Times New Roman" w:cs="Times New Roman"/>
                <w:snapToGrid w:val="0"/>
                <w:sz w:val="18"/>
                <w:szCs w:val="22"/>
              </w:rPr>
              <w:t>0.32</w:t>
            </w:r>
          </w:p>
        </w:tc>
        <w:tc>
          <w:tcPr>
            <w:tcW w:w="617" w:type="pct"/>
            <w:vAlign w:val="center"/>
          </w:tcPr>
          <w:p>
            <w:pPr>
              <w:pStyle w:val="105"/>
              <w:jc w:val="center"/>
              <w:rPr>
                <w:snapToGrid w:val="0"/>
              </w:rPr>
            </w:pPr>
            <w:r>
              <w:rPr>
                <w:rFonts w:hint="eastAsia"/>
                <w:snapToGrid w:val="0"/>
                <w:sz w:val="18"/>
                <w:szCs w:val="22"/>
              </w:rPr>
              <w:t>耕地（旱地）</w:t>
            </w:r>
          </w:p>
        </w:tc>
        <w:tc>
          <w:tcPr>
            <w:tcW w:w="828" w:type="pct"/>
            <w:vAlign w:val="center"/>
          </w:tcPr>
          <w:p>
            <w:pPr>
              <w:pStyle w:val="105"/>
              <w:jc w:val="center"/>
              <w:rPr>
                <w:snapToGrid w:val="0"/>
              </w:rPr>
            </w:pPr>
            <w:r>
              <w:rPr>
                <w:rFonts w:hint="eastAsia"/>
                <w:snapToGrid w:val="0"/>
              </w:rPr>
              <w:t>表土堆放</w:t>
            </w:r>
          </w:p>
        </w:tc>
        <w:tc>
          <w:tcPr>
            <w:tcW w:w="1829" w:type="pct"/>
            <w:vAlign w:val="center"/>
          </w:tcPr>
          <w:p>
            <w:pPr>
              <w:pStyle w:val="105"/>
              <w:jc w:val="center"/>
              <w:rPr>
                <w:snapToGrid w:val="0"/>
              </w:rPr>
            </w:pPr>
            <w:r>
              <w:rPr>
                <w:rFonts w:hint="eastAsia"/>
                <w:snapToGrid w:val="0"/>
              </w:rPr>
              <w:t>现状为龙眼林，不涉及基本农田、生态公益林、生态保护红线等生态敏感区。</w:t>
            </w:r>
          </w:p>
          <w:p>
            <w:pPr>
              <w:pStyle w:val="105"/>
              <w:jc w:val="center"/>
              <w:rPr>
                <w:snapToGrid w:val="0"/>
              </w:rPr>
            </w:pPr>
            <w:r>
              <w:rPr>
                <w:rFonts w:hint="eastAsia"/>
                <w:snapToGrid w:val="0"/>
              </w:rPr>
              <w:t>种植作物：时令蔬菜、萝卜等。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0" w:type="pct"/>
            <w:vAlign w:val="center"/>
          </w:tcPr>
          <w:p>
            <w:pPr>
              <w:pStyle w:val="105"/>
              <w:jc w:val="center"/>
              <w:rPr>
                <w:snapToGrid w:val="0"/>
                <w:highlight w:val="yellow"/>
              </w:rPr>
            </w:pPr>
            <w:r>
              <w:rPr>
                <w:snapToGrid w:val="0"/>
              </w:rPr>
              <w:t>2#</w:t>
            </w:r>
            <w:r>
              <w:rPr>
                <w:rFonts w:hint="eastAsia"/>
                <w:snapToGrid w:val="0"/>
              </w:rPr>
              <w:t>表土堆场</w:t>
            </w:r>
          </w:p>
        </w:tc>
        <w:tc>
          <w:tcPr>
            <w:tcW w:w="779" w:type="pct"/>
            <w:vAlign w:val="center"/>
          </w:tcPr>
          <w:p>
            <w:pPr>
              <w:pStyle w:val="105"/>
              <w:jc w:val="center"/>
              <w:rPr>
                <w:snapToGrid w:val="0"/>
                <w:highlight w:val="yellow"/>
              </w:rPr>
            </w:pPr>
            <w:r>
              <w:rPr>
                <w:rFonts w:eastAsia="Times New Roman" w:cs="Times New Roman"/>
                <w:snapToGrid w:val="0"/>
                <w:sz w:val="18"/>
                <w:szCs w:val="22"/>
              </w:rPr>
              <w:t xml:space="preserve">K3+510~620 </w:t>
            </w:r>
            <w:r>
              <w:rPr>
                <w:rFonts w:hint="eastAsia" w:ascii="宋体" w:hAnsi="宋体"/>
                <w:snapToGrid w:val="0"/>
                <w:sz w:val="18"/>
                <w:szCs w:val="22"/>
              </w:rPr>
              <w:t>左侧</w:t>
            </w:r>
            <w:r>
              <w:rPr>
                <w:rFonts w:hint="eastAsia"/>
                <w:snapToGrid w:val="0"/>
                <w:spacing w:val="-1"/>
                <w:sz w:val="18"/>
                <w:szCs w:val="22"/>
              </w:rPr>
              <w:t>路基</w:t>
            </w:r>
          </w:p>
        </w:tc>
        <w:tc>
          <w:tcPr>
            <w:tcW w:w="557" w:type="pct"/>
            <w:vAlign w:val="center"/>
          </w:tcPr>
          <w:p>
            <w:pPr>
              <w:pStyle w:val="105"/>
              <w:jc w:val="center"/>
              <w:rPr>
                <w:snapToGrid w:val="0"/>
                <w:highlight w:val="yellow"/>
              </w:rPr>
            </w:pPr>
            <w:r>
              <w:rPr>
                <w:rFonts w:eastAsia="Times New Roman" w:cs="Times New Roman"/>
                <w:snapToGrid w:val="0"/>
                <w:sz w:val="18"/>
                <w:szCs w:val="22"/>
              </w:rPr>
              <w:t>0.30</w:t>
            </w:r>
          </w:p>
        </w:tc>
        <w:tc>
          <w:tcPr>
            <w:tcW w:w="617" w:type="pct"/>
            <w:vAlign w:val="center"/>
          </w:tcPr>
          <w:p>
            <w:pPr>
              <w:pStyle w:val="105"/>
              <w:jc w:val="center"/>
              <w:rPr>
                <w:snapToGrid w:val="0"/>
                <w:highlight w:val="yellow"/>
              </w:rPr>
            </w:pPr>
            <w:r>
              <w:rPr>
                <w:rFonts w:hint="eastAsia"/>
                <w:snapToGrid w:val="0"/>
                <w:spacing w:val="-7"/>
                <w:sz w:val="18"/>
                <w:szCs w:val="22"/>
              </w:rPr>
              <w:t>园地</w:t>
            </w:r>
          </w:p>
        </w:tc>
        <w:tc>
          <w:tcPr>
            <w:tcW w:w="828" w:type="pct"/>
            <w:vAlign w:val="center"/>
          </w:tcPr>
          <w:p>
            <w:pPr>
              <w:pStyle w:val="105"/>
              <w:jc w:val="center"/>
              <w:rPr>
                <w:snapToGrid w:val="0"/>
              </w:rPr>
            </w:pPr>
            <w:r>
              <w:rPr>
                <w:rFonts w:hint="eastAsia"/>
                <w:snapToGrid w:val="0"/>
              </w:rPr>
              <w:t>表土堆放</w:t>
            </w:r>
          </w:p>
        </w:tc>
        <w:tc>
          <w:tcPr>
            <w:tcW w:w="1829" w:type="pct"/>
            <w:vAlign w:val="center"/>
          </w:tcPr>
          <w:p>
            <w:pPr>
              <w:pStyle w:val="105"/>
              <w:jc w:val="center"/>
              <w:rPr>
                <w:snapToGrid w:val="0"/>
                <w:highlight w:val="yellow"/>
              </w:rPr>
            </w:pPr>
            <w:r>
              <w:rPr>
                <w:rFonts w:hint="eastAsia"/>
                <w:snapToGrid w:val="0"/>
              </w:rPr>
              <w:t>现状为果园地（龙眼林），不涉及基本农田、生态公益林、生态保护红线等生态敏感区。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0" w:type="pct"/>
            <w:vAlign w:val="center"/>
          </w:tcPr>
          <w:p>
            <w:pPr>
              <w:pStyle w:val="105"/>
              <w:jc w:val="center"/>
              <w:rPr>
                <w:snapToGrid w:val="0"/>
                <w:highlight w:val="yellow"/>
              </w:rPr>
            </w:pPr>
            <w:r>
              <w:rPr>
                <w:snapToGrid w:val="0"/>
              </w:rPr>
              <w:t>3#</w:t>
            </w:r>
            <w:r>
              <w:rPr>
                <w:rFonts w:hint="eastAsia"/>
                <w:snapToGrid w:val="0"/>
              </w:rPr>
              <w:t>表土堆场</w:t>
            </w:r>
          </w:p>
        </w:tc>
        <w:tc>
          <w:tcPr>
            <w:tcW w:w="779" w:type="pct"/>
            <w:vAlign w:val="center"/>
          </w:tcPr>
          <w:p>
            <w:pPr>
              <w:pStyle w:val="105"/>
              <w:jc w:val="center"/>
              <w:rPr>
                <w:snapToGrid w:val="0"/>
                <w:highlight w:val="yellow"/>
              </w:rPr>
            </w:pPr>
            <w:r>
              <w:rPr>
                <w:rFonts w:eastAsia="Times New Roman" w:cs="Times New Roman"/>
                <w:snapToGrid w:val="0"/>
                <w:spacing w:val="-1"/>
                <w:sz w:val="18"/>
                <w:szCs w:val="22"/>
              </w:rPr>
              <w:t>K4+300~ K4+420</w:t>
            </w:r>
            <w:r>
              <w:rPr>
                <w:rFonts w:hint="eastAsia" w:ascii="宋体" w:hAnsi="宋体"/>
                <w:snapToGrid w:val="0"/>
                <w:spacing w:val="-1"/>
                <w:sz w:val="18"/>
                <w:szCs w:val="22"/>
              </w:rPr>
              <w:t>右侧</w:t>
            </w:r>
            <w:r>
              <w:rPr>
                <w:rFonts w:hint="eastAsia"/>
                <w:snapToGrid w:val="0"/>
                <w:spacing w:val="-1"/>
                <w:sz w:val="18"/>
                <w:szCs w:val="22"/>
              </w:rPr>
              <w:t>路基</w:t>
            </w:r>
          </w:p>
        </w:tc>
        <w:tc>
          <w:tcPr>
            <w:tcW w:w="557" w:type="pct"/>
            <w:vAlign w:val="center"/>
          </w:tcPr>
          <w:p>
            <w:pPr>
              <w:pStyle w:val="105"/>
              <w:jc w:val="center"/>
              <w:rPr>
                <w:snapToGrid w:val="0"/>
                <w:highlight w:val="yellow"/>
              </w:rPr>
            </w:pPr>
            <w:r>
              <w:rPr>
                <w:rFonts w:eastAsia="Times New Roman" w:cs="Times New Roman"/>
                <w:snapToGrid w:val="0"/>
                <w:sz w:val="18"/>
                <w:szCs w:val="22"/>
              </w:rPr>
              <w:t>0.32</w:t>
            </w:r>
          </w:p>
        </w:tc>
        <w:tc>
          <w:tcPr>
            <w:tcW w:w="617" w:type="pct"/>
            <w:vAlign w:val="center"/>
          </w:tcPr>
          <w:p>
            <w:pPr>
              <w:pStyle w:val="105"/>
              <w:jc w:val="center"/>
              <w:rPr>
                <w:snapToGrid w:val="0"/>
                <w:highlight w:val="yellow"/>
              </w:rPr>
            </w:pPr>
            <w:r>
              <w:rPr>
                <w:rFonts w:hint="eastAsia"/>
                <w:snapToGrid w:val="0"/>
                <w:sz w:val="18"/>
                <w:szCs w:val="22"/>
              </w:rPr>
              <w:t>林地</w:t>
            </w:r>
          </w:p>
        </w:tc>
        <w:tc>
          <w:tcPr>
            <w:tcW w:w="828" w:type="pct"/>
            <w:vAlign w:val="center"/>
          </w:tcPr>
          <w:p>
            <w:pPr>
              <w:pStyle w:val="105"/>
              <w:jc w:val="center"/>
              <w:rPr>
                <w:snapToGrid w:val="0"/>
              </w:rPr>
            </w:pPr>
            <w:r>
              <w:rPr>
                <w:rFonts w:hint="eastAsia"/>
                <w:snapToGrid w:val="0"/>
              </w:rPr>
              <w:t>表土堆放</w:t>
            </w:r>
          </w:p>
        </w:tc>
        <w:tc>
          <w:tcPr>
            <w:tcW w:w="1829" w:type="pct"/>
            <w:vAlign w:val="center"/>
          </w:tcPr>
          <w:p>
            <w:pPr>
              <w:pStyle w:val="105"/>
              <w:jc w:val="center"/>
              <w:rPr>
                <w:snapToGrid w:val="0"/>
                <w:highlight w:val="yellow"/>
              </w:rPr>
            </w:pPr>
            <w:r>
              <w:rPr>
                <w:rFonts w:hint="eastAsia"/>
                <w:snapToGrid w:val="0"/>
              </w:rPr>
              <w:t>现状为林地，不涉及基本农田和生态保护红线。主要</w:t>
            </w:r>
            <w:r>
              <w:rPr>
                <w:snapToGrid w:val="0"/>
              </w:rPr>
              <w:t>玉山文创农业公司（</w:t>
            </w:r>
            <w:r>
              <w:rPr>
                <w:rFonts w:hint="eastAsia"/>
                <w:snapToGrid w:val="0"/>
              </w:rPr>
              <w:t>景观园艺）。</w:t>
            </w:r>
          </w:p>
        </w:tc>
      </w:tr>
    </w:tbl>
    <w:p>
      <w:pPr>
        <w:ind w:firstLine="0" w:firstLineChars="0"/>
        <w:jc w:val="center"/>
        <w:rPr>
          <w:rFonts w:hint="eastAsia" w:eastAsia="宋体"/>
          <w:lang w:eastAsia="zh-CN"/>
        </w:rPr>
      </w:pPr>
      <w:r>
        <mc:AlternateContent>
          <mc:Choice Requires="wps">
            <w:drawing>
              <wp:anchor distT="0" distB="0" distL="114300" distR="114300" simplePos="0" relativeHeight="251686912" behindDoc="0" locked="0" layoutInCell="1" allowOverlap="1">
                <wp:simplePos x="0" y="0"/>
                <wp:positionH relativeFrom="column">
                  <wp:posOffset>2118995</wp:posOffset>
                </wp:positionH>
                <wp:positionV relativeFrom="paragraph">
                  <wp:posOffset>2428240</wp:posOffset>
                </wp:positionV>
                <wp:extent cx="1872615" cy="1628775"/>
                <wp:effectExtent l="0" t="0" r="13335" b="28575"/>
                <wp:wrapNone/>
                <wp:docPr id="17" name="矩形 17"/>
                <wp:cNvGraphicFramePr/>
                <a:graphic xmlns:a="http://schemas.openxmlformats.org/drawingml/2006/main">
                  <a:graphicData uri="http://schemas.microsoft.com/office/word/2010/wordprocessingShape">
                    <wps:wsp>
                      <wps:cNvSpPr/>
                      <wps:spPr>
                        <a:xfrm>
                          <a:off x="0" y="0"/>
                          <a:ext cx="1872615" cy="1628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85pt;margin-top:191.2pt;height:128.25pt;width:147.45pt;z-index:251686912;v-text-anchor:middle;mso-width-relative:page;mso-height-relative:page;" filled="f" stroked="t" coordsize="21600,21600" o:gfxdata="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HGoCdgAAAALAQAADwAAAAAAAAABACAAAAAiAAAAZHJzL2Rvd25yZXYu&#10;eG1sUEsBAhQAFAAAAAgAh07iQC3sGaZtAgAAzgQAAA4AAAAAAAAAAQAgAAAAJwEAAGRycy9lMm9E&#10;b2MueG1sUEsFBgAAAAAGAAYAWQEAAAYGAAAAAA==&#10;">
                <v:fill on="f" focussize="0,0"/>
                <v:stroke weight="1pt" color="#FF0000 [3204]" miterlimit="8" joinstyle="miter"/>
                <v:imagedata o:title=""/>
                <o:lock v:ext="edit" aspectratio="f"/>
              </v:rect>
            </w:pict>
          </mc:Fallback>
        </mc:AlternateContent>
      </w:r>
    </w:p>
    <w:p>
      <w:pPr>
        <w:ind w:firstLine="1200" w:firstLineChars="500"/>
        <w:jc w:val="center"/>
      </w:pPr>
      <w:r>
        <w:rPr>
          <w:rFonts w:hint="eastAsia"/>
        </w:rPr>
        <w:t>1</w:t>
      </w:r>
      <w:r>
        <w:t>#</w:t>
      </w:r>
      <w:r>
        <w:rPr>
          <w:rFonts w:hint="eastAsia"/>
        </w:rPr>
        <w:t>施工场地现状</w:t>
      </w:r>
    </w:p>
    <w:p>
      <w:pPr>
        <w:ind w:firstLine="0" w:firstLineChars="0"/>
        <w:rPr>
          <w:rFonts w:hint="eastAsia" w:eastAsia="宋体"/>
          <w:lang w:eastAsia="zh-CN"/>
        </w:rPr>
      </w:pPr>
      <w:r>
        <mc:AlternateContent>
          <mc:Choice Requires="wps">
            <w:drawing>
              <wp:anchor distT="0" distB="0" distL="114300" distR="114300" simplePos="0" relativeHeight="251664384" behindDoc="0" locked="0" layoutInCell="1" allowOverlap="1">
                <wp:simplePos x="0" y="0"/>
                <wp:positionH relativeFrom="column">
                  <wp:posOffset>2479040</wp:posOffset>
                </wp:positionH>
                <wp:positionV relativeFrom="paragraph">
                  <wp:posOffset>1645920</wp:posOffset>
                </wp:positionV>
                <wp:extent cx="716280" cy="2132965"/>
                <wp:effectExtent l="228600" t="76200" r="217805" b="76835"/>
                <wp:wrapNone/>
                <wp:docPr id="1622346477" name="矩形 1622346477"/>
                <wp:cNvGraphicFramePr/>
                <a:graphic xmlns:a="http://schemas.openxmlformats.org/drawingml/2006/main">
                  <a:graphicData uri="http://schemas.microsoft.com/office/word/2010/wordprocessingShape">
                    <wps:wsp>
                      <wps:cNvSpPr/>
                      <wps:spPr>
                        <a:xfrm rot="20921309">
                          <a:off x="0" y="0"/>
                          <a:ext cx="716132" cy="2132993"/>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2pt;margin-top:129.6pt;height:167.95pt;width:56.4pt;rotation:-741312f;z-index:251664384;v-text-anchor:middle;mso-width-relative:page;mso-height-relative:page;" filled="f" stroked="t" coordsize="21600,21600" o:gfxdata="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pOhx9kAAAALAQAADwAAAAAAAAABACAA&#10;AAAiAAAAZHJzL2Rvd25yZXYueG1sUEsBAhQAFAAAAAgAh07iQHTEK6t+AgAA7AQAAA4AAAAAAAAA&#10;AQAgAAAAKAEAAGRycy9lMm9Eb2MueG1sUEsFBgAAAAAGAAYAWQEAABgGAAAAAA==&#10;">
                <v:fill on="f" focussize="0,0"/>
                <v:stroke weight="1pt" color="#0000FF [3204]" miterlimit="8" joinstyle="miter"/>
                <v:imagedata o:title=""/>
                <o:lock v:ext="edit" aspectratio="f"/>
              </v:rect>
            </w:pict>
          </mc:Fallback>
        </mc:AlternateContent>
      </w:r>
      <w:r>
        <mc:AlternateContent>
          <mc:Choice Requires="wps">
            <w:drawing>
              <wp:anchor distT="0" distB="0" distL="114300" distR="114300" simplePos="0" relativeHeight="251763712" behindDoc="0" locked="0" layoutInCell="1" allowOverlap="1">
                <wp:simplePos x="0" y="0"/>
                <wp:positionH relativeFrom="margin">
                  <wp:posOffset>2208530</wp:posOffset>
                </wp:positionH>
                <wp:positionV relativeFrom="paragraph">
                  <wp:posOffset>207645</wp:posOffset>
                </wp:positionV>
                <wp:extent cx="1093470" cy="4165600"/>
                <wp:effectExtent l="342900" t="0" r="182880" b="26035"/>
                <wp:wrapNone/>
                <wp:docPr id="1593004314" name="箭头: 下 1593004314"/>
                <wp:cNvGraphicFramePr/>
                <a:graphic xmlns:a="http://schemas.openxmlformats.org/drawingml/2006/main">
                  <a:graphicData uri="http://schemas.microsoft.com/office/word/2010/wordprocessingShape">
                    <wps:wsp>
                      <wps:cNvSpPr/>
                      <wps:spPr>
                        <a:xfrm rot="10073668">
                          <a:off x="0" y="0"/>
                          <a:ext cx="1093590" cy="4165322"/>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1593004314" o:spid="_x0000_s1026" o:spt="67" type="#_x0000_t67" style="position:absolute;left:0pt;margin-left:173.9pt;margin-top:16.35pt;height:328pt;width:86.1pt;mso-position-horizontal-relative:margin;rotation:11003132f;z-index:251763712;v-text-anchor:middle;mso-width-relative:page;mso-height-relative:page;" filled="f" stroked="t" coordsize="21600,21600" o:gfxdata="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Jn307tkAAAAKAQAA&#10;DwAAAAAAAAABACAAAAAiAAAAZHJzL2Rvd25yZXYueG1sUEsBAhQAFAAAAAgAh07iQOIAqYmKAgAA&#10;9wQAAA4AAAAAAAAAAQAgAAAAKAEAAGRycy9lMm9Eb2MueG1sUEsFBgAAAAAGAAYAWQEAACQGAAAA&#10;AA==&#10;" adj="18765,5400">
                <v:fill on="f" focussize="0,0"/>
                <v:stroke weight="1pt" color="#FF0000 [3204]" miterlimit="8" joinstyle="miter"/>
                <v:imagedata o:title=""/>
                <o:lock v:ext="edit" aspectratio="f"/>
              </v:shape>
            </w:pict>
          </mc:Fallback>
        </mc:AlternateContent>
      </w:r>
      <w:r>
        <w:t xml:space="preserve">  </w:t>
      </w:r>
    </w:p>
    <w:p>
      <w:pPr>
        <w:ind w:firstLine="0" w:firstLineChars="0"/>
        <w:jc w:val="center"/>
      </w:pPr>
      <w:r>
        <w:rPr>
          <w:rFonts w:hint="eastAsia"/>
        </w:rPr>
        <w:t>1</w:t>
      </w:r>
      <w:r>
        <w:t>#</w:t>
      </w:r>
      <w:r>
        <w:rPr>
          <w:rFonts w:hint="eastAsia"/>
        </w:rPr>
        <w:t>表土堆场现状</w:t>
      </w:r>
    </w:p>
    <w:p>
      <w:pPr>
        <w:ind w:firstLine="0" w:firstLineChars="0"/>
        <w:jc w:val="center"/>
        <w:rPr>
          <w:rFonts w:hint="eastAsia" w:eastAsia="宋体"/>
          <w:lang w:eastAsia="zh-CN"/>
        </w:rPr>
      </w:pPr>
      <w:r>
        <w:t xml:space="preserve">  </w:t>
      </w:r>
    </w:p>
    <w:p>
      <w:pPr>
        <w:ind w:firstLine="0" w:firstLineChars="0"/>
        <w:jc w:val="center"/>
      </w:pPr>
      <w:r>
        <w:t>2#</w:t>
      </w:r>
      <w:r>
        <w:rPr>
          <w:rFonts w:hint="eastAsia"/>
        </w:rPr>
        <w:t>表土堆场现状</w:t>
      </w:r>
      <w:r>
        <w:t xml:space="preserve">                                      3#</w:t>
      </w:r>
      <w:r>
        <w:rPr>
          <w:rFonts w:hint="eastAsia"/>
        </w:rPr>
        <w:t>表土堆场现状</w:t>
      </w:r>
      <w:r>
        <w:t xml:space="preserve">   </w:t>
      </w:r>
    </w:p>
    <w:p>
      <w:pPr>
        <w:ind w:firstLine="720" w:firstLineChars="300"/>
        <w:jc w:val="left"/>
      </w:pPr>
    </w:p>
    <w:p>
      <w:pPr>
        <w:ind w:firstLine="0" w:firstLineChars="0"/>
        <w:jc w:val="center"/>
        <w:sectPr>
          <w:pgSz w:w="11910" w:h="16840"/>
          <w:pgMar w:top="1418" w:right="1418" w:bottom="1418" w:left="1418" w:header="851" w:footer="851" w:gutter="0"/>
          <w:cols w:space="720" w:num="1"/>
        </w:sectPr>
      </w:pPr>
      <w:r>
        <w:rPr>
          <w:rFonts w:hint="eastAsia"/>
        </w:rPr>
        <w:t xml:space="preserve"> </w:t>
      </w:r>
      <w:r>
        <w:t xml:space="preserve">   </w:t>
      </w:r>
    </w:p>
    <w:p>
      <w:pPr>
        <w:pStyle w:val="114"/>
      </w:pPr>
      <w:bookmarkStart w:id="434" w:name="4环境影响预测与评价"/>
      <w:bookmarkEnd w:id="434"/>
      <w:bookmarkStart w:id="435" w:name="_Toc24781"/>
      <w:bookmarkStart w:id="436" w:name="_Toc159405472"/>
      <w:bookmarkStart w:id="437" w:name="_Toc204676245"/>
      <w:r>
        <w:t>环境影响预测与评价</w:t>
      </w:r>
      <w:bookmarkEnd w:id="435"/>
      <w:bookmarkEnd w:id="436"/>
      <w:bookmarkEnd w:id="437"/>
    </w:p>
    <w:p>
      <w:pPr>
        <w:pStyle w:val="116"/>
        <w:rPr>
          <w:sz w:val="28"/>
          <w:szCs w:val="28"/>
        </w:rPr>
      </w:pPr>
      <w:bookmarkStart w:id="438" w:name="_Toc149645946"/>
      <w:bookmarkStart w:id="439" w:name="_Toc154668043"/>
      <w:bookmarkStart w:id="440" w:name="_Toc204676246"/>
      <w:bookmarkStart w:id="441" w:name="_Toc159405473"/>
      <w:r>
        <w:rPr>
          <w:rFonts w:hint="eastAsia"/>
        </w:rPr>
        <w:t>生态影响评价</w:t>
      </w:r>
      <w:bookmarkEnd w:id="438"/>
      <w:bookmarkEnd w:id="439"/>
      <w:bookmarkEnd w:id="440"/>
      <w:bookmarkEnd w:id="441"/>
    </w:p>
    <w:p>
      <w:pPr>
        <w:pStyle w:val="120"/>
        <w:rPr>
          <w:color w:val="auto"/>
        </w:rPr>
      </w:pPr>
      <w:r>
        <w:rPr>
          <w:rFonts w:hint="eastAsia"/>
          <w:color w:val="auto"/>
        </w:rPr>
        <w:t>施工期生态影响分析</w:t>
      </w:r>
    </w:p>
    <w:p>
      <w:pPr>
        <w:ind w:firstLine="480"/>
      </w:pPr>
      <w:r>
        <w:rPr>
          <w:rFonts w:hint="eastAsia"/>
        </w:rPr>
        <w:t>拟建公路对生态环境的影响主要发生在施工期，主要表现在主体工程对土地的占用和分割，改变了土地利用性质，使评价范围植被覆盖率下降，林地面积减少，耕地利用压力增大；路基的填筑与开挖、土石方临时堆场等的施工，破坏了地表植被和地形、地貌，而这些变化若是路基占用部分，则其影响是不可逆的；该项目的施工、建设，在一定时段和一定区域将造成水土流失，土壤肥力和团粒结构发生改变；工程活动打破了原有的自然生态和环境，还会对评价区动植物的生长、分布、栖息和活动产生一定不利的影响。</w:t>
      </w:r>
    </w:p>
    <w:p>
      <w:pPr>
        <w:pStyle w:val="118"/>
      </w:pPr>
      <w:r>
        <w:rPr>
          <w:rFonts w:hint="eastAsia"/>
        </w:rPr>
        <w:t>工程占地影响分析</w:t>
      </w:r>
    </w:p>
    <w:p>
      <w:pPr>
        <w:ind w:firstLine="480"/>
      </w:pPr>
      <w:r>
        <w:rPr>
          <w:rFonts w:hint="eastAsia"/>
        </w:rPr>
        <w:t>（1）主体工程占地的影响分析</w:t>
      </w:r>
    </w:p>
    <w:p>
      <w:pPr>
        <w:ind w:firstLine="480"/>
      </w:pPr>
      <w:r>
        <w:rPr>
          <w:rFonts w:hint="eastAsia"/>
        </w:rPr>
        <w:t>本项目工程永久占地面积</w:t>
      </w:r>
      <w:r>
        <w:rPr>
          <w:spacing w:val="-7"/>
        </w:rPr>
        <w:t>1</w:t>
      </w:r>
      <w:r>
        <w:rPr>
          <w:rFonts w:hint="eastAsia"/>
          <w:spacing w:val="-7"/>
        </w:rPr>
        <w:t>4.</w:t>
      </w:r>
      <w:r>
        <w:rPr>
          <w:spacing w:val="-7"/>
        </w:rPr>
        <w:t>6617</w:t>
      </w:r>
      <w:r>
        <w:rPr>
          <w:rFonts w:hint="eastAsia"/>
          <w:spacing w:val="-7"/>
        </w:rPr>
        <w:t>hm</w:t>
      </w:r>
      <w:r>
        <w:rPr>
          <w:spacing w:val="-7"/>
          <w:vertAlign w:val="superscript"/>
        </w:rPr>
        <w:t>2</w:t>
      </w:r>
      <w:r>
        <w:rPr>
          <w:rFonts w:hint="eastAsia"/>
        </w:rPr>
        <w:t>，其中</w:t>
      </w:r>
      <w:r>
        <w:rPr>
          <w:kern w:val="0"/>
          <w:szCs w:val="24"/>
          <w:lang w:val="zh-CN"/>
        </w:rPr>
        <w:t>耕地</w:t>
      </w:r>
      <w:r>
        <w:rPr>
          <w:rFonts w:hint="eastAsia"/>
        </w:rPr>
        <w:t>4</w:t>
      </w:r>
      <w:r>
        <w:t>.424</w:t>
      </w:r>
      <w:r>
        <w:rPr>
          <w:rFonts w:hint="eastAsia"/>
        </w:rPr>
        <w:t>hm</w:t>
      </w:r>
      <w:r>
        <w:rPr>
          <w:rFonts w:hint="eastAsia"/>
          <w:vertAlign w:val="superscript"/>
        </w:rPr>
        <w:t>2</w:t>
      </w:r>
      <w:r>
        <w:rPr>
          <w:rFonts w:hint="eastAsia"/>
          <w:kern w:val="0"/>
          <w:szCs w:val="24"/>
        </w:rPr>
        <w:t>，</w:t>
      </w:r>
      <w:r>
        <w:rPr>
          <w:kern w:val="0"/>
          <w:szCs w:val="24"/>
          <w:lang w:val="zh-CN"/>
        </w:rPr>
        <w:t>林地</w:t>
      </w:r>
      <w:r>
        <w:rPr>
          <w:rFonts w:hint="eastAsia"/>
        </w:rPr>
        <w:t>4</w:t>
      </w:r>
      <w:r>
        <w:t>.487</w:t>
      </w:r>
      <w:r>
        <w:rPr>
          <w:rFonts w:hint="eastAsia"/>
        </w:rPr>
        <w:t>hm</w:t>
      </w:r>
      <w:r>
        <w:rPr>
          <w:rFonts w:hint="eastAsia"/>
          <w:vertAlign w:val="superscript"/>
        </w:rPr>
        <w:t>2</w:t>
      </w:r>
      <w:r>
        <w:rPr>
          <w:kern w:val="0"/>
          <w:szCs w:val="24"/>
          <w:lang w:val="zh-CN"/>
        </w:rPr>
        <w:t>、园地</w:t>
      </w:r>
      <w:r>
        <w:rPr>
          <w:rFonts w:hint="eastAsia"/>
        </w:rPr>
        <w:t>2</w:t>
      </w:r>
      <w:r>
        <w:t>.6056</w:t>
      </w:r>
      <w:r>
        <w:rPr>
          <w:rFonts w:hint="eastAsia"/>
        </w:rPr>
        <w:t>hm</w:t>
      </w:r>
      <w:r>
        <w:rPr>
          <w:rFonts w:hint="eastAsia"/>
          <w:vertAlign w:val="superscript"/>
        </w:rPr>
        <w:t>2</w:t>
      </w:r>
      <w:r>
        <w:rPr>
          <w:kern w:val="0"/>
          <w:szCs w:val="24"/>
          <w:lang w:val="zh-CN"/>
        </w:rPr>
        <w:t>、</w:t>
      </w:r>
      <w:r>
        <w:rPr>
          <w:rFonts w:hint="eastAsia"/>
          <w:kern w:val="0"/>
          <w:szCs w:val="24"/>
          <w:lang w:val="zh-CN"/>
        </w:rPr>
        <w:t>草地</w:t>
      </w:r>
      <w:r>
        <w:rPr>
          <w:rFonts w:hint="eastAsia"/>
        </w:rPr>
        <w:t>0</w:t>
      </w:r>
      <w:r>
        <w:t>.5844</w:t>
      </w:r>
      <w:r>
        <w:rPr>
          <w:rFonts w:hint="eastAsia"/>
        </w:rPr>
        <w:t xml:space="preserve"> hm</w:t>
      </w:r>
      <w:r>
        <w:rPr>
          <w:rFonts w:hint="eastAsia"/>
          <w:vertAlign w:val="superscript"/>
        </w:rPr>
        <w:t>2</w:t>
      </w:r>
      <w:r>
        <w:rPr>
          <w:kern w:val="0"/>
          <w:szCs w:val="24"/>
          <w:lang w:val="zh-CN"/>
        </w:rPr>
        <w:t>、其他农用地</w:t>
      </w:r>
      <w:r>
        <w:rPr>
          <w:rFonts w:hint="eastAsia"/>
        </w:rPr>
        <w:t>1</w:t>
      </w:r>
      <w:r>
        <w:t>.052</w:t>
      </w:r>
      <w:r>
        <w:rPr>
          <w:rFonts w:hint="eastAsia"/>
        </w:rPr>
        <w:t>hm</w:t>
      </w:r>
      <w:r>
        <w:rPr>
          <w:rFonts w:hint="eastAsia"/>
          <w:vertAlign w:val="superscript"/>
        </w:rPr>
        <w:t>2</w:t>
      </w:r>
      <w:r>
        <w:rPr>
          <w:rFonts w:hint="eastAsia"/>
        </w:rPr>
        <w:t>、</w:t>
      </w:r>
      <w:r>
        <w:rPr>
          <w:kern w:val="0"/>
          <w:szCs w:val="24"/>
          <w:lang w:val="zh-CN"/>
        </w:rPr>
        <w:t>建设用地</w:t>
      </w:r>
      <w:r>
        <w:rPr>
          <w:rFonts w:hint="eastAsia"/>
        </w:rPr>
        <w:t>0</w:t>
      </w:r>
      <w:r>
        <w:t>.6581</w:t>
      </w:r>
      <w:r>
        <w:rPr>
          <w:rFonts w:hint="eastAsia"/>
        </w:rPr>
        <w:t>hm</w:t>
      </w:r>
      <w:r>
        <w:rPr>
          <w:rFonts w:hint="eastAsia"/>
          <w:vertAlign w:val="superscript"/>
        </w:rPr>
        <w:t>2</w:t>
      </w:r>
      <w:r>
        <w:rPr>
          <w:kern w:val="0"/>
          <w:szCs w:val="24"/>
        </w:rPr>
        <w:t>，</w:t>
      </w:r>
      <w:r>
        <w:rPr>
          <w:kern w:val="0"/>
          <w:szCs w:val="24"/>
          <w:lang w:val="zh-CN"/>
        </w:rPr>
        <w:t>未利用地</w:t>
      </w:r>
      <w:r>
        <w:rPr>
          <w:rFonts w:hint="eastAsia"/>
        </w:rPr>
        <w:t>0</w:t>
      </w:r>
      <w:r>
        <w:t>.8507</w:t>
      </w:r>
      <w:r>
        <w:rPr>
          <w:rFonts w:hint="eastAsia"/>
        </w:rPr>
        <w:t>hm</w:t>
      </w:r>
      <w:r>
        <w:rPr>
          <w:rFonts w:hint="eastAsia"/>
          <w:vertAlign w:val="superscript"/>
        </w:rPr>
        <w:t>2</w:t>
      </w:r>
      <w:r>
        <w:rPr>
          <w:rFonts w:hint="eastAsia"/>
        </w:rPr>
        <w:t>。根据建设项目用地预审和</w:t>
      </w:r>
      <w:r>
        <w:t>选址意见书</w:t>
      </w:r>
      <w:r>
        <w:rPr>
          <w:rFonts w:hint="eastAsia"/>
        </w:rPr>
        <w:t>，项目不涉及生态保护红线，不占用基本农田，项目建设符合国土空间规划用地管制要求。</w:t>
      </w:r>
    </w:p>
    <w:p>
      <w:pPr>
        <w:pStyle w:val="87"/>
        <w:spacing w:before="163"/>
        <w:ind w:left="480" w:firstLine="480"/>
      </w:pPr>
      <w:r>
        <w:rPr>
          <w:rFonts w:hint="eastAsia"/>
        </w:rPr>
        <w:t>项目建设前后评价范围内土地利用格局变化情况</w:t>
      </w:r>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70"/>
        <w:gridCol w:w="970"/>
        <w:gridCol w:w="1079"/>
        <w:gridCol w:w="972"/>
        <w:gridCol w:w="1076"/>
        <w:gridCol w:w="1439"/>
        <w:gridCol w:w="1364"/>
        <w:gridCol w:w="9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vMerge w:val="restart"/>
            <w:noWrap/>
            <w:vAlign w:val="center"/>
          </w:tcPr>
          <w:p>
            <w:pPr>
              <w:pStyle w:val="105"/>
              <w:jc w:val="center"/>
            </w:pPr>
            <w:r>
              <w:rPr>
                <w:rFonts w:hint="eastAsia"/>
              </w:rPr>
              <w:t>占地类型</w:t>
            </w:r>
          </w:p>
        </w:tc>
        <w:tc>
          <w:tcPr>
            <w:tcW w:w="1130" w:type="pct"/>
            <w:gridSpan w:val="2"/>
            <w:vAlign w:val="center"/>
          </w:tcPr>
          <w:p>
            <w:pPr>
              <w:pStyle w:val="105"/>
              <w:jc w:val="center"/>
            </w:pPr>
            <w:r>
              <w:rPr>
                <w:rFonts w:hint="eastAsia"/>
              </w:rPr>
              <w:t>评价范围占地类型</w:t>
            </w:r>
          </w:p>
        </w:tc>
        <w:tc>
          <w:tcPr>
            <w:tcW w:w="1129" w:type="pct"/>
            <w:gridSpan w:val="2"/>
            <w:vAlign w:val="center"/>
          </w:tcPr>
          <w:p>
            <w:pPr>
              <w:pStyle w:val="105"/>
              <w:jc w:val="center"/>
            </w:pPr>
            <w:r>
              <w:rPr>
                <w:rFonts w:hint="eastAsia"/>
              </w:rPr>
              <w:t>工程红线占地类型</w:t>
            </w:r>
          </w:p>
        </w:tc>
        <w:tc>
          <w:tcPr>
            <w:tcW w:w="1545" w:type="pct"/>
            <w:gridSpan w:val="2"/>
            <w:noWrap/>
            <w:vAlign w:val="center"/>
          </w:tcPr>
          <w:p>
            <w:pPr>
              <w:pStyle w:val="105"/>
              <w:jc w:val="center"/>
            </w:pPr>
            <w:r>
              <w:rPr>
                <w:rFonts w:hint="eastAsia"/>
              </w:rPr>
              <w:t>征地后评价范围占地类型</w:t>
            </w:r>
          </w:p>
        </w:tc>
        <w:tc>
          <w:tcPr>
            <w:tcW w:w="496" w:type="pct"/>
            <w:vMerge w:val="restart"/>
            <w:vAlign w:val="center"/>
          </w:tcPr>
          <w:p>
            <w:pPr>
              <w:pStyle w:val="105"/>
              <w:jc w:val="center"/>
            </w:pPr>
            <w:r>
              <w:rPr>
                <w:rFonts w:hint="eastAsia"/>
              </w:rPr>
              <w:t>变化量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vMerge w:val="continue"/>
            <w:noWrap/>
            <w:vAlign w:val="center"/>
          </w:tcPr>
          <w:p>
            <w:pPr>
              <w:pStyle w:val="105"/>
              <w:jc w:val="center"/>
            </w:pPr>
          </w:p>
        </w:tc>
        <w:tc>
          <w:tcPr>
            <w:tcW w:w="535" w:type="pct"/>
            <w:vAlign w:val="center"/>
          </w:tcPr>
          <w:p>
            <w:pPr>
              <w:pStyle w:val="105"/>
              <w:jc w:val="center"/>
            </w:pPr>
            <w:r>
              <w:rPr>
                <w:rFonts w:hint="eastAsia"/>
              </w:rPr>
              <w:t>面积</w:t>
            </w:r>
          </w:p>
        </w:tc>
        <w:tc>
          <w:tcPr>
            <w:tcW w:w="595" w:type="pct"/>
            <w:vAlign w:val="center"/>
          </w:tcPr>
          <w:p>
            <w:pPr>
              <w:pStyle w:val="105"/>
              <w:jc w:val="center"/>
            </w:pPr>
            <w:r>
              <w:rPr>
                <w:rFonts w:hint="eastAsia"/>
              </w:rPr>
              <w:t>比例</w:t>
            </w:r>
          </w:p>
        </w:tc>
        <w:tc>
          <w:tcPr>
            <w:tcW w:w="536" w:type="pct"/>
            <w:vAlign w:val="center"/>
          </w:tcPr>
          <w:p>
            <w:pPr>
              <w:pStyle w:val="105"/>
              <w:jc w:val="center"/>
            </w:pPr>
            <w:r>
              <w:rPr>
                <w:rFonts w:hint="eastAsia"/>
              </w:rPr>
              <w:t>面积</w:t>
            </w:r>
          </w:p>
        </w:tc>
        <w:tc>
          <w:tcPr>
            <w:tcW w:w="593" w:type="pct"/>
            <w:vAlign w:val="center"/>
          </w:tcPr>
          <w:p>
            <w:pPr>
              <w:pStyle w:val="105"/>
              <w:jc w:val="center"/>
            </w:pPr>
            <w:r>
              <w:rPr>
                <w:rFonts w:hint="eastAsia"/>
              </w:rPr>
              <w:t>比例</w:t>
            </w:r>
          </w:p>
        </w:tc>
        <w:tc>
          <w:tcPr>
            <w:tcW w:w="793" w:type="pct"/>
            <w:noWrap/>
            <w:vAlign w:val="center"/>
          </w:tcPr>
          <w:p>
            <w:pPr>
              <w:pStyle w:val="105"/>
              <w:jc w:val="center"/>
            </w:pPr>
            <w:r>
              <w:rPr>
                <w:rFonts w:hint="eastAsia"/>
              </w:rPr>
              <w:t>面积</w:t>
            </w:r>
          </w:p>
        </w:tc>
        <w:tc>
          <w:tcPr>
            <w:tcW w:w="752" w:type="pct"/>
            <w:noWrap/>
            <w:vAlign w:val="center"/>
          </w:tcPr>
          <w:p>
            <w:pPr>
              <w:pStyle w:val="105"/>
              <w:jc w:val="center"/>
            </w:pPr>
            <w:r>
              <w:rPr>
                <w:rFonts w:hint="eastAsia"/>
              </w:rPr>
              <w:t>比例</w:t>
            </w:r>
          </w:p>
        </w:tc>
        <w:tc>
          <w:tcPr>
            <w:tcW w:w="496" w:type="pct"/>
            <w:vMerge w:val="continue"/>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noWrap/>
            <w:vAlign w:val="center"/>
          </w:tcPr>
          <w:p>
            <w:pPr>
              <w:pStyle w:val="105"/>
              <w:jc w:val="center"/>
            </w:pPr>
            <w:r>
              <w:rPr>
                <w:rFonts w:hint="eastAsia"/>
              </w:rPr>
              <w:t>耕地</w:t>
            </w:r>
          </w:p>
        </w:tc>
        <w:tc>
          <w:tcPr>
            <w:tcW w:w="535" w:type="pct"/>
            <w:vAlign w:val="center"/>
          </w:tcPr>
          <w:p>
            <w:pPr>
              <w:pStyle w:val="105"/>
              <w:jc w:val="center"/>
            </w:pPr>
            <w:r>
              <w:rPr>
                <w:rFonts w:cs="Times New Roman"/>
                <w:szCs w:val="21"/>
              </w:rPr>
              <w:t>112.5085</w:t>
            </w:r>
          </w:p>
        </w:tc>
        <w:tc>
          <w:tcPr>
            <w:tcW w:w="595" w:type="pct"/>
            <w:vAlign w:val="center"/>
          </w:tcPr>
          <w:p>
            <w:pPr>
              <w:pStyle w:val="105"/>
              <w:jc w:val="center"/>
            </w:pPr>
            <w:r>
              <w:rPr>
                <w:rFonts w:cs="Times New Roman"/>
                <w:szCs w:val="21"/>
              </w:rPr>
              <w:t>29.83%</w:t>
            </w:r>
          </w:p>
        </w:tc>
        <w:tc>
          <w:tcPr>
            <w:tcW w:w="536" w:type="pct"/>
            <w:vAlign w:val="center"/>
          </w:tcPr>
          <w:p>
            <w:pPr>
              <w:pStyle w:val="105"/>
              <w:jc w:val="center"/>
            </w:pPr>
            <w:r>
              <w:rPr>
                <w:rFonts w:cs="Times New Roman"/>
                <w:szCs w:val="21"/>
              </w:rPr>
              <w:t>4.424</w:t>
            </w:r>
          </w:p>
        </w:tc>
        <w:tc>
          <w:tcPr>
            <w:tcW w:w="593" w:type="pct"/>
            <w:vAlign w:val="center"/>
          </w:tcPr>
          <w:p>
            <w:pPr>
              <w:pStyle w:val="105"/>
              <w:jc w:val="center"/>
            </w:pPr>
            <w:r>
              <w:rPr>
                <w:rFonts w:cs="Times New Roman"/>
                <w:szCs w:val="21"/>
              </w:rPr>
              <w:t>30.17%</w:t>
            </w:r>
          </w:p>
        </w:tc>
        <w:tc>
          <w:tcPr>
            <w:tcW w:w="793" w:type="pct"/>
            <w:noWrap/>
            <w:vAlign w:val="center"/>
          </w:tcPr>
          <w:p>
            <w:pPr>
              <w:pStyle w:val="105"/>
              <w:jc w:val="center"/>
            </w:pPr>
            <w:r>
              <w:rPr>
                <w:rFonts w:cs="Times New Roman"/>
                <w:szCs w:val="21"/>
              </w:rPr>
              <w:t>108.0845</w:t>
            </w:r>
          </w:p>
        </w:tc>
        <w:tc>
          <w:tcPr>
            <w:tcW w:w="752" w:type="pct"/>
            <w:noWrap/>
            <w:vAlign w:val="center"/>
          </w:tcPr>
          <w:p>
            <w:pPr>
              <w:pStyle w:val="105"/>
              <w:jc w:val="center"/>
            </w:pPr>
            <w:r>
              <w:rPr>
                <w:rFonts w:cs="Times New Roman"/>
                <w:szCs w:val="21"/>
              </w:rPr>
              <w:t>28.66%</w:t>
            </w:r>
          </w:p>
        </w:tc>
        <w:tc>
          <w:tcPr>
            <w:tcW w:w="496" w:type="pct"/>
            <w:vAlign w:val="center"/>
          </w:tcPr>
          <w:p>
            <w:pPr>
              <w:pStyle w:val="105"/>
              <w:jc w:val="center"/>
            </w:pPr>
            <w:r>
              <w:rPr>
                <w:rFonts w:cs="Times New Roman"/>
                <w:szCs w:val="21"/>
              </w:rPr>
              <w:t>-4.424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noWrap/>
            <w:vAlign w:val="center"/>
          </w:tcPr>
          <w:p>
            <w:pPr>
              <w:pStyle w:val="105"/>
              <w:jc w:val="center"/>
            </w:pPr>
            <w:r>
              <w:rPr>
                <w:rFonts w:hint="eastAsia"/>
              </w:rPr>
              <w:t>园地</w:t>
            </w:r>
          </w:p>
        </w:tc>
        <w:tc>
          <w:tcPr>
            <w:tcW w:w="535" w:type="pct"/>
            <w:vAlign w:val="center"/>
          </w:tcPr>
          <w:p>
            <w:pPr>
              <w:pStyle w:val="105"/>
              <w:jc w:val="center"/>
            </w:pPr>
            <w:r>
              <w:rPr>
                <w:rFonts w:cs="Times New Roman"/>
                <w:szCs w:val="21"/>
              </w:rPr>
              <w:t>59.4357</w:t>
            </w:r>
          </w:p>
        </w:tc>
        <w:tc>
          <w:tcPr>
            <w:tcW w:w="595" w:type="pct"/>
            <w:vAlign w:val="center"/>
          </w:tcPr>
          <w:p>
            <w:pPr>
              <w:pStyle w:val="105"/>
              <w:jc w:val="center"/>
            </w:pPr>
            <w:r>
              <w:rPr>
                <w:rFonts w:cs="Times New Roman"/>
                <w:szCs w:val="21"/>
              </w:rPr>
              <w:t>15.76%</w:t>
            </w:r>
          </w:p>
        </w:tc>
        <w:tc>
          <w:tcPr>
            <w:tcW w:w="536" w:type="pct"/>
            <w:vAlign w:val="center"/>
          </w:tcPr>
          <w:p>
            <w:pPr>
              <w:pStyle w:val="105"/>
              <w:jc w:val="center"/>
            </w:pPr>
            <w:r>
              <w:rPr>
                <w:rFonts w:cs="Times New Roman"/>
                <w:szCs w:val="21"/>
              </w:rPr>
              <w:t>2.6056</w:t>
            </w:r>
          </w:p>
        </w:tc>
        <w:tc>
          <w:tcPr>
            <w:tcW w:w="593" w:type="pct"/>
            <w:vAlign w:val="center"/>
          </w:tcPr>
          <w:p>
            <w:pPr>
              <w:pStyle w:val="105"/>
              <w:jc w:val="center"/>
            </w:pPr>
            <w:r>
              <w:rPr>
                <w:rFonts w:cs="Times New Roman"/>
                <w:szCs w:val="21"/>
              </w:rPr>
              <w:t>17.77%</w:t>
            </w:r>
          </w:p>
        </w:tc>
        <w:tc>
          <w:tcPr>
            <w:tcW w:w="793" w:type="pct"/>
            <w:noWrap/>
            <w:vAlign w:val="center"/>
          </w:tcPr>
          <w:p>
            <w:pPr>
              <w:pStyle w:val="105"/>
              <w:jc w:val="center"/>
            </w:pPr>
            <w:r>
              <w:rPr>
                <w:rFonts w:cs="Times New Roman"/>
                <w:szCs w:val="21"/>
              </w:rPr>
              <w:t>56.8301</w:t>
            </w:r>
          </w:p>
        </w:tc>
        <w:tc>
          <w:tcPr>
            <w:tcW w:w="752" w:type="pct"/>
            <w:noWrap/>
            <w:vAlign w:val="center"/>
          </w:tcPr>
          <w:p>
            <w:pPr>
              <w:pStyle w:val="105"/>
              <w:jc w:val="center"/>
            </w:pPr>
            <w:r>
              <w:rPr>
                <w:rFonts w:cs="Times New Roman"/>
                <w:szCs w:val="21"/>
              </w:rPr>
              <w:t>15.07%</w:t>
            </w:r>
          </w:p>
        </w:tc>
        <w:tc>
          <w:tcPr>
            <w:tcW w:w="496" w:type="pct"/>
            <w:vAlign w:val="center"/>
          </w:tcPr>
          <w:p>
            <w:pPr>
              <w:pStyle w:val="105"/>
              <w:jc w:val="center"/>
            </w:pPr>
            <w:r>
              <w:rPr>
                <w:rFonts w:cs="Times New Roman"/>
                <w:szCs w:val="21"/>
              </w:rPr>
              <w:t>-2.6056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noWrap/>
            <w:vAlign w:val="center"/>
          </w:tcPr>
          <w:p>
            <w:pPr>
              <w:pStyle w:val="105"/>
              <w:jc w:val="center"/>
            </w:pPr>
            <w:r>
              <w:rPr>
                <w:rFonts w:hint="eastAsia"/>
              </w:rPr>
              <w:t>林地</w:t>
            </w:r>
          </w:p>
        </w:tc>
        <w:tc>
          <w:tcPr>
            <w:tcW w:w="535" w:type="pct"/>
            <w:vAlign w:val="center"/>
          </w:tcPr>
          <w:p>
            <w:pPr>
              <w:pStyle w:val="105"/>
              <w:jc w:val="center"/>
            </w:pPr>
            <w:r>
              <w:rPr>
                <w:rFonts w:cs="Times New Roman"/>
                <w:szCs w:val="21"/>
              </w:rPr>
              <w:t>105.0668</w:t>
            </w:r>
          </w:p>
        </w:tc>
        <w:tc>
          <w:tcPr>
            <w:tcW w:w="595" w:type="pct"/>
            <w:vAlign w:val="center"/>
          </w:tcPr>
          <w:p>
            <w:pPr>
              <w:pStyle w:val="105"/>
              <w:jc w:val="center"/>
            </w:pPr>
            <w:r>
              <w:rPr>
                <w:rFonts w:cs="Times New Roman"/>
                <w:szCs w:val="21"/>
              </w:rPr>
              <w:t>27.86%</w:t>
            </w:r>
          </w:p>
        </w:tc>
        <w:tc>
          <w:tcPr>
            <w:tcW w:w="536" w:type="pct"/>
            <w:vAlign w:val="center"/>
          </w:tcPr>
          <w:p>
            <w:pPr>
              <w:pStyle w:val="105"/>
              <w:jc w:val="center"/>
            </w:pPr>
            <w:r>
              <w:rPr>
                <w:rFonts w:cs="Times New Roman"/>
                <w:szCs w:val="21"/>
              </w:rPr>
              <w:t>4.487</w:t>
            </w:r>
          </w:p>
        </w:tc>
        <w:tc>
          <w:tcPr>
            <w:tcW w:w="593" w:type="pct"/>
            <w:vAlign w:val="center"/>
          </w:tcPr>
          <w:p>
            <w:pPr>
              <w:pStyle w:val="105"/>
              <w:jc w:val="center"/>
            </w:pPr>
            <w:r>
              <w:rPr>
                <w:rFonts w:cs="Times New Roman"/>
                <w:szCs w:val="21"/>
              </w:rPr>
              <w:t>30.60%</w:t>
            </w:r>
          </w:p>
        </w:tc>
        <w:tc>
          <w:tcPr>
            <w:tcW w:w="793" w:type="pct"/>
            <w:noWrap/>
            <w:vAlign w:val="center"/>
          </w:tcPr>
          <w:p>
            <w:pPr>
              <w:pStyle w:val="105"/>
              <w:jc w:val="center"/>
            </w:pPr>
            <w:r>
              <w:rPr>
                <w:rFonts w:cs="Times New Roman"/>
                <w:szCs w:val="21"/>
              </w:rPr>
              <w:t>100.5798</w:t>
            </w:r>
          </w:p>
        </w:tc>
        <w:tc>
          <w:tcPr>
            <w:tcW w:w="752" w:type="pct"/>
            <w:noWrap/>
            <w:vAlign w:val="center"/>
          </w:tcPr>
          <w:p>
            <w:pPr>
              <w:pStyle w:val="105"/>
              <w:jc w:val="center"/>
            </w:pPr>
            <w:r>
              <w:rPr>
                <w:rFonts w:cs="Times New Roman"/>
                <w:szCs w:val="21"/>
              </w:rPr>
              <w:t>26.67%</w:t>
            </w:r>
          </w:p>
        </w:tc>
        <w:tc>
          <w:tcPr>
            <w:tcW w:w="496" w:type="pct"/>
            <w:vAlign w:val="center"/>
          </w:tcPr>
          <w:p>
            <w:pPr>
              <w:pStyle w:val="105"/>
              <w:jc w:val="center"/>
            </w:pPr>
            <w:r>
              <w:rPr>
                <w:rFonts w:cs="Times New Roman"/>
                <w:szCs w:val="21"/>
              </w:rPr>
              <w:t>-4.487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noWrap/>
            <w:vAlign w:val="center"/>
          </w:tcPr>
          <w:p>
            <w:pPr>
              <w:pStyle w:val="105"/>
              <w:jc w:val="center"/>
            </w:pPr>
            <w:r>
              <w:rPr>
                <w:rFonts w:hint="eastAsia"/>
              </w:rPr>
              <w:t>草地</w:t>
            </w:r>
          </w:p>
        </w:tc>
        <w:tc>
          <w:tcPr>
            <w:tcW w:w="535" w:type="pct"/>
            <w:vAlign w:val="center"/>
          </w:tcPr>
          <w:p>
            <w:pPr>
              <w:pStyle w:val="105"/>
              <w:jc w:val="center"/>
              <w:rPr>
                <w:rFonts w:cs="Times New Roman"/>
                <w:szCs w:val="21"/>
              </w:rPr>
            </w:pPr>
            <w:r>
              <w:rPr>
                <w:rFonts w:cs="Times New Roman"/>
                <w:szCs w:val="21"/>
              </w:rPr>
              <w:t>6.6057</w:t>
            </w:r>
          </w:p>
        </w:tc>
        <w:tc>
          <w:tcPr>
            <w:tcW w:w="595" w:type="pct"/>
            <w:vAlign w:val="center"/>
          </w:tcPr>
          <w:p>
            <w:pPr>
              <w:pStyle w:val="105"/>
              <w:jc w:val="center"/>
              <w:rPr>
                <w:rFonts w:cs="Times New Roman"/>
                <w:szCs w:val="21"/>
              </w:rPr>
            </w:pPr>
            <w:r>
              <w:rPr>
                <w:rFonts w:cs="Times New Roman"/>
                <w:szCs w:val="21"/>
              </w:rPr>
              <w:t>1.75%</w:t>
            </w:r>
          </w:p>
        </w:tc>
        <w:tc>
          <w:tcPr>
            <w:tcW w:w="536" w:type="pct"/>
            <w:vAlign w:val="center"/>
          </w:tcPr>
          <w:p>
            <w:pPr>
              <w:pStyle w:val="105"/>
              <w:jc w:val="center"/>
              <w:rPr>
                <w:rFonts w:cs="Times New Roman"/>
                <w:szCs w:val="21"/>
              </w:rPr>
            </w:pPr>
            <w:r>
              <w:rPr>
                <w:rFonts w:cs="Times New Roman"/>
                <w:szCs w:val="21"/>
              </w:rPr>
              <w:t>0.5844</w:t>
            </w:r>
          </w:p>
        </w:tc>
        <w:tc>
          <w:tcPr>
            <w:tcW w:w="593" w:type="pct"/>
            <w:vAlign w:val="center"/>
          </w:tcPr>
          <w:p>
            <w:pPr>
              <w:pStyle w:val="105"/>
              <w:jc w:val="center"/>
              <w:rPr>
                <w:rFonts w:cs="Times New Roman"/>
                <w:szCs w:val="21"/>
              </w:rPr>
            </w:pPr>
            <w:r>
              <w:rPr>
                <w:rFonts w:cs="Times New Roman"/>
                <w:szCs w:val="21"/>
              </w:rPr>
              <w:t>3.99%</w:t>
            </w:r>
          </w:p>
        </w:tc>
        <w:tc>
          <w:tcPr>
            <w:tcW w:w="793" w:type="pct"/>
            <w:noWrap/>
            <w:vAlign w:val="center"/>
          </w:tcPr>
          <w:p>
            <w:pPr>
              <w:pStyle w:val="105"/>
              <w:jc w:val="center"/>
              <w:rPr>
                <w:rFonts w:cs="Times New Roman"/>
                <w:szCs w:val="21"/>
              </w:rPr>
            </w:pPr>
            <w:r>
              <w:rPr>
                <w:rFonts w:cs="Times New Roman"/>
                <w:szCs w:val="21"/>
              </w:rPr>
              <w:t>6.0213</w:t>
            </w:r>
          </w:p>
        </w:tc>
        <w:tc>
          <w:tcPr>
            <w:tcW w:w="752" w:type="pct"/>
            <w:noWrap/>
            <w:vAlign w:val="center"/>
          </w:tcPr>
          <w:p>
            <w:pPr>
              <w:pStyle w:val="105"/>
              <w:jc w:val="center"/>
              <w:rPr>
                <w:rFonts w:cs="Times New Roman"/>
                <w:szCs w:val="21"/>
              </w:rPr>
            </w:pPr>
            <w:r>
              <w:rPr>
                <w:rFonts w:cs="Times New Roman"/>
                <w:szCs w:val="21"/>
              </w:rPr>
              <w:t>1.60%</w:t>
            </w:r>
          </w:p>
        </w:tc>
        <w:tc>
          <w:tcPr>
            <w:tcW w:w="496" w:type="pct"/>
            <w:vAlign w:val="center"/>
          </w:tcPr>
          <w:p>
            <w:pPr>
              <w:pStyle w:val="105"/>
              <w:jc w:val="center"/>
              <w:rPr>
                <w:rFonts w:cs="Times New Roman"/>
                <w:szCs w:val="21"/>
              </w:rPr>
            </w:pPr>
            <w:r>
              <w:rPr>
                <w:rFonts w:cs="Times New Roman"/>
                <w:szCs w:val="21"/>
              </w:rPr>
              <w:t>-0.5844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noWrap/>
            <w:vAlign w:val="center"/>
          </w:tcPr>
          <w:p>
            <w:pPr>
              <w:pStyle w:val="105"/>
              <w:jc w:val="center"/>
            </w:pPr>
            <w:r>
              <w:rPr>
                <w:rFonts w:hint="eastAsia"/>
              </w:rPr>
              <w:t>其他农用地</w:t>
            </w:r>
          </w:p>
        </w:tc>
        <w:tc>
          <w:tcPr>
            <w:tcW w:w="535" w:type="pct"/>
            <w:vAlign w:val="center"/>
          </w:tcPr>
          <w:p>
            <w:pPr>
              <w:pStyle w:val="105"/>
              <w:jc w:val="center"/>
            </w:pPr>
            <w:r>
              <w:rPr>
                <w:rFonts w:cs="Times New Roman"/>
                <w:szCs w:val="21"/>
              </w:rPr>
              <w:t>31.6938</w:t>
            </w:r>
          </w:p>
        </w:tc>
        <w:tc>
          <w:tcPr>
            <w:tcW w:w="595" w:type="pct"/>
            <w:vAlign w:val="center"/>
          </w:tcPr>
          <w:p>
            <w:pPr>
              <w:pStyle w:val="105"/>
              <w:jc w:val="center"/>
            </w:pPr>
            <w:r>
              <w:rPr>
                <w:rFonts w:cs="Times New Roman"/>
                <w:szCs w:val="21"/>
              </w:rPr>
              <w:t>8.40%</w:t>
            </w:r>
          </w:p>
        </w:tc>
        <w:tc>
          <w:tcPr>
            <w:tcW w:w="536" w:type="pct"/>
            <w:vAlign w:val="center"/>
          </w:tcPr>
          <w:p>
            <w:pPr>
              <w:pStyle w:val="105"/>
              <w:jc w:val="center"/>
            </w:pPr>
            <w:r>
              <w:rPr>
                <w:rFonts w:cs="Times New Roman"/>
                <w:szCs w:val="21"/>
              </w:rPr>
              <w:t>1.052</w:t>
            </w:r>
          </w:p>
        </w:tc>
        <w:tc>
          <w:tcPr>
            <w:tcW w:w="593" w:type="pct"/>
            <w:vAlign w:val="center"/>
          </w:tcPr>
          <w:p>
            <w:pPr>
              <w:pStyle w:val="105"/>
              <w:jc w:val="center"/>
            </w:pPr>
            <w:r>
              <w:rPr>
                <w:rFonts w:cs="Times New Roman"/>
                <w:szCs w:val="21"/>
              </w:rPr>
              <w:t>7.18%</w:t>
            </w:r>
          </w:p>
        </w:tc>
        <w:tc>
          <w:tcPr>
            <w:tcW w:w="793" w:type="pct"/>
            <w:noWrap/>
            <w:vAlign w:val="center"/>
          </w:tcPr>
          <w:p>
            <w:pPr>
              <w:pStyle w:val="105"/>
              <w:jc w:val="center"/>
            </w:pPr>
            <w:r>
              <w:rPr>
                <w:rFonts w:cs="Times New Roman"/>
                <w:szCs w:val="21"/>
              </w:rPr>
              <w:t>30.6418</w:t>
            </w:r>
          </w:p>
        </w:tc>
        <w:tc>
          <w:tcPr>
            <w:tcW w:w="752" w:type="pct"/>
            <w:noWrap/>
            <w:vAlign w:val="center"/>
          </w:tcPr>
          <w:p>
            <w:pPr>
              <w:pStyle w:val="105"/>
              <w:jc w:val="center"/>
            </w:pPr>
            <w:r>
              <w:rPr>
                <w:rFonts w:cs="Times New Roman"/>
                <w:szCs w:val="21"/>
              </w:rPr>
              <w:t>8.12%</w:t>
            </w:r>
          </w:p>
        </w:tc>
        <w:tc>
          <w:tcPr>
            <w:tcW w:w="496" w:type="pct"/>
            <w:vAlign w:val="center"/>
          </w:tcPr>
          <w:p>
            <w:pPr>
              <w:pStyle w:val="105"/>
              <w:jc w:val="center"/>
            </w:pPr>
            <w:r>
              <w:rPr>
                <w:rFonts w:cs="Times New Roman"/>
                <w:szCs w:val="21"/>
              </w:rPr>
              <w:t>-1.052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noWrap/>
            <w:vAlign w:val="center"/>
          </w:tcPr>
          <w:p>
            <w:pPr>
              <w:pStyle w:val="105"/>
              <w:jc w:val="center"/>
            </w:pPr>
            <w:r>
              <w:rPr>
                <w:rFonts w:hint="eastAsia"/>
              </w:rPr>
              <w:t>建设用地</w:t>
            </w:r>
          </w:p>
        </w:tc>
        <w:tc>
          <w:tcPr>
            <w:tcW w:w="535" w:type="pct"/>
            <w:vAlign w:val="center"/>
          </w:tcPr>
          <w:p>
            <w:pPr>
              <w:pStyle w:val="105"/>
              <w:jc w:val="center"/>
            </w:pPr>
            <w:r>
              <w:rPr>
                <w:rFonts w:cs="Times New Roman"/>
                <w:szCs w:val="21"/>
              </w:rPr>
              <w:t>49.2666</w:t>
            </w:r>
          </w:p>
        </w:tc>
        <w:tc>
          <w:tcPr>
            <w:tcW w:w="595" w:type="pct"/>
            <w:vAlign w:val="center"/>
          </w:tcPr>
          <w:p>
            <w:pPr>
              <w:pStyle w:val="105"/>
              <w:jc w:val="center"/>
            </w:pPr>
            <w:r>
              <w:rPr>
                <w:rFonts w:cs="Times New Roman"/>
                <w:szCs w:val="21"/>
              </w:rPr>
              <w:t>13.06%</w:t>
            </w:r>
          </w:p>
        </w:tc>
        <w:tc>
          <w:tcPr>
            <w:tcW w:w="536" w:type="pct"/>
            <w:vAlign w:val="center"/>
          </w:tcPr>
          <w:p>
            <w:pPr>
              <w:pStyle w:val="105"/>
              <w:jc w:val="center"/>
            </w:pPr>
            <w:r>
              <w:rPr>
                <w:rFonts w:cs="Times New Roman"/>
                <w:szCs w:val="21"/>
              </w:rPr>
              <w:t>0.6581</w:t>
            </w:r>
          </w:p>
        </w:tc>
        <w:tc>
          <w:tcPr>
            <w:tcW w:w="593" w:type="pct"/>
            <w:vAlign w:val="center"/>
          </w:tcPr>
          <w:p>
            <w:pPr>
              <w:pStyle w:val="105"/>
              <w:jc w:val="center"/>
            </w:pPr>
            <w:r>
              <w:rPr>
                <w:rFonts w:cs="Times New Roman"/>
                <w:szCs w:val="21"/>
              </w:rPr>
              <w:t>4.49%</w:t>
            </w:r>
          </w:p>
        </w:tc>
        <w:tc>
          <w:tcPr>
            <w:tcW w:w="793" w:type="pct"/>
            <w:noWrap/>
            <w:vAlign w:val="center"/>
          </w:tcPr>
          <w:p>
            <w:pPr>
              <w:pStyle w:val="105"/>
              <w:jc w:val="center"/>
            </w:pPr>
            <w:r>
              <w:rPr>
                <w:rFonts w:cs="Times New Roman"/>
                <w:szCs w:val="21"/>
              </w:rPr>
              <w:t>63.2703</w:t>
            </w:r>
          </w:p>
        </w:tc>
        <w:tc>
          <w:tcPr>
            <w:tcW w:w="752" w:type="pct"/>
            <w:noWrap/>
            <w:vAlign w:val="center"/>
          </w:tcPr>
          <w:p>
            <w:pPr>
              <w:pStyle w:val="105"/>
              <w:jc w:val="center"/>
            </w:pPr>
            <w:r>
              <w:rPr>
                <w:rFonts w:cs="Times New Roman"/>
                <w:szCs w:val="21"/>
              </w:rPr>
              <w:t>16.78%</w:t>
            </w:r>
          </w:p>
        </w:tc>
        <w:tc>
          <w:tcPr>
            <w:tcW w:w="496" w:type="pct"/>
            <w:vAlign w:val="center"/>
          </w:tcPr>
          <w:p>
            <w:pPr>
              <w:pStyle w:val="105"/>
              <w:jc w:val="center"/>
            </w:pPr>
            <w:r>
              <w:rPr>
                <w:rFonts w:cs="Times New Roman"/>
                <w:szCs w:val="21"/>
              </w:rPr>
              <w:t>14.0037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noWrap/>
            <w:vAlign w:val="center"/>
          </w:tcPr>
          <w:p>
            <w:pPr>
              <w:pStyle w:val="105"/>
              <w:jc w:val="center"/>
            </w:pPr>
            <w:r>
              <w:rPr>
                <w:rFonts w:hint="eastAsia"/>
              </w:rPr>
              <w:t>未利用地</w:t>
            </w:r>
          </w:p>
        </w:tc>
        <w:tc>
          <w:tcPr>
            <w:tcW w:w="535" w:type="pct"/>
            <w:vAlign w:val="center"/>
          </w:tcPr>
          <w:p>
            <w:pPr>
              <w:pStyle w:val="105"/>
              <w:jc w:val="center"/>
            </w:pPr>
            <w:r>
              <w:rPr>
                <w:rFonts w:cs="Times New Roman"/>
                <w:szCs w:val="21"/>
              </w:rPr>
              <w:t>12.56</w:t>
            </w:r>
          </w:p>
        </w:tc>
        <w:tc>
          <w:tcPr>
            <w:tcW w:w="595" w:type="pct"/>
            <w:vAlign w:val="center"/>
          </w:tcPr>
          <w:p>
            <w:pPr>
              <w:pStyle w:val="105"/>
              <w:jc w:val="center"/>
            </w:pPr>
            <w:r>
              <w:rPr>
                <w:rFonts w:cs="Times New Roman"/>
                <w:szCs w:val="21"/>
              </w:rPr>
              <w:t>3.33%</w:t>
            </w:r>
          </w:p>
        </w:tc>
        <w:tc>
          <w:tcPr>
            <w:tcW w:w="536" w:type="pct"/>
            <w:vAlign w:val="center"/>
          </w:tcPr>
          <w:p>
            <w:pPr>
              <w:pStyle w:val="105"/>
              <w:jc w:val="center"/>
            </w:pPr>
            <w:r>
              <w:rPr>
                <w:rFonts w:cs="Times New Roman"/>
                <w:szCs w:val="21"/>
              </w:rPr>
              <w:t>0.8507</w:t>
            </w:r>
          </w:p>
        </w:tc>
        <w:tc>
          <w:tcPr>
            <w:tcW w:w="593" w:type="pct"/>
            <w:vAlign w:val="center"/>
          </w:tcPr>
          <w:p>
            <w:pPr>
              <w:pStyle w:val="105"/>
              <w:jc w:val="center"/>
            </w:pPr>
            <w:r>
              <w:rPr>
                <w:rFonts w:cs="Times New Roman"/>
                <w:szCs w:val="21"/>
              </w:rPr>
              <w:t>5.80%</w:t>
            </w:r>
          </w:p>
        </w:tc>
        <w:tc>
          <w:tcPr>
            <w:tcW w:w="793" w:type="pct"/>
            <w:noWrap/>
            <w:vAlign w:val="center"/>
          </w:tcPr>
          <w:p>
            <w:pPr>
              <w:pStyle w:val="105"/>
              <w:jc w:val="center"/>
            </w:pPr>
            <w:r>
              <w:rPr>
                <w:rFonts w:cs="Times New Roman"/>
                <w:szCs w:val="21"/>
              </w:rPr>
              <w:t>11.7093</w:t>
            </w:r>
          </w:p>
        </w:tc>
        <w:tc>
          <w:tcPr>
            <w:tcW w:w="752" w:type="pct"/>
            <w:noWrap/>
            <w:vAlign w:val="center"/>
          </w:tcPr>
          <w:p>
            <w:pPr>
              <w:pStyle w:val="105"/>
              <w:jc w:val="center"/>
            </w:pPr>
            <w:r>
              <w:rPr>
                <w:rFonts w:cs="Times New Roman"/>
                <w:szCs w:val="21"/>
              </w:rPr>
              <w:t>3.10%</w:t>
            </w:r>
          </w:p>
        </w:tc>
        <w:tc>
          <w:tcPr>
            <w:tcW w:w="496" w:type="pct"/>
            <w:vAlign w:val="center"/>
          </w:tcPr>
          <w:p>
            <w:pPr>
              <w:pStyle w:val="105"/>
              <w:jc w:val="center"/>
            </w:pPr>
            <w:r>
              <w:rPr>
                <w:rFonts w:cs="Times New Roman"/>
                <w:szCs w:val="21"/>
              </w:rPr>
              <w:t>-0.8507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5" w:hRule="atLeast"/>
          <w:tblHeader/>
          <w:jc w:val="center"/>
        </w:trPr>
        <w:tc>
          <w:tcPr>
            <w:tcW w:w="700" w:type="pct"/>
            <w:noWrap/>
            <w:vAlign w:val="center"/>
          </w:tcPr>
          <w:p>
            <w:pPr>
              <w:pStyle w:val="105"/>
              <w:jc w:val="center"/>
            </w:pPr>
            <w:r>
              <w:rPr>
                <w:rFonts w:hint="eastAsia"/>
              </w:rPr>
              <w:t>合计</w:t>
            </w:r>
          </w:p>
        </w:tc>
        <w:tc>
          <w:tcPr>
            <w:tcW w:w="535" w:type="pct"/>
            <w:vAlign w:val="center"/>
          </w:tcPr>
          <w:p>
            <w:pPr>
              <w:pStyle w:val="105"/>
              <w:jc w:val="center"/>
            </w:pPr>
            <w:r>
              <w:rPr>
                <w:rFonts w:cs="Times New Roman"/>
                <w:szCs w:val="21"/>
              </w:rPr>
              <w:t>377.1371</w:t>
            </w:r>
          </w:p>
        </w:tc>
        <w:tc>
          <w:tcPr>
            <w:tcW w:w="595" w:type="pct"/>
            <w:vAlign w:val="center"/>
          </w:tcPr>
          <w:p>
            <w:pPr>
              <w:pStyle w:val="105"/>
              <w:jc w:val="center"/>
            </w:pPr>
            <w:r>
              <w:rPr>
                <w:rFonts w:cs="Times New Roman"/>
                <w:szCs w:val="21"/>
              </w:rPr>
              <w:t>100.00%</w:t>
            </w:r>
          </w:p>
        </w:tc>
        <w:tc>
          <w:tcPr>
            <w:tcW w:w="536" w:type="pct"/>
            <w:vAlign w:val="center"/>
          </w:tcPr>
          <w:p>
            <w:pPr>
              <w:pStyle w:val="105"/>
              <w:jc w:val="center"/>
            </w:pPr>
            <w:r>
              <w:rPr>
                <w:rFonts w:cs="Times New Roman"/>
                <w:szCs w:val="21"/>
              </w:rPr>
              <w:t>14.6618</w:t>
            </w:r>
          </w:p>
        </w:tc>
        <w:tc>
          <w:tcPr>
            <w:tcW w:w="593" w:type="pct"/>
            <w:vAlign w:val="center"/>
          </w:tcPr>
          <w:p>
            <w:pPr>
              <w:pStyle w:val="105"/>
              <w:jc w:val="center"/>
            </w:pPr>
            <w:r>
              <w:rPr>
                <w:rFonts w:cs="Times New Roman"/>
                <w:szCs w:val="21"/>
              </w:rPr>
              <w:t>100.00%</w:t>
            </w:r>
          </w:p>
        </w:tc>
        <w:tc>
          <w:tcPr>
            <w:tcW w:w="793" w:type="pct"/>
            <w:noWrap/>
            <w:vAlign w:val="center"/>
          </w:tcPr>
          <w:p>
            <w:pPr>
              <w:pStyle w:val="105"/>
              <w:jc w:val="center"/>
            </w:pPr>
            <w:r>
              <w:rPr>
                <w:rFonts w:cs="Times New Roman"/>
                <w:szCs w:val="21"/>
              </w:rPr>
              <w:t>377.1371</w:t>
            </w:r>
          </w:p>
        </w:tc>
        <w:tc>
          <w:tcPr>
            <w:tcW w:w="752" w:type="pct"/>
            <w:noWrap/>
            <w:vAlign w:val="center"/>
          </w:tcPr>
          <w:p>
            <w:pPr>
              <w:pStyle w:val="105"/>
              <w:jc w:val="center"/>
            </w:pPr>
            <w:r>
              <w:rPr>
                <w:rFonts w:cs="Times New Roman"/>
                <w:szCs w:val="21"/>
              </w:rPr>
              <w:t>100.00%</w:t>
            </w:r>
          </w:p>
        </w:tc>
        <w:tc>
          <w:tcPr>
            <w:tcW w:w="496" w:type="pct"/>
            <w:vAlign w:val="center"/>
          </w:tcPr>
          <w:p>
            <w:pPr>
              <w:pStyle w:val="105"/>
              <w:jc w:val="center"/>
            </w:pPr>
            <w:r>
              <w:rPr>
                <w:rFonts w:cs="Times New Roman"/>
                <w:szCs w:val="21"/>
              </w:rPr>
              <w:t>0</w:t>
            </w:r>
          </w:p>
        </w:tc>
      </w:tr>
    </w:tbl>
    <w:p>
      <w:pPr>
        <w:pStyle w:val="851"/>
        <w:spacing w:before="163"/>
        <w:ind w:firstLine="480"/>
        <w:rPr>
          <w:color w:val="auto"/>
        </w:rPr>
      </w:pPr>
      <w:r>
        <w:rPr>
          <w:rFonts w:hint="eastAsia"/>
          <w:color w:val="auto"/>
        </w:rPr>
        <w:t>从表中可以看出，工程永久占地中，林地占</w:t>
      </w:r>
      <w:r>
        <w:rPr>
          <w:color w:val="auto"/>
        </w:rPr>
        <w:t>30.60%</w:t>
      </w:r>
      <w:r>
        <w:rPr>
          <w:rFonts w:hint="eastAsia"/>
          <w:color w:val="auto"/>
        </w:rPr>
        <w:t>、耕地占</w:t>
      </w:r>
      <w:r>
        <w:rPr>
          <w:color w:val="auto"/>
        </w:rPr>
        <w:t>30.17%</w:t>
      </w:r>
      <w:r>
        <w:rPr>
          <w:rFonts w:hint="eastAsia"/>
          <w:color w:val="auto"/>
        </w:rPr>
        <w:t>、园地占</w:t>
      </w:r>
      <w:r>
        <w:rPr>
          <w:color w:val="auto"/>
        </w:rPr>
        <w:t>17.77%</w:t>
      </w:r>
      <w:r>
        <w:rPr>
          <w:rFonts w:hint="eastAsia"/>
          <w:color w:val="auto"/>
        </w:rPr>
        <w:t>，是拟建工程永久占用面积最多的土地类型，永久性的占压土地将丧失其原有的土地功能，占用林地将破坏地表植被改变土壤理化性质，占用耕地和园地将对沿线的土地生产力产生一定的影响。工程永久占地涉及部分建筑物的占用，以及耕地、生态公益林占用，对于占用的耕地将通过“占补平衡”予以补偿，对于生态公益林建设单位应及时办理征用林地的相关手续，并由用地单位依照国务院有关规定缴纳森林植被恢复费。</w:t>
      </w:r>
    </w:p>
    <w:p>
      <w:pPr>
        <w:ind w:firstLine="480"/>
      </w:pPr>
      <w:r>
        <w:rPr>
          <w:rFonts w:hint="eastAsia"/>
        </w:rPr>
        <w:t>总的来看，拟建公路主体工程占用的各类土地面积占直接影响区相应地类总量的比例都较小，因此，项目建设不会导致福清市土地利用结构发生重大改变。</w:t>
      </w:r>
    </w:p>
    <w:p>
      <w:pPr>
        <w:ind w:firstLine="480"/>
      </w:pPr>
      <w:r>
        <w:rPr>
          <w:rFonts w:hint="eastAsia"/>
        </w:rPr>
        <w:t>（</w:t>
      </w:r>
      <w:r>
        <w:t>2</w:t>
      </w:r>
      <w:r>
        <w:rPr>
          <w:rFonts w:hint="eastAsia"/>
        </w:rPr>
        <w:t>）工程施工临时占地的影响分析</w:t>
      </w:r>
    </w:p>
    <w:p>
      <w:pPr>
        <w:ind w:firstLine="480"/>
      </w:pPr>
      <w:r>
        <w:rPr>
          <w:rFonts w:hint="eastAsia"/>
        </w:rPr>
        <w:t>本项目施工期拟设置</w:t>
      </w:r>
      <w:r>
        <w:t>1</w:t>
      </w:r>
      <w:r>
        <w:rPr>
          <w:rFonts w:hint="eastAsia"/>
        </w:rPr>
        <w:t>施工场地，</w:t>
      </w:r>
      <w:r>
        <w:t>3表土堆场</w:t>
      </w:r>
      <w:r>
        <w:rPr>
          <w:rFonts w:hint="eastAsia"/>
        </w:rPr>
        <w:t>。其中施工场地新增占地</w:t>
      </w:r>
      <w:r>
        <w:t>0.69</w:t>
      </w:r>
      <w:r>
        <w:rPr>
          <w:rFonts w:hint="eastAsia"/>
        </w:rPr>
        <w:t>hm</w:t>
      </w:r>
      <w:r>
        <w:rPr>
          <w:vertAlign w:val="superscript"/>
        </w:rPr>
        <w:t>2</w:t>
      </w:r>
      <w:r>
        <w:rPr>
          <w:rFonts w:hint="eastAsia"/>
        </w:rPr>
        <w:t>，临时表土堆场利用永久占地红线范围内</w:t>
      </w:r>
      <w:r>
        <w:t>0.94</w:t>
      </w:r>
      <w:r>
        <w:rPr>
          <w:rFonts w:hint="eastAsia"/>
          <w:bCs/>
          <w:szCs w:val="21"/>
        </w:rPr>
        <w:t>hm</w:t>
      </w:r>
      <w:r>
        <w:rPr>
          <w:bCs/>
          <w:szCs w:val="21"/>
          <w:vertAlign w:val="superscript"/>
        </w:rPr>
        <w:t>2</w:t>
      </w:r>
      <w:r>
        <w:rPr>
          <w:rFonts w:hint="eastAsia"/>
          <w:bCs/>
          <w:szCs w:val="21"/>
        </w:rPr>
        <w:t>，故本项目临时用地涉及新增</w:t>
      </w:r>
      <w:r>
        <w:t>0.69</w:t>
      </w:r>
      <w:r>
        <w:rPr>
          <w:rFonts w:hint="eastAsia"/>
        </w:rPr>
        <w:t>hm</w:t>
      </w:r>
      <w:r>
        <w:rPr>
          <w:vertAlign w:val="superscript"/>
        </w:rPr>
        <w:t>2</w:t>
      </w:r>
      <w:r>
        <w:rPr>
          <w:rFonts w:hint="eastAsia"/>
          <w:bCs/>
          <w:szCs w:val="21"/>
        </w:rPr>
        <w:t>，</w:t>
      </w:r>
      <w:r>
        <w:rPr>
          <w:rFonts w:hint="eastAsia"/>
        </w:rPr>
        <w:t>临时占用类型为草地、园地。临时工程占地对生态环境的影响主要是运输车辆和建筑材料的堆放，造成局部土地生态功能的降低，并且导致占地范围及周边植物生长不良，临时占地可使生物量减少，同时植被覆盖率也随之减少。由于临时工程占地面积较少，其对区域生物量的影响并不明显，对系统功能与稳定性的影响也较小。</w:t>
      </w:r>
    </w:p>
    <w:p>
      <w:pPr>
        <w:ind w:firstLine="480"/>
      </w:pPr>
      <w:r>
        <w:rPr>
          <w:rFonts w:hint="eastAsia"/>
        </w:rPr>
        <w:t>综上，临时性工程占地短期内将影响沿线土地的利用状况，施工结束后，随着生态补偿或生态恢复措施的实施，这一影响将逐渐减小或消失。</w:t>
      </w:r>
      <w:r>
        <w:t>为减小</w:t>
      </w:r>
      <w:r>
        <w:rPr>
          <w:rFonts w:hint="eastAsia"/>
        </w:rPr>
        <w:t>临时占地</w:t>
      </w:r>
      <w:r>
        <w:t>的影响，</w:t>
      </w:r>
      <w:r>
        <w:rPr>
          <w:rFonts w:hint="eastAsia"/>
        </w:rPr>
        <w:t>在施工建设过程中应高度重视工程占地问题，优化施工方案，施工期临时占地尽可能控制在本项目征地范围内，严控施工用地红线，减少不合理的用地，尽可能地节约耕地和少占用林地，减少工程占地对生态环境的影响。总体而言，施工期的临时占地是短期的、临时的，只要在工程施工中采取相应的植被保护措施，做好占地补偿工作及施工结束后的植被恢复工作，其影响是可以接受的。</w:t>
      </w:r>
    </w:p>
    <w:p>
      <w:pPr>
        <w:pStyle w:val="118"/>
      </w:pPr>
      <w:r>
        <w:rPr>
          <w:rFonts w:hint="eastAsia"/>
        </w:rPr>
        <w:t>对生态系统稳定性和结构完整性的影响</w:t>
      </w:r>
    </w:p>
    <w:p>
      <w:pPr>
        <w:ind w:firstLine="480"/>
      </w:pPr>
      <w:r>
        <w:rPr>
          <w:rFonts w:hint="eastAsia"/>
        </w:rPr>
        <w:t>根据现状调查结果， 在本次评价范围内，生态系统主要类型为森林生态系统、农业生态系统，其次为城镇生态系统，森林生态系统是区域背景化的生态系统类型。区域森林生态系统主要功能为城镇生态环境和水土保持。虽然主体工程占地中林地所占比最大，但林地生态系统被拟建公路切割后，其斑块数量随生态系统被切割并没有明显增加的趋势，说明公路的建设基本上不会对林地生态系统的结构完整性产生影响。而且，林地中湿地松、相思树、桉树等的优势度值相对较高，作为林地生态系统的控制性组分，其具有较强的阻抗能力和受到干扰后的恢复能力，因此，公路的建设亦不会对林地生态系统的稳定性产生影响。</w:t>
      </w:r>
    </w:p>
    <w:p>
      <w:pPr>
        <w:ind w:firstLine="480"/>
      </w:pPr>
      <w:r>
        <w:rPr>
          <w:rFonts w:hint="eastAsia"/>
        </w:rPr>
        <w:t>农田生态系统是拟建公路评价范围内受影响最大的一种生态系统，但由于其本身是属于人类控制的生态系统，具有相对较高的稳定性。公路建设只会因占地而导致农田面积的减少，但不会对其生态稳定性和结构完整性产生影响。</w:t>
      </w:r>
    </w:p>
    <w:p>
      <w:pPr>
        <w:ind w:firstLine="480"/>
      </w:pPr>
      <w:r>
        <w:rPr>
          <w:rFonts w:hint="eastAsia"/>
        </w:rPr>
        <w:t>总之，公路建设并不会导致项目所在区域植被类型发生变化，生态环境的异质性没有发生大的改变。</w:t>
      </w:r>
    </w:p>
    <w:p>
      <w:pPr>
        <w:pStyle w:val="118"/>
      </w:pPr>
      <w:r>
        <w:rPr>
          <w:rFonts w:hint="eastAsia"/>
        </w:rPr>
        <w:t>对植被的影响分析</w:t>
      </w:r>
    </w:p>
    <w:p>
      <w:pPr>
        <w:ind w:firstLine="480"/>
      </w:pPr>
      <w:r>
        <w:rPr>
          <w:rFonts w:hint="eastAsia"/>
        </w:rPr>
        <w:t>评价区植被主要为针叶林、阔叶林和经济林，少部分灌丛植被，项目建设会导致项目占地的植被破坏，但这些物种均为区域常见种，其生长范围广，适应性强，不存在因局部植被占用挖损而导致植物种群消失或灭绝。</w:t>
      </w:r>
    </w:p>
    <w:p>
      <w:pPr>
        <w:pStyle w:val="118"/>
        <w:numPr>
          <w:ilvl w:val="0"/>
          <w:numId w:val="0"/>
        </w:numPr>
      </w:pPr>
      <w:r>
        <w:rPr>
          <w:rFonts w:hint="eastAsia"/>
        </w:rPr>
        <w:t>（</w:t>
      </w:r>
      <w:r>
        <w:t>1</w:t>
      </w:r>
      <w:r>
        <w:rPr>
          <w:rFonts w:hint="eastAsia"/>
        </w:rPr>
        <w:t>）工程占地对沿线植被生物量及生产力的影响</w:t>
      </w:r>
    </w:p>
    <w:p>
      <w:pPr>
        <w:ind w:firstLine="480"/>
      </w:pPr>
      <w:r>
        <w:rPr>
          <w:rFonts w:hint="eastAsia"/>
        </w:rPr>
        <w:t>拟建公路对沿线植被的影响采用生物量和净第一性生产力指标评价，该指标是评价植被变化的重要依据。各植被类型的生物量根据方精云《我国森林植被的生物量和净生产量》、李高飞《中国不同气候带各类型森林的生物量和净第一性生产力》等研究资料选取。工程建设完成后评价范围的植被类型面积和生物量、第一性生产力会发生变化，具体变化情况见</w:t>
      </w:r>
      <w:r>
        <w:fldChar w:fldCharType="begin"/>
      </w:r>
      <w:r>
        <w:instrText xml:space="preserve"> </w:instrText>
      </w:r>
      <w:r>
        <w:rPr>
          <w:rFonts w:hint="eastAsia"/>
        </w:rPr>
        <w:instrText xml:space="preserve">REF _Ref149723527 \r \h</w:instrText>
      </w:r>
      <w:r>
        <w:instrText xml:space="preserve"> </w:instrText>
      </w:r>
      <w:r>
        <w:fldChar w:fldCharType="separate"/>
      </w:r>
      <w:r>
        <w:rPr>
          <w:rFonts w:hint="eastAsia"/>
        </w:rPr>
        <w:t>表5.1-2</w:t>
      </w:r>
      <w:r>
        <w:fldChar w:fldCharType="end"/>
      </w:r>
      <w:r>
        <w:rPr>
          <w:rFonts w:hint="eastAsia"/>
        </w:rPr>
        <w:t>。</w:t>
      </w:r>
      <w:bookmarkStart w:id="442" w:name="_Ref146617447"/>
    </w:p>
    <w:p>
      <w:pPr>
        <w:pStyle w:val="87"/>
        <w:spacing w:before="163"/>
        <w:ind w:left="480" w:firstLine="480"/>
      </w:pPr>
      <w:bookmarkStart w:id="443" w:name="_Ref149723527"/>
      <w:r>
        <w:rPr>
          <w:rFonts w:hint="eastAsia"/>
        </w:rPr>
        <w:t>工程永久占地导致的植物生物量损失统计表</w:t>
      </w:r>
      <w:bookmarkEnd w:id="442"/>
      <w:bookmarkEnd w:id="443"/>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77"/>
        <w:gridCol w:w="1440"/>
        <w:gridCol w:w="1204"/>
        <w:gridCol w:w="1047"/>
        <w:gridCol w:w="869"/>
        <w:gridCol w:w="1047"/>
        <w:gridCol w:w="976"/>
        <w:gridCol w:w="1047"/>
        <w:gridCol w:w="8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318" w:type="pct"/>
            <w:vMerge w:val="restart"/>
            <w:vAlign w:val="center"/>
          </w:tcPr>
          <w:p>
            <w:pPr>
              <w:pStyle w:val="105"/>
              <w:jc w:val="center"/>
            </w:pPr>
            <w:r>
              <w:rPr>
                <w:rFonts w:hint="eastAsia"/>
              </w:rPr>
              <w:t>占地</w:t>
            </w:r>
          </w:p>
          <w:p>
            <w:pPr>
              <w:pStyle w:val="105"/>
              <w:jc w:val="center"/>
            </w:pPr>
            <w:r>
              <w:rPr>
                <w:rFonts w:hint="eastAsia"/>
              </w:rPr>
              <w:t>类型</w:t>
            </w:r>
          </w:p>
        </w:tc>
        <w:tc>
          <w:tcPr>
            <w:tcW w:w="794" w:type="pct"/>
            <w:vMerge w:val="restart"/>
            <w:vAlign w:val="center"/>
          </w:tcPr>
          <w:p>
            <w:pPr>
              <w:pStyle w:val="105"/>
              <w:jc w:val="center"/>
            </w:pPr>
            <w:r>
              <w:t>植被</w:t>
            </w:r>
          </w:p>
          <w:p>
            <w:pPr>
              <w:pStyle w:val="105"/>
              <w:jc w:val="center"/>
            </w:pPr>
            <w:r>
              <w:t>类型</w:t>
            </w:r>
          </w:p>
        </w:tc>
        <w:tc>
          <w:tcPr>
            <w:tcW w:w="664" w:type="pct"/>
            <w:vMerge w:val="restart"/>
            <w:vAlign w:val="center"/>
          </w:tcPr>
          <w:p>
            <w:pPr>
              <w:pStyle w:val="105"/>
              <w:spacing w:after="0"/>
              <w:jc w:val="center"/>
            </w:pPr>
            <w:r>
              <w:rPr>
                <w:rFonts w:hint="eastAsia"/>
              </w:rPr>
              <w:t>平均</w:t>
            </w:r>
            <w:r>
              <w:t>生物量</w:t>
            </w:r>
          </w:p>
          <w:p>
            <w:pPr>
              <w:pStyle w:val="105"/>
              <w:spacing w:after="0"/>
              <w:jc w:val="center"/>
            </w:pPr>
            <w:r>
              <w:rPr>
                <w:rFonts w:hint="eastAsia"/>
              </w:rPr>
              <w:t>(</w:t>
            </w:r>
            <w:r>
              <w:t>t/hm</w:t>
            </w:r>
            <w:r>
              <w:rPr>
                <w:vertAlign w:val="superscript"/>
              </w:rPr>
              <w:t>2</w:t>
            </w:r>
            <w:r>
              <w:rPr>
                <w:rFonts w:hint="eastAsia"/>
                <w:vertAlign w:val="superscript"/>
              </w:rPr>
              <w:t>)</w:t>
            </w:r>
          </w:p>
        </w:tc>
        <w:tc>
          <w:tcPr>
            <w:tcW w:w="1056" w:type="pct"/>
            <w:gridSpan w:val="2"/>
            <w:vAlign w:val="center"/>
          </w:tcPr>
          <w:p>
            <w:pPr>
              <w:pStyle w:val="105"/>
              <w:spacing w:after="0"/>
              <w:jc w:val="center"/>
            </w:pPr>
            <w:r>
              <w:rPr>
                <w:rFonts w:hint="eastAsia"/>
              </w:rPr>
              <w:t>评价范围</w:t>
            </w:r>
          </w:p>
        </w:tc>
        <w:tc>
          <w:tcPr>
            <w:tcW w:w="1115" w:type="pct"/>
            <w:gridSpan w:val="2"/>
            <w:vAlign w:val="center"/>
          </w:tcPr>
          <w:p>
            <w:pPr>
              <w:pStyle w:val="105"/>
              <w:spacing w:after="0"/>
              <w:jc w:val="center"/>
            </w:pPr>
            <w:r>
              <w:rPr>
                <w:rFonts w:hint="eastAsia"/>
              </w:rPr>
              <w:t>主体工程占地范围</w:t>
            </w:r>
          </w:p>
        </w:tc>
        <w:tc>
          <w:tcPr>
            <w:tcW w:w="1053" w:type="pct"/>
            <w:gridSpan w:val="2"/>
            <w:vAlign w:val="center"/>
          </w:tcPr>
          <w:p>
            <w:pPr>
              <w:pStyle w:val="105"/>
              <w:spacing w:after="0"/>
              <w:jc w:val="center"/>
            </w:pPr>
            <w:r>
              <w:rPr>
                <w:rFonts w:hint="eastAsia"/>
              </w:rPr>
              <w:t>施工临时占地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318" w:type="pct"/>
            <w:vMerge w:val="continue"/>
            <w:vAlign w:val="center"/>
          </w:tcPr>
          <w:p>
            <w:pPr>
              <w:pStyle w:val="105"/>
              <w:jc w:val="center"/>
            </w:pPr>
          </w:p>
        </w:tc>
        <w:tc>
          <w:tcPr>
            <w:tcW w:w="794" w:type="pct"/>
            <w:vMerge w:val="continue"/>
            <w:vAlign w:val="center"/>
          </w:tcPr>
          <w:p>
            <w:pPr>
              <w:pStyle w:val="105"/>
              <w:jc w:val="center"/>
            </w:pPr>
          </w:p>
        </w:tc>
        <w:tc>
          <w:tcPr>
            <w:tcW w:w="664" w:type="pct"/>
            <w:vMerge w:val="continue"/>
            <w:vAlign w:val="center"/>
          </w:tcPr>
          <w:p>
            <w:pPr>
              <w:pStyle w:val="105"/>
              <w:spacing w:after="0"/>
              <w:jc w:val="center"/>
            </w:pPr>
          </w:p>
        </w:tc>
        <w:tc>
          <w:tcPr>
            <w:tcW w:w="577" w:type="pct"/>
            <w:vAlign w:val="center"/>
          </w:tcPr>
          <w:p>
            <w:pPr>
              <w:pStyle w:val="105"/>
              <w:spacing w:after="0"/>
              <w:jc w:val="center"/>
            </w:pPr>
            <w:r>
              <w:rPr>
                <w:rFonts w:hint="eastAsia"/>
              </w:rPr>
              <w:t>面积</w:t>
            </w:r>
          </w:p>
          <w:p>
            <w:pPr>
              <w:pStyle w:val="105"/>
              <w:spacing w:after="0"/>
              <w:jc w:val="center"/>
            </w:pPr>
            <w:r>
              <w:rPr>
                <w:rFonts w:hint="eastAsia"/>
              </w:rPr>
              <w:t>(</w:t>
            </w:r>
            <w:r>
              <w:t>hm</w:t>
            </w:r>
            <w:r>
              <w:rPr>
                <w:vertAlign w:val="superscript"/>
              </w:rPr>
              <w:t>2</w:t>
            </w:r>
            <w:r>
              <w:rPr>
                <w:rFonts w:hint="eastAsia"/>
                <w:vertAlign w:val="superscript"/>
              </w:rPr>
              <w:t>)</w:t>
            </w:r>
          </w:p>
        </w:tc>
        <w:tc>
          <w:tcPr>
            <w:tcW w:w="479" w:type="pct"/>
            <w:vAlign w:val="center"/>
          </w:tcPr>
          <w:p>
            <w:pPr>
              <w:pStyle w:val="105"/>
              <w:spacing w:after="0"/>
              <w:jc w:val="center"/>
            </w:pPr>
            <w:r>
              <w:rPr>
                <w:rFonts w:hint="eastAsia"/>
              </w:rPr>
              <w:t>生物量</w:t>
            </w:r>
          </w:p>
          <w:p>
            <w:pPr>
              <w:pStyle w:val="105"/>
              <w:spacing w:after="0"/>
              <w:jc w:val="center"/>
            </w:pPr>
            <w:r>
              <w:rPr>
                <w:rFonts w:hint="eastAsia"/>
              </w:rPr>
              <w:t>(</w:t>
            </w:r>
            <w:r>
              <w:t>t</w:t>
            </w:r>
            <w:r>
              <w:rPr>
                <w:rFonts w:hint="eastAsia"/>
              </w:rPr>
              <w:t>)</w:t>
            </w:r>
          </w:p>
        </w:tc>
        <w:tc>
          <w:tcPr>
            <w:tcW w:w="577" w:type="pct"/>
            <w:vAlign w:val="center"/>
          </w:tcPr>
          <w:p>
            <w:pPr>
              <w:pStyle w:val="105"/>
              <w:spacing w:after="0"/>
              <w:jc w:val="center"/>
            </w:pPr>
            <w:r>
              <w:rPr>
                <w:rFonts w:hint="eastAsia"/>
              </w:rPr>
              <w:t>面积</w:t>
            </w:r>
          </w:p>
          <w:p>
            <w:pPr>
              <w:pStyle w:val="105"/>
              <w:spacing w:after="0"/>
              <w:jc w:val="center"/>
            </w:pPr>
            <w:r>
              <w:rPr>
                <w:rFonts w:hint="eastAsia"/>
              </w:rPr>
              <w:t>(</w:t>
            </w:r>
            <w:r>
              <w:t>hm</w:t>
            </w:r>
            <w:r>
              <w:rPr>
                <w:vertAlign w:val="superscript"/>
              </w:rPr>
              <w:t>2</w:t>
            </w:r>
            <w:r>
              <w:rPr>
                <w:rFonts w:hint="eastAsia"/>
                <w:vertAlign w:val="superscript"/>
              </w:rPr>
              <w:t>)</w:t>
            </w:r>
          </w:p>
        </w:tc>
        <w:tc>
          <w:tcPr>
            <w:tcW w:w="538" w:type="pct"/>
            <w:vAlign w:val="center"/>
          </w:tcPr>
          <w:p>
            <w:pPr>
              <w:pStyle w:val="105"/>
              <w:spacing w:after="0"/>
              <w:jc w:val="center"/>
            </w:pPr>
            <w:r>
              <w:rPr>
                <w:rFonts w:hint="eastAsia"/>
              </w:rPr>
              <w:t>生物量</w:t>
            </w:r>
          </w:p>
          <w:p>
            <w:pPr>
              <w:pStyle w:val="105"/>
              <w:spacing w:after="0"/>
              <w:jc w:val="center"/>
            </w:pPr>
            <w:r>
              <w:rPr>
                <w:rFonts w:hint="eastAsia"/>
              </w:rPr>
              <w:t>(</w:t>
            </w:r>
            <w:r>
              <w:t>t</w:t>
            </w:r>
            <w:r>
              <w:rPr>
                <w:rFonts w:hint="eastAsia"/>
              </w:rPr>
              <w:t>)</w:t>
            </w:r>
          </w:p>
        </w:tc>
        <w:tc>
          <w:tcPr>
            <w:tcW w:w="577" w:type="pct"/>
            <w:vAlign w:val="center"/>
          </w:tcPr>
          <w:p>
            <w:pPr>
              <w:pStyle w:val="105"/>
              <w:spacing w:after="0"/>
              <w:jc w:val="center"/>
            </w:pPr>
            <w:r>
              <w:rPr>
                <w:rFonts w:hint="eastAsia"/>
              </w:rPr>
              <w:t>面积</w:t>
            </w:r>
          </w:p>
          <w:p>
            <w:pPr>
              <w:pStyle w:val="105"/>
              <w:spacing w:after="0"/>
              <w:jc w:val="center"/>
            </w:pPr>
            <w:r>
              <w:rPr>
                <w:rFonts w:hint="eastAsia"/>
              </w:rPr>
              <w:t>(</w:t>
            </w:r>
            <w:r>
              <w:t>hm</w:t>
            </w:r>
            <w:r>
              <w:rPr>
                <w:vertAlign w:val="superscript"/>
              </w:rPr>
              <w:t>2</w:t>
            </w:r>
            <w:r>
              <w:rPr>
                <w:rFonts w:hint="eastAsia"/>
                <w:vertAlign w:val="superscript"/>
              </w:rPr>
              <w:t>)</w:t>
            </w:r>
          </w:p>
        </w:tc>
        <w:tc>
          <w:tcPr>
            <w:tcW w:w="476" w:type="pct"/>
            <w:vAlign w:val="center"/>
          </w:tcPr>
          <w:p>
            <w:pPr>
              <w:pStyle w:val="105"/>
              <w:spacing w:after="0"/>
              <w:jc w:val="center"/>
            </w:pPr>
            <w:r>
              <w:rPr>
                <w:rFonts w:hint="eastAsia"/>
              </w:rPr>
              <w:t>生物量</w:t>
            </w:r>
          </w:p>
          <w:p>
            <w:pPr>
              <w:pStyle w:val="105"/>
              <w:spacing w:after="0"/>
              <w:jc w:val="center"/>
            </w:pPr>
            <w:r>
              <w:rPr>
                <w:rFonts w:hint="eastAsia"/>
              </w:rPr>
              <w:t>(</w:t>
            </w:r>
            <w:r>
              <w:t>t</w:t>
            </w: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318" w:type="pct"/>
            <w:vMerge w:val="restart"/>
            <w:vAlign w:val="center"/>
          </w:tcPr>
          <w:p>
            <w:pPr>
              <w:pStyle w:val="105"/>
              <w:jc w:val="center"/>
            </w:pPr>
            <w:r>
              <w:t>林地</w:t>
            </w:r>
          </w:p>
        </w:tc>
        <w:tc>
          <w:tcPr>
            <w:tcW w:w="794" w:type="pct"/>
            <w:vAlign w:val="center"/>
          </w:tcPr>
          <w:p>
            <w:pPr>
              <w:pStyle w:val="105"/>
              <w:jc w:val="center"/>
            </w:pPr>
            <w:r>
              <w:rPr>
                <w:rFonts w:hint="eastAsia"/>
              </w:rPr>
              <w:t>针叶林</w:t>
            </w:r>
          </w:p>
        </w:tc>
        <w:tc>
          <w:tcPr>
            <w:tcW w:w="664" w:type="pct"/>
            <w:vAlign w:val="center"/>
          </w:tcPr>
          <w:p>
            <w:pPr>
              <w:pStyle w:val="105"/>
              <w:jc w:val="center"/>
            </w:pPr>
            <w:r>
              <w:rPr>
                <w:rFonts w:cs="Times New Roman"/>
                <w:szCs w:val="21"/>
              </w:rPr>
              <w:t>87.2</w:t>
            </w:r>
          </w:p>
        </w:tc>
        <w:tc>
          <w:tcPr>
            <w:tcW w:w="577" w:type="pct"/>
            <w:vAlign w:val="center"/>
          </w:tcPr>
          <w:p>
            <w:pPr>
              <w:pStyle w:val="105"/>
              <w:jc w:val="center"/>
            </w:pPr>
            <w:r>
              <w:rPr>
                <w:rFonts w:cs="Times New Roman"/>
                <w:szCs w:val="21"/>
              </w:rPr>
              <w:t>58.7472</w:t>
            </w:r>
          </w:p>
        </w:tc>
        <w:tc>
          <w:tcPr>
            <w:tcW w:w="479" w:type="pct"/>
            <w:vAlign w:val="center"/>
          </w:tcPr>
          <w:p>
            <w:pPr>
              <w:pStyle w:val="105"/>
              <w:jc w:val="center"/>
            </w:pPr>
            <w:r>
              <w:rPr>
                <w:rFonts w:cs="Times New Roman"/>
                <w:szCs w:val="21"/>
              </w:rPr>
              <w:t>5122.76</w:t>
            </w:r>
          </w:p>
        </w:tc>
        <w:tc>
          <w:tcPr>
            <w:tcW w:w="577" w:type="pct"/>
            <w:vAlign w:val="center"/>
          </w:tcPr>
          <w:p>
            <w:pPr>
              <w:pStyle w:val="105"/>
              <w:jc w:val="center"/>
            </w:pPr>
            <w:r>
              <w:rPr>
                <w:rFonts w:cs="Times New Roman"/>
                <w:szCs w:val="21"/>
              </w:rPr>
              <w:t>2.12</w:t>
            </w:r>
          </w:p>
        </w:tc>
        <w:tc>
          <w:tcPr>
            <w:tcW w:w="538" w:type="pct"/>
            <w:vAlign w:val="center"/>
          </w:tcPr>
          <w:p>
            <w:pPr>
              <w:pStyle w:val="105"/>
              <w:jc w:val="center"/>
            </w:pPr>
            <w:r>
              <w:rPr>
                <w:rFonts w:cs="Times New Roman"/>
                <w:szCs w:val="21"/>
              </w:rPr>
              <w:t>184.86</w:t>
            </w:r>
          </w:p>
        </w:tc>
        <w:tc>
          <w:tcPr>
            <w:tcW w:w="577" w:type="pct"/>
            <w:vAlign w:val="top"/>
          </w:tcPr>
          <w:p>
            <w:pPr>
              <w:pStyle w:val="105"/>
              <w:jc w:val="center"/>
            </w:pPr>
            <w:r>
              <w:rPr>
                <w:rFonts w:hint="eastAsia"/>
              </w:rPr>
              <w:t>——</w:t>
            </w:r>
          </w:p>
        </w:tc>
        <w:tc>
          <w:tcPr>
            <w:tcW w:w="476" w:type="pct"/>
            <w:vAlign w:val="top"/>
          </w:tcPr>
          <w:p>
            <w:pPr>
              <w:pStyle w:val="105"/>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318" w:type="pct"/>
            <w:vMerge w:val="continue"/>
            <w:vAlign w:val="center"/>
          </w:tcPr>
          <w:p>
            <w:pPr>
              <w:pStyle w:val="105"/>
              <w:jc w:val="center"/>
            </w:pPr>
          </w:p>
        </w:tc>
        <w:tc>
          <w:tcPr>
            <w:tcW w:w="794" w:type="pct"/>
            <w:vAlign w:val="center"/>
          </w:tcPr>
          <w:p>
            <w:pPr>
              <w:pStyle w:val="105"/>
              <w:jc w:val="center"/>
            </w:pPr>
            <w:r>
              <w:rPr>
                <w:rFonts w:hint="eastAsia"/>
              </w:rPr>
              <w:t>阔叶林</w:t>
            </w:r>
          </w:p>
        </w:tc>
        <w:tc>
          <w:tcPr>
            <w:tcW w:w="664" w:type="pct"/>
            <w:vAlign w:val="center"/>
          </w:tcPr>
          <w:p>
            <w:pPr>
              <w:pStyle w:val="105"/>
              <w:jc w:val="center"/>
            </w:pPr>
            <w:r>
              <w:rPr>
                <w:rFonts w:cs="Times New Roman"/>
                <w:szCs w:val="21"/>
              </w:rPr>
              <w:t>99.1</w:t>
            </w:r>
          </w:p>
        </w:tc>
        <w:tc>
          <w:tcPr>
            <w:tcW w:w="577" w:type="pct"/>
            <w:vAlign w:val="center"/>
          </w:tcPr>
          <w:p>
            <w:pPr>
              <w:pStyle w:val="105"/>
              <w:jc w:val="center"/>
            </w:pPr>
            <w:r>
              <w:rPr>
                <w:rFonts w:cs="Times New Roman"/>
                <w:szCs w:val="21"/>
              </w:rPr>
              <w:t>37.4243</w:t>
            </w:r>
          </w:p>
        </w:tc>
        <w:tc>
          <w:tcPr>
            <w:tcW w:w="479" w:type="pct"/>
            <w:vAlign w:val="center"/>
          </w:tcPr>
          <w:p>
            <w:pPr>
              <w:pStyle w:val="105"/>
              <w:jc w:val="center"/>
            </w:pPr>
            <w:r>
              <w:rPr>
                <w:rFonts w:cs="Times New Roman"/>
                <w:szCs w:val="21"/>
              </w:rPr>
              <w:t>3708.75</w:t>
            </w:r>
          </w:p>
        </w:tc>
        <w:tc>
          <w:tcPr>
            <w:tcW w:w="577" w:type="pct"/>
            <w:vAlign w:val="center"/>
          </w:tcPr>
          <w:p>
            <w:pPr>
              <w:pStyle w:val="105"/>
              <w:jc w:val="center"/>
            </w:pPr>
            <w:r>
              <w:rPr>
                <w:rFonts w:cs="Times New Roman"/>
                <w:szCs w:val="21"/>
              </w:rPr>
              <w:t>2.367</w:t>
            </w:r>
          </w:p>
        </w:tc>
        <w:tc>
          <w:tcPr>
            <w:tcW w:w="538" w:type="pct"/>
            <w:vAlign w:val="center"/>
          </w:tcPr>
          <w:p>
            <w:pPr>
              <w:pStyle w:val="105"/>
              <w:jc w:val="center"/>
            </w:pPr>
            <w:r>
              <w:rPr>
                <w:rFonts w:cs="Times New Roman"/>
                <w:szCs w:val="21"/>
              </w:rPr>
              <w:t>234.57</w:t>
            </w:r>
          </w:p>
        </w:tc>
        <w:tc>
          <w:tcPr>
            <w:tcW w:w="577" w:type="pct"/>
            <w:vAlign w:val="top"/>
          </w:tcPr>
          <w:p>
            <w:pPr>
              <w:pStyle w:val="105"/>
              <w:jc w:val="center"/>
            </w:pPr>
            <w:r>
              <w:rPr>
                <w:rFonts w:hint="eastAsia"/>
              </w:rPr>
              <w:t>——</w:t>
            </w:r>
          </w:p>
        </w:tc>
        <w:tc>
          <w:tcPr>
            <w:tcW w:w="476" w:type="pct"/>
            <w:vAlign w:val="top"/>
          </w:tcPr>
          <w:p>
            <w:pPr>
              <w:pStyle w:val="105"/>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318" w:type="pct"/>
            <w:vMerge w:val="continue"/>
            <w:vAlign w:val="center"/>
          </w:tcPr>
          <w:p>
            <w:pPr>
              <w:pStyle w:val="105"/>
              <w:jc w:val="center"/>
            </w:pPr>
          </w:p>
        </w:tc>
        <w:tc>
          <w:tcPr>
            <w:tcW w:w="794" w:type="pct"/>
            <w:vAlign w:val="center"/>
          </w:tcPr>
          <w:p>
            <w:pPr>
              <w:pStyle w:val="105"/>
              <w:jc w:val="center"/>
            </w:pPr>
            <w:r>
              <w:rPr>
                <w:rFonts w:hint="eastAsia"/>
              </w:rPr>
              <w:t>灌草丛</w:t>
            </w:r>
          </w:p>
        </w:tc>
        <w:tc>
          <w:tcPr>
            <w:tcW w:w="664" w:type="pct"/>
            <w:vAlign w:val="center"/>
          </w:tcPr>
          <w:p>
            <w:pPr>
              <w:pStyle w:val="105"/>
              <w:jc w:val="center"/>
            </w:pPr>
            <w:r>
              <w:rPr>
                <w:rFonts w:cs="Times New Roman"/>
                <w:szCs w:val="21"/>
              </w:rPr>
              <w:t>19.8</w:t>
            </w:r>
          </w:p>
        </w:tc>
        <w:tc>
          <w:tcPr>
            <w:tcW w:w="577" w:type="pct"/>
            <w:vAlign w:val="center"/>
          </w:tcPr>
          <w:p>
            <w:pPr>
              <w:pStyle w:val="105"/>
              <w:jc w:val="center"/>
            </w:pPr>
            <w:r>
              <w:rPr>
                <w:rFonts w:cs="Times New Roman"/>
                <w:szCs w:val="21"/>
              </w:rPr>
              <w:t>15.6762</w:t>
            </w:r>
          </w:p>
        </w:tc>
        <w:tc>
          <w:tcPr>
            <w:tcW w:w="479" w:type="pct"/>
            <w:vAlign w:val="center"/>
          </w:tcPr>
          <w:p>
            <w:pPr>
              <w:pStyle w:val="105"/>
              <w:jc w:val="center"/>
            </w:pPr>
            <w:r>
              <w:rPr>
                <w:rFonts w:cs="Times New Roman"/>
                <w:szCs w:val="21"/>
              </w:rPr>
              <w:t>310.39</w:t>
            </w:r>
          </w:p>
        </w:tc>
        <w:tc>
          <w:tcPr>
            <w:tcW w:w="577" w:type="pct"/>
            <w:vAlign w:val="center"/>
          </w:tcPr>
          <w:p>
            <w:pPr>
              <w:pStyle w:val="105"/>
              <w:jc w:val="center"/>
            </w:pPr>
            <w:r>
              <w:rPr>
                <w:rFonts w:cs="Times New Roman"/>
                <w:szCs w:val="21"/>
              </w:rPr>
              <w:t>0.5844</w:t>
            </w:r>
          </w:p>
        </w:tc>
        <w:tc>
          <w:tcPr>
            <w:tcW w:w="538" w:type="pct"/>
            <w:vAlign w:val="center"/>
          </w:tcPr>
          <w:p>
            <w:pPr>
              <w:pStyle w:val="105"/>
              <w:jc w:val="center"/>
            </w:pPr>
            <w:r>
              <w:rPr>
                <w:rFonts w:cs="Times New Roman"/>
                <w:szCs w:val="21"/>
              </w:rPr>
              <w:t>11.57</w:t>
            </w:r>
          </w:p>
        </w:tc>
        <w:tc>
          <w:tcPr>
            <w:tcW w:w="577" w:type="pct"/>
            <w:vAlign w:val="center"/>
          </w:tcPr>
          <w:p>
            <w:pPr>
              <w:pStyle w:val="105"/>
              <w:jc w:val="center"/>
            </w:pPr>
            <w:r>
              <w:rPr>
                <w:rFonts w:cs="Times New Roman"/>
                <w:szCs w:val="21"/>
              </w:rPr>
              <w:t>0.12</w:t>
            </w:r>
          </w:p>
        </w:tc>
        <w:tc>
          <w:tcPr>
            <w:tcW w:w="476" w:type="pct"/>
            <w:vAlign w:val="center"/>
          </w:tcPr>
          <w:p>
            <w:pPr>
              <w:pStyle w:val="105"/>
              <w:jc w:val="center"/>
            </w:pPr>
            <w:r>
              <w:rPr>
                <w:rFonts w:cs="Times New Roman"/>
                <w:szCs w:val="21"/>
              </w:rPr>
              <w:t>2.38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318" w:type="pct"/>
            <w:vAlign w:val="center"/>
          </w:tcPr>
          <w:p>
            <w:pPr>
              <w:pStyle w:val="105"/>
              <w:jc w:val="center"/>
            </w:pPr>
            <w:r>
              <w:rPr>
                <w:rFonts w:hint="eastAsia"/>
              </w:rPr>
              <w:t>园地</w:t>
            </w:r>
          </w:p>
        </w:tc>
        <w:tc>
          <w:tcPr>
            <w:tcW w:w="794" w:type="pct"/>
            <w:vAlign w:val="center"/>
          </w:tcPr>
          <w:p>
            <w:pPr>
              <w:pStyle w:val="105"/>
              <w:jc w:val="center"/>
            </w:pPr>
            <w:r>
              <w:t>经济林</w:t>
            </w:r>
            <w:r>
              <w:rPr>
                <w:rFonts w:hint="eastAsia"/>
              </w:rPr>
              <w:t>（龙眼林）</w:t>
            </w:r>
          </w:p>
        </w:tc>
        <w:tc>
          <w:tcPr>
            <w:tcW w:w="664" w:type="pct"/>
            <w:vAlign w:val="center"/>
          </w:tcPr>
          <w:p>
            <w:pPr>
              <w:pStyle w:val="105"/>
              <w:jc w:val="center"/>
            </w:pPr>
            <w:r>
              <w:rPr>
                <w:rFonts w:cs="Times New Roman"/>
                <w:szCs w:val="21"/>
              </w:rPr>
              <w:t>92.4</w:t>
            </w:r>
          </w:p>
        </w:tc>
        <w:tc>
          <w:tcPr>
            <w:tcW w:w="577" w:type="pct"/>
            <w:vAlign w:val="center"/>
          </w:tcPr>
          <w:p>
            <w:pPr>
              <w:pStyle w:val="105"/>
              <w:jc w:val="center"/>
            </w:pPr>
            <w:r>
              <w:rPr>
                <w:rFonts w:cs="Times New Roman"/>
                <w:szCs w:val="21"/>
              </w:rPr>
              <w:t>32.6457</w:t>
            </w:r>
          </w:p>
        </w:tc>
        <w:tc>
          <w:tcPr>
            <w:tcW w:w="479" w:type="pct"/>
            <w:vAlign w:val="center"/>
          </w:tcPr>
          <w:p>
            <w:pPr>
              <w:pStyle w:val="105"/>
              <w:jc w:val="center"/>
            </w:pPr>
            <w:r>
              <w:rPr>
                <w:rFonts w:cs="Times New Roman"/>
                <w:szCs w:val="21"/>
              </w:rPr>
              <w:t>3016.46</w:t>
            </w:r>
          </w:p>
        </w:tc>
        <w:tc>
          <w:tcPr>
            <w:tcW w:w="577" w:type="pct"/>
            <w:vAlign w:val="center"/>
          </w:tcPr>
          <w:p>
            <w:pPr>
              <w:pStyle w:val="105"/>
              <w:jc w:val="center"/>
            </w:pPr>
            <w:r>
              <w:rPr>
                <w:rFonts w:cs="Times New Roman"/>
                <w:szCs w:val="21"/>
              </w:rPr>
              <w:t>2.6056</w:t>
            </w:r>
          </w:p>
        </w:tc>
        <w:tc>
          <w:tcPr>
            <w:tcW w:w="538" w:type="pct"/>
            <w:vAlign w:val="center"/>
          </w:tcPr>
          <w:p>
            <w:pPr>
              <w:pStyle w:val="105"/>
              <w:jc w:val="center"/>
            </w:pPr>
            <w:r>
              <w:rPr>
                <w:rFonts w:cs="Times New Roman"/>
                <w:szCs w:val="21"/>
              </w:rPr>
              <w:t>240.76</w:t>
            </w:r>
          </w:p>
        </w:tc>
        <w:tc>
          <w:tcPr>
            <w:tcW w:w="577" w:type="pct"/>
            <w:vAlign w:val="center"/>
          </w:tcPr>
          <w:p>
            <w:pPr>
              <w:pStyle w:val="105"/>
              <w:jc w:val="center"/>
            </w:pPr>
            <w:r>
              <w:rPr>
                <w:rFonts w:cs="Times New Roman"/>
                <w:szCs w:val="21"/>
              </w:rPr>
              <w:t>0.57</w:t>
            </w:r>
          </w:p>
        </w:tc>
        <w:tc>
          <w:tcPr>
            <w:tcW w:w="476" w:type="pct"/>
            <w:vAlign w:val="center"/>
          </w:tcPr>
          <w:p>
            <w:pPr>
              <w:pStyle w:val="105"/>
              <w:jc w:val="center"/>
            </w:pPr>
            <w:r>
              <w:rPr>
                <w:rFonts w:cs="Times New Roman"/>
                <w:szCs w:val="21"/>
              </w:rPr>
              <w:t>52.67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1112" w:type="pct"/>
            <w:gridSpan w:val="2"/>
            <w:vAlign w:val="center"/>
          </w:tcPr>
          <w:p>
            <w:pPr>
              <w:pStyle w:val="105"/>
              <w:jc w:val="center"/>
            </w:pPr>
            <w:r>
              <w:t>合计</w:t>
            </w:r>
          </w:p>
        </w:tc>
        <w:tc>
          <w:tcPr>
            <w:tcW w:w="664" w:type="pct"/>
            <w:vAlign w:val="center"/>
          </w:tcPr>
          <w:p>
            <w:pPr>
              <w:pStyle w:val="105"/>
              <w:jc w:val="center"/>
            </w:pPr>
            <w:r>
              <w:rPr>
                <w:rFonts w:hint="eastAsia"/>
              </w:rPr>
              <w:t>——</w:t>
            </w:r>
          </w:p>
        </w:tc>
        <w:tc>
          <w:tcPr>
            <w:tcW w:w="577" w:type="pct"/>
            <w:vAlign w:val="center"/>
          </w:tcPr>
          <w:p>
            <w:pPr>
              <w:pStyle w:val="105"/>
              <w:jc w:val="center"/>
            </w:pPr>
            <w:r>
              <w:rPr>
                <w:rFonts w:cs="Times New Roman"/>
                <w:szCs w:val="21"/>
              </w:rPr>
              <w:t>144.4934</w:t>
            </w:r>
          </w:p>
        </w:tc>
        <w:tc>
          <w:tcPr>
            <w:tcW w:w="479" w:type="pct"/>
            <w:vAlign w:val="center"/>
          </w:tcPr>
          <w:p>
            <w:pPr>
              <w:pStyle w:val="105"/>
              <w:jc w:val="center"/>
            </w:pPr>
            <w:r>
              <w:rPr>
                <w:rFonts w:cs="Times New Roman"/>
                <w:szCs w:val="21"/>
              </w:rPr>
              <w:t>12158.36</w:t>
            </w:r>
          </w:p>
        </w:tc>
        <w:tc>
          <w:tcPr>
            <w:tcW w:w="577" w:type="pct"/>
            <w:vAlign w:val="center"/>
          </w:tcPr>
          <w:p>
            <w:pPr>
              <w:pStyle w:val="105"/>
              <w:jc w:val="center"/>
            </w:pPr>
            <w:r>
              <w:rPr>
                <w:rFonts w:cs="Times New Roman"/>
                <w:szCs w:val="21"/>
              </w:rPr>
              <w:t>7.677</w:t>
            </w:r>
          </w:p>
        </w:tc>
        <w:tc>
          <w:tcPr>
            <w:tcW w:w="538" w:type="pct"/>
            <w:vAlign w:val="center"/>
          </w:tcPr>
          <w:p>
            <w:pPr>
              <w:pStyle w:val="105"/>
              <w:jc w:val="center"/>
            </w:pPr>
            <w:r>
              <w:rPr>
                <w:rFonts w:cs="Times New Roman"/>
                <w:szCs w:val="21"/>
              </w:rPr>
              <w:t>671.76</w:t>
            </w:r>
          </w:p>
        </w:tc>
        <w:tc>
          <w:tcPr>
            <w:tcW w:w="577" w:type="pct"/>
            <w:vAlign w:val="center"/>
          </w:tcPr>
          <w:p>
            <w:pPr>
              <w:pStyle w:val="105"/>
              <w:jc w:val="center"/>
            </w:pPr>
          </w:p>
        </w:tc>
        <w:tc>
          <w:tcPr>
            <w:tcW w:w="476" w:type="pct"/>
            <w:vAlign w:val="center"/>
          </w:tcPr>
          <w:p>
            <w:pPr>
              <w:pStyle w:val="105"/>
              <w:jc w:val="center"/>
            </w:pPr>
          </w:p>
        </w:tc>
      </w:tr>
    </w:tbl>
    <w:p>
      <w:pPr>
        <w:pStyle w:val="124"/>
        <w:spacing w:before="163"/>
      </w:pPr>
      <w:r>
        <w:rPr>
          <w:rFonts w:hint="eastAsia"/>
        </w:rPr>
        <w:t>由</w:t>
      </w:r>
      <w:r>
        <w:fldChar w:fldCharType="begin"/>
      </w:r>
      <w:r>
        <w:instrText xml:space="preserve"> </w:instrText>
      </w:r>
      <w:r>
        <w:rPr>
          <w:rFonts w:hint="eastAsia"/>
        </w:rPr>
        <w:instrText xml:space="preserve">REF _Ref149723527 \r \h</w:instrText>
      </w:r>
      <w:r>
        <w:instrText xml:space="preserve">  \* MERGEFORMAT </w:instrText>
      </w:r>
      <w:r>
        <w:fldChar w:fldCharType="separate"/>
      </w:r>
      <w:r>
        <w:rPr>
          <w:rFonts w:hint="eastAsia"/>
        </w:rPr>
        <w:t>表5.1-2</w:t>
      </w:r>
      <w:r>
        <w:fldChar w:fldCharType="end"/>
      </w:r>
      <w:r>
        <w:rPr>
          <w:rFonts w:hint="eastAsia"/>
        </w:rPr>
        <w:t>的计算结果可以看出，沿线主体工程占地导致植物生物量损失约</w:t>
      </w:r>
      <w:r>
        <w:t>671.76</w:t>
      </w:r>
      <w:r>
        <w:rPr>
          <w:rFonts w:hint="eastAsia"/>
        </w:rPr>
        <w:t>t，施工临时占地导致林地的生物量为</w:t>
      </w:r>
      <w:r>
        <w:t>55.05</w:t>
      </w:r>
      <w:r>
        <w:rPr>
          <w:rFonts w:hint="eastAsia"/>
        </w:rPr>
        <w:t>t。从植被分布现状调查结果看，项目直接影响的植被类型包括相思树、马尾松、湿地松、桉树、龙眼树林及灌草丛等。工程永久占地将对这些地方的植被产生永久性的不可恢复破坏，植被失去生存环境，破坏不可逆，但工程涉及植物均为常见、广布植被或人工植被，在项目区周边地区尚有大量分布，工程破坏不会造成区域物种灭绝或植被类型丧失，对区域总体的植物资源物种多样性和群落多样性影响不大。随着工程结束，通过对公路两边进行一定的绿化建设，适当地恢复植被覆盖度。总的来看，工程建设对评价范围植被有一定程度的影响，对整个评价区内自然生态系统体系来说属于可以承受的范围内。</w:t>
      </w:r>
    </w:p>
    <w:p>
      <w:pPr>
        <w:ind w:firstLine="480"/>
      </w:pPr>
      <w:r>
        <w:rPr>
          <w:rFonts w:hint="eastAsia"/>
        </w:rPr>
        <w:t>施工期间临时占地对植被的影响是暂时的，工程结束后可以采取措施进行恢复与重建。通过实地调查，临时工程建设将占用一定数量的马尾松林、桉树及龙眼树林等植被。工程占用地分布的植物区系成分中，在评价区内广泛分布，工程建设对植物种群数量大小有一定的影响，但不会对植物资源造成明显影响，更不会导致植物物种灭绝。项目建成后，除公路路面及硬化防护措施外，对路基边坡、绿化带等用地，都将进行植被恢复。同时，在施工结束后也将对施工临时用地进行复耕或恢复植被。以上措施可有效减缓公路占地对植被产生的影响。</w:t>
      </w:r>
    </w:p>
    <w:p>
      <w:pPr>
        <w:pStyle w:val="118"/>
        <w:numPr>
          <w:ilvl w:val="0"/>
          <w:numId w:val="0"/>
        </w:numPr>
      </w:pPr>
      <w:r>
        <w:rPr>
          <w:rFonts w:hint="eastAsia"/>
        </w:rPr>
        <w:t>（2）工程占地对沿线植物物种多样性的影响</w:t>
      </w:r>
    </w:p>
    <w:p>
      <w:pPr>
        <w:ind w:firstLine="480"/>
      </w:pPr>
      <w:r>
        <w:rPr>
          <w:rFonts w:hint="eastAsia"/>
        </w:rPr>
        <w:t>本工程影响区域主要是低山丘陵和平原为主，工程永久占地以林地、耕地及园地为主，根据现场调查，各群落类型在生物多样性方面差异较大。就乔木层而言，马尾松、相思树、桉树林及龙眼林等群落中的乔木层多为单一树种，少见其他植物。灌木层物种组成较丰富。草本层生物优势种较突出，个体数量多，其他种类分类不均。</w:t>
      </w:r>
    </w:p>
    <w:p>
      <w:pPr>
        <w:ind w:firstLine="480"/>
      </w:pPr>
      <w:r>
        <w:rPr>
          <w:rFonts w:hint="eastAsia"/>
        </w:rPr>
        <w:t>公路沿线群落植物种类均为区域常见和广布种，沿线绝大多数地区为林业生态区，林业生态区中以人工林占优势，植被的次生性较强，因此，工程建设对沿线生物多样性的影响较小。同时由于工程所在区域自然条件较好，光照较多、雨水丰富，植物生长速度较快，植被的自然恢复能力较强，被破坏地段的植物和植被能较快恢复。此外，本工程将对占地范围内可绿化地段实施植被恢复工程，可大大减轻公路建设对植物种群的影响。</w:t>
      </w:r>
    </w:p>
    <w:p>
      <w:pPr>
        <w:pStyle w:val="118"/>
      </w:pPr>
      <w:r>
        <w:rPr>
          <w:rFonts w:hint="eastAsia"/>
        </w:rPr>
        <w:t>对野生动物的影响分析</w:t>
      </w:r>
    </w:p>
    <w:p>
      <w:pPr>
        <w:ind w:firstLine="480"/>
      </w:pPr>
      <w:r>
        <w:rPr>
          <w:rFonts w:hint="eastAsia"/>
        </w:rPr>
        <w:t>本项目在施工期对野生动物的影响主要表现为施工人员的施工活动、生产活动对动物栖息地生境的干扰和破坏；施工机械噪声对动物的干扰；农用地路段的施工对两栖类和爬行类，特别是对两栖类动物小生境的影响较为显著。本项目施工期，其路基填筑会惊吓植被中生活的某些野生动物。因上述原因，本项目施工将使得公路沿途的大部分野生动物迁移别处，远离施工区范围，从而导致公路沿线周围环境的动物数量有所减少，但是距离公路施工区较远的区域将会相对集中并重新分布，因此项目区公路施工对动物种类多样性和种群数量不会产生较大的影响，更不会导致动物多样性下降。</w:t>
      </w:r>
    </w:p>
    <w:p>
      <w:pPr>
        <w:ind w:firstLine="480"/>
      </w:pPr>
      <w:r>
        <w:rPr>
          <w:rFonts w:hint="eastAsia"/>
        </w:rPr>
        <w:t xml:space="preserve">在工程结束后沿线施工噪声等影响减弱后又会回到原来比较适宜生存和活动的地域。总体上公路建设对沿线野生动物有影响，但对其生存及种群数量、种类影响很小。  </w:t>
      </w:r>
    </w:p>
    <w:p>
      <w:pPr>
        <w:ind w:firstLine="480"/>
      </w:pPr>
      <w:r>
        <w:rPr>
          <w:rFonts w:hint="eastAsia"/>
        </w:rPr>
        <w:t>①对两栖动物的影响：</w:t>
      </w:r>
      <w:r>
        <w:rPr>
          <w:rFonts w:hint="eastAsia" w:cs="Times New Roman"/>
        </w:rPr>
        <w:t>项目评价区的两栖动物群落生态类型主要有陆栖静水型、陆栖流水型和树栖型群落，</w:t>
      </w:r>
      <w:r>
        <w:rPr>
          <w:rFonts w:hint="eastAsia"/>
        </w:rPr>
        <w:t>两栖动物主要在水域或水域周围农田草灌生境中活动，两栖动物迁徙能力较弱、对环境的依赖性较强。本项目路基多处涉及迳江，跨越河流水系处，均设置了桥梁、涵洞跨越，保证其畅通，部分路段涉及改河。在这些桥梁桥墩、涵洞、改河的施工作业可能会导致跨越水体水质的变化及水域附近的生态环境的变化，从而引起两栖类动物生存环境的变化，造成两栖类物种数量的暂时性减少。在施工活动结束后，两栖类动物的生存环境将会逐渐得到恢复。</w:t>
      </w:r>
    </w:p>
    <w:p>
      <w:pPr>
        <w:ind w:firstLine="480"/>
      </w:pPr>
      <w:r>
        <w:rPr>
          <w:rFonts w:hint="eastAsia"/>
        </w:rPr>
        <w:t>现状调查结果表明，本项目沿线的两栖类动物主要栖息于农田、溪流及附近的坡草丛中，皆属于静水型两栖类，本项目施工对其影响很小。</w:t>
      </w:r>
    </w:p>
    <w:p>
      <w:pPr>
        <w:ind w:firstLine="480"/>
      </w:pPr>
      <w:r>
        <w:rPr>
          <w:rFonts w:hint="eastAsia"/>
        </w:rPr>
        <w:t>②对爬行动物的影响：由于工程占地，使评价区的植被覆盖率降低，人为活动大大增加，原分布在评价区低海拔河谷地带的一些爬行动物的广布种和常见种如蛇类等栖息适宜度降低。但是，由于爬行动物具有较强的运动迁移能力，对外界环境的适应能力较强，工程的建设可能会使一部分的爬行动物迁移栖息地，但对种群数量的影响较小。</w:t>
      </w:r>
    </w:p>
    <w:p>
      <w:pPr>
        <w:ind w:firstLine="480"/>
      </w:pPr>
      <w:r>
        <w:rPr>
          <w:rFonts w:hint="eastAsia"/>
        </w:rPr>
        <w:t>③对鸟类的影响：在施工期间，由于人为活动的增加以及路基的开挖，将对部分鸟类产生干扰，使工程所涉及的丘陵区域的鸟类种类及种群量将有所减少，如一些原在此地栖息的山地混交林、针叶林或园地林缘的鸟类。此外，施工期的施工机械噪声也会惊吓干扰许多鸟类。鉴于噪声可能影响鸟类的繁殖率，因此本项目施工中应采取一定的降噪、减振措施。</w:t>
      </w:r>
    </w:p>
    <w:p>
      <w:pPr>
        <w:ind w:firstLine="480"/>
      </w:pPr>
      <w:r>
        <w:rPr>
          <w:rFonts w:hint="eastAsia"/>
        </w:rPr>
        <w:t>④对哺乳动物的影响：施工期对哺乳动物的影响主要体现在对动物栖息、觅食地所在生态环境的破坏，包括对施工区森林植被的破坏和施工机械产生的噪声、土石方运输作业，各种施工器械活动的干扰等，一些迁徙能力较强的动物如鼠科、竹鼠科种类、野猪等将迁徙至附近受干扰小的区域。工程建成后，随着植被的逐渐恢复，生态环境逐步好转，迁徙的哺乳动物将逐步回归。</w:t>
      </w:r>
    </w:p>
    <w:p>
      <w:pPr>
        <w:pStyle w:val="118"/>
      </w:pPr>
      <w:r>
        <w:t>对沿线水生生物的影响</w:t>
      </w:r>
    </w:p>
    <w:p>
      <w:pPr>
        <w:ind w:firstLine="480"/>
      </w:pPr>
      <w:r>
        <w:rPr>
          <w:rFonts w:hint="eastAsia"/>
        </w:rPr>
        <w:t>项目全线共设置大桥1座、中桥1座，涵洞</w:t>
      </w:r>
      <w:r>
        <w:t>28</w:t>
      </w:r>
      <w:r>
        <w:rPr>
          <w:rFonts w:hint="eastAsia"/>
        </w:rPr>
        <w:t>道，涉及改河</w:t>
      </w:r>
      <w:r>
        <w:rPr>
          <w:lang w:val="zh-CN"/>
        </w:rPr>
        <w:t>5处</w:t>
      </w:r>
      <w:r>
        <w:rPr>
          <w:rFonts w:hint="eastAsia"/>
          <w:lang w:val="zh-CN"/>
        </w:rPr>
        <w:t>、改渠1处</w:t>
      </w:r>
      <w:r>
        <w:rPr>
          <w:rFonts w:hint="eastAsia"/>
        </w:rPr>
        <w:t>。</w:t>
      </w:r>
      <w:r>
        <w:t>大埔大桥</w:t>
      </w:r>
      <w:r>
        <w:rPr>
          <w:rFonts w:hint="eastAsia"/>
        </w:rPr>
        <w:t>1</w:t>
      </w:r>
      <w:r>
        <w:t>4#~15#</w:t>
      </w:r>
      <w:r>
        <w:rPr>
          <w:rFonts w:hint="eastAsia"/>
        </w:rPr>
        <w:t>桥墩跨越迳江（改河后，桥墩不涉水）；枝钟中桥跨迳江，1</w:t>
      </w:r>
      <w:r>
        <w:t>#</w:t>
      </w:r>
      <w:r>
        <w:rPr>
          <w:rFonts w:hint="eastAsia"/>
        </w:rPr>
        <w:t>桥墩位于河道内；改河及部分涵洞工程均涉及迳江；改渠工程涉及福渠（灌溉渠道）</w:t>
      </w:r>
      <w:r>
        <w:t>，</w:t>
      </w:r>
      <w:r>
        <w:rPr>
          <w:rFonts w:hint="eastAsia"/>
        </w:rPr>
        <w:t>施工期涉水工程基础尽可能安排在枯水季节进行施工，线路跨越河流，本工程涉水桥墩、涵洞等构筑物的施工拟采取围堰施工的方式，改河工程采取围堰导流的施工方式，对于水生生物的影响主要表现为局部影响。</w:t>
      </w:r>
    </w:p>
    <w:p>
      <w:pPr>
        <w:ind w:firstLine="480"/>
      </w:pPr>
      <w:bookmarkStart w:id="444" w:name="_Hlk151558378"/>
      <w:r>
        <w:rPr>
          <w:rFonts w:hint="eastAsia"/>
        </w:rPr>
        <w:t>①</w:t>
      </w:r>
      <w:r>
        <w:t>对浮游生物的影响</w:t>
      </w:r>
    </w:p>
    <w:bookmarkEnd w:id="444"/>
    <w:p>
      <w:pPr>
        <w:ind w:firstLine="480"/>
      </w:pPr>
      <w:r>
        <w:rPr>
          <w:rFonts w:hint="eastAsia"/>
        </w:rPr>
        <w:t>在桥梁基础、涉水涵洞、改河等施工扰动局部水体，造成水质浑浊，水中悬浮物浓度将会升高，透明度下降，阻碍浮游植物的光合作用，降低单位水体内浮游植物的数量，最终导致附近水域初级生产力水平的下降。本工程涉水工程均采取围堰施工的方式，围堰施工方式可以控制浮游生物受影响的区域范围，引起的悬浮物再经过长距离的沉淀，将减轻对浮游生物的影响。施工对浮游生物的数量、质量及功能的影响属暂时性、可逆性的，施工结束后，随着稀释和水体的自净作用，水质逐渐改良，浮游生物可基本恢复到施工前的水平。因此，拟建项目对附近河段的浮游生物影响有限。</w:t>
      </w:r>
    </w:p>
    <w:p>
      <w:pPr>
        <w:ind w:firstLine="480"/>
      </w:pPr>
      <w:bookmarkStart w:id="445" w:name="_Hlk151558401"/>
      <w:r>
        <w:rPr>
          <w:rFonts w:hint="eastAsia"/>
        </w:rPr>
        <w:t>②</w:t>
      </w:r>
      <w:r>
        <w:t>对底栖生物的影响</w:t>
      </w:r>
    </w:p>
    <w:bookmarkEnd w:id="445"/>
    <w:p>
      <w:pPr>
        <w:ind w:firstLine="480"/>
      </w:pPr>
      <w:r>
        <w:rPr>
          <w:rFonts w:hint="eastAsia"/>
        </w:rPr>
        <w:t>桥墩建设时基础采用钻孔灌注桩，桥墩、涉水涵洞及改河工程等施工会对桩基部位的底栖生物造成直接的损失，涉水路基对围堰后填筑等施工的进行对活动能力（回避作用）较弱的底栖生物会产生不可逆转的负面影响。但就整个迳江流域而言，本工程涉水构筑物面积占比较小，且评价区的底栖生物均为常见种，因此从物种保护的角度看，工程的建设不会导致这些物种的消亡。随着施工的结束，悬浮泥沙对水体的影响将消失，但底栖生物群落的恢复需要一定时间。由于施工只对施工区及其附近水体中的底栖动物造成影响，影响范围较小，随着施工活动的结束，底栖动物可恢复到施工前的水平。</w:t>
      </w:r>
    </w:p>
    <w:p>
      <w:pPr>
        <w:ind w:firstLine="480"/>
      </w:pPr>
      <w:r>
        <w:rPr>
          <w:rFonts w:hint="eastAsia"/>
        </w:rPr>
        <w:t xml:space="preserve">③对鱼类的影响 </w:t>
      </w:r>
    </w:p>
    <w:p>
      <w:pPr>
        <w:ind w:firstLine="480"/>
      </w:pPr>
      <w:r>
        <w:rPr>
          <w:rFonts w:hint="eastAsia"/>
        </w:rPr>
        <w:t>根据现场调查、资料收集和走访公众等，工程涉及的河流上下游评价范围内没有鱼类“三场”分布，桥梁、涵洞及改河等涉水工程的施工对水环境影响有限，也不会对水生生物和鱼类等造成较大的影响。施工期，涉水工程施工作业在一定时期内会导致河流一定范围内悬浮物和石油类浓度增加；另外，基础施工噪声等也会对水生生物产生一定的干扰，水体生境的变化将使鱼类主动避开工程区。但这种影响是暂时性的，随工程的完工会逐渐消除。为减小工程施工对鱼类的影响，本评价建议</w:t>
      </w:r>
      <w:bookmarkStart w:id="446" w:name="_Hlk197438056"/>
      <w:r>
        <w:rPr>
          <w:rFonts w:hint="eastAsia"/>
        </w:rPr>
        <w:t>涉水工程（桥梁、涵洞及改河等）基础施工避开鱼类的主要繁殖期，即3～9月</w:t>
      </w:r>
      <w:bookmarkEnd w:id="446"/>
      <w:r>
        <w:rPr>
          <w:rFonts w:hint="eastAsia"/>
        </w:rPr>
        <w:t>。</w:t>
      </w:r>
    </w:p>
    <w:p>
      <w:pPr>
        <w:ind w:firstLine="480"/>
      </w:pPr>
      <w:r>
        <w:rPr>
          <w:rFonts w:hint="eastAsia"/>
        </w:rPr>
        <w:t>因此，项目建设虽会对鱼类产生一定干扰，但不会对其生存及种群数量构成大的影响。</w:t>
      </w:r>
    </w:p>
    <w:p>
      <w:pPr>
        <w:pStyle w:val="118"/>
      </w:pPr>
      <w:r>
        <w:rPr>
          <w:rFonts w:hint="eastAsia"/>
        </w:rPr>
        <w:t>深挖路堑段生态环境影响分析</w:t>
      </w:r>
    </w:p>
    <w:p>
      <w:pPr>
        <w:ind w:firstLine="480"/>
      </w:pPr>
      <w:r>
        <w:rPr>
          <w:rFonts w:hint="eastAsia"/>
        </w:rPr>
        <w:t>本项目由于受工程条件限制，本项目深挖路堑共计</w:t>
      </w:r>
      <w:r>
        <w:t>38</w:t>
      </w:r>
      <w:r>
        <w:rPr>
          <w:rFonts w:hint="eastAsia"/>
        </w:rPr>
        <w:t>m/2段。主要路段是在</w:t>
      </w:r>
      <w:r>
        <w:t>K0+220~K0+420</w:t>
      </w:r>
      <w:r>
        <w:rPr>
          <w:rFonts w:hint="eastAsia"/>
        </w:rPr>
        <w:t>两侧及</w:t>
      </w:r>
      <w:r>
        <w:t>K4+840~K5+020</w:t>
      </w:r>
      <w:r>
        <w:rPr>
          <w:rFonts w:hint="eastAsia"/>
        </w:rPr>
        <w:t>左侧，本项目施工设计阶段已经采取了植草、拱形骨架等有效的生态的防护措施进行防护。</w:t>
      </w:r>
    </w:p>
    <w:p>
      <w:pPr>
        <w:ind w:firstLine="480"/>
      </w:pPr>
      <w:r>
        <w:rPr>
          <w:rFonts w:hint="eastAsia"/>
        </w:rPr>
        <w:t>项目深挖路堑均不具备桥隧通过条件。工程将采取以下措施来减缓深挖路堑段对生态环境的影响：</w:t>
      </w:r>
      <w:r>
        <w:rPr>
          <w:lang w:val="zh-CN"/>
        </w:rPr>
        <w:t>边坡高度&lt;8m时，边坡防护采用边坡机械液压客土喷草（植乔木）防护、路堑拱型骨架喷草（植乔木）防护</w:t>
      </w:r>
      <w:r>
        <w:rPr>
          <w:rFonts w:hint="eastAsia"/>
          <w:lang w:val="zh-CN"/>
        </w:rPr>
        <w:t>或</w:t>
      </w:r>
      <w:r>
        <w:rPr>
          <w:lang w:val="zh-CN"/>
        </w:rPr>
        <w:t>根据边坡稳定性采用支挡防护。边坡高度28m时，边坡防护形式有：边坡机械液压客土喷草（植乔木）防护、拱型骨架喷草（植乔木）防护、边坡（锚杆）TBS 植草防护、锚索（锚杆）框架等</w:t>
      </w:r>
      <w:r>
        <w:t>。</w:t>
      </w:r>
    </w:p>
    <w:p>
      <w:pPr>
        <w:ind w:firstLine="480"/>
      </w:pPr>
      <w:r>
        <w:rPr>
          <w:rFonts w:hint="eastAsia"/>
        </w:rPr>
        <w:t>综上，在做好相关防护措施后，对生态环境影响较小。</w:t>
      </w:r>
    </w:p>
    <w:p>
      <w:pPr>
        <w:pStyle w:val="118"/>
      </w:pPr>
      <w:r>
        <w:rPr>
          <w:rFonts w:hint="eastAsia"/>
        </w:rPr>
        <w:t>临时工程生态影响</w:t>
      </w:r>
    </w:p>
    <w:p>
      <w:pPr>
        <w:ind w:firstLine="480"/>
      </w:pPr>
      <w:r>
        <w:rPr>
          <w:rFonts w:hint="eastAsia"/>
        </w:rPr>
        <w:t>本项目设置</w:t>
      </w:r>
      <w:r>
        <w:t>1</w:t>
      </w:r>
      <w:r>
        <w:rPr>
          <w:rFonts w:hint="eastAsia"/>
        </w:rPr>
        <w:t>处施工场地，表土堆场</w:t>
      </w:r>
      <w:r>
        <w:t>3</w:t>
      </w:r>
      <w:r>
        <w:rPr>
          <w:rFonts w:hint="eastAsia"/>
        </w:rPr>
        <w:t>处，新增临时占地</w:t>
      </w:r>
      <w:r>
        <w:t>0.69</w:t>
      </w:r>
      <w:r>
        <w:rPr>
          <w:rFonts w:hint="eastAsia"/>
        </w:rPr>
        <w:t>hm</w:t>
      </w:r>
      <w:r>
        <w:rPr>
          <w:rFonts w:hint="eastAsia"/>
          <w:vertAlign w:val="superscript"/>
        </w:rPr>
        <w:t>2</w:t>
      </w:r>
      <w:r>
        <w:rPr>
          <w:rFonts w:hint="eastAsia"/>
        </w:rPr>
        <w:t>。施工场地占地和表土堆场面积以满足公路施工的需要为准，结合线路工程分布合并设置，尽量节约了占地。临时占地其对生态环境的影响主要表现为以下几个方面：①占用部分林地，导致植被破坏和生产力下降；②施工扬尘及运输车辆起尘对周边植被环境空气有一定影响；③施工场地影响周边景观；④施工废水及固废如未采取防护措施，将对周边林地植被造成影响。</w:t>
      </w:r>
    </w:p>
    <w:p>
      <w:pPr>
        <w:ind w:firstLine="480"/>
      </w:pPr>
      <w:r>
        <w:rPr>
          <w:rFonts w:hint="eastAsia"/>
        </w:rPr>
        <w:t>根据调查，项目新增临时占地主要为草地和园地，项目临时施工场地均不涉及生态保护红线、基本农田、生态公益林等生态敏感区，选址合理，施工过程严格控制施工边界，通过采取围挡、设置截排水的水保措施，减缓施工过程对周边植被的影响，施工结束后通过平整场地、回覆表土可及时复耕利用，对当地生态环境影响较小。</w:t>
      </w:r>
    </w:p>
    <w:p>
      <w:pPr>
        <w:pStyle w:val="118"/>
      </w:pPr>
      <w:r>
        <w:rPr>
          <w:rFonts w:hint="eastAsia"/>
        </w:rPr>
        <w:t>对沿线生态敏感目标影响分析</w:t>
      </w:r>
    </w:p>
    <w:p>
      <w:pPr>
        <w:pStyle w:val="118"/>
        <w:numPr>
          <w:ilvl w:val="0"/>
          <w:numId w:val="0"/>
        </w:numPr>
      </w:pPr>
      <w:r>
        <w:rPr>
          <w:rFonts w:hint="eastAsia"/>
        </w:rPr>
        <w:t>1、对生态公益林的影响</w:t>
      </w:r>
    </w:p>
    <w:p>
      <w:pPr>
        <w:ind w:firstLine="480"/>
      </w:pPr>
      <w:r>
        <w:rPr>
          <w:rFonts w:hint="eastAsia"/>
        </w:rPr>
        <w:t>根据项目林业预审意见及公路用地红线和生态公益林叠图可知，本项目主体工程共占用生态公益林面积</w:t>
      </w:r>
      <w:r>
        <w:t>0.5538</w:t>
      </w:r>
      <w:r>
        <w:rPr>
          <w:rFonts w:hint="eastAsia"/>
        </w:rPr>
        <w:t>hm</w:t>
      </w:r>
      <w:r>
        <w:rPr>
          <w:vertAlign w:val="superscript"/>
        </w:rPr>
        <w:t>2</w:t>
      </w:r>
      <w:r>
        <w:rPr>
          <w:rFonts w:hint="eastAsia"/>
        </w:rPr>
        <w:t>，均为</w:t>
      </w:r>
      <w:r>
        <w:rPr>
          <w:rFonts w:hint="eastAsia"/>
          <w:lang w:eastAsia="zh-CN"/>
        </w:rPr>
        <w:t>二级</w:t>
      </w:r>
      <w:r>
        <w:rPr>
          <w:rFonts w:hint="eastAsia"/>
        </w:rPr>
        <w:t>。项目线路占用的生态公益林位于</w:t>
      </w:r>
      <w:r>
        <w:t>K0+260~K0+336</w:t>
      </w:r>
      <w:r>
        <w:rPr>
          <w:rFonts w:hint="eastAsia"/>
        </w:rPr>
        <w:t>。</w:t>
      </w:r>
    </w:p>
    <w:p>
      <w:pPr>
        <w:ind w:firstLine="480"/>
      </w:pPr>
      <w:r>
        <w:rPr>
          <w:rFonts w:hint="eastAsia"/>
        </w:rPr>
        <w:t xml:space="preserve">拟建公路占用的生态公益林功能为水源涵养。所占用生态公益林的优势树种组成为人工起源的相思树，均为区域常见树种。公路以狭长的线性穿过生态公益林，不会破坏整片生态公益林的水源涵养功能，也不会对生物多样性产生影响，亦不会破坏区域森林生态系统的整体性和稳定性。同时通过对拟建公路所经生态公益林现场调查，各林区附近有与拟占用生态公益林结构类似或更优的相同植被类型的分布，经“占一补一”后，区域生态公益林的生态服务能力不会有较大变化。 </w:t>
      </w:r>
    </w:p>
    <w:p>
      <w:pPr>
        <w:ind w:firstLine="480"/>
      </w:pPr>
      <w:r>
        <w:rPr>
          <w:rFonts w:hint="eastAsia"/>
        </w:rPr>
        <w:t>根据《</w:t>
      </w:r>
      <w:r>
        <w:rPr>
          <w:rFonts w:hint="eastAsia"/>
          <w:lang w:eastAsia="zh-CN"/>
        </w:rPr>
        <w:t>国家级公益林管理办法</w:t>
      </w:r>
      <w:r>
        <w:rPr>
          <w:rFonts w:hint="eastAsia"/>
        </w:rPr>
        <w:t>》《福建省生态公益林条例》等法律法规的要求，建设单位向林业主管部门报送了用林手续。</w:t>
      </w:r>
      <w:r>
        <w:rPr>
          <w:rFonts w:hint="eastAsia"/>
          <w:spacing w:val="-7"/>
        </w:rPr>
        <w:t>202</w:t>
      </w:r>
      <w:r>
        <w:rPr>
          <w:spacing w:val="-7"/>
        </w:rPr>
        <w:t>4</w:t>
      </w:r>
      <w:r>
        <w:rPr>
          <w:rFonts w:hint="eastAsia"/>
          <w:spacing w:val="-7"/>
        </w:rPr>
        <w:t xml:space="preserve">年 </w:t>
      </w:r>
      <w:r>
        <w:rPr>
          <w:spacing w:val="-7"/>
        </w:rPr>
        <w:t>9</w:t>
      </w:r>
      <w:r>
        <w:rPr>
          <w:rFonts w:hint="eastAsia"/>
          <w:spacing w:val="-7"/>
        </w:rPr>
        <w:t xml:space="preserve"> 月 30  日，福建省林业局出具了《使用林地审核同意书》</w:t>
      </w:r>
      <w:r>
        <w:rPr>
          <w:rFonts w:hint="eastAsia"/>
        </w:rPr>
        <w:t>，同意项目使用林地。施工结束后通过植被绿化和林地补偿调整后，植被生物量也可尽快恢复。项目建设对于沿线生态公益林的影响较小。</w:t>
      </w:r>
    </w:p>
    <w:p>
      <w:pPr>
        <w:ind w:firstLine="480"/>
      </w:pPr>
      <w:r>
        <w:rPr>
          <w:rFonts w:hint="eastAsia"/>
        </w:rPr>
        <w:t>施工过程应加强施工作业的规范化管理，严格控制施工作业范围，加强施工人员的管理，不得越界砍伐植被。施工场地、表土堆场等临时设施不得设置在生态公益林内，应尽可能选择在未利用地内。施工前应按照要求办理相应审批手续，施工结束后，加强与林业管理部门的沟通，按林业部门的要求，在临时占地区域恢复植被。</w:t>
      </w:r>
    </w:p>
    <w:p>
      <w:pPr>
        <w:pStyle w:val="118"/>
        <w:numPr>
          <w:ilvl w:val="0"/>
          <w:numId w:val="0"/>
        </w:numPr>
      </w:pPr>
      <w:r>
        <w:rPr>
          <w:rFonts w:hint="eastAsia"/>
        </w:rPr>
        <w:t>2、对一般湿地影响分析</w:t>
      </w:r>
    </w:p>
    <w:p>
      <w:pPr>
        <w:ind w:firstLine="480"/>
      </w:pPr>
      <w:r>
        <w:rPr>
          <w:rFonts w:hint="eastAsia"/>
        </w:rPr>
        <w:t>项目已委托编制《黄檗山万福寺旅游公路项目对福清市一般湿地生态功能影响评价报告》，根据叠图分析，本项目不涉及重要湿地，占用一般湿地面积 0.9060hm</w:t>
      </w:r>
      <w:r>
        <w:rPr>
          <w:rFonts w:hint="eastAsia"/>
          <w:vertAlign w:val="superscript"/>
        </w:rPr>
        <w:t>2</w:t>
      </w:r>
      <w:r>
        <w:rPr>
          <w:rFonts w:hint="eastAsia"/>
        </w:rPr>
        <w:t>，占用湿地类型为沟渠、河流水面、坑塘水面和内陆滩涂，项目与一般湿地位置关系详见</w:t>
      </w:r>
      <w:r>
        <w:fldChar w:fldCharType="begin"/>
      </w:r>
      <w:r>
        <w:instrText xml:space="preserve"> </w:instrText>
      </w:r>
      <w:r>
        <w:rPr>
          <w:rFonts w:hint="eastAsia"/>
        </w:rPr>
        <w:instrText xml:space="preserve">REF _Ref192516652 \r \h</w:instrText>
      </w:r>
      <w:r>
        <w:instrText xml:space="preserve">  \* MERGEFORMAT </w:instrText>
      </w:r>
      <w:r>
        <w:fldChar w:fldCharType="separate"/>
      </w:r>
      <w:r>
        <w:rPr>
          <w:rFonts w:hint="eastAsia"/>
        </w:rPr>
        <w:t>表2.7-5</w:t>
      </w:r>
      <w:r>
        <w:fldChar w:fldCharType="end"/>
      </w:r>
      <w:r>
        <w:rPr>
          <w:rFonts w:hint="eastAsia"/>
        </w:rPr>
        <w:t>和</w:t>
      </w:r>
      <w:r>
        <w:fldChar w:fldCharType="begin"/>
      </w:r>
      <w:r>
        <w:instrText xml:space="preserve"> </w:instrText>
      </w:r>
      <w:r>
        <w:rPr>
          <w:rFonts w:hint="eastAsia"/>
        </w:rPr>
        <w:instrText xml:space="preserve">REF _Ref192540565 \r \h</w:instrText>
      </w:r>
      <w:r>
        <w:instrText xml:space="preserve">  \* MERGEFORMAT </w:instrText>
      </w:r>
      <w:r>
        <w:fldChar w:fldCharType="separate"/>
      </w:r>
      <w:r>
        <w:rPr>
          <w:rFonts w:hint="eastAsia"/>
        </w:rPr>
        <w:t>图2.7-7</w:t>
      </w:r>
      <w:r>
        <w:fldChar w:fldCharType="end"/>
      </w:r>
      <w:r>
        <w:rPr>
          <w:rFonts w:hint="eastAsia"/>
        </w:rPr>
        <w:t>。占用方式为跨越式（桥梁、涵洞）占用，保持河流水面、沟渠等湿地的连通。</w:t>
      </w:r>
    </w:p>
    <w:p>
      <w:pPr>
        <w:pStyle w:val="87"/>
        <w:spacing w:before="163"/>
      </w:pPr>
      <w:r>
        <w:rPr>
          <w:rFonts w:hint="eastAsia"/>
        </w:rPr>
        <w:t>工程占用一般湿地情况一览表</w:t>
      </w:r>
    </w:p>
    <w:tbl>
      <w:tblPr>
        <w:tblStyle w:val="84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99"/>
        <w:gridCol w:w="1054"/>
        <w:gridCol w:w="1054"/>
        <w:gridCol w:w="1399"/>
        <w:gridCol w:w="2090"/>
        <w:gridCol w:w="27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86" w:type="pct"/>
            <w:vAlign w:val="center"/>
          </w:tcPr>
          <w:p>
            <w:pPr>
              <w:pStyle w:val="105"/>
              <w:jc w:val="center"/>
            </w:pPr>
            <w:r>
              <w:rPr>
                <w:rFonts w:hint="eastAsia"/>
              </w:rPr>
              <w:t>序号</w:t>
            </w:r>
          </w:p>
        </w:tc>
        <w:tc>
          <w:tcPr>
            <w:tcW w:w="581" w:type="pct"/>
            <w:vAlign w:val="center"/>
          </w:tcPr>
          <w:p>
            <w:pPr>
              <w:pStyle w:val="105"/>
              <w:jc w:val="center"/>
            </w:pPr>
            <w:r>
              <w:rPr>
                <w:rFonts w:hint="eastAsia"/>
              </w:rPr>
              <w:t>乡镇</w:t>
            </w:r>
          </w:p>
        </w:tc>
        <w:tc>
          <w:tcPr>
            <w:tcW w:w="581" w:type="pct"/>
            <w:vAlign w:val="center"/>
          </w:tcPr>
          <w:p>
            <w:pPr>
              <w:pStyle w:val="105"/>
              <w:jc w:val="center"/>
            </w:pPr>
            <w:r>
              <w:rPr>
                <w:rFonts w:hint="eastAsia"/>
              </w:rPr>
              <w:t>村</w:t>
            </w:r>
          </w:p>
        </w:tc>
        <w:tc>
          <w:tcPr>
            <w:tcW w:w="771" w:type="pct"/>
            <w:vAlign w:val="center"/>
          </w:tcPr>
          <w:p>
            <w:pPr>
              <w:pStyle w:val="105"/>
              <w:jc w:val="center"/>
            </w:pPr>
            <w:r>
              <w:rPr>
                <w:rFonts w:hint="eastAsia"/>
              </w:rPr>
              <w:t>湿地类型</w:t>
            </w:r>
          </w:p>
        </w:tc>
        <w:tc>
          <w:tcPr>
            <w:tcW w:w="1152" w:type="pct"/>
            <w:vAlign w:val="center"/>
          </w:tcPr>
          <w:p>
            <w:pPr>
              <w:pStyle w:val="105"/>
              <w:jc w:val="center"/>
            </w:pPr>
            <w:r>
              <w:rPr>
                <w:rFonts w:hint="eastAsia"/>
              </w:rPr>
              <w:t>占用湿地面积hm</w:t>
            </w:r>
            <w:r>
              <w:rPr>
                <w:rFonts w:hint="eastAsia"/>
                <w:vertAlign w:val="superscript"/>
              </w:rPr>
              <w:t>2</w:t>
            </w:r>
          </w:p>
        </w:tc>
        <w:tc>
          <w:tcPr>
            <w:tcW w:w="1529" w:type="pct"/>
            <w:vAlign w:val="center"/>
          </w:tcPr>
          <w:p>
            <w:pPr>
              <w:pStyle w:val="105"/>
              <w:jc w:val="center"/>
            </w:pPr>
            <w:r>
              <w:rPr>
                <w:rFonts w:hint="eastAsia"/>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86" w:type="pct"/>
            <w:vAlign w:val="center"/>
          </w:tcPr>
          <w:p>
            <w:pPr>
              <w:pStyle w:val="105"/>
              <w:jc w:val="center"/>
            </w:pPr>
            <w:r>
              <w:t>1</w:t>
            </w:r>
          </w:p>
        </w:tc>
        <w:tc>
          <w:tcPr>
            <w:tcW w:w="581" w:type="pct"/>
            <w:vMerge w:val="restart"/>
            <w:vAlign w:val="center"/>
          </w:tcPr>
          <w:p>
            <w:pPr>
              <w:pStyle w:val="105"/>
              <w:jc w:val="center"/>
            </w:pPr>
            <w:r>
              <w:rPr>
                <w:rFonts w:hint="eastAsia"/>
              </w:rPr>
              <w:t>渔溪镇</w:t>
            </w:r>
          </w:p>
        </w:tc>
        <w:tc>
          <w:tcPr>
            <w:tcW w:w="581" w:type="pct"/>
            <w:vMerge w:val="restart"/>
            <w:vAlign w:val="center"/>
          </w:tcPr>
          <w:p>
            <w:pPr>
              <w:pStyle w:val="105"/>
              <w:jc w:val="center"/>
            </w:pPr>
            <w:r>
              <w:rPr>
                <w:rFonts w:hint="eastAsia"/>
              </w:rPr>
              <w:t>联华村</w:t>
            </w:r>
          </w:p>
        </w:tc>
        <w:tc>
          <w:tcPr>
            <w:tcW w:w="771" w:type="pct"/>
            <w:vAlign w:val="center"/>
          </w:tcPr>
          <w:p>
            <w:pPr>
              <w:pStyle w:val="105"/>
              <w:jc w:val="center"/>
            </w:pPr>
            <w:r>
              <w:rPr>
                <w:rFonts w:hint="eastAsia"/>
              </w:rPr>
              <w:t>沟渠</w:t>
            </w:r>
          </w:p>
        </w:tc>
        <w:tc>
          <w:tcPr>
            <w:tcW w:w="1152" w:type="pct"/>
            <w:vAlign w:val="center"/>
          </w:tcPr>
          <w:p>
            <w:pPr>
              <w:pStyle w:val="105"/>
              <w:jc w:val="center"/>
            </w:pPr>
            <w:r>
              <w:rPr>
                <w:rFonts w:hint="eastAsia"/>
              </w:rPr>
              <w:t>0.0239</w:t>
            </w:r>
          </w:p>
        </w:tc>
        <w:tc>
          <w:tcPr>
            <w:tcW w:w="1529"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86" w:type="pct"/>
            <w:vAlign w:val="center"/>
          </w:tcPr>
          <w:p>
            <w:pPr>
              <w:pStyle w:val="105"/>
              <w:jc w:val="center"/>
            </w:pPr>
            <w:r>
              <w:rPr>
                <w:rFonts w:hint="eastAsia"/>
              </w:rPr>
              <w:t xml:space="preserve">2 </w:t>
            </w:r>
          </w:p>
        </w:tc>
        <w:tc>
          <w:tcPr>
            <w:tcW w:w="581" w:type="pct"/>
            <w:vMerge w:val="continue"/>
            <w:vAlign w:val="top"/>
          </w:tcPr>
          <w:p>
            <w:pPr>
              <w:pStyle w:val="105"/>
              <w:jc w:val="center"/>
            </w:pPr>
          </w:p>
        </w:tc>
        <w:tc>
          <w:tcPr>
            <w:tcW w:w="581" w:type="pct"/>
            <w:vMerge w:val="continue"/>
            <w:vAlign w:val="center"/>
          </w:tcPr>
          <w:p>
            <w:pPr>
              <w:pStyle w:val="105"/>
              <w:jc w:val="center"/>
            </w:pPr>
          </w:p>
        </w:tc>
        <w:tc>
          <w:tcPr>
            <w:tcW w:w="771" w:type="pct"/>
            <w:vAlign w:val="center"/>
          </w:tcPr>
          <w:p>
            <w:pPr>
              <w:pStyle w:val="105"/>
              <w:jc w:val="center"/>
            </w:pPr>
            <w:r>
              <w:rPr>
                <w:rFonts w:hint="eastAsia"/>
              </w:rPr>
              <w:t>河流水面</w:t>
            </w:r>
          </w:p>
        </w:tc>
        <w:tc>
          <w:tcPr>
            <w:tcW w:w="1152" w:type="pct"/>
            <w:vAlign w:val="center"/>
          </w:tcPr>
          <w:p>
            <w:pPr>
              <w:pStyle w:val="105"/>
              <w:jc w:val="center"/>
            </w:pPr>
            <w:r>
              <w:rPr>
                <w:rFonts w:hint="eastAsia"/>
              </w:rPr>
              <w:t>0.1137</w:t>
            </w:r>
          </w:p>
        </w:tc>
        <w:tc>
          <w:tcPr>
            <w:tcW w:w="1529"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386" w:type="pct"/>
            <w:vAlign w:val="center"/>
          </w:tcPr>
          <w:p>
            <w:pPr>
              <w:pStyle w:val="105"/>
              <w:jc w:val="center"/>
            </w:pPr>
            <w:r>
              <w:rPr>
                <w:rFonts w:hint="eastAsia"/>
              </w:rPr>
              <w:t xml:space="preserve">3 </w:t>
            </w:r>
          </w:p>
        </w:tc>
        <w:tc>
          <w:tcPr>
            <w:tcW w:w="581" w:type="pct"/>
            <w:vMerge w:val="continue"/>
            <w:vAlign w:val="top"/>
          </w:tcPr>
          <w:p>
            <w:pPr>
              <w:pStyle w:val="105"/>
              <w:jc w:val="center"/>
            </w:pPr>
          </w:p>
        </w:tc>
        <w:tc>
          <w:tcPr>
            <w:tcW w:w="581" w:type="pct"/>
            <w:vMerge w:val="continue"/>
            <w:vAlign w:val="center"/>
          </w:tcPr>
          <w:p>
            <w:pPr>
              <w:pStyle w:val="105"/>
              <w:jc w:val="center"/>
            </w:pPr>
          </w:p>
        </w:tc>
        <w:tc>
          <w:tcPr>
            <w:tcW w:w="771" w:type="pct"/>
            <w:vAlign w:val="center"/>
          </w:tcPr>
          <w:p>
            <w:pPr>
              <w:pStyle w:val="105"/>
              <w:jc w:val="center"/>
            </w:pPr>
            <w:r>
              <w:rPr>
                <w:rFonts w:hint="eastAsia"/>
              </w:rPr>
              <w:t>坑塘水面</w:t>
            </w:r>
          </w:p>
        </w:tc>
        <w:tc>
          <w:tcPr>
            <w:tcW w:w="1152" w:type="pct"/>
            <w:vAlign w:val="center"/>
          </w:tcPr>
          <w:p>
            <w:pPr>
              <w:pStyle w:val="105"/>
              <w:jc w:val="center"/>
            </w:pPr>
            <w:r>
              <w:rPr>
                <w:rFonts w:hint="eastAsia"/>
              </w:rPr>
              <w:t>0.0003</w:t>
            </w:r>
          </w:p>
        </w:tc>
        <w:tc>
          <w:tcPr>
            <w:tcW w:w="1529"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86" w:type="pct"/>
            <w:vAlign w:val="center"/>
          </w:tcPr>
          <w:p>
            <w:pPr>
              <w:pStyle w:val="105"/>
              <w:jc w:val="center"/>
            </w:pPr>
          </w:p>
        </w:tc>
        <w:tc>
          <w:tcPr>
            <w:tcW w:w="581" w:type="pct"/>
            <w:vMerge w:val="continue"/>
            <w:vAlign w:val="top"/>
          </w:tcPr>
          <w:p>
            <w:pPr>
              <w:pStyle w:val="105"/>
              <w:jc w:val="center"/>
            </w:pPr>
          </w:p>
        </w:tc>
        <w:tc>
          <w:tcPr>
            <w:tcW w:w="581" w:type="pct"/>
            <w:vMerge w:val="continue"/>
            <w:vAlign w:val="center"/>
          </w:tcPr>
          <w:p>
            <w:pPr>
              <w:pStyle w:val="105"/>
              <w:jc w:val="center"/>
            </w:pPr>
          </w:p>
        </w:tc>
        <w:tc>
          <w:tcPr>
            <w:tcW w:w="771" w:type="pct"/>
            <w:vAlign w:val="center"/>
          </w:tcPr>
          <w:p>
            <w:pPr>
              <w:pStyle w:val="105"/>
              <w:jc w:val="center"/>
            </w:pPr>
            <w:r>
              <w:rPr>
                <w:rFonts w:hint="eastAsia"/>
              </w:rPr>
              <w:t>小计</w:t>
            </w:r>
          </w:p>
        </w:tc>
        <w:tc>
          <w:tcPr>
            <w:tcW w:w="1152" w:type="pct"/>
            <w:vAlign w:val="center"/>
          </w:tcPr>
          <w:p>
            <w:pPr>
              <w:pStyle w:val="105"/>
              <w:jc w:val="center"/>
            </w:pPr>
            <w:r>
              <w:rPr>
                <w:rFonts w:hint="eastAsia"/>
              </w:rPr>
              <w:t>0.1379</w:t>
            </w:r>
          </w:p>
        </w:tc>
        <w:tc>
          <w:tcPr>
            <w:tcW w:w="1529"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86" w:type="pct"/>
            <w:vAlign w:val="center"/>
          </w:tcPr>
          <w:p>
            <w:pPr>
              <w:pStyle w:val="105"/>
              <w:jc w:val="center"/>
            </w:pPr>
            <w:r>
              <w:t>4</w:t>
            </w:r>
          </w:p>
        </w:tc>
        <w:tc>
          <w:tcPr>
            <w:tcW w:w="581" w:type="pct"/>
            <w:vMerge w:val="continue"/>
            <w:vAlign w:val="center"/>
          </w:tcPr>
          <w:p>
            <w:pPr>
              <w:pStyle w:val="105"/>
              <w:jc w:val="center"/>
            </w:pPr>
          </w:p>
        </w:tc>
        <w:tc>
          <w:tcPr>
            <w:tcW w:w="581" w:type="pct"/>
            <w:vMerge w:val="restart"/>
            <w:vAlign w:val="center"/>
          </w:tcPr>
          <w:p>
            <w:pPr>
              <w:pStyle w:val="105"/>
              <w:jc w:val="center"/>
            </w:pPr>
            <w:r>
              <w:rPr>
                <w:rFonts w:hint="eastAsia"/>
              </w:rPr>
              <w:t>侨丰村</w:t>
            </w:r>
          </w:p>
        </w:tc>
        <w:tc>
          <w:tcPr>
            <w:tcW w:w="771" w:type="pct"/>
            <w:vAlign w:val="center"/>
          </w:tcPr>
          <w:p>
            <w:pPr>
              <w:pStyle w:val="105"/>
              <w:jc w:val="center"/>
            </w:pPr>
            <w:r>
              <w:rPr>
                <w:rFonts w:hint="eastAsia"/>
              </w:rPr>
              <w:t>河流水面</w:t>
            </w:r>
          </w:p>
        </w:tc>
        <w:tc>
          <w:tcPr>
            <w:tcW w:w="1152" w:type="pct"/>
            <w:vAlign w:val="center"/>
          </w:tcPr>
          <w:p>
            <w:pPr>
              <w:pStyle w:val="105"/>
              <w:jc w:val="center"/>
            </w:pPr>
            <w:r>
              <w:rPr>
                <w:rFonts w:hint="eastAsia"/>
              </w:rPr>
              <w:t>0.4592</w:t>
            </w:r>
          </w:p>
        </w:tc>
        <w:tc>
          <w:tcPr>
            <w:tcW w:w="1529"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86" w:type="pct"/>
            <w:vAlign w:val="center"/>
          </w:tcPr>
          <w:p>
            <w:pPr>
              <w:pStyle w:val="105"/>
              <w:jc w:val="center"/>
            </w:pPr>
            <w:r>
              <w:rPr>
                <w:rFonts w:hint="eastAsia"/>
              </w:rPr>
              <w:t>5</w:t>
            </w:r>
          </w:p>
        </w:tc>
        <w:tc>
          <w:tcPr>
            <w:tcW w:w="581" w:type="pct"/>
            <w:vMerge w:val="continue"/>
            <w:vAlign w:val="center"/>
          </w:tcPr>
          <w:p>
            <w:pPr>
              <w:pStyle w:val="105"/>
              <w:jc w:val="center"/>
            </w:pPr>
          </w:p>
        </w:tc>
        <w:tc>
          <w:tcPr>
            <w:tcW w:w="581" w:type="pct"/>
            <w:vMerge w:val="continue"/>
            <w:vAlign w:val="center"/>
          </w:tcPr>
          <w:p>
            <w:pPr>
              <w:pStyle w:val="105"/>
              <w:jc w:val="center"/>
            </w:pPr>
          </w:p>
        </w:tc>
        <w:tc>
          <w:tcPr>
            <w:tcW w:w="771" w:type="pct"/>
            <w:vAlign w:val="center"/>
          </w:tcPr>
          <w:p>
            <w:pPr>
              <w:pStyle w:val="105"/>
              <w:jc w:val="center"/>
            </w:pPr>
            <w:r>
              <w:rPr>
                <w:rFonts w:hint="eastAsia"/>
              </w:rPr>
              <w:t>内陆滩涂</w:t>
            </w:r>
          </w:p>
        </w:tc>
        <w:tc>
          <w:tcPr>
            <w:tcW w:w="1152" w:type="pct"/>
            <w:vAlign w:val="center"/>
          </w:tcPr>
          <w:p>
            <w:pPr>
              <w:pStyle w:val="105"/>
              <w:jc w:val="center"/>
            </w:pPr>
            <w:r>
              <w:rPr>
                <w:rFonts w:hint="eastAsia"/>
              </w:rPr>
              <w:t>0.0697</w:t>
            </w:r>
          </w:p>
        </w:tc>
        <w:tc>
          <w:tcPr>
            <w:tcW w:w="1529" w:type="pct"/>
            <w:vAlign w:val="center"/>
          </w:tcPr>
          <w:p>
            <w:pPr>
              <w:pStyle w:val="105"/>
              <w:jc w:val="center"/>
            </w:pPr>
            <w:r>
              <w:rPr>
                <w:rFonts w:hint="eastAsia"/>
              </w:rPr>
              <w:t>位于一般湿地名录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386" w:type="pct"/>
            <w:vAlign w:val="center"/>
          </w:tcPr>
          <w:p>
            <w:pPr>
              <w:pStyle w:val="105"/>
              <w:jc w:val="center"/>
            </w:pPr>
          </w:p>
        </w:tc>
        <w:tc>
          <w:tcPr>
            <w:tcW w:w="581" w:type="pct"/>
            <w:vMerge w:val="continue"/>
            <w:vAlign w:val="center"/>
          </w:tcPr>
          <w:p>
            <w:pPr>
              <w:pStyle w:val="105"/>
              <w:jc w:val="center"/>
            </w:pPr>
          </w:p>
        </w:tc>
        <w:tc>
          <w:tcPr>
            <w:tcW w:w="581" w:type="pct"/>
            <w:vMerge w:val="continue"/>
            <w:vAlign w:val="center"/>
          </w:tcPr>
          <w:p>
            <w:pPr>
              <w:pStyle w:val="105"/>
              <w:jc w:val="center"/>
            </w:pPr>
          </w:p>
        </w:tc>
        <w:tc>
          <w:tcPr>
            <w:tcW w:w="771" w:type="pct"/>
            <w:vAlign w:val="center"/>
          </w:tcPr>
          <w:p>
            <w:pPr>
              <w:pStyle w:val="105"/>
              <w:jc w:val="center"/>
            </w:pPr>
            <w:r>
              <w:rPr>
                <w:rFonts w:hint="eastAsia"/>
              </w:rPr>
              <w:t>小计</w:t>
            </w:r>
          </w:p>
        </w:tc>
        <w:tc>
          <w:tcPr>
            <w:tcW w:w="1152" w:type="pct"/>
            <w:vAlign w:val="center"/>
          </w:tcPr>
          <w:p>
            <w:pPr>
              <w:pStyle w:val="105"/>
              <w:jc w:val="center"/>
            </w:pPr>
            <w:r>
              <w:rPr>
                <w:rFonts w:hint="eastAsia"/>
              </w:rPr>
              <w:t>0.5289</w:t>
            </w:r>
          </w:p>
        </w:tc>
        <w:tc>
          <w:tcPr>
            <w:tcW w:w="1529"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86" w:type="pct"/>
            <w:vAlign w:val="center"/>
          </w:tcPr>
          <w:p>
            <w:pPr>
              <w:pStyle w:val="105"/>
              <w:jc w:val="center"/>
            </w:pPr>
            <w:r>
              <w:t>6</w:t>
            </w:r>
          </w:p>
        </w:tc>
        <w:tc>
          <w:tcPr>
            <w:tcW w:w="581" w:type="pct"/>
            <w:vMerge w:val="continue"/>
            <w:vAlign w:val="center"/>
          </w:tcPr>
          <w:p>
            <w:pPr>
              <w:pStyle w:val="105"/>
              <w:jc w:val="center"/>
            </w:pPr>
          </w:p>
        </w:tc>
        <w:tc>
          <w:tcPr>
            <w:tcW w:w="581" w:type="pct"/>
            <w:vMerge w:val="restart"/>
            <w:vAlign w:val="center"/>
          </w:tcPr>
          <w:p>
            <w:pPr>
              <w:pStyle w:val="105"/>
              <w:jc w:val="center"/>
            </w:pPr>
            <w:r>
              <w:rPr>
                <w:rFonts w:hint="eastAsia"/>
              </w:rPr>
              <w:t>上张村</w:t>
            </w:r>
          </w:p>
        </w:tc>
        <w:tc>
          <w:tcPr>
            <w:tcW w:w="771" w:type="pct"/>
            <w:vAlign w:val="center"/>
          </w:tcPr>
          <w:p>
            <w:pPr>
              <w:pStyle w:val="105"/>
              <w:jc w:val="center"/>
            </w:pPr>
            <w:r>
              <w:rPr>
                <w:rFonts w:hint="eastAsia"/>
              </w:rPr>
              <w:t>沟渠</w:t>
            </w:r>
          </w:p>
        </w:tc>
        <w:tc>
          <w:tcPr>
            <w:tcW w:w="1152" w:type="pct"/>
            <w:vAlign w:val="center"/>
          </w:tcPr>
          <w:p>
            <w:pPr>
              <w:pStyle w:val="105"/>
              <w:jc w:val="center"/>
            </w:pPr>
            <w:r>
              <w:rPr>
                <w:rFonts w:hint="eastAsia"/>
              </w:rPr>
              <w:t>0.0360</w:t>
            </w:r>
          </w:p>
        </w:tc>
        <w:tc>
          <w:tcPr>
            <w:tcW w:w="1529"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86" w:type="pct"/>
            <w:vAlign w:val="center"/>
          </w:tcPr>
          <w:p>
            <w:pPr>
              <w:pStyle w:val="105"/>
              <w:jc w:val="center"/>
            </w:pPr>
            <w:r>
              <w:rPr>
                <w:rFonts w:hint="eastAsia"/>
              </w:rPr>
              <w:t>7</w:t>
            </w:r>
          </w:p>
        </w:tc>
        <w:tc>
          <w:tcPr>
            <w:tcW w:w="581" w:type="pct"/>
            <w:vMerge w:val="continue"/>
            <w:vAlign w:val="center"/>
          </w:tcPr>
          <w:p>
            <w:pPr>
              <w:pStyle w:val="105"/>
              <w:jc w:val="center"/>
            </w:pPr>
          </w:p>
        </w:tc>
        <w:tc>
          <w:tcPr>
            <w:tcW w:w="581" w:type="pct"/>
            <w:vMerge w:val="continue"/>
            <w:vAlign w:val="center"/>
          </w:tcPr>
          <w:p>
            <w:pPr>
              <w:pStyle w:val="105"/>
              <w:jc w:val="center"/>
            </w:pPr>
          </w:p>
        </w:tc>
        <w:tc>
          <w:tcPr>
            <w:tcW w:w="771" w:type="pct"/>
            <w:vAlign w:val="center"/>
          </w:tcPr>
          <w:p>
            <w:pPr>
              <w:pStyle w:val="105"/>
              <w:jc w:val="center"/>
            </w:pPr>
            <w:r>
              <w:rPr>
                <w:rFonts w:hint="eastAsia"/>
              </w:rPr>
              <w:t>河流水面</w:t>
            </w:r>
          </w:p>
        </w:tc>
        <w:tc>
          <w:tcPr>
            <w:tcW w:w="1152" w:type="pct"/>
            <w:vAlign w:val="center"/>
          </w:tcPr>
          <w:p>
            <w:pPr>
              <w:pStyle w:val="105"/>
              <w:jc w:val="center"/>
            </w:pPr>
            <w:r>
              <w:rPr>
                <w:rFonts w:hint="eastAsia"/>
              </w:rPr>
              <w:t>0.2032</w:t>
            </w:r>
          </w:p>
        </w:tc>
        <w:tc>
          <w:tcPr>
            <w:tcW w:w="1529"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86" w:type="pct"/>
            <w:vAlign w:val="center"/>
          </w:tcPr>
          <w:p>
            <w:pPr>
              <w:pStyle w:val="105"/>
              <w:jc w:val="center"/>
            </w:pPr>
          </w:p>
        </w:tc>
        <w:tc>
          <w:tcPr>
            <w:tcW w:w="581" w:type="pct"/>
            <w:vMerge w:val="continue"/>
            <w:vAlign w:val="center"/>
          </w:tcPr>
          <w:p>
            <w:pPr>
              <w:pStyle w:val="105"/>
              <w:jc w:val="center"/>
            </w:pPr>
          </w:p>
        </w:tc>
        <w:tc>
          <w:tcPr>
            <w:tcW w:w="581" w:type="pct"/>
            <w:vMerge w:val="continue"/>
            <w:vAlign w:val="center"/>
          </w:tcPr>
          <w:p>
            <w:pPr>
              <w:pStyle w:val="105"/>
              <w:jc w:val="center"/>
            </w:pPr>
          </w:p>
        </w:tc>
        <w:tc>
          <w:tcPr>
            <w:tcW w:w="771" w:type="pct"/>
            <w:vAlign w:val="center"/>
          </w:tcPr>
          <w:p>
            <w:pPr>
              <w:pStyle w:val="105"/>
              <w:jc w:val="center"/>
            </w:pPr>
            <w:r>
              <w:rPr>
                <w:rFonts w:hint="eastAsia"/>
              </w:rPr>
              <w:t>小计</w:t>
            </w:r>
          </w:p>
        </w:tc>
        <w:tc>
          <w:tcPr>
            <w:tcW w:w="1152" w:type="pct"/>
            <w:vAlign w:val="center"/>
          </w:tcPr>
          <w:p>
            <w:pPr>
              <w:pStyle w:val="105"/>
              <w:jc w:val="center"/>
            </w:pPr>
            <w:r>
              <w:rPr>
                <w:rFonts w:hint="eastAsia"/>
              </w:rPr>
              <w:t>0.2392</w:t>
            </w:r>
          </w:p>
        </w:tc>
        <w:tc>
          <w:tcPr>
            <w:tcW w:w="1529"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319" w:type="pct"/>
            <w:gridSpan w:val="4"/>
            <w:vAlign w:val="center"/>
          </w:tcPr>
          <w:p>
            <w:pPr>
              <w:pStyle w:val="105"/>
              <w:jc w:val="center"/>
            </w:pPr>
            <w:r>
              <w:rPr>
                <w:rFonts w:hint="eastAsia"/>
              </w:rPr>
              <w:t>合计</w:t>
            </w:r>
          </w:p>
        </w:tc>
        <w:tc>
          <w:tcPr>
            <w:tcW w:w="1152" w:type="pct"/>
            <w:vAlign w:val="center"/>
          </w:tcPr>
          <w:p>
            <w:pPr>
              <w:pStyle w:val="105"/>
              <w:jc w:val="center"/>
            </w:pPr>
            <w:r>
              <w:t>0.9060</w:t>
            </w:r>
          </w:p>
        </w:tc>
        <w:tc>
          <w:tcPr>
            <w:tcW w:w="1529" w:type="pct"/>
            <w:vAlign w:val="center"/>
          </w:tcPr>
          <w:p>
            <w:pPr>
              <w:pStyle w:val="105"/>
              <w:jc w:val="center"/>
            </w:pPr>
          </w:p>
        </w:tc>
      </w:tr>
    </w:tbl>
    <w:p>
      <w:pPr>
        <w:pStyle w:val="851"/>
        <w:spacing w:before="163"/>
        <w:ind w:firstLine="480"/>
        <w:rPr>
          <w:color w:val="auto"/>
        </w:rPr>
      </w:pPr>
      <w:r>
        <w:rPr>
          <w:rFonts w:hint="eastAsia"/>
          <w:color w:val="auto"/>
        </w:rPr>
        <w:t>（1）占用湿地：根据调查，本项目占用一般湿地面积0</w:t>
      </w:r>
      <w:r>
        <w:rPr>
          <w:color w:val="auto"/>
        </w:rPr>
        <w:t>.9060</w:t>
      </w:r>
      <w:r>
        <w:rPr>
          <w:rFonts w:hint="eastAsia"/>
          <w:color w:val="auto"/>
        </w:rPr>
        <w:t>hm</w:t>
      </w:r>
      <w:r>
        <w:rPr>
          <w:rFonts w:hint="eastAsia"/>
          <w:color w:val="auto"/>
          <w:vertAlign w:val="superscript"/>
        </w:rPr>
        <w:t>2</w:t>
      </w:r>
      <w:r>
        <w:rPr>
          <w:rFonts w:hint="eastAsia"/>
          <w:color w:val="auto"/>
        </w:rPr>
        <w:t>，占用湿地类型为沟渠、河流水面、坑塘水面和内陆滩涂。项目采取改河、涵洞、桥梁等形式跨越河道，保持河道连通。一般湿地面积减少甚微，对整个湿地斑块的破碎化基本没影响。</w:t>
      </w:r>
    </w:p>
    <w:p>
      <w:pPr>
        <w:ind w:firstLine="480"/>
      </w:pPr>
      <w:r>
        <w:rPr>
          <w:rFonts w:hint="eastAsia"/>
        </w:rPr>
        <w:t>（2）对湿地动植物的影响：根据调查，迳江及其支流岸滩湿生植被类型为禾本科、莎草科等水生、湿生草本植物，均为迳江流域沿线常见植物，项目建设对迳江一般湿地植被影响较小。动物为常见两栖类、鱼类等，如沼水蛙、泽陆蛙等，施工期间对部分两栖类、鱼类等会造成一定的影响，但总体而言影响不大。</w:t>
      </w:r>
    </w:p>
    <w:p>
      <w:pPr>
        <w:ind w:firstLine="480"/>
      </w:pPr>
      <w:r>
        <w:rPr>
          <w:rFonts w:hint="eastAsia"/>
        </w:rPr>
        <w:t>（3）对湿地水环境的影响：项目涉水工程施工期对水环境的影响主要来自于桥梁基础、改河、涵洞等基础施工对水体的搅动，改河涵洞采取土袋围堰、导流；项目涉水桥墩桩基础施工采取钢护筒围堰，每个桩基在不漏水的钢护筒围堰中进行，先钻孔，后灌注混凝土，钻孔产生的泥浆均在护筒内，泥浆经泵至岸边的沉淀池和泥浆池内，部分泥浆回用，无法回用的泥浆经沉淀后上清液回用，严禁将泥浆直接排入河道，</w:t>
      </w:r>
      <w:r>
        <w:t>同时定期清理沉淀池，对清出后的沉淀物</w:t>
      </w:r>
      <w:r>
        <w:rPr>
          <w:rFonts w:hint="eastAsia"/>
        </w:rPr>
        <w:t>与其他弃方一并转运综合利用。因此，在严格落实好环保措施，并加强施工管理，避免含油污水等生产废水随意排放，同时采取各项水保措施，则可以有效减少或避免施工期对水体造成的污染影响。工程建设对湿地水环境的影响总体是可控的。</w:t>
      </w:r>
    </w:p>
    <w:p>
      <w:pPr>
        <w:ind w:firstLine="480"/>
      </w:pPr>
      <w:r>
        <w:rPr>
          <w:rFonts w:hint="eastAsia"/>
        </w:rPr>
        <w:t>（4）对湿地支持功能的影响：项目影响评价区植被以矮灌及草本为主，植被覆盖率低，项目建设对其水源涵养功能影响很小鸟类在湿地区域均为常见种，活动领域宽广，适应性强，周边的其它湿地亦可以容纳其继续生存栖息，项目建设对鸟类群落结构影响有限。湿地面积小，鱼类及底栖动物种类与数量均极小，由于填方会部分影响湿地鱼类及底栖动物的活动，但从整体上不影响鱼类及水生动物生长繁殖活动。因此项目建设不会对现有野生动物栖息地造成明显阻隔效应，项目建设对生境面积及栖息地连通性影响程度为中低度影响。</w:t>
      </w:r>
    </w:p>
    <w:p>
      <w:pPr>
        <w:ind w:firstLine="480"/>
      </w:pPr>
      <w:r>
        <w:rPr>
          <w:rFonts w:hint="eastAsia"/>
        </w:rPr>
        <w:t xml:space="preserve">（5）对湿地调节功能的影响：项目施工会造成湿地水体浑浊，但这种影响是暂时的。项目建成后，随着植被群落的快速恢复，湿地净化水质的功能也将恢复。工程永久占用湿地面积较小，对湿地涵养水源、蓄洪抗旱、调节气候的功能有轻微影响。 </w:t>
      </w:r>
    </w:p>
    <w:p>
      <w:pPr>
        <w:ind w:firstLine="480"/>
      </w:pPr>
      <w:r>
        <w:rPr>
          <w:rFonts w:hint="eastAsia"/>
        </w:rPr>
        <w:t>（6）对湿地供给功能的影响：占用湿地面积 0.9060  hm</w:t>
      </w:r>
      <w:r>
        <w:rPr>
          <w:rFonts w:hint="eastAsia"/>
          <w:vertAlign w:val="superscript"/>
        </w:rPr>
        <w:t>2</w:t>
      </w:r>
      <w:r>
        <w:rPr>
          <w:rFonts w:hint="eastAsia"/>
        </w:rPr>
        <w:t>，为跨越式占用，占用湿地类型为沟渠、河流水面、坑塘水面和内陆滩涂，因此项目对资源/生产供给的影响较小。</w:t>
      </w:r>
    </w:p>
    <w:p>
      <w:pPr>
        <w:ind w:firstLine="480"/>
      </w:pPr>
      <w:r>
        <w:rPr>
          <w:rFonts w:hint="eastAsia"/>
        </w:rPr>
        <w:t>综上，本项目实际占用湿地较小，通过桥梁、涵洞形式跨越，不会导致水体分隔，减少湿地面积很小，对湿地供给功能、调节功能均不产生明显影响，总体认为本项目建设对湿地生态功能影响轻微。</w:t>
      </w:r>
    </w:p>
    <w:p>
      <w:pPr>
        <w:pStyle w:val="118"/>
        <w:numPr>
          <w:ilvl w:val="0"/>
          <w:numId w:val="0"/>
        </w:numPr>
      </w:pPr>
      <w:r>
        <w:rPr>
          <w:rFonts w:hint="eastAsia"/>
        </w:rPr>
        <w:t>3、</w:t>
      </w:r>
      <w:r>
        <w:t>对保护古树的影响</w:t>
      </w:r>
    </w:p>
    <w:p>
      <w:pPr>
        <w:ind w:firstLine="480"/>
      </w:pPr>
      <w:r>
        <w:rPr>
          <w:rFonts w:hint="eastAsia"/>
        </w:rPr>
        <w:t>项目占地红线范围内没有名木古树和野生珍贵树木，也无其它国家和省级重点保护的野生植物，评价范围</w:t>
      </w:r>
      <w:r>
        <w:t>调查发现的</w:t>
      </w:r>
      <w:r>
        <w:rPr>
          <w:rFonts w:hint="eastAsia"/>
        </w:rPr>
        <w:t>保护</w:t>
      </w:r>
      <w:r>
        <w:t>古树8株</w:t>
      </w:r>
      <w:r>
        <w:rPr>
          <w:rFonts w:hint="eastAsia"/>
        </w:rPr>
        <w:t>（最近约9</w:t>
      </w:r>
      <w:r>
        <w:t>0</w:t>
      </w:r>
      <w:r>
        <w:rPr>
          <w:rFonts w:hint="eastAsia"/>
        </w:rPr>
        <w:t>m）</w:t>
      </w:r>
      <w:r>
        <w:t>。</w:t>
      </w:r>
      <w:r>
        <w:rPr>
          <w:rFonts w:hint="eastAsia"/>
        </w:rPr>
        <w:t>距离相对较远，</w:t>
      </w:r>
      <w:r>
        <w:t>工程在该处附近不设临时施工用地，工程建设不会对保护古树产生不利影响。</w:t>
      </w:r>
    </w:p>
    <w:p>
      <w:pPr>
        <w:pStyle w:val="118"/>
      </w:pPr>
      <w:r>
        <w:rPr>
          <w:rFonts w:hint="eastAsia"/>
        </w:rPr>
        <w:t>工程占地对沿线农业的影响</w:t>
      </w:r>
    </w:p>
    <w:p>
      <w:pPr>
        <w:ind w:firstLine="480"/>
      </w:pPr>
      <w:r>
        <w:rPr>
          <w:rFonts w:hint="eastAsia"/>
        </w:rPr>
        <w:t>拟建公路所在区域农业开发历史悠久，土地开发利用率较高，后备土地资源较为紧缺。因此，工程主体工程占地将对沿线农业生产造成一定不利影响。本项目主体工程占用耕地4</w:t>
      </w:r>
      <w:r>
        <w:t>.424</w:t>
      </w:r>
      <w:r>
        <w:rPr>
          <w:rFonts w:hint="eastAsia"/>
        </w:rPr>
        <w:t>hm</w:t>
      </w:r>
      <w:r>
        <w:rPr>
          <w:rFonts w:hint="eastAsia"/>
          <w:vertAlign w:val="superscript"/>
        </w:rPr>
        <w:t>2</w:t>
      </w:r>
      <w:r>
        <w:rPr>
          <w:rFonts w:hint="eastAsia"/>
        </w:rPr>
        <w:t>、园地2</w:t>
      </w:r>
      <w:r>
        <w:t>.6056</w:t>
      </w:r>
      <w:r>
        <w:rPr>
          <w:rFonts w:hint="eastAsia"/>
        </w:rPr>
        <w:t>hm</w:t>
      </w:r>
      <w:r>
        <w:rPr>
          <w:rFonts w:hint="eastAsia"/>
          <w:vertAlign w:val="superscript"/>
        </w:rPr>
        <w:t>2</w:t>
      </w:r>
      <w:r>
        <w:rPr>
          <w:rFonts w:hint="eastAsia"/>
        </w:rPr>
        <w:t xml:space="preserve">，耕地、园地的占用将会对农业生态系统带来一定的影响，使得项目区耕地、园地面积减少。但工程占压耕地数量占福清市耕地总量比例较小，对工程沿线农业生产影响较小，不会使项目区土地利用总体格局发生明显改变，对区域农业生态功能不会产生明显影响。 </w:t>
      </w:r>
    </w:p>
    <w:p>
      <w:pPr>
        <w:ind w:firstLine="480"/>
      </w:pPr>
      <w:r>
        <w:rPr>
          <w:rFonts w:hint="eastAsia"/>
        </w:rPr>
        <w:t>工程占用的耕地和园地，占压前，应对耕地的表层熟土剥离，临时堆放在表土堆场，用于后期施工临时占地复耕。</w:t>
      </w:r>
    </w:p>
    <w:p>
      <w:pPr>
        <w:pStyle w:val="120"/>
        <w:rPr>
          <w:color w:val="auto"/>
        </w:rPr>
      </w:pPr>
      <w:r>
        <w:rPr>
          <w:rFonts w:hint="eastAsia"/>
          <w:color w:val="auto"/>
        </w:rPr>
        <w:t>运营期对生态环境的影响</w:t>
      </w:r>
    </w:p>
    <w:p>
      <w:pPr>
        <w:ind w:firstLine="480"/>
      </w:pPr>
      <w:r>
        <w:rPr>
          <w:rFonts w:hint="eastAsia"/>
        </w:rPr>
        <w:t>（1）对植被的影响</w:t>
      </w:r>
    </w:p>
    <w:p>
      <w:pPr>
        <w:ind w:firstLine="480"/>
      </w:pPr>
      <w:r>
        <w:rPr>
          <w:rFonts w:hint="eastAsia"/>
        </w:rPr>
        <w:t>本项目建成后，新征占地内的植被将被破坏，取而代之的是路面，形成建筑用地类型。由于边缘效益，在公路边界外大约20～</w:t>
      </w:r>
      <w:r>
        <w:t>50</w:t>
      </w:r>
      <w:r>
        <w:rPr>
          <w:rFonts w:hint="eastAsia"/>
        </w:rPr>
        <w:t>m范围的林内，群落物种组成和结构将产生一定的变化，林下耐阴的常绿灌木以及草本将逐渐被阳生或半阳生植物所替代，而林缘外侧的空地将会被强阳生的灌木和杂草占据。</w:t>
      </w:r>
    </w:p>
    <w:p>
      <w:pPr>
        <w:ind w:firstLine="480"/>
      </w:pPr>
      <w:r>
        <w:rPr>
          <w:rFonts w:hint="eastAsia"/>
        </w:rPr>
        <w:t>拟建公路对沿线乡镇的植被的损失占总量的比重很小，沿线乡镇植被覆盖率不会因此而有明显变化，公路建设配以适当的绿化工程，可以减轻其影响。</w:t>
      </w:r>
    </w:p>
    <w:p>
      <w:pPr>
        <w:ind w:firstLine="480"/>
      </w:pPr>
      <w:bookmarkStart w:id="447" w:name="_Toc439084171"/>
      <w:r>
        <w:rPr>
          <w:rFonts w:hint="eastAsia"/>
        </w:rPr>
        <w:t>（2）</w:t>
      </w:r>
      <w:r>
        <w:t>对野生动物资源的影响分析</w:t>
      </w:r>
      <w:bookmarkEnd w:id="447"/>
    </w:p>
    <w:p>
      <w:pPr>
        <w:ind w:firstLine="480"/>
      </w:pPr>
      <w:r>
        <w:rPr>
          <w:rFonts w:hint="eastAsia"/>
        </w:rPr>
        <w:t>①对陆生动物与两栖动物的影响</w:t>
      </w:r>
    </w:p>
    <w:p>
      <w:pPr>
        <w:ind w:firstLine="480"/>
      </w:pPr>
      <w:r>
        <w:rPr>
          <w:rFonts w:hint="eastAsia"/>
        </w:rPr>
        <w:t>本工程属于二级公路，未实行全封闭，因此对动物的活动范围限制不明显，但对部分陆生动物的活动区域、迁移途径、栖息区域和觅食范围受到一定的影响。由于项目所经区域主要是村镇建成区，路基路段主要穿越村庄、耕地、园地，周围人为生产活动频繁，基本无大型野生动物，主要为田间两栖动物因经常在田间湿地和陆地之间迁移，在穿越公路时，很容易被车辆压死。半水栖、湿生的游蛇类中有部分在水中觅食，陆生繁殖，多要横过公路，此间公路上压死的两栖、爬行动物的概率将增多。由于路基段设置了较多的涵洞，确保了不切割地表水系，因而交通致死发生的概率相对减少。</w:t>
      </w:r>
    </w:p>
    <w:p>
      <w:pPr>
        <w:ind w:firstLine="480"/>
      </w:pPr>
      <w:r>
        <w:rPr>
          <w:rFonts w:hint="eastAsia"/>
        </w:rPr>
        <w:t>②对水生生物的影响：</w:t>
      </w:r>
      <w:r>
        <w:t>运营期间，汽车尾气及路面材料产生的污染物随天然降雨形成的路面径流而进入</w:t>
      </w:r>
      <w:r>
        <w:rPr>
          <w:rFonts w:hint="eastAsia"/>
        </w:rPr>
        <w:t>周边迳江地表</w:t>
      </w:r>
      <w:r>
        <w:t>河流，但由于路面径流在工程设计中已根据不同的地质条件采用了相应的工程措施，如排水沟等，路面径流通过排水沟，水中的悬浮物、泥沙等经过降解或沉积，并进行了人工清理，其浓度对</w:t>
      </w:r>
      <w:r>
        <w:rPr>
          <w:rFonts w:hint="eastAsia"/>
        </w:rPr>
        <w:t>地表河流</w:t>
      </w:r>
      <w:r>
        <w:t>的影响较小，不会改变目前的水质现状，因此对水生生物的影响很小。</w:t>
      </w:r>
    </w:p>
    <w:p>
      <w:pPr>
        <w:ind w:firstLine="480"/>
      </w:pPr>
      <w:r>
        <w:rPr>
          <w:rFonts w:hint="eastAsia"/>
        </w:rPr>
        <w:t>（3）对区域生态系统结构完整性的影响分析</w:t>
      </w:r>
    </w:p>
    <w:p>
      <w:pPr>
        <w:ind w:firstLine="480"/>
      </w:pPr>
      <w:r>
        <w:rPr>
          <w:rFonts w:hint="eastAsia"/>
        </w:rPr>
        <w:t>由于拟建公路部分路段沿线以农业植被和林地植被为区域内的主要植被类型；项目区域内林地分布面积不大，对于林地植被而言，因为公路不会造成植物种子散布的阻隔。通过</w:t>
      </w:r>
      <w:r>
        <w:rPr>
          <w:rFonts w:ascii="Segoe UI" w:hAnsi="Segoe UI" w:cs="Segoe UI"/>
        </w:rPr>
        <w:t>花粉传播</w:t>
      </w:r>
      <w:r>
        <w:rPr>
          <w:rFonts w:hint="eastAsia"/>
        </w:rPr>
        <w:t>，植物仍能进行基因交流，种子生产和种子库更新等过程也不会被打断。因此现有植物群落的物种组成不会因此发生改变，生态系统的结构和功能仍将延续。公路建设会减少森林资源的数量，但对其生态效能影响不大。对于农田生态系统来说，由于沿线农田分布广，公路建设占用耕地在所在区域耕地数量的占比少，不会引起主要农作物种植品种和面积的较大改变，因此农田生态系统的结构不会被破坏。</w:t>
      </w:r>
    </w:p>
    <w:p>
      <w:pPr>
        <w:spacing w:before="60" w:after="60"/>
        <w:ind w:firstLine="480"/>
      </w:pPr>
      <w:r>
        <w:rPr>
          <w:rFonts w:hint="eastAsia"/>
        </w:rPr>
        <w:t>综上所述，公路建成后，项目区域内植被类型和面积没有发生明显变化，仍是以林地植被和农田植被为主，也就是说本区域生态环境起控制作用的组分未变动，而且评价区域生态系统的核心是生物，生物有适应环境变化的功能，生物本身具有的生产能力可以为受到干扰的自然体系提供修补，从而维持自然体系的生态平衡和生态完整性，因此该公路项目建设不会改变当地生态系统的完整性和功能的连续性。</w:t>
      </w:r>
    </w:p>
    <w:p>
      <w:pPr>
        <w:pStyle w:val="120"/>
        <w:rPr>
          <w:color w:val="auto"/>
        </w:rPr>
      </w:pPr>
      <w:bookmarkStart w:id="448" w:name="_Toc149645947"/>
      <w:r>
        <w:rPr>
          <w:rFonts w:hint="eastAsia"/>
          <w:color w:val="auto"/>
        </w:rPr>
        <w:t>水土流失影响分析</w:t>
      </w:r>
      <w:bookmarkEnd w:id="448"/>
    </w:p>
    <w:p>
      <w:pPr>
        <w:ind w:firstLine="480"/>
        <w:rPr>
          <w:rFonts w:ascii="仿宋" w:hAnsi="仿宋" w:eastAsia="仿宋" w:cs="仿宋"/>
          <w:szCs w:val="24"/>
        </w:rPr>
      </w:pPr>
      <w:r>
        <w:rPr>
          <w:rFonts w:hint="eastAsia"/>
        </w:rPr>
        <w:t>根据项目水土保持方案，</w:t>
      </w:r>
      <w:r>
        <w:t>本项目可能产生的水土流失总量为 2491.51t，新增水土流失总量为 2366.35t，背景水土流失量为 125.17t。</w:t>
      </w:r>
    </w:p>
    <w:p>
      <w:pPr>
        <w:ind w:firstLine="480"/>
      </w:pPr>
      <w:r>
        <w:rPr>
          <w:rFonts w:hint="eastAsia"/>
        </w:rPr>
        <w:t>工程水土流失主要集中</w:t>
      </w:r>
      <w:r>
        <w:t>水土流失主要产生于路基工程区、边坡防护工程</w:t>
      </w:r>
      <w:r>
        <w:rPr>
          <w:rFonts w:ascii="仿宋" w:hAnsi="仿宋" w:eastAsia="仿宋" w:cs="仿宋"/>
          <w:spacing w:val="-22"/>
          <w:szCs w:val="24"/>
        </w:rPr>
        <w:t>区</w:t>
      </w:r>
      <w:r>
        <w:rPr>
          <w:rFonts w:hint="eastAsia"/>
        </w:rPr>
        <w:t>，因此应作为水土流失防治和监测的重点区域。本工程属于建设类项目，水土流失主要集中在施工期，应为水土流失防治和监测的重点时段。本项目在建设过程中可能造成的水土流失危害如下：</w:t>
      </w:r>
    </w:p>
    <w:p>
      <w:pPr>
        <w:ind w:firstLine="480"/>
      </w:pPr>
      <w:r>
        <w:rPr>
          <w:rFonts w:hint="eastAsia"/>
        </w:rPr>
        <w:t>①</w:t>
      </w:r>
      <w:r>
        <w:t>影响区域生态环境，加剧项目区水土流失</w:t>
      </w:r>
      <w:r>
        <w:rPr>
          <w:rFonts w:hint="eastAsia"/>
        </w:rPr>
        <w:t>：</w:t>
      </w:r>
      <w:r>
        <w:t>项目建设过程中，占用土地，扰动地表，损坏原有土层结构和地表植被，使其原有的水土保持功能降低或丧失，在短期内难以恢复到原有水平；另一方面在施工中挖填形成的裸露坡面极易造成水土流失，使项目区土壤侵蚀模数远远超过容许范围，从而加剧项目区水土流失，若不采取水土保持措施将影响区域生态环境。</w:t>
      </w:r>
    </w:p>
    <w:p>
      <w:pPr>
        <w:ind w:firstLine="480"/>
        <w:rPr>
          <w:rFonts w:cs="Times New Roman"/>
          <w:spacing w:val="-4"/>
        </w:rPr>
      </w:pPr>
      <w:r>
        <w:rPr>
          <w:rFonts w:hint="eastAsia"/>
        </w:rPr>
        <w:t>②</w:t>
      </w:r>
      <w:r>
        <w:t>影响周边居民生产生活</w:t>
      </w:r>
      <w:r>
        <w:rPr>
          <w:rFonts w:hint="eastAsia"/>
        </w:rPr>
        <w:t>：</w:t>
      </w:r>
      <w:r>
        <w:rPr>
          <w:rFonts w:cs="Times New Roman"/>
          <w:spacing w:val="-4"/>
        </w:rPr>
        <w:t>项目沿线存在</w:t>
      </w:r>
      <w:r>
        <w:rPr>
          <w:rFonts w:hint="eastAsia"/>
        </w:rPr>
        <w:t>牌边村、上张村、联华村、侨丰村</w:t>
      </w:r>
      <w:r>
        <w:rPr>
          <w:rFonts w:cs="Times New Roman"/>
          <w:spacing w:val="-4"/>
        </w:rPr>
        <w:t>，施工开挖松散土石方如未采取必要的防护措施，雨天在降雨的作用下易产生水土流失，施工车轮带走泥土污染环境；晴天尘土飞扬，增加空气中颗粒物的含量，对周边居民出行带来不便。</w:t>
      </w:r>
    </w:p>
    <w:p>
      <w:pPr>
        <w:pStyle w:val="19"/>
        <w:ind w:firstLine="472"/>
        <w:rPr>
          <w:rFonts w:ascii="Times New Roman" w:hAnsi="Times New Roman" w:cs="Times New Roman"/>
          <w:spacing w:val="-4"/>
        </w:rPr>
      </w:pPr>
      <w:r>
        <w:rPr>
          <w:rFonts w:hint="eastAsia" w:ascii="Times New Roman" w:hAnsi="Times New Roman" w:cs="Times New Roman"/>
          <w:spacing w:val="-4"/>
        </w:rPr>
        <w:t>③泥沙外泄，淤积溪流：本项目道路沿线跨越迳江，若项目建设过程中水土流失防治不当，泥沙外泄，淤 积河道、抬高河床，影响行洪。</w:t>
      </w:r>
    </w:p>
    <w:p>
      <w:pPr>
        <w:pStyle w:val="19"/>
        <w:ind w:firstLine="472"/>
        <w:rPr>
          <w:rFonts w:ascii="Times New Roman" w:hAnsi="Times New Roman" w:cs="Times New Roman"/>
          <w:spacing w:val="-4"/>
        </w:rPr>
      </w:pPr>
      <w:r>
        <w:rPr>
          <w:rFonts w:hint="eastAsia" w:ascii="Times New Roman" w:hAnsi="Times New Roman" w:cs="Times New Roman"/>
          <w:spacing w:val="-4"/>
        </w:rPr>
        <w:t>④泥沙外泄，淹埋耕地和林地：道路沿线周边为耕地和林地，若项目建设过程中水土流失防治不当，泥沙外泄，淹埋耕地，影响耕作。</w:t>
      </w:r>
    </w:p>
    <w:p>
      <w:pPr>
        <w:ind w:firstLine="480"/>
      </w:pPr>
      <w:r>
        <w:rPr>
          <w:rFonts w:hint="eastAsia"/>
        </w:rPr>
        <w:t>⑤影响土地生产力：工程施工时间长，施工直接造成对原地表的扰动，使表层土和植被遭到破坏，生态系统的稳定性和承载力就会减弱，形成了生态环境系统的脆弱性，易发生自然灾害。裸露的地面在雨水的冲刷下会形成面蚀或沟蚀，从而带走表层土的营养元素，破坏土壤团粒结构，使土地退化。</w:t>
      </w:r>
    </w:p>
    <w:p>
      <w:pPr>
        <w:ind w:firstLine="472"/>
        <w:rPr>
          <w:rFonts w:cs="Times New Roman"/>
          <w:spacing w:val="-4"/>
        </w:rPr>
        <w:sectPr>
          <w:pgSz w:w="11906" w:h="16838"/>
          <w:pgMar w:top="1418" w:right="1418" w:bottom="1418" w:left="1418" w:header="851" w:footer="992" w:gutter="0"/>
          <w:cols w:space="425" w:num="1"/>
          <w:docGrid w:type="lines" w:linePitch="326" w:charSpace="0"/>
        </w:sectPr>
      </w:pPr>
      <w:r>
        <w:rPr>
          <w:rFonts w:cs="Times New Roman"/>
          <w:spacing w:val="-4"/>
        </w:rPr>
        <w:t>本工程水土流失主要集中在公路工程场地平整、开挖回填和路基处理等，应作为水土流失防治和监测的重点区域。施工期水土流失总量占水土流失总量最大，施工期应为水土流失防治和监测的重点时段。工程应针对不同时段不同区域的水土流失特点，因地制宜、因害设防，设置相应的防治措施，制定行之有效的防治方案，遏制新增水土流失的发生和发展。</w:t>
      </w:r>
    </w:p>
    <w:p>
      <w:pPr>
        <w:pStyle w:val="87"/>
        <w:spacing w:before="163"/>
      </w:pPr>
      <w:r>
        <w:tab/>
      </w:r>
      <w:r>
        <w:rPr>
          <w:rFonts w:hint="eastAsia"/>
        </w:rPr>
        <w:t>生态影响评价自查表</w:t>
      </w:r>
    </w:p>
    <w:tbl>
      <w:tblPr>
        <w:tblStyle w:val="54"/>
        <w:tblW w:w="50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429"/>
        <w:gridCol w:w="6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pct"/>
            <w:gridSpan w:val="2"/>
            <w:vAlign w:val="center"/>
          </w:tcPr>
          <w:p>
            <w:pPr>
              <w:pStyle w:val="105"/>
              <w:widowControl w:val="0"/>
              <w:jc w:val="both"/>
            </w:pPr>
            <w:r>
              <w:t>工作内容</w:t>
            </w:r>
          </w:p>
        </w:tc>
        <w:tc>
          <w:tcPr>
            <w:tcW w:w="3570" w:type="pct"/>
            <w:vAlign w:val="center"/>
          </w:tcPr>
          <w:p>
            <w:pPr>
              <w:pStyle w:val="105"/>
              <w:widowControl w:val="0"/>
              <w:jc w:val="both"/>
            </w:pPr>
            <w: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restart"/>
            <w:vAlign w:val="center"/>
          </w:tcPr>
          <w:p>
            <w:pPr>
              <w:pStyle w:val="105"/>
              <w:widowControl w:val="0"/>
              <w:jc w:val="both"/>
            </w:pPr>
            <w:r>
              <w:t>生态影响识别</w:t>
            </w:r>
          </w:p>
        </w:tc>
        <w:tc>
          <w:tcPr>
            <w:tcW w:w="759" w:type="pct"/>
            <w:vAlign w:val="center"/>
          </w:tcPr>
          <w:p>
            <w:pPr>
              <w:pStyle w:val="105"/>
              <w:widowControl w:val="0"/>
              <w:jc w:val="both"/>
            </w:pPr>
            <w:r>
              <w:t>生态保护目标</w:t>
            </w:r>
          </w:p>
        </w:tc>
        <w:tc>
          <w:tcPr>
            <w:tcW w:w="3570" w:type="pct"/>
            <w:vAlign w:val="center"/>
          </w:tcPr>
          <w:p>
            <w:pPr>
              <w:pStyle w:val="105"/>
              <w:widowControl w:val="0"/>
              <w:jc w:val="both"/>
            </w:pPr>
            <w:r>
              <w:t>重要物种</w:t>
            </w:r>
            <w:r>
              <w:rPr>
                <w:rFonts w:asciiTheme="minorEastAsia" w:hAnsiTheme="minorEastAsia"/>
              </w:rPr>
              <w:t>□</w:t>
            </w:r>
            <w:r>
              <w:rPr>
                <w:rFonts w:hint="eastAsia" w:asciiTheme="minorEastAsia" w:hAnsiTheme="minorEastAsia"/>
              </w:rPr>
              <w:t>；</w:t>
            </w:r>
            <w:r>
              <w:rPr>
                <w:rFonts w:asciiTheme="minorEastAsia" w:hAnsiTheme="minorEastAsia"/>
              </w:rPr>
              <w:t>国家公园□</w:t>
            </w:r>
            <w:r>
              <w:rPr>
                <w:rFonts w:hint="eastAsia" w:asciiTheme="minorEastAsia" w:hAnsiTheme="minorEastAsia"/>
              </w:rPr>
              <w:t>；</w:t>
            </w:r>
            <w:r>
              <w:rPr>
                <w:rFonts w:asciiTheme="minorEastAsia" w:hAnsiTheme="minorEastAsia"/>
              </w:rPr>
              <w:t>自然保护区□</w:t>
            </w:r>
            <w:r>
              <w:rPr>
                <w:rFonts w:hint="eastAsia" w:asciiTheme="minorEastAsia" w:hAnsiTheme="minorEastAsia"/>
              </w:rPr>
              <w:t>；</w:t>
            </w:r>
            <w:r>
              <w:rPr>
                <w:rFonts w:asciiTheme="minorEastAsia" w:hAnsiTheme="minorEastAsia"/>
              </w:rPr>
              <w:t>自然公园□</w:t>
            </w:r>
            <w:r>
              <w:rPr>
                <w:rFonts w:hint="eastAsia" w:asciiTheme="minorEastAsia" w:hAnsiTheme="minorEastAsia"/>
              </w:rPr>
              <w:t>；</w:t>
            </w:r>
            <w:r>
              <w:rPr>
                <w:rFonts w:asciiTheme="minorEastAsia" w:hAnsiTheme="minorEastAsia"/>
              </w:rPr>
              <w:t>世界自然遗产□</w:t>
            </w:r>
            <w:r>
              <w:rPr>
                <w:rFonts w:hint="eastAsia" w:asciiTheme="minorEastAsia" w:hAnsiTheme="minorEastAsia"/>
              </w:rPr>
              <w:t>；</w:t>
            </w:r>
            <w:r>
              <w:rPr>
                <w:rFonts w:asciiTheme="minorEastAsia" w:hAnsiTheme="minorEastAsia"/>
              </w:rPr>
              <w:t>生态保护红线□</w:t>
            </w:r>
            <w:r>
              <w:rPr>
                <w:rFonts w:hint="eastAsia" w:asciiTheme="minorEastAsia" w:hAnsiTheme="minorEastAsia"/>
              </w:rPr>
              <w:t>；</w:t>
            </w:r>
            <w:r>
              <w:rPr>
                <w:rFonts w:asciiTheme="minorEastAsia" w:hAnsiTheme="minorEastAsia"/>
              </w:rPr>
              <w:t>重要生境□</w:t>
            </w:r>
            <w:r>
              <w:rPr>
                <w:rFonts w:hint="eastAsia" w:asciiTheme="minorEastAsia" w:hAnsiTheme="minorEastAsia"/>
              </w:rPr>
              <w:t>；</w:t>
            </w:r>
            <w:r>
              <w:rPr>
                <w:rFonts w:asciiTheme="minorEastAsia" w:hAnsiTheme="minorEastAsia"/>
              </w:rPr>
              <w:t>其他具有重要生态功能</w:t>
            </w:r>
            <w:r>
              <w:rPr>
                <w:rFonts w:hint="eastAsia" w:asciiTheme="minorEastAsia" w:hAnsiTheme="minorEastAsia"/>
              </w:rPr>
              <w:t>、</w:t>
            </w:r>
            <w:r>
              <w:rPr>
                <w:rFonts w:asciiTheme="minorEastAsia" w:hAnsiTheme="minorEastAsia"/>
              </w:rPr>
              <w:t>对保护生物多样性具有重要意义的区域□</w:t>
            </w:r>
            <w:r>
              <w:rPr>
                <w:rFonts w:hint="eastAsia" w:asciiTheme="minorEastAsia" w:hAnsiTheme="minorEastAsia"/>
              </w:rPr>
              <w:t>；</w:t>
            </w:r>
            <w:r>
              <w:rPr>
                <w:rFonts w:asciiTheme="minorEastAsia" w:hAnsiTheme="minorEastAsia"/>
              </w:rPr>
              <w:t>其他</w:t>
            </w:r>
            <w:r>
              <w:rPr>
                <w:rFonts w:ascii="Wingdings 2" w:hAnsi="Wingdings 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continue"/>
            <w:vAlign w:val="center"/>
          </w:tcPr>
          <w:p>
            <w:pPr>
              <w:pStyle w:val="105"/>
              <w:widowControl w:val="0"/>
              <w:jc w:val="both"/>
            </w:pPr>
          </w:p>
        </w:tc>
        <w:tc>
          <w:tcPr>
            <w:tcW w:w="759" w:type="pct"/>
            <w:vAlign w:val="center"/>
          </w:tcPr>
          <w:p>
            <w:pPr>
              <w:pStyle w:val="105"/>
              <w:widowControl w:val="0"/>
              <w:jc w:val="both"/>
            </w:pPr>
            <w:r>
              <w:t>影响方式</w:t>
            </w:r>
          </w:p>
        </w:tc>
        <w:tc>
          <w:tcPr>
            <w:tcW w:w="3570" w:type="pct"/>
            <w:vAlign w:val="center"/>
          </w:tcPr>
          <w:p>
            <w:pPr>
              <w:pStyle w:val="105"/>
              <w:widowControl w:val="0"/>
              <w:jc w:val="both"/>
            </w:pPr>
            <w:r>
              <w:t>工程占用</w:t>
            </w:r>
            <w:r>
              <w:rPr>
                <w:rFonts w:ascii="Wingdings 2" w:hAnsi="Wingdings 2"/>
              </w:rPr>
              <w:t></w:t>
            </w:r>
            <w:r>
              <w:rPr>
                <w:rFonts w:hint="eastAsia" w:asciiTheme="minorEastAsia" w:hAnsiTheme="minorEastAsia"/>
              </w:rPr>
              <w:t>；</w:t>
            </w:r>
            <w:r>
              <w:rPr>
                <w:rFonts w:asciiTheme="minorEastAsia" w:hAnsiTheme="minorEastAsia"/>
              </w:rPr>
              <w:t>施工活动干扰</w:t>
            </w:r>
            <w:r>
              <w:rPr>
                <w:rFonts w:ascii="Wingdings 2" w:hAnsi="Wingdings 2"/>
              </w:rPr>
              <w:t></w:t>
            </w:r>
            <w:r>
              <w:rPr>
                <w:rFonts w:hint="eastAsia" w:asciiTheme="minorEastAsia" w:hAnsiTheme="minorEastAsia"/>
              </w:rPr>
              <w:t>；</w:t>
            </w:r>
            <w:r>
              <w:rPr>
                <w:rFonts w:asciiTheme="minorEastAsia" w:hAnsiTheme="minorEastAsia"/>
              </w:rPr>
              <w:t>改变环境条件□</w:t>
            </w:r>
            <w:r>
              <w:rPr>
                <w:rFonts w:hint="eastAsia" w:asciiTheme="minorEastAsia" w:hAnsiTheme="minorEastAsia"/>
              </w:rPr>
              <w:t>；</w:t>
            </w:r>
            <w:r>
              <w:rPr>
                <w:rFonts w:asciiTheme="minorEastAsia" w:hAnsi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continue"/>
            <w:vAlign w:val="center"/>
          </w:tcPr>
          <w:p>
            <w:pPr>
              <w:pStyle w:val="105"/>
              <w:widowControl w:val="0"/>
              <w:jc w:val="both"/>
            </w:pPr>
          </w:p>
        </w:tc>
        <w:tc>
          <w:tcPr>
            <w:tcW w:w="759" w:type="pct"/>
            <w:vAlign w:val="center"/>
          </w:tcPr>
          <w:p>
            <w:pPr>
              <w:pStyle w:val="105"/>
              <w:widowControl w:val="0"/>
              <w:jc w:val="both"/>
            </w:pPr>
            <w:r>
              <w:t>评价因子</w:t>
            </w:r>
          </w:p>
        </w:tc>
        <w:tc>
          <w:tcPr>
            <w:tcW w:w="3570" w:type="pct"/>
            <w:vAlign w:val="center"/>
          </w:tcPr>
          <w:p>
            <w:pPr>
              <w:pStyle w:val="105"/>
              <w:widowControl w:val="0"/>
              <w:jc w:val="both"/>
              <w:rPr>
                <w:rFonts w:asciiTheme="minorEastAsia" w:hAnsiTheme="minorEastAsia"/>
              </w:rPr>
            </w:pPr>
            <w:r>
              <w:t>物种</w:t>
            </w:r>
            <w:r>
              <w:rPr>
                <w:rFonts w:asciiTheme="minorEastAsia" w:hAnsiTheme="minorEastAsia"/>
              </w:rPr>
              <w:t>□</w:t>
            </w:r>
            <w:r>
              <w:rPr>
                <w:rFonts w:hint="eastAsia" w:asciiTheme="minorEastAsia" w:hAnsiTheme="minorEastAsia"/>
              </w:rPr>
              <w:t>（</w:t>
            </w:r>
            <w:r>
              <w:rPr>
                <w:rFonts w:hint="eastAsia"/>
              </w:rPr>
              <w:t xml:space="preserve"> </w:t>
            </w:r>
            <w:r>
              <w:t xml:space="preserve">       </w:t>
            </w:r>
            <w:r>
              <w:rPr>
                <w:rFonts w:hint="eastAsia" w:asciiTheme="minorEastAsia" w:hAnsiTheme="minorEastAsia"/>
              </w:rPr>
              <w:t>）</w:t>
            </w:r>
          </w:p>
          <w:p>
            <w:pPr>
              <w:pStyle w:val="105"/>
              <w:widowControl w:val="0"/>
              <w:jc w:val="both"/>
              <w:rPr>
                <w:rFonts w:asciiTheme="minorEastAsia" w:hAnsiTheme="minorEastAsia"/>
              </w:rPr>
            </w:pPr>
            <w:r>
              <w:t>生境</w:t>
            </w:r>
            <w:r>
              <w:rPr>
                <w:rFonts w:ascii="Wingdings 2" w:hAnsi="Wingdings 2"/>
              </w:rPr>
              <w:t></w:t>
            </w:r>
            <w:r>
              <w:rPr>
                <w:rFonts w:hint="eastAsia" w:asciiTheme="minorEastAsia" w:hAnsiTheme="minorEastAsia"/>
              </w:rPr>
              <w:t>（</w:t>
            </w:r>
            <w:r>
              <w:rPr>
                <w:rFonts w:hint="eastAsia"/>
              </w:rPr>
              <w:t>生境面积、质量等</w:t>
            </w:r>
            <w:r>
              <w:rPr>
                <w:rFonts w:hint="eastAsia" w:asciiTheme="minorEastAsia" w:hAnsiTheme="minorEastAsia"/>
              </w:rPr>
              <w:t>）</w:t>
            </w:r>
          </w:p>
          <w:p>
            <w:pPr>
              <w:pStyle w:val="105"/>
              <w:widowControl w:val="0"/>
              <w:jc w:val="both"/>
              <w:rPr>
                <w:rFonts w:asciiTheme="minorEastAsia" w:hAnsiTheme="minorEastAsia"/>
              </w:rPr>
            </w:pPr>
            <w:r>
              <w:rPr>
                <w:rFonts w:hint="eastAsia" w:asciiTheme="minorEastAsia" w:hAnsiTheme="minorEastAsia"/>
              </w:rPr>
              <w:t>生物群落</w:t>
            </w:r>
            <w:r>
              <w:rPr>
                <w:rFonts w:ascii="Wingdings 2" w:hAnsi="Wingdings 2"/>
              </w:rPr>
              <w:t></w:t>
            </w:r>
            <w:r>
              <w:rPr>
                <w:rFonts w:hint="eastAsia" w:asciiTheme="minorEastAsia" w:hAnsiTheme="minorEastAsia"/>
              </w:rPr>
              <w:t>（物种组成、群落结构等）</w:t>
            </w:r>
          </w:p>
          <w:p>
            <w:pPr>
              <w:pStyle w:val="105"/>
              <w:widowControl w:val="0"/>
              <w:jc w:val="both"/>
              <w:rPr>
                <w:rFonts w:asciiTheme="minorEastAsia" w:hAnsiTheme="minorEastAsia"/>
              </w:rPr>
            </w:pPr>
            <w:r>
              <w:rPr>
                <w:rFonts w:hint="eastAsia" w:asciiTheme="minorEastAsia" w:hAnsiTheme="minorEastAsia"/>
              </w:rPr>
              <w:t>生态系统</w:t>
            </w:r>
            <w:r>
              <w:rPr>
                <w:rFonts w:ascii="Wingdings 2" w:hAnsi="Wingdings 2"/>
              </w:rPr>
              <w:t></w:t>
            </w:r>
            <w:r>
              <w:rPr>
                <w:rFonts w:hint="eastAsia" w:asciiTheme="minorEastAsia" w:hAnsiTheme="minorEastAsia"/>
              </w:rPr>
              <w:t>（</w:t>
            </w:r>
            <w:r>
              <w:rPr>
                <w:rFonts w:hint="eastAsia"/>
              </w:rPr>
              <w:t>生态系统类型及面积、生物量、生态系统功能等</w:t>
            </w:r>
            <w:r>
              <w:rPr>
                <w:rFonts w:hint="eastAsia" w:asciiTheme="minorEastAsia" w:hAnsiTheme="minorEastAsia"/>
              </w:rPr>
              <w:t>）</w:t>
            </w:r>
          </w:p>
          <w:p>
            <w:pPr>
              <w:pStyle w:val="105"/>
              <w:widowControl w:val="0"/>
              <w:jc w:val="both"/>
              <w:rPr>
                <w:rFonts w:asciiTheme="minorEastAsia" w:hAnsiTheme="minorEastAsia"/>
              </w:rPr>
            </w:pPr>
            <w:r>
              <w:rPr>
                <w:rFonts w:hint="eastAsia" w:asciiTheme="minorEastAsia" w:hAnsiTheme="minorEastAsia"/>
              </w:rPr>
              <w:t>生物多样性</w:t>
            </w:r>
            <w:r>
              <w:rPr>
                <w:rFonts w:asciiTheme="minorEastAsia" w:hAnsiTheme="minorEastAsia"/>
              </w:rPr>
              <w:t>□</w:t>
            </w:r>
            <w:r>
              <w:rPr>
                <w:rFonts w:hint="eastAsia" w:asciiTheme="minorEastAsia" w:hAnsiTheme="minorEastAsia"/>
              </w:rPr>
              <w:t xml:space="preserve">（ </w:t>
            </w:r>
            <w:r>
              <w:rPr>
                <w:rFonts w:asciiTheme="minorEastAsia" w:hAnsiTheme="minorEastAsia"/>
              </w:rPr>
              <w:t xml:space="preserve">         </w:t>
            </w:r>
            <w:r>
              <w:rPr>
                <w:rFonts w:hint="eastAsia" w:asciiTheme="minorEastAsia" w:hAnsiTheme="minorEastAsia"/>
              </w:rPr>
              <w:t>）</w:t>
            </w:r>
          </w:p>
          <w:p>
            <w:pPr>
              <w:pStyle w:val="105"/>
              <w:widowControl w:val="0"/>
              <w:jc w:val="both"/>
              <w:rPr>
                <w:rFonts w:asciiTheme="minorEastAsia" w:hAnsiTheme="minorEastAsia"/>
              </w:rPr>
            </w:pPr>
            <w:r>
              <w:rPr>
                <w:rFonts w:hint="eastAsia" w:asciiTheme="minorEastAsia" w:hAnsiTheme="minorEastAsia"/>
              </w:rPr>
              <w:t>生态敏感区</w:t>
            </w:r>
            <w:r>
              <w:rPr>
                <w:rFonts w:ascii="Wingdings 2" w:hAnsi="Wingdings 2"/>
              </w:rPr>
              <w:t></w:t>
            </w:r>
            <w:r>
              <w:rPr>
                <w:rFonts w:hint="eastAsia" w:asciiTheme="minorEastAsia" w:hAnsiTheme="minorEastAsia"/>
              </w:rPr>
              <w:t>（生态公益林、一般湿地等）</w:t>
            </w:r>
          </w:p>
          <w:p>
            <w:pPr>
              <w:pStyle w:val="105"/>
              <w:widowControl w:val="0"/>
              <w:jc w:val="both"/>
              <w:rPr>
                <w:rFonts w:asciiTheme="minorEastAsia" w:hAnsiTheme="minorEastAsia"/>
              </w:rPr>
            </w:pPr>
            <w:r>
              <w:rPr>
                <w:rFonts w:hint="eastAsia" w:asciiTheme="minorEastAsia" w:hAnsiTheme="minorEastAsia"/>
              </w:rPr>
              <w:t>自然景观</w:t>
            </w:r>
            <w:r>
              <w:rPr>
                <w:rFonts w:asciiTheme="minorEastAsia" w:hAnsiTheme="minorEastAsia"/>
              </w:rPr>
              <w:t>□</w:t>
            </w:r>
            <w:r>
              <w:rPr>
                <w:rFonts w:hint="eastAsia" w:asciiTheme="minorEastAsia" w:hAnsiTheme="minorEastAsia"/>
              </w:rPr>
              <w:t>（                      ）</w:t>
            </w:r>
          </w:p>
          <w:p>
            <w:pPr>
              <w:pStyle w:val="105"/>
              <w:widowControl w:val="0"/>
              <w:jc w:val="both"/>
              <w:rPr>
                <w:rFonts w:asciiTheme="minorEastAsia" w:hAnsiTheme="minorEastAsia"/>
              </w:rPr>
            </w:pPr>
            <w:r>
              <w:rPr>
                <w:rFonts w:hint="eastAsia" w:asciiTheme="minorEastAsia" w:hAnsiTheme="minorEastAsia"/>
              </w:rPr>
              <w:t>自然遗迹</w:t>
            </w:r>
            <w:r>
              <w:rPr>
                <w:rFonts w:asciiTheme="minorEastAsia" w:hAnsiTheme="minorEastAsia"/>
              </w:rPr>
              <w:t>□</w:t>
            </w:r>
            <w:r>
              <w:rPr>
                <w:rFonts w:hint="eastAsia" w:asciiTheme="minorEastAsia" w:hAnsiTheme="minorEastAsia"/>
              </w:rPr>
              <w:t>（                      ）</w:t>
            </w:r>
          </w:p>
          <w:p>
            <w:pPr>
              <w:pStyle w:val="105"/>
              <w:widowControl w:val="0"/>
              <w:jc w:val="both"/>
            </w:pPr>
            <w:r>
              <w:rPr>
                <w:rFonts w:hint="eastAsia" w:asciiTheme="minorEastAsia" w:hAnsiTheme="minorEastAsia"/>
              </w:rPr>
              <w:t>其他</w:t>
            </w:r>
            <w:r>
              <w:rPr>
                <w:rFonts w:ascii="Wingdings 2" w:hAnsi="Wingdings 2"/>
              </w:rPr>
              <w:t></w:t>
            </w:r>
            <w:r>
              <w:rPr>
                <w:rFonts w:hint="eastAsia" w:asciiTheme="minorEastAsia" w:hAnsiTheme="minorEastAsia"/>
              </w:rPr>
              <w:t>（土地利用现状）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pct"/>
            <w:gridSpan w:val="2"/>
            <w:vAlign w:val="center"/>
          </w:tcPr>
          <w:p>
            <w:pPr>
              <w:pStyle w:val="105"/>
              <w:widowControl w:val="0"/>
              <w:jc w:val="both"/>
            </w:pPr>
            <w:r>
              <w:t>评价等级</w:t>
            </w:r>
          </w:p>
        </w:tc>
        <w:tc>
          <w:tcPr>
            <w:tcW w:w="3570" w:type="pct"/>
            <w:vAlign w:val="center"/>
          </w:tcPr>
          <w:p>
            <w:pPr>
              <w:pStyle w:val="105"/>
              <w:widowControl w:val="0"/>
              <w:jc w:val="both"/>
            </w:pPr>
            <w:r>
              <w:t>一级</w:t>
            </w:r>
            <w:r>
              <w:rPr>
                <w:rFonts w:asciiTheme="minorEastAsia" w:hAnsiTheme="minorEastAsia"/>
              </w:rPr>
              <w:t>□</w:t>
            </w:r>
            <w:r>
              <w:rPr>
                <w:rFonts w:hint="eastAsia" w:asciiTheme="minorEastAsia" w:hAnsiTheme="minorEastAsia"/>
              </w:rPr>
              <w:t xml:space="preserve">          二级</w:t>
            </w:r>
            <w:r>
              <w:rPr>
                <w:rFonts w:asciiTheme="minorEastAsia" w:hAnsiTheme="minorEastAsia"/>
              </w:rPr>
              <w:t>□</w:t>
            </w:r>
            <w:r>
              <w:rPr>
                <w:rFonts w:hint="eastAsia" w:asciiTheme="minorEastAsia" w:hAnsiTheme="minorEastAsia"/>
              </w:rPr>
              <w:t xml:space="preserve">          三级</w:t>
            </w:r>
            <w:r>
              <w:rPr>
                <w:rFonts w:ascii="Wingdings 2" w:hAnsi="Wingdings 2"/>
              </w:rPr>
              <w:t></w:t>
            </w:r>
            <w:r>
              <w:rPr>
                <w:rFonts w:hint="eastAsia" w:asciiTheme="minorEastAsia" w:hAnsiTheme="minorEastAsia"/>
              </w:rPr>
              <w:t xml:space="preserve">    生态影响简单分析</w:t>
            </w:r>
            <w:r>
              <w:rPr>
                <w:rFonts w:asciiTheme="minorEastAsia" w:hAnsi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pct"/>
            <w:gridSpan w:val="2"/>
            <w:vAlign w:val="center"/>
          </w:tcPr>
          <w:p>
            <w:pPr>
              <w:pStyle w:val="105"/>
              <w:widowControl w:val="0"/>
              <w:jc w:val="both"/>
            </w:pPr>
            <w:r>
              <w:t>评价范围</w:t>
            </w:r>
          </w:p>
        </w:tc>
        <w:tc>
          <w:tcPr>
            <w:tcW w:w="3570" w:type="pct"/>
            <w:vAlign w:val="center"/>
          </w:tcPr>
          <w:p>
            <w:pPr>
              <w:pStyle w:val="105"/>
              <w:widowControl w:val="0"/>
              <w:jc w:val="both"/>
            </w:pPr>
            <w:r>
              <w:t>陆域面积</w:t>
            </w:r>
            <w:r>
              <w:rPr>
                <w:rFonts w:hint="eastAsia"/>
              </w:rPr>
              <w:t>：（</w:t>
            </w:r>
            <w:r>
              <w:t>377. 1371</w:t>
            </w:r>
            <w:r>
              <w:rPr>
                <w:rFonts w:hint="eastAsia"/>
              </w:rPr>
              <w:t>）km</w:t>
            </w:r>
            <w:r>
              <w:rPr>
                <w:rFonts w:hint="eastAsia"/>
                <w:vertAlign w:val="superscript"/>
              </w:rPr>
              <w:t>2</w:t>
            </w:r>
            <w:r>
              <w:rPr>
                <w:rFonts w:hint="eastAsia"/>
              </w:rPr>
              <w:t>；水域面积：（</w:t>
            </w:r>
            <w:r>
              <w:t xml:space="preserve">   </w:t>
            </w:r>
            <w:r>
              <w:rPr>
                <w:rFonts w:hint="eastAsia"/>
              </w:rPr>
              <w:t>）km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restart"/>
            <w:vAlign w:val="center"/>
          </w:tcPr>
          <w:p>
            <w:pPr>
              <w:pStyle w:val="105"/>
              <w:widowControl w:val="0"/>
              <w:jc w:val="both"/>
            </w:pPr>
            <w:r>
              <w:t>生态现状调查与</w:t>
            </w:r>
          </w:p>
          <w:p>
            <w:pPr>
              <w:pStyle w:val="105"/>
              <w:widowControl w:val="0"/>
              <w:jc w:val="both"/>
            </w:pPr>
            <w:r>
              <w:t>评价</w:t>
            </w:r>
          </w:p>
        </w:tc>
        <w:tc>
          <w:tcPr>
            <w:tcW w:w="759" w:type="pct"/>
            <w:vAlign w:val="center"/>
          </w:tcPr>
          <w:p>
            <w:pPr>
              <w:pStyle w:val="105"/>
              <w:widowControl w:val="0"/>
              <w:jc w:val="both"/>
            </w:pPr>
            <w:r>
              <w:t>调查方法</w:t>
            </w:r>
          </w:p>
        </w:tc>
        <w:tc>
          <w:tcPr>
            <w:tcW w:w="3570" w:type="pct"/>
            <w:vAlign w:val="center"/>
          </w:tcPr>
          <w:p>
            <w:pPr>
              <w:pStyle w:val="105"/>
              <w:widowControl w:val="0"/>
              <w:jc w:val="both"/>
              <w:rPr>
                <w:rFonts w:asciiTheme="minorEastAsia" w:hAnsiTheme="minorEastAsia"/>
              </w:rPr>
            </w:pPr>
            <w:r>
              <w:t>资料收集</w:t>
            </w:r>
            <w:r>
              <w:rPr>
                <w:rFonts w:ascii="Wingdings 2" w:hAnsi="Wingdings 2"/>
              </w:rPr>
              <w:t></w:t>
            </w:r>
            <w:r>
              <w:rPr>
                <w:rFonts w:hint="eastAsia" w:asciiTheme="minorEastAsia" w:hAnsiTheme="minorEastAsia"/>
              </w:rPr>
              <w:t>；</w:t>
            </w:r>
            <w:r>
              <w:rPr>
                <w:rFonts w:asciiTheme="minorEastAsia" w:hAnsiTheme="minorEastAsia"/>
              </w:rPr>
              <w:t>遥感调查</w:t>
            </w:r>
            <w:r>
              <w:rPr>
                <w:rFonts w:ascii="Wingdings 2" w:hAnsi="Wingdings 2"/>
              </w:rPr>
              <w:t></w:t>
            </w:r>
            <w:r>
              <w:rPr>
                <w:rFonts w:hint="eastAsia" w:asciiTheme="minorEastAsia" w:hAnsiTheme="minorEastAsia"/>
              </w:rPr>
              <w:t>；</w:t>
            </w:r>
            <w:r>
              <w:rPr>
                <w:rFonts w:asciiTheme="minorEastAsia" w:hAnsiTheme="minorEastAsia"/>
              </w:rPr>
              <w:t>调查样方</w:t>
            </w:r>
            <w:r>
              <w:rPr>
                <w:rFonts w:hint="eastAsia" w:asciiTheme="minorEastAsia" w:hAnsiTheme="minorEastAsia"/>
              </w:rPr>
              <w:t>、</w:t>
            </w:r>
            <w:r>
              <w:rPr>
                <w:rFonts w:asciiTheme="minorEastAsia" w:hAnsiTheme="minorEastAsia"/>
              </w:rPr>
              <w:t>样线□</w:t>
            </w:r>
            <w:r>
              <w:rPr>
                <w:rFonts w:hint="eastAsia" w:asciiTheme="minorEastAsia" w:hAnsiTheme="minorEastAsia"/>
              </w:rPr>
              <w:t>；</w:t>
            </w:r>
          </w:p>
          <w:p>
            <w:pPr>
              <w:pStyle w:val="105"/>
              <w:widowControl w:val="0"/>
              <w:jc w:val="both"/>
            </w:pPr>
            <w:r>
              <w:rPr>
                <w:rFonts w:asciiTheme="minorEastAsia" w:hAnsiTheme="minorEastAsia"/>
              </w:rPr>
              <w:t>调查点位</w:t>
            </w:r>
            <w:r>
              <w:rPr>
                <w:rFonts w:hint="eastAsia" w:asciiTheme="minorEastAsia" w:hAnsiTheme="minorEastAsia"/>
              </w:rPr>
              <w:t>、</w:t>
            </w:r>
            <w:r>
              <w:rPr>
                <w:rFonts w:asciiTheme="minorEastAsia" w:hAnsiTheme="minorEastAsia"/>
              </w:rPr>
              <w:t>断面□</w:t>
            </w:r>
            <w:r>
              <w:rPr>
                <w:rFonts w:hint="eastAsia" w:asciiTheme="minorEastAsia" w:hAnsiTheme="minorEastAsia"/>
              </w:rPr>
              <w:t>；</w:t>
            </w:r>
            <w:r>
              <w:rPr>
                <w:rFonts w:asciiTheme="minorEastAsia" w:hAnsiTheme="minorEastAsia"/>
              </w:rPr>
              <w:t>专家和公众咨询法</w:t>
            </w:r>
            <w:r>
              <w:rPr>
                <w:rFonts w:ascii="Wingdings 2" w:hAnsi="Wingdings 2"/>
              </w:rPr>
              <w:t></w:t>
            </w:r>
            <w:r>
              <w:rPr>
                <w:rFonts w:hint="eastAsia" w:asciiTheme="minorEastAsia" w:hAnsiTheme="minorEastAsia"/>
              </w:rPr>
              <w:t>；</w:t>
            </w:r>
            <w:r>
              <w:rPr>
                <w:rFonts w:asciiTheme="minorEastAsia" w:hAnsiTheme="minorEastAsia"/>
              </w:rPr>
              <w:t>其他</w:t>
            </w:r>
            <w:r>
              <w:rPr>
                <w:rFonts w:ascii="Wingdings 2" w:hAnsi="Wingdings 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continue"/>
            <w:vAlign w:val="center"/>
          </w:tcPr>
          <w:p>
            <w:pPr>
              <w:pStyle w:val="105"/>
              <w:widowControl w:val="0"/>
              <w:jc w:val="both"/>
            </w:pPr>
          </w:p>
        </w:tc>
        <w:tc>
          <w:tcPr>
            <w:tcW w:w="759" w:type="pct"/>
            <w:vAlign w:val="center"/>
          </w:tcPr>
          <w:p>
            <w:pPr>
              <w:pStyle w:val="105"/>
              <w:widowControl w:val="0"/>
              <w:jc w:val="both"/>
            </w:pPr>
            <w:r>
              <w:t>调查时间</w:t>
            </w:r>
          </w:p>
        </w:tc>
        <w:tc>
          <w:tcPr>
            <w:tcW w:w="3570" w:type="pct"/>
            <w:vAlign w:val="center"/>
          </w:tcPr>
          <w:p>
            <w:pPr>
              <w:pStyle w:val="105"/>
              <w:widowControl w:val="0"/>
              <w:jc w:val="both"/>
              <w:rPr>
                <w:rFonts w:asciiTheme="minorEastAsia" w:hAnsiTheme="minorEastAsia"/>
              </w:rPr>
            </w:pPr>
            <w:r>
              <w:t>春季</w:t>
            </w:r>
            <w:r>
              <w:rPr>
                <w:rFonts w:ascii="Wingdings 2" w:hAnsi="Wingdings 2"/>
              </w:rPr>
              <w:t></w:t>
            </w:r>
            <w:r>
              <w:rPr>
                <w:rFonts w:hint="eastAsia" w:asciiTheme="minorEastAsia" w:hAnsiTheme="minorEastAsia"/>
              </w:rPr>
              <w:t>；</w:t>
            </w:r>
            <w:r>
              <w:rPr>
                <w:rFonts w:asciiTheme="minorEastAsia" w:hAnsiTheme="minorEastAsia"/>
              </w:rPr>
              <w:t>夏季□</w:t>
            </w:r>
            <w:r>
              <w:rPr>
                <w:rFonts w:hint="eastAsia" w:asciiTheme="minorEastAsia" w:hAnsiTheme="minorEastAsia"/>
              </w:rPr>
              <w:t>；</w:t>
            </w:r>
            <w:r>
              <w:rPr>
                <w:rFonts w:asciiTheme="minorEastAsia" w:hAnsiTheme="minorEastAsia"/>
              </w:rPr>
              <w:t>秋季□</w:t>
            </w:r>
            <w:r>
              <w:rPr>
                <w:rFonts w:hint="eastAsia" w:asciiTheme="minorEastAsia" w:hAnsiTheme="minorEastAsia"/>
              </w:rPr>
              <w:t>；</w:t>
            </w:r>
            <w:r>
              <w:rPr>
                <w:rFonts w:asciiTheme="minorEastAsia" w:hAnsiTheme="minorEastAsia"/>
              </w:rPr>
              <w:t>冬季□</w:t>
            </w:r>
          </w:p>
          <w:p>
            <w:pPr>
              <w:pStyle w:val="105"/>
              <w:widowControl w:val="0"/>
              <w:jc w:val="both"/>
            </w:pPr>
            <w:r>
              <w:rPr>
                <w:rFonts w:hint="eastAsia" w:asciiTheme="minorEastAsia" w:hAnsiTheme="minorEastAsia"/>
              </w:rPr>
              <w:t>丰水期</w:t>
            </w:r>
            <w:r>
              <w:rPr>
                <w:rFonts w:asciiTheme="minorEastAsia" w:hAnsiTheme="minorEastAsia"/>
              </w:rPr>
              <w:t>□</w:t>
            </w:r>
            <w:r>
              <w:rPr>
                <w:rFonts w:hint="eastAsia" w:asciiTheme="minorEastAsia" w:hAnsiTheme="minorEastAsia"/>
              </w:rPr>
              <w:t>；</w:t>
            </w:r>
            <w:r>
              <w:rPr>
                <w:rFonts w:asciiTheme="minorEastAsia" w:hAnsiTheme="minorEastAsia"/>
              </w:rPr>
              <w:t>枯水期□</w:t>
            </w:r>
            <w:r>
              <w:rPr>
                <w:rFonts w:hint="eastAsia" w:asciiTheme="minorEastAsia" w:hAnsiTheme="minorEastAsia"/>
              </w:rPr>
              <w:t>；</w:t>
            </w:r>
            <w:r>
              <w:rPr>
                <w:rFonts w:asciiTheme="minorEastAsia" w:hAnsiTheme="minorEastAsia"/>
              </w:rPr>
              <w:t>平水期□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continue"/>
            <w:vAlign w:val="center"/>
          </w:tcPr>
          <w:p>
            <w:pPr>
              <w:pStyle w:val="105"/>
              <w:widowControl w:val="0"/>
              <w:jc w:val="both"/>
            </w:pPr>
          </w:p>
        </w:tc>
        <w:tc>
          <w:tcPr>
            <w:tcW w:w="759" w:type="pct"/>
            <w:vAlign w:val="center"/>
          </w:tcPr>
          <w:p>
            <w:pPr>
              <w:pStyle w:val="105"/>
              <w:widowControl w:val="0"/>
              <w:jc w:val="both"/>
            </w:pPr>
            <w:r>
              <w:t>所在区域的</w:t>
            </w:r>
          </w:p>
          <w:p>
            <w:pPr>
              <w:pStyle w:val="105"/>
              <w:widowControl w:val="0"/>
              <w:jc w:val="both"/>
            </w:pPr>
            <w:r>
              <w:t>生态问题</w:t>
            </w:r>
          </w:p>
        </w:tc>
        <w:tc>
          <w:tcPr>
            <w:tcW w:w="3570" w:type="pct"/>
            <w:vAlign w:val="center"/>
          </w:tcPr>
          <w:p>
            <w:pPr>
              <w:pStyle w:val="105"/>
              <w:widowControl w:val="0"/>
              <w:jc w:val="both"/>
            </w:pPr>
            <w:r>
              <w:t>水土流失</w:t>
            </w:r>
            <w:r>
              <w:rPr>
                <w:rFonts w:ascii="Wingdings 2" w:hAnsi="Wingdings 2"/>
              </w:rPr>
              <w:t></w:t>
            </w:r>
            <w:r>
              <w:rPr>
                <w:rFonts w:hint="eastAsia" w:asciiTheme="minorEastAsia" w:hAnsiTheme="minorEastAsia"/>
              </w:rPr>
              <w:t>；</w:t>
            </w:r>
            <w:r>
              <w:rPr>
                <w:rFonts w:asciiTheme="minorEastAsia" w:hAnsiTheme="minorEastAsia"/>
              </w:rPr>
              <w:t>沙漠化□</w:t>
            </w:r>
            <w:r>
              <w:rPr>
                <w:rFonts w:hint="eastAsia" w:asciiTheme="minorEastAsia" w:hAnsiTheme="minorEastAsia"/>
              </w:rPr>
              <w:t>；</w:t>
            </w:r>
            <w:r>
              <w:rPr>
                <w:rFonts w:asciiTheme="minorEastAsia" w:hAnsiTheme="minorEastAsia"/>
              </w:rPr>
              <w:t>石漠化□</w:t>
            </w:r>
            <w:r>
              <w:rPr>
                <w:rFonts w:hint="eastAsia" w:asciiTheme="minorEastAsia" w:hAnsiTheme="minorEastAsia"/>
              </w:rPr>
              <w:t>；</w:t>
            </w:r>
            <w:r>
              <w:rPr>
                <w:rFonts w:asciiTheme="minorEastAsia" w:hAnsiTheme="minorEastAsia"/>
              </w:rPr>
              <w:t>盐渍化□</w:t>
            </w:r>
            <w:r>
              <w:rPr>
                <w:rFonts w:hint="eastAsia" w:asciiTheme="minorEastAsia" w:hAnsiTheme="minorEastAsia"/>
              </w:rPr>
              <w:t>；</w:t>
            </w:r>
            <w:r>
              <w:rPr>
                <w:rFonts w:asciiTheme="minorEastAsia" w:hAnsiTheme="minorEastAsia"/>
              </w:rPr>
              <w:t>生物入侵□</w:t>
            </w:r>
            <w:r>
              <w:rPr>
                <w:rFonts w:hint="eastAsia" w:asciiTheme="minorEastAsia" w:hAnsiTheme="minorEastAsia"/>
              </w:rPr>
              <w:t>；</w:t>
            </w:r>
            <w:r>
              <w:rPr>
                <w:rFonts w:asciiTheme="minorEastAsia" w:hAnsiTheme="minorEastAsia"/>
              </w:rPr>
              <w:t>污染危害□</w:t>
            </w:r>
            <w:r>
              <w:rPr>
                <w:rFonts w:hint="eastAsia" w:asciiTheme="minorEastAsia" w:hAnsiTheme="minorEastAsia"/>
              </w:rPr>
              <w:t>；</w:t>
            </w:r>
            <w:r>
              <w:rPr>
                <w:rFonts w:asciiTheme="minorEastAsia" w:hAnsiTheme="minorEastAsia"/>
              </w:rPr>
              <w:t>其他</w:t>
            </w:r>
            <w:r>
              <w:rPr>
                <w:rFonts w:ascii="Wingdings 2" w:hAnsi="Wingdings 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continue"/>
            <w:vAlign w:val="center"/>
          </w:tcPr>
          <w:p>
            <w:pPr>
              <w:pStyle w:val="105"/>
              <w:widowControl w:val="0"/>
              <w:jc w:val="both"/>
            </w:pPr>
          </w:p>
        </w:tc>
        <w:tc>
          <w:tcPr>
            <w:tcW w:w="759" w:type="pct"/>
            <w:vAlign w:val="center"/>
          </w:tcPr>
          <w:p>
            <w:pPr>
              <w:pStyle w:val="105"/>
              <w:widowControl w:val="0"/>
              <w:jc w:val="both"/>
            </w:pPr>
            <w:r>
              <w:t>评价内容</w:t>
            </w:r>
          </w:p>
        </w:tc>
        <w:tc>
          <w:tcPr>
            <w:tcW w:w="3570" w:type="pct"/>
            <w:vAlign w:val="center"/>
          </w:tcPr>
          <w:p>
            <w:pPr>
              <w:pStyle w:val="105"/>
              <w:widowControl w:val="0"/>
              <w:jc w:val="both"/>
            </w:pPr>
            <w:r>
              <w:t>植被</w:t>
            </w:r>
            <w:r>
              <w:rPr>
                <w:rFonts w:hint="eastAsia"/>
              </w:rPr>
              <w:t>/植物群落</w:t>
            </w:r>
            <w:r>
              <w:rPr>
                <w:rFonts w:ascii="Wingdings 2" w:hAnsi="Wingdings 2"/>
              </w:rPr>
              <w:t></w:t>
            </w:r>
            <w:r>
              <w:rPr>
                <w:rFonts w:hint="eastAsia" w:asciiTheme="minorEastAsia" w:hAnsiTheme="minorEastAsia"/>
              </w:rPr>
              <w:t>；</w:t>
            </w:r>
            <w:r>
              <w:rPr>
                <w:rFonts w:asciiTheme="minorEastAsia" w:hAnsiTheme="minorEastAsia"/>
              </w:rPr>
              <w:t>土地利用</w:t>
            </w:r>
            <w:r>
              <w:rPr>
                <w:rFonts w:ascii="Wingdings 2" w:hAnsi="Wingdings 2"/>
              </w:rPr>
              <w:t></w:t>
            </w:r>
            <w:r>
              <w:rPr>
                <w:rFonts w:hint="eastAsia" w:asciiTheme="minorEastAsia" w:hAnsiTheme="minorEastAsia"/>
              </w:rPr>
              <w:t>；</w:t>
            </w:r>
            <w:r>
              <w:rPr>
                <w:rFonts w:asciiTheme="minorEastAsia" w:hAnsiTheme="minorEastAsia"/>
              </w:rPr>
              <w:t>生态系统</w:t>
            </w:r>
            <w:r>
              <w:rPr>
                <w:rFonts w:ascii="Wingdings 2" w:hAnsi="Wingdings 2"/>
              </w:rPr>
              <w:t></w:t>
            </w:r>
            <w:r>
              <w:rPr>
                <w:rFonts w:hint="eastAsia" w:asciiTheme="minorEastAsia" w:hAnsiTheme="minorEastAsia"/>
              </w:rPr>
              <w:t>；</w:t>
            </w:r>
            <w:r>
              <w:rPr>
                <w:rFonts w:asciiTheme="minorEastAsia" w:hAnsiTheme="minorEastAsia"/>
              </w:rPr>
              <w:t>生物多样性</w:t>
            </w:r>
            <w:r>
              <w:rPr>
                <w:rFonts w:ascii="Wingdings 2" w:hAnsi="Wingdings 2"/>
              </w:rPr>
              <w:t></w:t>
            </w:r>
            <w:r>
              <w:rPr>
                <w:rFonts w:hint="eastAsia" w:asciiTheme="minorEastAsia" w:hAnsiTheme="minorEastAsia"/>
              </w:rPr>
              <w:t>；</w:t>
            </w:r>
            <w:r>
              <w:rPr>
                <w:rFonts w:asciiTheme="minorEastAsia" w:hAnsiTheme="minorEastAsia"/>
              </w:rPr>
              <w:t>重要物种</w:t>
            </w:r>
            <w:r>
              <w:rPr>
                <w:rFonts w:ascii="Wingdings 2" w:hAnsi="Wingdings 2"/>
              </w:rPr>
              <w:t></w:t>
            </w:r>
            <w:r>
              <w:rPr>
                <w:rFonts w:hint="eastAsia" w:asciiTheme="minorEastAsia" w:hAnsiTheme="minorEastAsia"/>
              </w:rPr>
              <w:t>；</w:t>
            </w:r>
            <w:r>
              <w:rPr>
                <w:rFonts w:asciiTheme="minorEastAsia" w:hAnsiTheme="minorEastAsia"/>
              </w:rPr>
              <w:t>生态敏感区</w:t>
            </w:r>
            <w:r>
              <w:rPr>
                <w:rFonts w:ascii="Wingdings 2" w:hAnsi="Wingdings 2"/>
              </w:rPr>
              <w:t></w:t>
            </w:r>
            <w:r>
              <w:rPr>
                <w:rFonts w:hint="eastAsia" w:asciiTheme="minorEastAsia" w:hAnsiTheme="minorEastAsia"/>
              </w:rPr>
              <w:t>；</w:t>
            </w:r>
            <w:r>
              <w:rPr>
                <w:rFonts w:asciiTheme="minorEastAsia" w:hAnsiTheme="minorEastAsia"/>
              </w:rPr>
              <w:t>其他</w:t>
            </w:r>
            <w:r>
              <w:rPr>
                <w:rFonts w:ascii="Wingdings 2" w:hAnsi="Wingdings 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restart"/>
            <w:vAlign w:val="center"/>
          </w:tcPr>
          <w:p>
            <w:pPr>
              <w:pStyle w:val="105"/>
              <w:widowControl w:val="0"/>
              <w:jc w:val="both"/>
            </w:pPr>
            <w:r>
              <w:t>生态影响预测与评价</w:t>
            </w:r>
          </w:p>
        </w:tc>
        <w:tc>
          <w:tcPr>
            <w:tcW w:w="759" w:type="pct"/>
            <w:vAlign w:val="center"/>
          </w:tcPr>
          <w:p>
            <w:pPr>
              <w:pStyle w:val="105"/>
              <w:widowControl w:val="0"/>
              <w:jc w:val="both"/>
            </w:pPr>
            <w:r>
              <w:t>评价方法</w:t>
            </w:r>
          </w:p>
        </w:tc>
        <w:tc>
          <w:tcPr>
            <w:tcW w:w="3570" w:type="pct"/>
            <w:vAlign w:val="center"/>
          </w:tcPr>
          <w:p>
            <w:pPr>
              <w:pStyle w:val="105"/>
              <w:widowControl w:val="0"/>
              <w:jc w:val="both"/>
            </w:pPr>
            <w:r>
              <w:t>定性</w:t>
            </w:r>
            <w:r>
              <w:rPr>
                <w:rFonts w:asciiTheme="minorEastAsia" w:hAnsiTheme="minorEastAsia"/>
              </w:rPr>
              <w:t>□</w:t>
            </w:r>
            <w:r>
              <w:rPr>
                <w:rFonts w:hint="eastAsia" w:asciiTheme="minorEastAsia" w:hAnsiTheme="minorEastAsia"/>
              </w:rPr>
              <w:t>；</w:t>
            </w:r>
            <w:r>
              <w:rPr>
                <w:rFonts w:asciiTheme="minorEastAsia" w:hAnsiTheme="minorEastAsia"/>
              </w:rPr>
              <w:t>定性和定量</w:t>
            </w:r>
            <w:r>
              <w:rPr>
                <w:rFonts w:ascii="Wingdings 2" w:hAnsi="Wingdings 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continue"/>
            <w:vAlign w:val="center"/>
          </w:tcPr>
          <w:p>
            <w:pPr>
              <w:pStyle w:val="105"/>
              <w:widowControl w:val="0"/>
              <w:jc w:val="both"/>
            </w:pPr>
          </w:p>
        </w:tc>
        <w:tc>
          <w:tcPr>
            <w:tcW w:w="759" w:type="pct"/>
            <w:vAlign w:val="center"/>
          </w:tcPr>
          <w:p>
            <w:pPr>
              <w:pStyle w:val="105"/>
              <w:widowControl w:val="0"/>
              <w:jc w:val="both"/>
            </w:pPr>
            <w:r>
              <w:t>评价内容</w:t>
            </w:r>
          </w:p>
        </w:tc>
        <w:tc>
          <w:tcPr>
            <w:tcW w:w="3570" w:type="pct"/>
            <w:vAlign w:val="center"/>
          </w:tcPr>
          <w:p>
            <w:pPr>
              <w:pStyle w:val="105"/>
              <w:widowControl w:val="0"/>
              <w:jc w:val="both"/>
            </w:pPr>
            <w:r>
              <w:t>植被</w:t>
            </w:r>
            <w:r>
              <w:rPr>
                <w:rFonts w:hint="eastAsia"/>
              </w:rPr>
              <w:t>/植物群落</w:t>
            </w:r>
            <w:r>
              <w:rPr>
                <w:rFonts w:ascii="Wingdings 2" w:hAnsi="Wingdings 2"/>
              </w:rPr>
              <w:t></w:t>
            </w:r>
            <w:r>
              <w:rPr>
                <w:rFonts w:hint="eastAsia" w:asciiTheme="minorEastAsia" w:hAnsiTheme="minorEastAsia"/>
              </w:rPr>
              <w:t>；</w:t>
            </w:r>
            <w:r>
              <w:rPr>
                <w:rFonts w:asciiTheme="minorEastAsia" w:hAnsiTheme="minorEastAsia"/>
              </w:rPr>
              <w:t>土地利用</w:t>
            </w:r>
            <w:r>
              <w:rPr>
                <w:rFonts w:ascii="Wingdings 2" w:hAnsi="Wingdings 2"/>
              </w:rPr>
              <w:t></w:t>
            </w:r>
            <w:r>
              <w:rPr>
                <w:rFonts w:hint="eastAsia" w:asciiTheme="minorEastAsia" w:hAnsiTheme="minorEastAsia"/>
              </w:rPr>
              <w:t>；</w:t>
            </w:r>
            <w:r>
              <w:rPr>
                <w:rFonts w:asciiTheme="minorEastAsia" w:hAnsiTheme="minorEastAsia"/>
              </w:rPr>
              <w:t>生态系统</w:t>
            </w:r>
            <w:r>
              <w:rPr>
                <w:rFonts w:ascii="Wingdings 2" w:hAnsi="Wingdings 2"/>
              </w:rPr>
              <w:t></w:t>
            </w:r>
            <w:r>
              <w:rPr>
                <w:rFonts w:hint="eastAsia" w:asciiTheme="minorEastAsia" w:hAnsiTheme="minorEastAsia"/>
              </w:rPr>
              <w:t>；</w:t>
            </w:r>
            <w:r>
              <w:rPr>
                <w:rFonts w:asciiTheme="minorEastAsia" w:hAnsiTheme="minorEastAsia"/>
              </w:rPr>
              <w:t>生物多样性</w:t>
            </w:r>
            <w:r>
              <w:rPr>
                <w:rFonts w:ascii="Wingdings 2" w:hAnsi="Wingdings 2"/>
              </w:rPr>
              <w:t></w:t>
            </w:r>
            <w:r>
              <w:rPr>
                <w:rFonts w:hint="eastAsia" w:asciiTheme="minorEastAsia" w:hAnsiTheme="minorEastAsia"/>
              </w:rPr>
              <w:t>；</w:t>
            </w:r>
            <w:r>
              <w:rPr>
                <w:rFonts w:asciiTheme="minorEastAsia" w:hAnsiTheme="minorEastAsia"/>
              </w:rPr>
              <w:t>重要物种□</w:t>
            </w:r>
            <w:r>
              <w:rPr>
                <w:rFonts w:hint="eastAsia" w:asciiTheme="minorEastAsia" w:hAnsiTheme="minorEastAsia"/>
              </w:rPr>
              <w:t>；</w:t>
            </w:r>
            <w:r>
              <w:rPr>
                <w:rFonts w:asciiTheme="minorEastAsia" w:hAnsiTheme="minorEastAsia"/>
              </w:rPr>
              <w:t>生态敏感区</w:t>
            </w:r>
            <w:r>
              <w:rPr>
                <w:rFonts w:ascii="Wingdings 2" w:hAnsi="Wingdings 2"/>
              </w:rPr>
              <w:t></w:t>
            </w:r>
            <w:r>
              <w:rPr>
                <w:rFonts w:hint="eastAsia" w:asciiTheme="minorEastAsia" w:hAnsiTheme="minorEastAsia"/>
              </w:rPr>
              <w:t>；</w:t>
            </w:r>
            <w:r>
              <w:rPr>
                <w:rFonts w:asciiTheme="minorEastAsia" w:hAnsiTheme="minorEastAsia"/>
              </w:rPr>
              <w:t>生物入侵风险□</w:t>
            </w:r>
            <w:r>
              <w:rPr>
                <w:rFonts w:hint="eastAsia" w:asciiTheme="minorEastAsia" w:hAnsiTheme="minorEastAsia"/>
              </w:rPr>
              <w:t>；</w:t>
            </w:r>
            <w:r>
              <w:rPr>
                <w:rFonts w:asciiTheme="minorEastAsia" w:hAnsiTheme="minorEastAsia"/>
              </w:rPr>
              <w:t>其他</w:t>
            </w:r>
            <w:r>
              <w:rPr>
                <w:rFonts w:ascii="Wingdings 2" w:hAnsi="Wingdings 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restart"/>
            <w:vAlign w:val="center"/>
          </w:tcPr>
          <w:p>
            <w:pPr>
              <w:pStyle w:val="105"/>
              <w:widowControl w:val="0"/>
              <w:jc w:val="both"/>
            </w:pPr>
            <w:r>
              <w:t>生态保护对策措施</w:t>
            </w:r>
          </w:p>
        </w:tc>
        <w:tc>
          <w:tcPr>
            <w:tcW w:w="759" w:type="pct"/>
            <w:vAlign w:val="center"/>
          </w:tcPr>
          <w:p>
            <w:pPr>
              <w:pStyle w:val="105"/>
              <w:widowControl w:val="0"/>
              <w:jc w:val="both"/>
            </w:pPr>
            <w:r>
              <w:t>对策措施</w:t>
            </w:r>
          </w:p>
        </w:tc>
        <w:tc>
          <w:tcPr>
            <w:tcW w:w="3570" w:type="pct"/>
            <w:vAlign w:val="center"/>
          </w:tcPr>
          <w:p>
            <w:pPr>
              <w:pStyle w:val="105"/>
              <w:widowControl w:val="0"/>
              <w:jc w:val="both"/>
            </w:pPr>
            <w:r>
              <w:t>避让</w:t>
            </w:r>
            <w:r>
              <w:rPr>
                <w:rFonts w:ascii="Wingdings 2" w:hAnsi="Wingdings 2"/>
              </w:rPr>
              <w:t></w:t>
            </w:r>
            <w:r>
              <w:rPr>
                <w:rFonts w:hint="eastAsia" w:asciiTheme="minorEastAsia" w:hAnsiTheme="minorEastAsia"/>
              </w:rPr>
              <w:t>；</w:t>
            </w:r>
            <w:r>
              <w:rPr>
                <w:rFonts w:asciiTheme="minorEastAsia" w:hAnsiTheme="minorEastAsia"/>
              </w:rPr>
              <w:t>减缓</w:t>
            </w:r>
            <w:r>
              <w:rPr>
                <w:rFonts w:ascii="Wingdings 2" w:hAnsi="Wingdings 2"/>
              </w:rPr>
              <w:t></w:t>
            </w:r>
            <w:r>
              <w:rPr>
                <w:rFonts w:hint="eastAsia" w:asciiTheme="minorEastAsia" w:hAnsiTheme="minorEastAsia"/>
              </w:rPr>
              <w:t>；</w:t>
            </w:r>
            <w:r>
              <w:rPr>
                <w:rFonts w:asciiTheme="minorEastAsia" w:hAnsiTheme="minorEastAsia"/>
              </w:rPr>
              <w:t>生态修复</w:t>
            </w:r>
            <w:r>
              <w:rPr>
                <w:rFonts w:ascii="Wingdings 2" w:hAnsi="Wingdings 2"/>
              </w:rPr>
              <w:t></w:t>
            </w:r>
            <w:r>
              <w:rPr>
                <w:rFonts w:hint="eastAsia" w:asciiTheme="minorEastAsia" w:hAnsiTheme="minorEastAsia"/>
              </w:rPr>
              <w:t>；</w:t>
            </w:r>
            <w:r>
              <w:rPr>
                <w:rFonts w:asciiTheme="minorEastAsia" w:hAnsiTheme="minorEastAsia"/>
              </w:rPr>
              <w:t>生态补偿□</w:t>
            </w:r>
            <w:r>
              <w:rPr>
                <w:rFonts w:hint="eastAsia" w:asciiTheme="minorEastAsia" w:hAnsiTheme="minorEastAsia"/>
              </w:rPr>
              <w:t>；</w:t>
            </w:r>
            <w:r>
              <w:rPr>
                <w:rFonts w:asciiTheme="minorEastAsia" w:hAnsiTheme="minorEastAsia"/>
              </w:rPr>
              <w:t>科研□</w:t>
            </w:r>
            <w:r>
              <w:rPr>
                <w:rFonts w:hint="eastAsia" w:asciiTheme="minorEastAsia" w:hAnsiTheme="minorEastAsia"/>
              </w:rPr>
              <w:t>；</w:t>
            </w:r>
            <w:r>
              <w:rPr>
                <w:rFonts w:asciiTheme="minorEastAsia" w:hAnsiTheme="minorEastAsia"/>
              </w:rPr>
              <w:t>其他</w:t>
            </w:r>
            <w:r>
              <w:rPr>
                <w:rFonts w:ascii="Wingdings 2" w:hAnsi="Wingdings 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continue"/>
            <w:vAlign w:val="center"/>
          </w:tcPr>
          <w:p>
            <w:pPr>
              <w:pStyle w:val="105"/>
              <w:widowControl w:val="0"/>
              <w:jc w:val="both"/>
            </w:pPr>
          </w:p>
        </w:tc>
        <w:tc>
          <w:tcPr>
            <w:tcW w:w="759" w:type="pct"/>
            <w:vAlign w:val="center"/>
          </w:tcPr>
          <w:p>
            <w:pPr>
              <w:pStyle w:val="105"/>
              <w:widowControl w:val="0"/>
              <w:jc w:val="both"/>
            </w:pPr>
            <w:r>
              <w:t>生态监测计划</w:t>
            </w:r>
          </w:p>
        </w:tc>
        <w:tc>
          <w:tcPr>
            <w:tcW w:w="3570" w:type="pct"/>
            <w:vAlign w:val="center"/>
          </w:tcPr>
          <w:p>
            <w:pPr>
              <w:pStyle w:val="105"/>
              <w:widowControl w:val="0"/>
              <w:jc w:val="both"/>
            </w:pPr>
            <w:r>
              <w:t>全生命周期</w:t>
            </w:r>
            <w:r>
              <w:rPr>
                <w:rFonts w:asciiTheme="minorEastAsia" w:hAnsiTheme="minorEastAsia"/>
              </w:rPr>
              <w:t>□</w:t>
            </w:r>
            <w:r>
              <w:rPr>
                <w:rFonts w:hint="eastAsia" w:asciiTheme="minorEastAsia" w:hAnsiTheme="minorEastAsia"/>
              </w:rPr>
              <w:t>；</w:t>
            </w:r>
            <w:r>
              <w:rPr>
                <w:rFonts w:asciiTheme="minorEastAsia" w:hAnsiTheme="minorEastAsia"/>
              </w:rPr>
              <w:t>长期跟踪□</w:t>
            </w:r>
            <w:r>
              <w:rPr>
                <w:rFonts w:hint="eastAsia" w:asciiTheme="minorEastAsia" w:hAnsiTheme="minorEastAsia"/>
              </w:rPr>
              <w:t>；</w:t>
            </w:r>
            <w:r>
              <w:rPr>
                <w:rFonts w:asciiTheme="minorEastAsia" w:hAnsiTheme="minorEastAsia"/>
              </w:rPr>
              <w:t>常规□</w:t>
            </w:r>
            <w:r>
              <w:rPr>
                <w:rFonts w:hint="eastAsia" w:asciiTheme="minorEastAsia" w:hAnsiTheme="minorEastAsia"/>
              </w:rPr>
              <w:t>；</w:t>
            </w:r>
            <w:r>
              <w:rPr>
                <w:rFonts w:asciiTheme="minorEastAsia" w:hAnsiTheme="minorEastAsia"/>
              </w:rPr>
              <w:t>无</w:t>
            </w:r>
            <w:r>
              <w:rPr>
                <w:rFonts w:ascii="Wingdings 2" w:hAnsi="Wingdings 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continue"/>
            <w:vAlign w:val="center"/>
          </w:tcPr>
          <w:p>
            <w:pPr>
              <w:pStyle w:val="105"/>
              <w:widowControl w:val="0"/>
              <w:jc w:val="both"/>
            </w:pPr>
          </w:p>
        </w:tc>
        <w:tc>
          <w:tcPr>
            <w:tcW w:w="759" w:type="pct"/>
            <w:vAlign w:val="center"/>
          </w:tcPr>
          <w:p>
            <w:pPr>
              <w:pStyle w:val="105"/>
              <w:widowControl w:val="0"/>
              <w:jc w:val="both"/>
            </w:pPr>
            <w:r>
              <w:t>环境管理</w:t>
            </w:r>
          </w:p>
        </w:tc>
        <w:tc>
          <w:tcPr>
            <w:tcW w:w="3570" w:type="pct"/>
            <w:vAlign w:val="center"/>
          </w:tcPr>
          <w:p>
            <w:pPr>
              <w:pStyle w:val="105"/>
              <w:widowControl w:val="0"/>
              <w:jc w:val="both"/>
            </w:pPr>
            <w:r>
              <w:t>环境监理</w:t>
            </w:r>
            <w:r>
              <w:rPr>
                <w:rFonts w:asciiTheme="minorEastAsia" w:hAnsiTheme="minorEastAsia"/>
              </w:rPr>
              <w:t>□</w:t>
            </w:r>
            <w:r>
              <w:rPr>
                <w:rFonts w:hint="eastAsia" w:asciiTheme="minorEastAsia" w:hAnsiTheme="minorEastAsia"/>
              </w:rPr>
              <w:t>；</w:t>
            </w:r>
            <w:r>
              <w:rPr>
                <w:rFonts w:asciiTheme="minorEastAsia" w:hAnsiTheme="minorEastAsia"/>
              </w:rPr>
              <w:t>环境影响后评价□</w:t>
            </w:r>
            <w:r>
              <w:rPr>
                <w:rFonts w:hint="eastAsia" w:asciiTheme="minorEastAsia" w:hAnsiTheme="minorEastAsia"/>
              </w:rPr>
              <w:t>；</w:t>
            </w:r>
            <w:r>
              <w:rPr>
                <w:rFonts w:asciiTheme="minorEastAsia" w:hAnsiTheme="minorEastAsia"/>
              </w:rPr>
              <w:t>其他</w:t>
            </w:r>
            <w:r>
              <w:rPr>
                <w:rFonts w:ascii="Wingdings 2" w:hAnsi="Wingdings 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Align w:val="center"/>
          </w:tcPr>
          <w:p>
            <w:pPr>
              <w:pStyle w:val="105"/>
              <w:widowControl w:val="0"/>
              <w:jc w:val="both"/>
            </w:pPr>
            <w:r>
              <w:t>评价结论</w:t>
            </w:r>
          </w:p>
        </w:tc>
        <w:tc>
          <w:tcPr>
            <w:tcW w:w="759" w:type="pct"/>
            <w:vAlign w:val="center"/>
          </w:tcPr>
          <w:p>
            <w:pPr>
              <w:pStyle w:val="105"/>
              <w:widowControl w:val="0"/>
              <w:jc w:val="both"/>
            </w:pPr>
            <w:r>
              <w:t>生态影响</w:t>
            </w:r>
          </w:p>
        </w:tc>
        <w:tc>
          <w:tcPr>
            <w:tcW w:w="3570" w:type="pct"/>
            <w:vAlign w:val="center"/>
          </w:tcPr>
          <w:p>
            <w:pPr>
              <w:pStyle w:val="105"/>
              <w:widowControl w:val="0"/>
              <w:jc w:val="both"/>
            </w:pPr>
            <w:r>
              <w:t>可行</w:t>
            </w:r>
            <w:r>
              <w:rPr>
                <w:rFonts w:ascii="Wingdings 2" w:hAnsi="Wingdings 2"/>
              </w:rPr>
              <w:t></w:t>
            </w:r>
            <w:r>
              <w:rPr>
                <w:rFonts w:hint="eastAsia" w:asciiTheme="minorEastAsia" w:hAnsiTheme="minorEastAsia"/>
              </w:rPr>
              <w:t>；</w:t>
            </w:r>
            <w:r>
              <w:rPr>
                <w:rFonts w:asciiTheme="minorEastAsia" w:hAnsiTheme="minorEastAsia"/>
              </w:rPr>
              <w:t>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pPr>
              <w:pStyle w:val="105"/>
              <w:widowControl w:val="0"/>
              <w:jc w:val="both"/>
            </w:pPr>
            <w:r>
              <w:t>注</w:t>
            </w:r>
            <w:r>
              <w:rPr>
                <w:rFonts w:hint="eastAsia"/>
              </w:rPr>
              <w:t>：“□”为勾选项，可√；“（   ）”为内容填写项。</w:t>
            </w:r>
          </w:p>
        </w:tc>
      </w:tr>
    </w:tbl>
    <w:p>
      <w:pPr>
        <w:ind w:firstLine="480"/>
        <w:sectPr>
          <w:pgSz w:w="11906" w:h="16838"/>
          <w:pgMar w:top="1418" w:right="1418" w:bottom="1418" w:left="1418" w:header="851" w:footer="992" w:gutter="0"/>
          <w:cols w:space="425" w:num="1"/>
          <w:docGrid w:type="lines" w:linePitch="326" w:charSpace="0"/>
        </w:sectPr>
      </w:pPr>
    </w:p>
    <w:p>
      <w:pPr>
        <w:pStyle w:val="116"/>
      </w:pPr>
      <w:bookmarkStart w:id="449" w:name="_Toc152152047"/>
      <w:bookmarkStart w:id="450" w:name="_Toc204676247"/>
      <w:bookmarkStart w:id="451" w:name="_Toc154668044"/>
      <w:bookmarkStart w:id="452" w:name="_Toc159405474"/>
      <w:r>
        <w:rPr>
          <w:rFonts w:hint="eastAsia"/>
        </w:rPr>
        <w:t>地表水环境影响评价</w:t>
      </w:r>
      <w:bookmarkEnd w:id="449"/>
      <w:bookmarkEnd w:id="450"/>
      <w:bookmarkEnd w:id="451"/>
      <w:bookmarkEnd w:id="452"/>
    </w:p>
    <w:p>
      <w:pPr>
        <w:pStyle w:val="120"/>
        <w:rPr>
          <w:color w:val="auto"/>
        </w:rPr>
      </w:pPr>
      <w:r>
        <w:rPr>
          <w:rFonts w:hint="eastAsia"/>
          <w:color w:val="auto"/>
        </w:rPr>
        <w:t>施工期水环境影响分析</w:t>
      </w:r>
    </w:p>
    <w:p>
      <w:pPr>
        <w:pStyle w:val="118"/>
        <w:numPr>
          <w:ilvl w:val="0"/>
          <w:numId w:val="0"/>
        </w:numPr>
      </w:pPr>
      <w:r>
        <w:t>（1）施工生活污水</w:t>
      </w:r>
    </w:p>
    <w:p>
      <w:pPr>
        <w:ind w:firstLine="480"/>
      </w:pPr>
      <w:r>
        <w:rPr>
          <w:rFonts w:hint="eastAsia"/>
        </w:rPr>
        <w:t>本项目施工期沿线拟设置</w:t>
      </w:r>
      <w:r>
        <w:t>1</w:t>
      </w:r>
      <w:r>
        <w:rPr>
          <w:rFonts w:hint="eastAsia"/>
        </w:rPr>
        <w:t>个施工场地，项目施工地点距离周边主城区、镇区较近，施工场地不设施工生活集中居住区，施工人员就近租用当地的民房，施工期生活污水利用当地居民排水系统处理。施工场地设有办公区、值班房，值班房和临时办公区涉及的少量生活污水，通过设置临时化粪池进行收集、处理，委托当地村民清运用于肥田，不外排，不会对周边水体造成影响。</w:t>
      </w:r>
    </w:p>
    <w:p>
      <w:pPr>
        <w:pStyle w:val="118"/>
        <w:numPr>
          <w:ilvl w:val="0"/>
          <w:numId w:val="0"/>
        </w:numPr>
      </w:pPr>
      <w:r>
        <w:rPr>
          <w:rFonts w:hint="eastAsia"/>
        </w:rPr>
        <w:t>（2）</w:t>
      </w:r>
      <w:bookmarkStart w:id="453" w:name="_Toc439084223"/>
      <w:r>
        <w:t>施工生产废水</w:t>
      </w:r>
      <w:bookmarkEnd w:id="453"/>
    </w:p>
    <w:p>
      <w:pPr>
        <w:ind w:firstLine="480"/>
      </w:pPr>
      <w:r>
        <w:rPr>
          <w:rFonts w:hint="eastAsia"/>
        </w:rPr>
        <w:t>项目</w:t>
      </w:r>
      <w:r>
        <w:t>施工生产废水主要来自施工场地的砂石料冲洗废水、混凝土搅拌系统冲洗废水、施工机械和车辆的冲洗废水等，这些废水中的主要污染物是悬浮物和少量的石油。</w:t>
      </w:r>
    </w:p>
    <w:p>
      <w:pPr>
        <w:ind w:firstLine="480"/>
      </w:pPr>
      <w:r>
        <w:rPr>
          <w:rFonts w:hint="eastAsia"/>
        </w:rPr>
        <w:t>①施工机械冲洗废水主要污染物成分为 SS 及石油类，其中SS浓度可达3000mg/L，石油类可达20mg/L，经隔油沉淀后回用于施工场地施工生产用水、抑尘洒水、混凝土路面养护用水，不外排。②混凝土生产废水的排放具有悬浮物浓度高、水量小、间歇性集中排放等特点。主要污染物为SS，浓度可达到3000～5000mg/L，pH值在12左右，经中和沉淀处理达标后回用于施工生产或场地洒水降尘，不外排。③进出施工场地洗车平台废水：根据施工设置，进出施工场地出入口设置洗车轮及车身冲洗平台，</w:t>
      </w:r>
      <w:r>
        <w:rPr>
          <w:kern w:val="0"/>
          <w:szCs w:val="24"/>
          <w:lang w:val="zh-CN"/>
        </w:rPr>
        <w:t>洗车池</w:t>
      </w:r>
      <w:r>
        <w:rPr>
          <w:rFonts w:hint="eastAsia"/>
          <w:kern w:val="0"/>
          <w:szCs w:val="24"/>
          <w:lang w:val="zh-CN"/>
        </w:rPr>
        <w:t>循环至</w:t>
      </w:r>
      <w:r>
        <w:rPr>
          <w:rFonts w:hint="eastAsia"/>
        </w:rPr>
        <w:t>经</w:t>
      </w:r>
      <w:r>
        <w:rPr>
          <w:kern w:val="0"/>
          <w:szCs w:val="24"/>
          <w:lang w:val="zh-CN"/>
        </w:rPr>
        <w:t>沉砂池</w:t>
      </w:r>
      <w:r>
        <w:rPr>
          <w:rFonts w:hint="eastAsia"/>
        </w:rPr>
        <w:t>沉淀后，回流至洗车池循环使用，不外排。④初期雨水：施工场地在施工期由于建筑材料的堆放、管理不当，特别是易流失的物质如黄沙、土方等露天堆放，遇暴雨时将可能被冲刷进入水体。因此，结合水土保持方案，项目施工场地周边设置导水沟，导水沟排放口处设置沉砂池，收集雨水经沉淀处理达到《污水综合排放标准》（GB3096-1996）一级标准后可排入附近迳江。</w:t>
      </w:r>
    </w:p>
    <w:p>
      <w:pPr>
        <w:pStyle w:val="118"/>
        <w:numPr>
          <w:ilvl w:val="0"/>
          <w:numId w:val="0"/>
        </w:numPr>
      </w:pPr>
      <w:r>
        <w:rPr>
          <w:rFonts w:hint="eastAsia"/>
        </w:rPr>
        <w:t>（3）桥梁施工对地表水环境的影响</w:t>
      </w:r>
    </w:p>
    <w:p>
      <w:pPr>
        <w:ind w:firstLine="480"/>
      </w:pPr>
      <w:r>
        <w:rPr>
          <w:rFonts w:hint="eastAsia"/>
        </w:rPr>
        <w:t>项目全线共设置桥梁</w:t>
      </w:r>
      <w:r>
        <w:t>589.5</w:t>
      </w:r>
      <w:r>
        <w:rPr>
          <w:rFonts w:hint="eastAsia"/>
        </w:rPr>
        <w:t>m/</w:t>
      </w:r>
      <w:r>
        <w:t>2</w:t>
      </w:r>
      <w:r>
        <w:rPr>
          <w:rFonts w:hint="eastAsia"/>
        </w:rPr>
        <w:t>座，其中大埔大桥1</w:t>
      </w:r>
      <w:r>
        <w:t>4#</w:t>
      </w:r>
      <w:r>
        <w:rPr>
          <w:rFonts w:hint="eastAsia"/>
        </w:rPr>
        <w:t>、1</w:t>
      </w:r>
      <w:r>
        <w:t>5#</w:t>
      </w:r>
      <w:r>
        <w:rPr>
          <w:rFonts w:hint="eastAsia"/>
        </w:rPr>
        <w:t>桥墩部分涉水，但改渠后不涉水；枝钟中桥中间桥墩涉水，桥墩施工的主要施工工序造成的水环境影响如下：</w:t>
      </w:r>
    </w:p>
    <w:p>
      <w:pPr>
        <w:ind w:firstLine="480"/>
      </w:pPr>
      <w:r>
        <w:rPr>
          <w:rFonts w:hint="eastAsia"/>
        </w:rPr>
        <w:t>A 水底压钢管围堰→B 抽出围堰内部分积水→C 机械钻孔→D 机械浇灌土、灌浆、注桩→E 养护→F 拆堰、吊装预制板、箱梁→G 桥面工程→H 修整→运行。</w:t>
      </w:r>
    </w:p>
    <w:p>
      <w:pPr>
        <w:ind w:firstLine="480"/>
      </w:pPr>
      <w:r>
        <w:rPr>
          <w:rFonts w:hint="eastAsia"/>
        </w:rPr>
        <w:t>A：搅动河床底质，产生悬浮物，悬浮物足以集中在围堰内，对堰外水体影响小，影响时间短暂。</w:t>
      </w:r>
    </w:p>
    <w:p>
      <w:pPr>
        <w:ind w:firstLine="480"/>
      </w:pPr>
      <w:r>
        <w:rPr>
          <w:rFonts w:hint="eastAsia"/>
        </w:rPr>
        <w:t>B：围堰内水体含有大量悬浮物，抽出的水需经沉淀池沉淀处理。</w:t>
      </w:r>
    </w:p>
    <w:p>
      <w:pPr>
        <w:ind w:firstLine="480"/>
      </w:pPr>
      <w:r>
        <w:rPr>
          <w:rFonts w:hint="eastAsia"/>
        </w:rPr>
        <w:t>C：钻孔过程产生的弃渣，由管道送至钻渣泥浆沉淀池处置。</w:t>
      </w:r>
    </w:p>
    <w:p>
      <w:pPr>
        <w:ind w:firstLine="480"/>
      </w:pPr>
      <w:r>
        <w:rPr>
          <w:rFonts w:hint="eastAsia"/>
        </w:rPr>
        <w:t>其他环节产生的污染物也主要是悬浮物和石油类，但产生量及影响程度相对前面工序要小得多。</w:t>
      </w:r>
    </w:p>
    <w:p>
      <w:pPr>
        <w:ind w:firstLine="480"/>
      </w:pPr>
      <w:r>
        <w:rPr>
          <w:rFonts w:hint="eastAsia"/>
        </w:rPr>
        <w:t>根据国内大桥的施工现场过程的观测（观测结果见)，在枯水期，无防护措施挖泥的情况下，流动性较差的水体内所产生SS增量大于10mg/L水体一般出现在100~200m范围内，下游300m左右泥沙沉降基本完全，在500m处水质基本可达到本底水平。</w:t>
      </w:r>
    </w:p>
    <w:p>
      <w:pPr>
        <w:pStyle w:val="87"/>
        <w:spacing w:before="163"/>
        <w:ind w:firstLine="360"/>
      </w:pPr>
      <w:bookmarkStart w:id="454" w:name="_Ref153791467"/>
      <w:r>
        <w:rPr>
          <w:rFonts w:hint="eastAsia"/>
        </w:rPr>
        <w:t>桥梁施工现场SS观测记录</w:t>
      </w:r>
      <w:bookmarkEnd w:id="454"/>
    </w:p>
    <w:tbl>
      <w:tblPr>
        <w:tblStyle w:val="24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29"/>
        <w:gridCol w:w="1139"/>
        <w:gridCol w:w="1134"/>
        <w:gridCol w:w="56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29" w:type="dxa"/>
            <w:vAlign w:val="center"/>
          </w:tcPr>
          <w:p>
            <w:pPr>
              <w:pStyle w:val="105"/>
              <w:jc w:val="center"/>
            </w:pPr>
            <w:r>
              <w:rPr>
                <w:rFonts w:hint="eastAsia"/>
              </w:rPr>
              <w:t>施工名称</w:t>
            </w:r>
            <w:r>
              <w:t xml:space="preserve"> </w:t>
            </w:r>
          </w:p>
        </w:tc>
        <w:tc>
          <w:tcPr>
            <w:tcW w:w="1139" w:type="dxa"/>
            <w:vAlign w:val="center"/>
          </w:tcPr>
          <w:p>
            <w:pPr>
              <w:pStyle w:val="105"/>
              <w:jc w:val="center"/>
            </w:pPr>
            <w:r>
              <w:rPr>
                <w:rFonts w:hint="eastAsia"/>
              </w:rPr>
              <w:t>施工工艺</w:t>
            </w:r>
          </w:p>
        </w:tc>
        <w:tc>
          <w:tcPr>
            <w:tcW w:w="1134" w:type="dxa"/>
            <w:vAlign w:val="center"/>
          </w:tcPr>
          <w:p>
            <w:pPr>
              <w:pStyle w:val="105"/>
              <w:jc w:val="center"/>
            </w:pPr>
            <w:r>
              <w:rPr>
                <w:rFonts w:hint="eastAsia"/>
              </w:rPr>
              <w:t>有无措施</w:t>
            </w:r>
          </w:p>
        </w:tc>
        <w:tc>
          <w:tcPr>
            <w:tcW w:w="5658" w:type="dxa"/>
            <w:vAlign w:val="center"/>
          </w:tcPr>
          <w:p>
            <w:pPr>
              <w:pStyle w:val="105"/>
              <w:jc w:val="center"/>
            </w:pPr>
            <w:r>
              <w:rPr>
                <w:rFonts w:hint="eastAsia"/>
              </w:rPr>
              <w:t>现场观测记录（观测时间约15h）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29" w:type="dxa"/>
            <w:vAlign w:val="center"/>
          </w:tcPr>
          <w:p>
            <w:pPr>
              <w:pStyle w:val="105"/>
              <w:jc w:val="center"/>
            </w:pPr>
            <w:r>
              <w:rPr>
                <w:rFonts w:hint="eastAsia"/>
              </w:rPr>
              <w:t>桥墩</w:t>
            </w:r>
            <w:r>
              <w:t>1</w:t>
            </w:r>
          </w:p>
          <w:p>
            <w:pPr>
              <w:pStyle w:val="105"/>
              <w:jc w:val="center"/>
            </w:pPr>
            <w:r>
              <w:rPr>
                <w:rFonts w:hint="eastAsia"/>
              </w:rPr>
              <w:t>（靠岸）</w:t>
            </w:r>
          </w:p>
        </w:tc>
        <w:tc>
          <w:tcPr>
            <w:tcW w:w="1139" w:type="dxa"/>
            <w:vAlign w:val="center"/>
          </w:tcPr>
          <w:p>
            <w:pPr>
              <w:pStyle w:val="105"/>
              <w:jc w:val="center"/>
            </w:pPr>
            <w:r>
              <w:rPr>
                <w:rFonts w:hint="eastAsia"/>
              </w:rPr>
              <w:t>开挖、钻孔</w:t>
            </w:r>
          </w:p>
        </w:tc>
        <w:tc>
          <w:tcPr>
            <w:tcW w:w="1134" w:type="dxa"/>
            <w:vAlign w:val="center"/>
          </w:tcPr>
          <w:p>
            <w:pPr>
              <w:pStyle w:val="105"/>
              <w:jc w:val="center"/>
            </w:pPr>
            <w:r>
              <w:rPr>
                <w:rFonts w:hint="eastAsia"/>
              </w:rPr>
              <w:t>无</w:t>
            </w:r>
          </w:p>
        </w:tc>
        <w:tc>
          <w:tcPr>
            <w:tcW w:w="5658" w:type="dxa"/>
            <w:vAlign w:val="center"/>
          </w:tcPr>
          <w:p>
            <w:pPr>
              <w:pStyle w:val="105"/>
              <w:jc w:val="center"/>
            </w:pPr>
            <w:r>
              <w:rPr>
                <w:rFonts w:hint="eastAsia"/>
              </w:rPr>
              <w:t>附近比较浑浊，黄色，下游 180m 左右基本渣、水能分清，下游 300m 左右水体颜色未发现异常现象。散落在河道边的细沙石、弃渣产生溢流浑浊，300m 左右水域基本没有悬沙产生的 SS 物质。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29" w:type="dxa"/>
            <w:vAlign w:val="center"/>
          </w:tcPr>
          <w:p>
            <w:pPr>
              <w:pStyle w:val="105"/>
              <w:jc w:val="center"/>
            </w:pPr>
            <w:r>
              <w:rPr>
                <w:rFonts w:hint="eastAsia"/>
              </w:rPr>
              <w:t>桥墩</w:t>
            </w:r>
            <w:r>
              <w:t>2</w:t>
            </w:r>
          </w:p>
          <w:p>
            <w:pPr>
              <w:pStyle w:val="105"/>
              <w:jc w:val="center"/>
            </w:pPr>
            <w:r>
              <w:rPr>
                <w:rFonts w:hint="eastAsia"/>
              </w:rPr>
              <w:t>（河中）</w:t>
            </w:r>
          </w:p>
        </w:tc>
        <w:tc>
          <w:tcPr>
            <w:tcW w:w="1139" w:type="dxa"/>
            <w:vAlign w:val="center"/>
          </w:tcPr>
          <w:p>
            <w:pPr>
              <w:pStyle w:val="105"/>
              <w:jc w:val="center"/>
            </w:pPr>
            <w:r>
              <w:rPr>
                <w:rFonts w:hint="eastAsia"/>
              </w:rPr>
              <w:t>开挖、钻孔</w:t>
            </w:r>
          </w:p>
        </w:tc>
        <w:tc>
          <w:tcPr>
            <w:tcW w:w="1134" w:type="dxa"/>
            <w:vAlign w:val="center"/>
          </w:tcPr>
          <w:p>
            <w:pPr>
              <w:pStyle w:val="105"/>
              <w:jc w:val="center"/>
            </w:pPr>
            <w:r>
              <w:rPr>
                <w:rFonts w:hint="eastAsia"/>
              </w:rPr>
              <w:t>无</w:t>
            </w:r>
          </w:p>
        </w:tc>
        <w:tc>
          <w:tcPr>
            <w:tcW w:w="5658" w:type="dxa"/>
            <w:vAlign w:val="center"/>
          </w:tcPr>
          <w:p>
            <w:pPr>
              <w:pStyle w:val="105"/>
              <w:jc w:val="center"/>
            </w:pPr>
            <w:r>
              <w:rPr>
                <w:rFonts w:hint="eastAsia"/>
              </w:rPr>
              <w:t>附近浑浊，颜色浅黄，水体形成浑浊半径约 50m 左右，下游 300m 左右水、渣基本分层，500m左右水体颜色未发现异常，没有悬沙产生的 SS 物质。散落在河道中的弃渣产生的浑浊在 50m 半径左右出现。</w:t>
            </w:r>
          </w:p>
        </w:tc>
      </w:tr>
    </w:tbl>
    <w:p>
      <w:pPr>
        <w:pStyle w:val="851"/>
        <w:spacing w:before="163"/>
        <w:ind w:firstLine="480"/>
        <w:rPr>
          <w:color w:val="auto"/>
        </w:rPr>
      </w:pPr>
      <w:r>
        <w:rPr>
          <w:rFonts w:hint="eastAsia"/>
          <w:color w:val="auto"/>
        </w:rPr>
        <w:t>本项目</w:t>
      </w:r>
      <w:r>
        <w:rPr>
          <w:color w:val="auto"/>
        </w:rPr>
        <w:t>大埔大桥</w:t>
      </w:r>
      <w:r>
        <w:rPr>
          <w:rFonts w:hint="eastAsia"/>
          <w:color w:val="auto"/>
        </w:rPr>
        <w:t>、</w:t>
      </w:r>
      <w:r>
        <w:rPr>
          <w:color w:val="auto"/>
        </w:rPr>
        <w:t>枝钟中桥跨越</w:t>
      </w:r>
      <w:r>
        <w:rPr>
          <w:rFonts w:hint="eastAsia"/>
          <w:color w:val="auto"/>
        </w:rPr>
        <w:t>迳江</w:t>
      </w:r>
      <w:r>
        <w:rPr>
          <w:color w:val="auto"/>
        </w:rPr>
        <w:t>水体</w:t>
      </w:r>
      <w:r>
        <w:rPr>
          <w:rFonts w:hint="eastAsia"/>
          <w:color w:val="auto"/>
        </w:rPr>
        <w:t>桥墩的施工采用钻孔灌注桩，钻孔灌注桩基础施工时，每个桩基在不漏水的钢护筒围堰中进行，先钻孔，后灌注混凝土，钻孔产生的泥浆均在护筒内，泥浆泵至岸边的沉淀池和泥浆池内，部分泥浆回用，无法回用的泥浆经沉淀后上清液回用，严禁将泥浆直接排入河道，</w:t>
      </w:r>
      <w:r>
        <w:rPr>
          <w:color w:val="auto"/>
        </w:rPr>
        <w:t>同时定期清理沉淀池，对</w:t>
      </w:r>
      <w:r>
        <w:rPr>
          <w:rFonts w:hint="eastAsia"/>
          <w:color w:val="auto"/>
        </w:rPr>
        <w:t>清除</w:t>
      </w:r>
      <w:r>
        <w:rPr>
          <w:color w:val="auto"/>
        </w:rPr>
        <w:t>后的沉淀物</w:t>
      </w:r>
      <w:r>
        <w:rPr>
          <w:rFonts w:hint="eastAsia"/>
          <w:color w:val="auto"/>
        </w:rPr>
        <w:t>与其他弃方一并转运综合利用。围堰可有效阻隔围堰内外水体的交换，施工过程泥沙入河量很低，尽管如此，在施工初期围堰施工时仍将产生暂时和局部的悬浮物浓度升高，这些行为可能对局部水环境有所影响，但影响是暂时的，且影响范围十分有限。</w:t>
      </w:r>
    </w:p>
    <w:p>
      <w:pPr>
        <w:ind w:firstLine="480"/>
      </w:pPr>
      <w:r>
        <w:rPr>
          <w:rFonts w:hint="eastAsia"/>
        </w:rPr>
        <w:t>综上所述，项目涉水桥梁施工时会对沿线水环境产生一定的影响，施工期主要可通过加强管理来减缓桥梁建设对地表水环境影响，如在施工过程中对施工机械和施工材料加强现场管理，规范废渣、废水排放，可减缓和避免桥梁施工对沿线地表水体的污染。</w:t>
      </w:r>
    </w:p>
    <w:p>
      <w:pPr>
        <w:pStyle w:val="118"/>
        <w:numPr>
          <w:ilvl w:val="0"/>
          <w:numId w:val="0"/>
        </w:numPr>
      </w:pPr>
      <w:r>
        <w:rPr>
          <w:rFonts w:hint="eastAsia"/>
        </w:rPr>
        <w:t>（</w:t>
      </w:r>
      <w:r>
        <w:t>4</w:t>
      </w:r>
      <w:r>
        <w:rPr>
          <w:rFonts w:hint="eastAsia"/>
        </w:rPr>
        <w:t>）改河、改渠、涵洞施工对地表水环境的影响分析</w:t>
      </w:r>
    </w:p>
    <w:p>
      <w:pPr>
        <w:ind w:firstLine="480"/>
      </w:pPr>
      <w:r>
        <w:rPr>
          <w:rFonts w:hint="eastAsia"/>
        </w:rPr>
        <w:t>本工程沿线涉及5处改河，1处改渠，及若干处涵洞建设，改河、改渠及涉水涵洞</w:t>
      </w:r>
      <w:r>
        <w:t>施工需要在围堰</w:t>
      </w:r>
      <w:r>
        <w:rPr>
          <w:rFonts w:hint="eastAsia"/>
        </w:rPr>
        <w:t>、导流围护</w:t>
      </w:r>
      <w:r>
        <w:t>下进行，</w:t>
      </w:r>
      <w:r>
        <w:rPr>
          <w:rFonts w:hint="eastAsia"/>
        </w:rPr>
        <w:t>项目拟采取干法围堰施工方式，</w:t>
      </w:r>
      <w:r>
        <w:t>围堰</w:t>
      </w:r>
      <w:r>
        <w:rPr>
          <w:rFonts w:hint="eastAsia"/>
        </w:rPr>
        <w:t>导流</w:t>
      </w:r>
      <w:r>
        <w:t>过程扰动水体，对水体产生影响的施工工序为围堰施工，</w:t>
      </w:r>
      <w:r>
        <w:rPr>
          <w:rFonts w:hint="eastAsia"/>
        </w:rPr>
        <w:t>围堰填筑利用挖掘机+自卸汽车人工分层填筑，围堰拆除采用人工辅助挖掘机拆除，施工过程扰动底泥，使得泥沙悬浮导致局部河段</w:t>
      </w:r>
      <w:r>
        <w:t>水体变浑浊。</w:t>
      </w:r>
      <w:r>
        <w:rPr>
          <w:rFonts w:hint="eastAsia"/>
        </w:rPr>
        <w:t>为避免施工时悬浮物对周围水体的影响，建议在清淤时采用较为坚固、不易渗漏的袋装填土等做围堰。</w:t>
      </w:r>
    </w:p>
    <w:p>
      <w:pPr>
        <w:ind w:firstLine="480"/>
      </w:pPr>
      <w:r>
        <w:t>根据对多个类似工程围堰的监测资料进行类比分析，预测围堰着床可能造成SS最大增量约2000mg/L。根据</w:t>
      </w:r>
      <w:r>
        <w:rPr>
          <w:rFonts w:hint="eastAsia"/>
        </w:rPr>
        <w:t>相关研究</w:t>
      </w:r>
      <w:r>
        <w:t>，单个围堰施工，对流场的影响面积相对较小，最大影响范围达到上游50m，下游500m，500m以外影响可忽略不计</w:t>
      </w:r>
      <w:r>
        <w:rPr>
          <w:rFonts w:hint="eastAsia"/>
        </w:rPr>
        <w:t>。</w:t>
      </w:r>
    </w:p>
    <w:p>
      <w:pPr>
        <w:pStyle w:val="118"/>
        <w:numPr>
          <w:ilvl w:val="0"/>
          <w:numId w:val="0"/>
        </w:numPr>
      </w:pPr>
      <w:bookmarkStart w:id="455" w:name="_Toc439084225"/>
      <w:r>
        <w:rPr>
          <w:rFonts w:hint="eastAsia"/>
        </w:rPr>
        <w:t>（</w:t>
      </w:r>
      <w:r>
        <w:t>5</w:t>
      </w:r>
      <w:r>
        <w:rPr>
          <w:rFonts w:hint="eastAsia"/>
        </w:rPr>
        <w:t>）</w:t>
      </w:r>
      <w:bookmarkEnd w:id="455"/>
      <w:r>
        <w:rPr>
          <w:rFonts w:hint="eastAsia"/>
        </w:rPr>
        <w:t>物料流失对地表水环境的影响分析</w:t>
      </w:r>
    </w:p>
    <w:p>
      <w:pPr>
        <w:ind w:firstLine="480"/>
      </w:pPr>
      <w:r>
        <w:rPr>
          <w:rFonts w:hint="eastAsia"/>
        </w:rPr>
        <w:t>路基的填筑以及各种筑路材料的运输等均会引起扬尘，这些尘埃会随风飘落到路侧的水体中，将会对水体产生一定的影响。此外，如沥青、油料、化学品物质等施工材料如保管不善，被雨水冲刷而进入水体将会产生水环境污染。在临河路段施工期时，路基施工泥土被雨水冲入河流或路面因没有及时压实被雨水冲入河流，引起河水悬浮物偏高。</w:t>
      </w:r>
    </w:p>
    <w:p>
      <w:pPr>
        <w:ind w:firstLine="480"/>
      </w:pPr>
      <w:r>
        <w:rPr>
          <w:rFonts w:hint="eastAsia"/>
        </w:rPr>
        <w:t xml:space="preserve">因此，在施工中应根据不同筑路材料和特点，有针对性地加强保护管理措施，尽量减小其对水环境的影响。 </w:t>
      </w:r>
    </w:p>
    <w:p>
      <w:pPr>
        <w:ind w:firstLine="480"/>
      </w:pPr>
      <w:r>
        <w:rPr>
          <w:rFonts w:hint="eastAsia"/>
        </w:rPr>
        <w:t>特别应该注意施工期对路基及时压实，避免冲蚀。在路面施工时，首先避免雨期或逆季节施工造成沥青废渣，再则施工中应及时碾铺，防止雨水冲刷，严禁将沥青废渣冲入水体。</w:t>
      </w:r>
    </w:p>
    <w:p>
      <w:pPr>
        <w:pStyle w:val="118"/>
        <w:numPr>
          <w:ilvl w:val="0"/>
          <w:numId w:val="0"/>
        </w:numPr>
      </w:pPr>
      <w:r>
        <w:rPr>
          <w:rFonts w:hint="eastAsia"/>
        </w:rPr>
        <w:t>（</w:t>
      </w:r>
      <w:r>
        <w:t>6</w:t>
      </w:r>
      <w:r>
        <w:rPr>
          <w:rFonts w:hint="eastAsia"/>
        </w:rPr>
        <w:t>）施工期临时围堰对河势稳定的影响分析</w:t>
      </w:r>
    </w:p>
    <w:p>
      <w:pPr>
        <w:ind w:firstLine="480"/>
      </w:pPr>
      <w:r>
        <w:rPr>
          <w:rFonts w:hint="eastAsia"/>
        </w:rPr>
        <w:t>本次评价的桥梁及涵洞，在施工期间需在河道内修建临时围堰，围堰占用河道，河道断面过水面积减小，流速较原来有所增加，紊动作用增强，水流对河槽会产生一定的冲刷；在围堰下游一定距离，水流流速自增幅最大处向下游逐渐恢复到正常流速，由于流速的增加，水流对桥址下游河床会产生一定的冲刷。围堰的建设还会使围堰上游河段一定距离内洪水位抬高，在壅水影响范围内会造成的少量的淤积。但这些影响是短期的，施工结束、围堰拆除后影响即可消除。因此，施工期临时围堰对河势稳定的影响相对较小。</w:t>
      </w:r>
    </w:p>
    <w:p>
      <w:pPr>
        <w:pStyle w:val="118"/>
        <w:numPr>
          <w:ilvl w:val="0"/>
          <w:numId w:val="0"/>
        </w:numPr>
      </w:pPr>
      <w:r>
        <w:rPr>
          <w:rFonts w:hint="eastAsia"/>
        </w:rPr>
        <w:t>（</w:t>
      </w:r>
      <w:r>
        <w:t>7</w:t>
      </w:r>
      <w:r>
        <w:rPr>
          <w:rFonts w:hint="eastAsia"/>
        </w:rPr>
        <w:t>）小结</w:t>
      </w:r>
    </w:p>
    <w:p>
      <w:pPr>
        <w:ind w:firstLine="480"/>
      </w:pPr>
      <w:r>
        <w:rPr>
          <w:rFonts w:hint="eastAsia"/>
        </w:rPr>
        <w:t>综上分析，项目施工期水环境影响主要为桥梁基础、改河改渠、涵洞等涉水工程，以及施工生产生活污水对水体的影响。桥梁基础、改河改渠、涵洞等涉水工程采取</w:t>
      </w:r>
      <w:r>
        <w:t>围堰</w:t>
      </w:r>
      <w:r>
        <w:rPr>
          <w:rFonts w:hint="eastAsia"/>
        </w:rPr>
        <w:t>导流施工方式减缓涉水建设对地表水环境影响。施工期生活污水依托周边村庄生活污水处理设施处理，纳入区域排污系统；项目部常驻人员</w:t>
      </w:r>
      <w:r>
        <w:t>生活污水</w:t>
      </w:r>
      <w:r>
        <w:rPr>
          <w:rFonts w:hint="eastAsia"/>
        </w:rPr>
        <w:t>经临时化粪池处理后委托定期清运肥田；</w:t>
      </w:r>
      <w:r>
        <w:t>机械、车辆冲洗水经</w:t>
      </w:r>
      <w:r>
        <w:rPr>
          <w:rFonts w:hint="eastAsia"/>
        </w:rPr>
        <w:t>简单</w:t>
      </w:r>
      <w:r>
        <w:t>隔油沉淀后循环使用</w:t>
      </w:r>
      <w:r>
        <w:rPr>
          <w:rFonts w:hint="eastAsia"/>
        </w:rPr>
        <w:t>，或用于施工场地和路面洒水抑尘，不外排。综上，项目施工废水对周边水环境影响较小。</w:t>
      </w:r>
    </w:p>
    <w:p>
      <w:pPr>
        <w:pStyle w:val="120"/>
        <w:rPr>
          <w:color w:val="auto"/>
        </w:rPr>
      </w:pPr>
      <w:r>
        <w:rPr>
          <w:rFonts w:hint="eastAsia"/>
          <w:color w:val="auto"/>
        </w:rPr>
        <w:t>运营期地表水环境影响分析</w:t>
      </w:r>
    </w:p>
    <w:p>
      <w:pPr>
        <w:ind w:firstLine="476"/>
        <w:rPr>
          <w:rFonts w:cs="Times New Roman"/>
          <w:spacing w:val="-2"/>
        </w:rPr>
      </w:pPr>
      <w:r>
        <w:rPr>
          <w:rFonts w:hint="eastAsia" w:cs="Times New Roman"/>
          <w:spacing w:val="-2"/>
        </w:rPr>
        <w:t>（1）水环境影响</w:t>
      </w:r>
    </w:p>
    <w:p>
      <w:pPr>
        <w:ind w:firstLine="476"/>
      </w:pPr>
      <w:r>
        <w:rPr>
          <w:rFonts w:cs="Times New Roman"/>
          <w:spacing w:val="-2"/>
        </w:rPr>
        <w:t>由于公路项目运营期本身并不产生污水，水环境影响因素主要是路面径流。影响公路路面径流水量和水质的因素较多，包括降雨量、车流量、两场降雨间隔时间等，其水量和水质的变化较大，污染成分比较复杂。根据目前国内对公路路面径流浓度的测试结果，降雨初期到形成路面径流的30min内，水中悬浮物和石油类浓度较高，半个小时后，其浓度随着降雨历时延长而较快下降，降雨历时40</w:t>
      </w:r>
      <w:r>
        <w:rPr>
          <w:rFonts w:hint="eastAsia" w:cs="Times New Roman"/>
          <w:spacing w:val="-2"/>
        </w:rPr>
        <w:t>~</w:t>
      </w:r>
      <w:r>
        <w:rPr>
          <w:rFonts w:cs="Times New Roman"/>
          <w:spacing w:val="-2"/>
        </w:rPr>
        <w:t>60min后，路面基本被冲刷干净，路面径流污染物浓度基本稳定在较低水平。</w:t>
      </w:r>
      <w:r>
        <w:rPr>
          <w:rFonts w:hint="eastAsia"/>
        </w:rPr>
        <w:t>所以，降雨对公路附近河流造成影响的主要是降雨初期</w:t>
      </w:r>
      <w:r>
        <w:t>40</w:t>
      </w:r>
      <w:r>
        <w:rPr>
          <w:rFonts w:hint="eastAsia"/>
        </w:rPr>
        <w:t>min内形成的路面径流。根据路面径流类比调查资料，公路路面径流</w:t>
      </w:r>
      <w:r>
        <w:t>40</w:t>
      </w:r>
      <w:r>
        <w:rPr>
          <w:rFonts w:hint="eastAsia"/>
        </w:rPr>
        <w:t>min后仅有悬浮物浓度超过《污水综合排放标准》（GB8978-1996）表4一级标准，其余均能达标。随着降雨历时增加，公路表面径流污染物浓度下降，加之公路表面径流是短期和暂时的，因而对周边水环境影响不大。为了更好地保护当地水环境，可采取车辆运输散落控制、路面清扫等非工程措施和绿化植被过滤带、植草渠道等工程措施，可对本项目公路表面径流污染物进行有效的控制。</w:t>
      </w:r>
    </w:p>
    <w:p>
      <w:pPr>
        <w:ind w:firstLine="480"/>
      </w:pPr>
      <w:r>
        <w:rPr>
          <w:rFonts w:hint="eastAsia"/>
        </w:rPr>
        <w:t>（2）项目建设对水文情势的影响分析：</w:t>
      </w:r>
    </w:p>
    <w:p>
      <w:pPr>
        <w:ind w:firstLine="480"/>
      </w:pPr>
      <w:r>
        <w:rPr>
          <w:rFonts w:hint="eastAsia"/>
        </w:rPr>
        <w:t>根据项目洪水影响评价结论，拟建大埔大桥桥墩落于现状河道内，发生100年一遇洪水时，阻水比为9.33%超过了8%，流速增大比例达到10.29%，壅水高度为0.201m，壅水影响范围约1015m，应采取补救措施予以削减。项目采取补救措施为整治跨河处上下游河道，调整河道线位，将桥墩移到河道行洪范围外，优化水流流态，新建河道护岸。补救措施实施后，桥墩不在河道行洪范围内，不阻水，流速不变，不壅水，河道护岸的基础埋深满足冲刷深度要求，护岸顶高程满足河道行洪要求，护岸型式与水利规划相衔接，不对后续上下游河道整治工程造成不利影响，基本符合相关政策法规的要求。</w:t>
      </w:r>
    </w:p>
    <w:p>
      <w:pPr>
        <w:ind w:firstLine="480"/>
      </w:pPr>
      <w:r>
        <w:rPr>
          <w:rFonts w:hint="eastAsia"/>
        </w:rPr>
        <w:t>枝钟中桥及K1+565、K1+730、K1+830、K3+436.5、K3+640等5座涵洞的建设将对河道行洪有一定影响，但是由于占用的行洪宽度及行洪面积均较小，对流速的改变较小，对河道行洪安全的影响较小。现状工况下，在发生100年一遇洪水时，桥梁的净高满足规范要求，自身不会产生淹没，洪水也不会淹没路面，不影响道路通行；在发生50年一遇洪水时，箱涵的净高满足规范要求，自身不会产生淹没，洪水也不会淹没路面，不影响道路通行。</w:t>
      </w:r>
    </w:p>
    <w:p>
      <w:pPr>
        <w:pStyle w:val="116"/>
      </w:pPr>
      <w:bookmarkStart w:id="456" w:name="_Toc154668045"/>
      <w:bookmarkStart w:id="457" w:name="_Toc152152048"/>
      <w:bookmarkStart w:id="458" w:name="_Toc159405475"/>
      <w:bookmarkStart w:id="459" w:name="_Toc204676248"/>
      <w:r>
        <w:rPr>
          <w:rFonts w:hint="eastAsia"/>
        </w:rPr>
        <w:t>大气环境影响评价</w:t>
      </w:r>
      <w:bookmarkEnd w:id="456"/>
      <w:bookmarkEnd w:id="457"/>
      <w:bookmarkEnd w:id="458"/>
      <w:bookmarkEnd w:id="459"/>
    </w:p>
    <w:p>
      <w:pPr>
        <w:pStyle w:val="120"/>
        <w:rPr>
          <w:color w:val="auto"/>
        </w:rPr>
      </w:pPr>
      <w:r>
        <w:rPr>
          <w:rFonts w:hint="eastAsia"/>
          <w:color w:val="auto"/>
        </w:rPr>
        <w:t>施工期大气环境影响分析</w:t>
      </w:r>
    </w:p>
    <w:p>
      <w:pPr>
        <w:pStyle w:val="118"/>
      </w:pPr>
      <w:r>
        <w:rPr>
          <w:rFonts w:hint="eastAsia"/>
        </w:rPr>
        <w:t>施工扬尘（TSP）</w:t>
      </w:r>
    </w:p>
    <w:p>
      <w:pPr>
        <w:ind w:firstLine="480"/>
      </w:pPr>
      <w:r>
        <w:rPr>
          <w:rFonts w:hint="eastAsia"/>
        </w:rPr>
        <w:t>TSP污染主要来源为施工场地、储料场、材料运输过程中的漏洒、运输道路及未铺装道路路面的起尘和大量的土石方的填、挖、搬、运等作业过程。</w:t>
      </w:r>
    </w:p>
    <w:p>
      <w:pPr>
        <w:ind w:firstLine="480"/>
        <w:rPr>
          <w:rFonts w:cs="Times New Roman"/>
        </w:rPr>
      </w:pPr>
      <w:r>
        <w:rPr>
          <w:rFonts w:hint="eastAsia" w:ascii="宋体" w:hAnsi="宋体"/>
        </w:rPr>
        <w:t>①</w:t>
      </w:r>
      <w:r>
        <w:rPr>
          <w:rFonts w:cs="Times New Roman"/>
        </w:rPr>
        <w:t>运输车辆扬尘影响分析</w:t>
      </w:r>
    </w:p>
    <w:p>
      <w:pPr>
        <w:ind w:firstLine="480"/>
        <w:rPr>
          <w:rFonts w:cs="Times New Roman"/>
        </w:rPr>
      </w:pPr>
      <w:r>
        <w:rPr>
          <w:rFonts w:cs="Times New Roman"/>
        </w:rPr>
        <w:t>施工区内车辆运输引起的施工路面扬尘的占场地扬尘总量的60%以上，运输扬尘的起尘量主要与路面干湿程度、车速、风速、路面积尘量和汽车载重量等有关，其中风速还直接影响到扬尘的传输距离</w:t>
      </w:r>
      <w:r>
        <w:rPr>
          <w:rFonts w:hint="eastAsia" w:cs="Times New Roman"/>
        </w:rPr>
        <w:t>，可以采取硬化路面，或洒水措施来减少扬尘。施工路段洒水降尘试验</w:t>
      </w:r>
      <w:r>
        <w:rPr>
          <w:rFonts w:cs="Times New Roman"/>
        </w:rPr>
        <w:t>详见</w:t>
      </w:r>
      <w:r>
        <w:rPr>
          <w:rFonts w:cs="Times New Roman"/>
        </w:rPr>
        <w:fldChar w:fldCharType="begin"/>
      </w:r>
      <w:r>
        <w:rPr>
          <w:rFonts w:cs="Times New Roman"/>
        </w:rPr>
        <w:instrText xml:space="preserve"> REF _Ref144112991 \r \h  \* MERGEFORMAT </w:instrText>
      </w:r>
      <w:r>
        <w:rPr>
          <w:rFonts w:cs="Times New Roman"/>
        </w:rPr>
        <w:fldChar w:fldCharType="separate"/>
      </w:r>
      <w:r>
        <w:rPr>
          <w:rFonts w:hint="eastAsia" w:cs="Times New Roman"/>
        </w:rPr>
        <w:t>表5.3-1</w:t>
      </w:r>
      <w:r>
        <w:rPr>
          <w:rFonts w:cs="Times New Roman"/>
        </w:rPr>
        <w:fldChar w:fldCharType="end"/>
      </w:r>
      <w:r>
        <w:rPr>
          <w:rFonts w:cs="Times New Roman"/>
        </w:rPr>
        <w:t>。</w:t>
      </w:r>
      <w:r>
        <w:rPr>
          <w:rFonts w:cs="Times New Roman"/>
          <w:szCs w:val="24"/>
        </w:rPr>
        <w:t>此外，试验结果还表明，当洒水频率为4</w:t>
      </w:r>
      <w:r>
        <w:rPr>
          <w:rFonts w:hint="eastAsia" w:cs="Times New Roman"/>
          <w:szCs w:val="24"/>
        </w:rPr>
        <w:t>～</w:t>
      </w:r>
      <w:r>
        <w:rPr>
          <w:rFonts w:cs="Times New Roman"/>
          <w:szCs w:val="24"/>
        </w:rPr>
        <w:t>5次/d时，扬尘造成的污染距离可缩小到20</w:t>
      </w:r>
      <w:r>
        <w:rPr>
          <w:rFonts w:hint="eastAsia" w:cs="Times New Roman"/>
          <w:szCs w:val="24"/>
        </w:rPr>
        <w:t>～</w:t>
      </w:r>
      <w:r>
        <w:rPr>
          <w:rFonts w:cs="Times New Roman"/>
          <w:szCs w:val="24"/>
        </w:rPr>
        <w:t>50m范围内。</w:t>
      </w:r>
    </w:p>
    <w:p>
      <w:pPr>
        <w:pStyle w:val="87"/>
        <w:spacing w:before="163"/>
      </w:pPr>
      <w:bookmarkStart w:id="460" w:name="_Ref144112991"/>
      <w:r>
        <w:t>施工路段洒水降尘试验结果</w:t>
      </w:r>
      <w:r>
        <w:rPr>
          <w:rFonts w:hint="eastAsia"/>
        </w:rPr>
        <w:t xml:space="preserve">   </w:t>
      </w:r>
      <w:r>
        <w:t>单位：mg/m</w:t>
      </w:r>
      <w:r>
        <w:rPr>
          <w:vertAlign w:val="superscript"/>
        </w:rPr>
        <w:t>3</w:t>
      </w:r>
      <w:bookmarkEnd w:id="460"/>
    </w:p>
    <w:tbl>
      <w:tblPr>
        <w:tblStyle w:val="24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90"/>
        <w:gridCol w:w="1680"/>
        <w:gridCol w:w="1027"/>
        <w:gridCol w:w="1023"/>
        <w:gridCol w:w="1019"/>
        <w:gridCol w:w="1021"/>
        <w:gridCol w:w="13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30" w:hRule="atLeast"/>
          <w:tblHeader/>
          <w:jc w:val="center"/>
        </w:trPr>
        <w:tc>
          <w:tcPr>
            <w:tcW w:w="2023" w:type="pct"/>
            <w:gridSpan w:val="2"/>
            <w:vAlign w:val="center"/>
          </w:tcPr>
          <w:p>
            <w:pPr>
              <w:pStyle w:val="105"/>
              <w:jc w:val="center"/>
            </w:pPr>
            <w:r>
              <w:t>距路边距离（m）</w:t>
            </w:r>
          </w:p>
        </w:tc>
        <w:tc>
          <w:tcPr>
            <w:tcW w:w="566" w:type="pct"/>
            <w:vAlign w:val="center"/>
          </w:tcPr>
          <w:p>
            <w:pPr>
              <w:pStyle w:val="105"/>
              <w:jc w:val="center"/>
            </w:pPr>
            <w:r>
              <w:t>0</w:t>
            </w:r>
          </w:p>
        </w:tc>
        <w:tc>
          <w:tcPr>
            <w:tcW w:w="564" w:type="pct"/>
            <w:vAlign w:val="center"/>
          </w:tcPr>
          <w:p>
            <w:pPr>
              <w:pStyle w:val="105"/>
              <w:jc w:val="center"/>
            </w:pPr>
            <w:r>
              <w:t>20</w:t>
            </w:r>
          </w:p>
        </w:tc>
        <w:tc>
          <w:tcPr>
            <w:tcW w:w="562" w:type="pct"/>
            <w:vAlign w:val="center"/>
          </w:tcPr>
          <w:p>
            <w:pPr>
              <w:pStyle w:val="105"/>
              <w:jc w:val="center"/>
            </w:pPr>
            <w:r>
              <w:t>50</w:t>
            </w:r>
          </w:p>
        </w:tc>
        <w:tc>
          <w:tcPr>
            <w:tcW w:w="563" w:type="pct"/>
            <w:vAlign w:val="center"/>
          </w:tcPr>
          <w:p>
            <w:pPr>
              <w:pStyle w:val="105"/>
              <w:jc w:val="center"/>
            </w:pPr>
            <w:r>
              <w:t>100</w:t>
            </w:r>
          </w:p>
        </w:tc>
        <w:tc>
          <w:tcPr>
            <w:tcW w:w="722" w:type="pct"/>
            <w:vAlign w:val="center"/>
          </w:tcPr>
          <w:p>
            <w:pPr>
              <w:pStyle w:val="105"/>
              <w:jc w:val="center"/>
            </w:pPr>
            <w: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11" w:hRule="atLeast"/>
          <w:tblHeader/>
          <w:jc w:val="center"/>
        </w:trPr>
        <w:tc>
          <w:tcPr>
            <w:tcW w:w="1097" w:type="pct"/>
            <w:vMerge w:val="restart"/>
            <w:vAlign w:val="center"/>
          </w:tcPr>
          <w:p>
            <w:pPr>
              <w:pStyle w:val="105"/>
              <w:jc w:val="center"/>
            </w:pPr>
            <w:r>
              <w:t>TSP 浓度</w:t>
            </w:r>
          </w:p>
        </w:tc>
        <w:tc>
          <w:tcPr>
            <w:tcW w:w="926" w:type="pct"/>
            <w:vAlign w:val="center"/>
          </w:tcPr>
          <w:p>
            <w:pPr>
              <w:pStyle w:val="105"/>
              <w:jc w:val="center"/>
            </w:pPr>
            <w:r>
              <w:t>不洒水</w:t>
            </w:r>
          </w:p>
        </w:tc>
        <w:tc>
          <w:tcPr>
            <w:tcW w:w="566" w:type="pct"/>
            <w:vAlign w:val="center"/>
          </w:tcPr>
          <w:p>
            <w:pPr>
              <w:pStyle w:val="105"/>
              <w:jc w:val="center"/>
            </w:pPr>
            <w:r>
              <w:t>11.03</w:t>
            </w:r>
          </w:p>
        </w:tc>
        <w:tc>
          <w:tcPr>
            <w:tcW w:w="564" w:type="pct"/>
            <w:vAlign w:val="center"/>
          </w:tcPr>
          <w:p>
            <w:pPr>
              <w:pStyle w:val="105"/>
              <w:jc w:val="center"/>
            </w:pPr>
            <w:r>
              <w:t>2.89</w:t>
            </w:r>
          </w:p>
        </w:tc>
        <w:tc>
          <w:tcPr>
            <w:tcW w:w="562" w:type="pct"/>
            <w:vAlign w:val="center"/>
          </w:tcPr>
          <w:p>
            <w:pPr>
              <w:pStyle w:val="105"/>
              <w:jc w:val="center"/>
            </w:pPr>
            <w:r>
              <w:t>1.15</w:t>
            </w:r>
          </w:p>
        </w:tc>
        <w:tc>
          <w:tcPr>
            <w:tcW w:w="563" w:type="pct"/>
            <w:vAlign w:val="center"/>
          </w:tcPr>
          <w:p>
            <w:pPr>
              <w:pStyle w:val="105"/>
              <w:jc w:val="center"/>
            </w:pPr>
            <w:r>
              <w:t>0.86</w:t>
            </w:r>
          </w:p>
        </w:tc>
        <w:tc>
          <w:tcPr>
            <w:tcW w:w="722" w:type="pct"/>
            <w:vAlign w:val="center"/>
          </w:tcPr>
          <w:p>
            <w:pPr>
              <w:pStyle w:val="105"/>
              <w:jc w:val="center"/>
            </w:pPr>
            <w:r>
              <w:t>0.56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09" w:hRule="atLeast"/>
          <w:tblHeader/>
          <w:jc w:val="center"/>
        </w:trPr>
        <w:tc>
          <w:tcPr>
            <w:tcW w:w="1097" w:type="pct"/>
            <w:vMerge w:val="continue"/>
            <w:vAlign w:val="center"/>
          </w:tcPr>
          <w:p>
            <w:pPr>
              <w:pStyle w:val="105"/>
              <w:jc w:val="center"/>
            </w:pPr>
          </w:p>
        </w:tc>
        <w:tc>
          <w:tcPr>
            <w:tcW w:w="926" w:type="pct"/>
            <w:vAlign w:val="center"/>
          </w:tcPr>
          <w:p>
            <w:pPr>
              <w:pStyle w:val="105"/>
              <w:jc w:val="center"/>
            </w:pPr>
            <w:r>
              <w:t>洒水</w:t>
            </w:r>
          </w:p>
        </w:tc>
        <w:tc>
          <w:tcPr>
            <w:tcW w:w="566" w:type="pct"/>
            <w:vAlign w:val="center"/>
          </w:tcPr>
          <w:p>
            <w:pPr>
              <w:pStyle w:val="105"/>
              <w:jc w:val="center"/>
            </w:pPr>
            <w:r>
              <w:t>2.11</w:t>
            </w:r>
          </w:p>
        </w:tc>
        <w:tc>
          <w:tcPr>
            <w:tcW w:w="564" w:type="pct"/>
            <w:vAlign w:val="center"/>
          </w:tcPr>
          <w:p>
            <w:pPr>
              <w:pStyle w:val="105"/>
              <w:jc w:val="center"/>
            </w:pPr>
            <w:r>
              <w:t>1.40</w:t>
            </w:r>
          </w:p>
        </w:tc>
        <w:tc>
          <w:tcPr>
            <w:tcW w:w="562" w:type="pct"/>
            <w:vAlign w:val="center"/>
          </w:tcPr>
          <w:p>
            <w:pPr>
              <w:pStyle w:val="105"/>
              <w:jc w:val="center"/>
            </w:pPr>
            <w:r>
              <w:t>0.68</w:t>
            </w:r>
          </w:p>
        </w:tc>
        <w:tc>
          <w:tcPr>
            <w:tcW w:w="563" w:type="pct"/>
            <w:vAlign w:val="center"/>
          </w:tcPr>
          <w:p>
            <w:pPr>
              <w:pStyle w:val="105"/>
              <w:jc w:val="center"/>
            </w:pPr>
            <w:r>
              <w:t>0.60</w:t>
            </w:r>
          </w:p>
        </w:tc>
        <w:tc>
          <w:tcPr>
            <w:tcW w:w="722" w:type="pct"/>
            <w:vAlign w:val="center"/>
          </w:tcPr>
          <w:p>
            <w:pPr>
              <w:pStyle w:val="105"/>
              <w:jc w:val="center"/>
            </w:pPr>
            <w:r>
              <w:t>0.29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023" w:type="pct"/>
            <w:gridSpan w:val="2"/>
            <w:vAlign w:val="center"/>
          </w:tcPr>
          <w:p>
            <w:pPr>
              <w:pStyle w:val="105"/>
              <w:jc w:val="center"/>
            </w:pPr>
            <w:r>
              <w:t>降尘效果%</w:t>
            </w:r>
          </w:p>
        </w:tc>
        <w:tc>
          <w:tcPr>
            <w:tcW w:w="566" w:type="pct"/>
            <w:vAlign w:val="center"/>
          </w:tcPr>
          <w:p>
            <w:pPr>
              <w:pStyle w:val="105"/>
              <w:jc w:val="center"/>
            </w:pPr>
            <w:r>
              <w:t>80.2</w:t>
            </w:r>
          </w:p>
        </w:tc>
        <w:tc>
          <w:tcPr>
            <w:tcW w:w="564" w:type="pct"/>
            <w:vAlign w:val="center"/>
          </w:tcPr>
          <w:p>
            <w:pPr>
              <w:pStyle w:val="105"/>
              <w:jc w:val="center"/>
            </w:pPr>
            <w:r>
              <w:t>51.6</w:t>
            </w:r>
          </w:p>
        </w:tc>
        <w:tc>
          <w:tcPr>
            <w:tcW w:w="562" w:type="pct"/>
            <w:vAlign w:val="center"/>
          </w:tcPr>
          <w:p>
            <w:pPr>
              <w:pStyle w:val="105"/>
              <w:jc w:val="center"/>
            </w:pPr>
            <w:r>
              <w:t>41.7</w:t>
            </w:r>
          </w:p>
        </w:tc>
        <w:tc>
          <w:tcPr>
            <w:tcW w:w="563" w:type="pct"/>
            <w:vAlign w:val="center"/>
          </w:tcPr>
          <w:p>
            <w:pPr>
              <w:pStyle w:val="105"/>
              <w:jc w:val="center"/>
            </w:pPr>
            <w:r>
              <w:t>30.2</w:t>
            </w:r>
          </w:p>
        </w:tc>
        <w:tc>
          <w:tcPr>
            <w:tcW w:w="722" w:type="pct"/>
            <w:vAlign w:val="center"/>
          </w:tcPr>
          <w:p>
            <w:pPr>
              <w:pStyle w:val="105"/>
              <w:jc w:val="center"/>
            </w:pPr>
            <w:r>
              <w:t>48.2</w:t>
            </w:r>
          </w:p>
        </w:tc>
      </w:tr>
    </w:tbl>
    <w:p>
      <w:pPr>
        <w:pStyle w:val="124"/>
        <w:spacing w:before="163"/>
      </w:pPr>
      <w:r>
        <w:t>由上表可知，采取洒水措施可有效降低公路运输扬尘带来的不利影响。因此，为尽可能</w:t>
      </w:r>
      <w:r>
        <w:rPr>
          <w:rFonts w:hint="eastAsia"/>
        </w:rPr>
        <w:t>地</w:t>
      </w:r>
      <w:r>
        <w:t>降低公路运输扬尘对沿线敏感点的影响</w:t>
      </w:r>
      <w:r>
        <w:rPr>
          <w:rFonts w:hint="eastAsia"/>
        </w:rPr>
        <w:t>，特别是土石方运输扬尘对沿线敏感目标的影响</w:t>
      </w:r>
      <w:r>
        <w:t>，</w:t>
      </w:r>
      <w:r>
        <w:rPr>
          <w:rFonts w:hint="eastAsia"/>
        </w:rPr>
        <w:t>运输车辆驶离工地前应在洗车平台冲洗轮胎及车身，其表面不得附着污泥；</w:t>
      </w:r>
      <w:r>
        <w:t>应定时对路面进行洒水。同时</w:t>
      </w:r>
      <w:r>
        <w:rPr>
          <w:rFonts w:hint="eastAsia"/>
        </w:rPr>
        <w:t>土石方运输</w:t>
      </w:r>
      <w:r>
        <w:t>应采用密闭车斗，并保证土石方、物料不遗撒外漏。若无密闭车斗，土石方、物料的装载高度不得超过车辆槽帮上沿，车斗应用苫布遮盖严实。苫布边缘至少要遮住槽帮上沿以下15cm，保证土石方、物料等不露出。运输过程应严格控制车速，禁止超速超载等易加重扬尘的污染行为。严格执行施工期的各项防尘措施，车辆运输路线两侧的环境空气影响将得到有效</w:t>
      </w:r>
      <w:r>
        <w:rPr>
          <w:rFonts w:hint="eastAsia"/>
        </w:rPr>
        <w:t>的</w:t>
      </w:r>
      <w:r>
        <w:t>控制。</w:t>
      </w:r>
    </w:p>
    <w:p>
      <w:pPr>
        <w:ind w:firstLine="480"/>
      </w:pPr>
      <w:r>
        <w:rPr>
          <w:rFonts w:hint="eastAsia"/>
        </w:rPr>
        <w:t>②堆场扬尘</w:t>
      </w:r>
    </w:p>
    <w:p>
      <w:pPr>
        <w:ind w:firstLine="480"/>
      </w:pPr>
      <w:r>
        <w:rPr>
          <w:rFonts w:hint="eastAsia"/>
        </w:rPr>
        <w:t xml:space="preserve">堆场物料的种类、性质及风速与起尘量有很大关系，比重小的物料容易受扰动而起尘，物料中小颗粒比例大时起尘量相应也大。堆场的扬尘包括料堆的风吹扬尘、装卸扬尘和过往车辆引起路面积尘二次扬尘等，这将产生较大的尘污染，会对周围环境带来一定的影响，如石灰等易散失的施工材料如不加强管理也将产生大量的污染源。根据已有资料分析，在大风天气下砂石料起尘对下风向环境空气质量的影响范围约为200m，会给此范围内的环境保护目标造成不利影响，但通过遮盖、洒水可有效地抑制扬尘量，可使扬尘量减少70%。 </w:t>
      </w:r>
    </w:p>
    <w:p>
      <w:pPr>
        <w:ind w:firstLine="480"/>
      </w:pPr>
      <w:r>
        <w:rPr>
          <w:rFonts w:hint="eastAsia"/>
        </w:rPr>
        <w:t>为减小堆场扬尘对居民区敏感点的污染影响，物料堆场必须采用帆布苫盖，将起尘量降到最低，从而减少其对周围环境空气质量的影响。通过上述措施，施工期扬尘对周边敏感点影响较小，且该影响是暂时的，施工结束后便消失。</w:t>
      </w:r>
    </w:p>
    <w:p>
      <w:pPr>
        <w:ind w:firstLine="480"/>
      </w:pPr>
      <w:r>
        <w:rPr>
          <w:rFonts w:hint="eastAsia"/>
        </w:rPr>
        <w:t>③</w:t>
      </w:r>
      <w:r>
        <w:t>施工扬尘</w:t>
      </w:r>
      <w:r>
        <w:rPr>
          <w:rFonts w:hint="eastAsia"/>
        </w:rPr>
        <w:t>：</w:t>
      </w:r>
      <w:r>
        <w:t>本工程施工过程中，</w:t>
      </w:r>
      <w:r>
        <w:rPr>
          <w:rFonts w:hint="eastAsia"/>
        </w:rPr>
        <w:t>路基平整等使得</w:t>
      </w:r>
      <w:r>
        <w:t>原生植被破坏殆尽，土地裸露，施工区域各种机械往复作业、填挖地表、土石方和材料运输等各环节在风力作用下会对施工现场及周边环境产生扬尘污染。根据类比分析，由于粉尘颗粒的重力沉降作用，施工工地扬尘的污染影响范围和程度随着距离的不同而有所差异，在扬尘点下风向0～50m为较重污染带，50～100m为污染带，100～200m为轻污染带，200m以外对大气影响甚微。本项目200m范围内有</w:t>
      </w:r>
      <w:r>
        <w:rPr>
          <w:rFonts w:hint="eastAsia"/>
        </w:rPr>
        <w:t>牌边村新桥，上张村林泉、王房，联华村后郑、火烧埔、田楼</w:t>
      </w:r>
      <w:r>
        <w:t>、</w:t>
      </w:r>
      <w:r>
        <w:rPr>
          <w:rFonts w:hint="eastAsia"/>
        </w:rPr>
        <w:t>西山、朱里、木厝洋、三落厝等居民点</w:t>
      </w:r>
      <w:r>
        <w:t>。本项目建设期间将对沿线的</w:t>
      </w:r>
      <w:r>
        <w:rPr>
          <w:rFonts w:hint="eastAsia"/>
        </w:rPr>
        <w:t>村民生活</w:t>
      </w:r>
      <w:r>
        <w:t>造成一定影响，大风天更为明显。</w:t>
      </w:r>
    </w:p>
    <w:p>
      <w:pPr>
        <w:ind w:firstLine="480"/>
      </w:pPr>
      <w:r>
        <w:rPr>
          <w:rFonts w:hint="eastAsia"/>
        </w:rPr>
        <w:t>为减小施工行为带来的扬尘影响，可以采取围挡、洒水的办法。有资料显示，在有围挡情况下，施工扬尘比无围挡情况下有明显改善，扬尘污染在施工场地下风向200m之内，可使被污染地区TSP的浓度减少1/4。本次评价要求，施工期间加强对施工道路、路基施工等洒水抑尘，将扬尘影响降至最低。</w:t>
      </w:r>
    </w:p>
    <w:p>
      <w:pPr>
        <w:pStyle w:val="118"/>
      </w:pPr>
      <w:r>
        <w:rPr>
          <w:rFonts w:hint="eastAsia"/>
        </w:rPr>
        <w:t>沥青烟</w:t>
      </w:r>
    </w:p>
    <w:p>
      <w:pPr>
        <w:ind w:firstLine="480"/>
      </w:pPr>
      <w:r>
        <w:rPr>
          <w:rFonts w:hint="eastAsia"/>
        </w:rPr>
        <w:t>本项目沥青混凝土全部采用外购成品沥青砼，现场不设置沥青混凝土拌和站，项目施工期仅在摊铺过程中会产生少量沥青烟，这部分沥青烟气为无组织排放，主要污染物为THC、酚和苯并（a）芘，其污染影响范围一般在周边50m范围之内。沥青摊铺是流动推进作业，对某一固定点的影响只是暂时或是瞬时的，危害较小，只是路面摊铺完成后，一定时期还会有挥发性有机化合物排出，排出量与固化速度有关，其浓度值低于作业时的浓度值。因此，本项目沥青烟气产生量较小，对周围环境的影响较小。但摊铺过程产生的沥青烟气会让人产生不愉悦的感受。</w:t>
      </w:r>
    </w:p>
    <w:p>
      <w:pPr>
        <w:ind w:firstLine="480"/>
      </w:pPr>
      <w:r>
        <w:rPr>
          <w:rFonts w:hint="eastAsia"/>
        </w:rPr>
        <w:t>由于本项目沿线多个敏感目标距公路边界红线在50m之内，沥青摊铺对敏感目标会造成一定影响。因此，本项目在沥青摊铺时应在靠近敏感目标路段在沥青摊铺前告知周边居民，选择大气扩散条件好的时段，避开人群活动高峰时段施工。</w:t>
      </w:r>
    </w:p>
    <w:p>
      <w:pPr>
        <w:pStyle w:val="118"/>
      </w:pPr>
      <w:r>
        <w:rPr>
          <w:rFonts w:hint="eastAsia"/>
        </w:rPr>
        <w:t>施工机械尾气</w:t>
      </w:r>
    </w:p>
    <w:p>
      <w:pPr>
        <w:ind w:firstLine="480"/>
      </w:pPr>
      <w:r>
        <w:rPr>
          <w:rFonts w:hint="eastAsia"/>
        </w:rPr>
        <w:t>各类建材、土石方运输车辆以及燃油压路机（路面平整）、燃油推土机（路基处理）等施工机械运行过程，主要污染物有NO</w:t>
      </w:r>
      <w:r>
        <w:rPr>
          <w:rFonts w:hint="eastAsia"/>
          <w:vertAlign w:val="subscript"/>
        </w:rPr>
        <w:t>2</w:t>
      </w:r>
      <w:r>
        <w:rPr>
          <w:rFonts w:hint="eastAsia"/>
        </w:rPr>
        <w:t>、THC等。据类比分析，施工废气污染物影响距离为施工场所下风向50m左右。施工车辆、施工机械尾气呈面源污染形式，尾气扩散范围有限，所以不会对周围环境空气有明显影响，与运营期路面车辆尾气排放量相比，施工期尾气排放非常有限，对周边环境空气的影响在可接受范围内。</w:t>
      </w:r>
    </w:p>
    <w:p>
      <w:pPr>
        <w:pStyle w:val="120"/>
        <w:rPr>
          <w:color w:val="auto"/>
        </w:rPr>
      </w:pPr>
      <w:r>
        <w:rPr>
          <w:rFonts w:hint="eastAsia"/>
          <w:color w:val="auto"/>
        </w:rPr>
        <w:t>运营期大气环境影响分析</w:t>
      </w:r>
    </w:p>
    <w:p>
      <w:pPr>
        <w:ind w:firstLine="480"/>
      </w:pPr>
      <w:r>
        <w:t>本项目不设置车站、服务区等集中式排放源，运营期产生的大气污染物为路面行驶的车辆排放的尾气及车辆轮胎接触路面使路面积尘扬起产生的二次扬尘污染。</w:t>
      </w:r>
      <w:r>
        <w:rPr>
          <w:rFonts w:hint="eastAsia"/>
        </w:rPr>
        <w:t>公路运营期车辆排放污染物的扩散与道路沿线地形和气象条件有关，扩散后所覆盖的地域为道路两侧与线形平行的带状区域。</w:t>
      </w:r>
    </w:p>
    <w:p>
      <w:pPr>
        <w:ind w:firstLine="480"/>
      </w:pPr>
      <w:r>
        <w:t>本工程所处区域地势相对平缓开阔，扩散能力较好，沿线环境空气质量良好，结合地形地貌、气候条件等因素，运营期汽车尾气对沿线区域环境空气质量影响较小，不会造成评价区环境空气质量超标。另外，</w:t>
      </w:r>
      <w:r>
        <w:rPr>
          <w:rFonts w:hint="eastAsia"/>
        </w:rPr>
        <w:t>公路</w:t>
      </w:r>
      <w:r>
        <w:t>两侧绿化工程的实施在很大程度上可以降低道路汽车尾气对</w:t>
      </w:r>
      <w:r>
        <w:rPr>
          <w:rFonts w:hint="eastAsia"/>
        </w:rPr>
        <w:t>公路</w:t>
      </w:r>
      <w:r>
        <w:t>两侧区域环境空气质量的影响，根据同类项目类比调查可知，道路沿线环境空气质量能够满足《环境空气质量标准》（GB3095-2012）及其2018年修改单二级标准。</w:t>
      </w:r>
    </w:p>
    <w:p>
      <w:pPr>
        <w:ind w:firstLine="480"/>
      </w:pPr>
      <w:r>
        <w:rPr>
          <w:rFonts w:hint="eastAsia"/>
        </w:rPr>
        <w:t>随着我国汽车排放标准的不断提高，单车尾气的排放量将会不断降低，运输车种构成比例将更为优化，高能耗、高排污的车种比例逐步减少，汽车尾气排放将大大降低，道路对沿线空气质量带来的影响逐步减小</w:t>
      </w:r>
      <w:r>
        <w:t>。</w:t>
      </w:r>
    </w:p>
    <w:p>
      <w:pPr>
        <w:pStyle w:val="116"/>
      </w:pPr>
      <w:bookmarkStart w:id="461" w:name="_Toc152152049"/>
      <w:bookmarkStart w:id="462" w:name="_Toc204676249"/>
      <w:bookmarkStart w:id="463" w:name="_Toc154668046"/>
      <w:bookmarkStart w:id="464" w:name="_Toc159405476"/>
      <w:r>
        <w:rPr>
          <w:rFonts w:hint="eastAsia"/>
        </w:rPr>
        <w:t>声环境影响评价</w:t>
      </w:r>
      <w:bookmarkEnd w:id="461"/>
      <w:bookmarkEnd w:id="462"/>
      <w:bookmarkEnd w:id="463"/>
      <w:bookmarkEnd w:id="464"/>
    </w:p>
    <w:p>
      <w:pPr>
        <w:pStyle w:val="120"/>
        <w:rPr>
          <w:color w:val="auto"/>
        </w:rPr>
      </w:pPr>
      <w:r>
        <w:rPr>
          <w:rFonts w:hint="eastAsia"/>
          <w:color w:val="auto"/>
        </w:rPr>
        <w:t>施工期声环境影响分析</w:t>
      </w:r>
    </w:p>
    <w:p>
      <w:pPr>
        <w:ind w:firstLine="480"/>
      </w:pPr>
      <w:r>
        <w:rPr>
          <w:rFonts w:hint="eastAsia"/>
        </w:rPr>
        <w:t>鉴于施工噪声的复杂性和施工噪声影响的区域性、阶段性，根据国家《建筑施工场界环境噪声排放标准》（GB12523-2011），针对不同施工阶段计算出不同施工设备的噪声影响范围，以便施工单位在施工时结合实际情况来采取适当的噪声污染控制措施。</w:t>
      </w:r>
    </w:p>
    <w:p>
      <w:pPr>
        <w:ind w:firstLine="480"/>
      </w:pPr>
      <w:r>
        <w:rPr>
          <w:rFonts w:hint="eastAsia"/>
        </w:rPr>
        <w:t>①预测模式：施工设备噪声源按点声源计算，其噪声预测模式为：</w:t>
      </w:r>
    </w:p>
    <w:p>
      <w:pPr>
        <w:pStyle w:val="67"/>
        <w:ind w:left="840" w:firstLineChars="0"/>
        <w:jc w:val="center"/>
      </w:pPr>
      <w:r>
        <w:rPr>
          <w:rFonts w:hint="eastAsia"/>
        </w:rPr>
        <w:t>L</w:t>
      </w:r>
      <w:r>
        <w:rPr>
          <w:rFonts w:hint="eastAsia"/>
          <w:i/>
          <w:iCs/>
          <w:vertAlign w:val="subscript"/>
        </w:rPr>
        <w:t>i</w:t>
      </w:r>
      <w:r>
        <w:rPr>
          <w:i/>
          <w:iCs/>
          <w:vertAlign w:val="subscript"/>
        </w:rPr>
        <w:t xml:space="preserve"> </w:t>
      </w:r>
      <w:r>
        <w:rPr>
          <w:rFonts w:hint="eastAsia"/>
        </w:rPr>
        <w:t>=L</w:t>
      </w:r>
      <w:r>
        <w:rPr>
          <w:rFonts w:hint="eastAsia"/>
          <w:vertAlign w:val="subscript"/>
        </w:rPr>
        <w:t>0</w:t>
      </w:r>
      <w:r>
        <w:rPr>
          <w:rFonts w:hint="eastAsia"/>
        </w:rPr>
        <w:t>-20lg(r</w:t>
      </w:r>
      <w:r>
        <w:rPr>
          <w:rFonts w:hint="eastAsia"/>
          <w:i/>
          <w:iCs/>
          <w:vertAlign w:val="subscript"/>
        </w:rPr>
        <w:t>i</w:t>
      </w:r>
      <w:r>
        <w:rPr>
          <w:i/>
          <w:iCs/>
          <w:vertAlign w:val="subscript"/>
        </w:rPr>
        <w:t xml:space="preserve"> </w:t>
      </w:r>
      <w:r>
        <w:rPr>
          <w:rFonts w:hint="eastAsia"/>
        </w:rPr>
        <w:t>/r</w:t>
      </w:r>
      <w:r>
        <w:rPr>
          <w:rFonts w:hint="eastAsia"/>
          <w:vertAlign w:val="subscript"/>
        </w:rPr>
        <w:t>0)</w:t>
      </w:r>
    </w:p>
    <w:p>
      <w:pPr>
        <w:ind w:firstLine="480"/>
      </w:pPr>
      <w:r>
        <w:rPr>
          <w:rFonts w:hint="eastAsia"/>
        </w:rPr>
        <w:t>式中：L</w:t>
      </w:r>
      <w:r>
        <w:rPr>
          <w:rFonts w:hint="eastAsia"/>
          <w:i/>
          <w:iCs/>
          <w:vertAlign w:val="subscript"/>
        </w:rPr>
        <w:t>i</w:t>
      </w:r>
      <w:r>
        <w:rPr>
          <w:rFonts w:hint="eastAsia"/>
        </w:rPr>
        <w:t>——点声源在预测点产生的声压级，dB(A)；</w:t>
      </w:r>
    </w:p>
    <w:p>
      <w:pPr>
        <w:ind w:firstLine="1200" w:firstLineChars="500"/>
      </w:pPr>
      <w:r>
        <w:rPr>
          <w:rFonts w:hint="eastAsia"/>
        </w:rPr>
        <w:t>L</w:t>
      </w:r>
      <w:r>
        <w:rPr>
          <w:rFonts w:hint="eastAsia"/>
          <w:vertAlign w:val="subscript"/>
        </w:rPr>
        <w:t>0</w:t>
      </w:r>
      <w:r>
        <w:rPr>
          <w:rFonts w:hint="eastAsia"/>
        </w:rPr>
        <w:t>——参照点处的声压级，dB(A)；</w:t>
      </w:r>
    </w:p>
    <w:p>
      <w:pPr>
        <w:ind w:firstLine="1200" w:firstLineChars="500"/>
      </w:pPr>
      <w:r>
        <w:rPr>
          <w:rFonts w:hint="eastAsia"/>
        </w:rPr>
        <w:t>r</w:t>
      </w:r>
      <w:r>
        <w:rPr>
          <w:rFonts w:hint="eastAsia"/>
          <w:i/>
          <w:iCs/>
          <w:vertAlign w:val="subscript"/>
        </w:rPr>
        <w:t>i</w:t>
      </w:r>
      <w:r>
        <w:rPr>
          <w:rFonts w:hint="eastAsia"/>
        </w:rPr>
        <w:t>——预测点距声源的距离，m；</w:t>
      </w:r>
    </w:p>
    <w:p>
      <w:pPr>
        <w:ind w:firstLine="1200" w:firstLineChars="500"/>
      </w:pPr>
      <w:r>
        <w:rPr>
          <w:rFonts w:hint="eastAsia"/>
        </w:rPr>
        <w:t>r</w:t>
      </w:r>
      <w:r>
        <w:rPr>
          <w:rFonts w:hint="eastAsia"/>
          <w:i/>
          <w:iCs/>
          <w:vertAlign w:val="subscript"/>
        </w:rPr>
        <w:t>0</w:t>
      </w:r>
      <w:r>
        <w:rPr>
          <w:rFonts w:hint="eastAsia"/>
        </w:rPr>
        <w:t>——参照点距声源的距离，m。</w:t>
      </w:r>
    </w:p>
    <w:p>
      <w:pPr>
        <w:ind w:firstLine="480"/>
      </w:pPr>
      <w:r>
        <w:rPr>
          <w:rFonts w:hint="eastAsia"/>
        </w:rPr>
        <w:t>②预测结果：根据前述的预测方法和预测模式，对施工过程中各种设备噪声影响范围进行计算，本项目主要施工机械不同距离处的噪声源强见</w:t>
      </w:r>
      <w:r>
        <w:fldChar w:fldCharType="begin"/>
      </w:r>
      <w:r>
        <w:instrText xml:space="preserve"> </w:instrText>
      </w:r>
      <w:r>
        <w:rPr>
          <w:rFonts w:hint="eastAsia"/>
        </w:rPr>
        <w:instrText xml:space="preserve">REF _Ref141255741 \r \h</w:instrText>
      </w:r>
      <w:r>
        <w:instrText xml:space="preserve"> </w:instrText>
      </w:r>
      <w:r>
        <w:fldChar w:fldCharType="separate"/>
      </w:r>
      <w:r>
        <w:rPr>
          <w:rFonts w:hint="eastAsia"/>
        </w:rPr>
        <w:t>表3.9-2</w:t>
      </w:r>
      <w:r>
        <w:fldChar w:fldCharType="end"/>
      </w:r>
      <w:r>
        <w:rPr>
          <w:rFonts w:hint="eastAsia"/>
        </w:rPr>
        <w:t>。</w:t>
      </w:r>
    </w:p>
    <w:p>
      <w:pPr>
        <w:pStyle w:val="87"/>
        <w:spacing w:before="163"/>
      </w:pPr>
      <w:bookmarkStart w:id="465" w:name="_Ref78830717"/>
      <w:r>
        <w:rPr>
          <w:rFonts w:hint="eastAsia"/>
        </w:rPr>
        <w:t xml:space="preserve">主要施工机械不同距离处的噪声级 </w:t>
      </w:r>
      <w:r>
        <w:t xml:space="preserve">  </w:t>
      </w:r>
      <w:r>
        <w:rPr>
          <w:rFonts w:hint="eastAsia"/>
        </w:rPr>
        <w:t>单位：dB（A）</w:t>
      </w:r>
      <w:bookmarkEnd w:id="465"/>
    </w:p>
    <w:tbl>
      <w:tblPr>
        <w:tblStyle w:val="15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13"/>
        <w:gridCol w:w="540"/>
        <w:gridCol w:w="540"/>
        <w:gridCol w:w="540"/>
        <w:gridCol w:w="540"/>
        <w:gridCol w:w="540"/>
        <w:gridCol w:w="540"/>
        <w:gridCol w:w="540"/>
        <w:gridCol w:w="540"/>
        <w:gridCol w:w="540"/>
        <w:gridCol w:w="540"/>
        <w:gridCol w:w="540"/>
        <w:gridCol w:w="5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77" w:type="pct"/>
            <w:vMerge w:val="restart"/>
            <w:tcBorders>
              <w:top w:val="single" w:color="auto" w:sz="12" w:space="0"/>
              <w:bottom w:val="single" w:color="auto" w:sz="6" w:space="0"/>
              <w:tl2br w:val="single" w:color="auto" w:sz="4" w:space="0"/>
            </w:tcBorders>
            <w:tcMar>
              <w:left w:w="57" w:type="dxa"/>
              <w:right w:w="57" w:type="dxa"/>
            </w:tcMar>
            <w:vAlign w:val="center"/>
          </w:tcPr>
          <w:p>
            <w:pPr>
              <w:pStyle w:val="105"/>
              <w:widowControl w:val="0"/>
              <w:jc w:val="center"/>
            </w:pPr>
            <w:r>
              <w:rPr>
                <w:rFonts w:hint="eastAsia"/>
              </w:rPr>
              <w:t xml:space="preserve"> </w:t>
            </w:r>
            <w:r>
              <w:t xml:space="preserve">     </w:t>
            </w:r>
            <w:r>
              <w:rPr>
                <w:rFonts w:hint="eastAsia"/>
              </w:rPr>
              <w:t>衰减距离m</w:t>
            </w:r>
          </w:p>
          <w:p>
            <w:pPr>
              <w:pStyle w:val="105"/>
              <w:widowControl w:val="0"/>
              <w:jc w:val="center"/>
            </w:pPr>
            <w:r>
              <w:rPr>
                <w:rFonts w:hint="eastAsia"/>
              </w:rPr>
              <w:t>施工机械</w:t>
            </w:r>
          </w:p>
        </w:tc>
        <w:tc>
          <w:tcPr>
            <w:tcW w:w="3523" w:type="pct"/>
            <w:gridSpan w:val="12"/>
            <w:tcMar>
              <w:left w:w="57" w:type="dxa"/>
              <w:right w:w="57" w:type="dxa"/>
            </w:tcMar>
            <w:vAlign w:val="center"/>
          </w:tcPr>
          <w:p>
            <w:pPr>
              <w:pStyle w:val="105"/>
              <w:widowControl w:val="0"/>
              <w:jc w:val="center"/>
            </w:pPr>
            <w:r>
              <w:rPr>
                <w:rFonts w:hint="eastAsia"/>
              </w:rPr>
              <w:t>距离（</w:t>
            </w:r>
            <w:r>
              <w:t>m</w:t>
            </w:r>
            <w:r>
              <w:rPr>
                <w:rFonts w:hint="eastAsia"/>
              </w:rPr>
              <w:t>）</w:t>
            </w:r>
          </w:p>
          <w:p>
            <w:pPr>
              <w:pStyle w:val="105"/>
              <w:widowControl w:val="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77" w:type="pct"/>
            <w:vMerge w:val="continue"/>
            <w:tcBorders>
              <w:top w:val="single" w:color="auto" w:sz="6" w:space="0"/>
              <w:bottom w:val="single" w:color="auto" w:sz="6" w:space="0"/>
              <w:tl2br w:val="single" w:color="auto" w:sz="4" w:space="0"/>
            </w:tcBorders>
            <w:tcMar>
              <w:left w:w="57" w:type="dxa"/>
              <w:right w:w="57" w:type="dxa"/>
            </w:tcMar>
            <w:vAlign w:val="center"/>
          </w:tcPr>
          <w:p>
            <w:pPr>
              <w:pStyle w:val="105"/>
              <w:widowControl w:val="0"/>
              <w:jc w:val="center"/>
            </w:pPr>
          </w:p>
        </w:tc>
        <w:tc>
          <w:tcPr>
            <w:tcW w:w="294" w:type="pct"/>
            <w:tcMar>
              <w:left w:w="57" w:type="dxa"/>
              <w:right w:w="57" w:type="dxa"/>
            </w:tcMar>
            <w:vAlign w:val="center"/>
          </w:tcPr>
          <w:p>
            <w:pPr>
              <w:pStyle w:val="105"/>
              <w:widowControl w:val="0"/>
              <w:jc w:val="center"/>
            </w:pPr>
            <w:r>
              <w:t>10</w:t>
            </w:r>
          </w:p>
        </w:tc>
        <w:tc>
          <w:tcPr>
            <w:tcW w:w="294" w:type="pct"/>
            <w:tcMar>
              <w:left w:w="57" w:type="dxa"/>
              <w:right w:w="57" w:type="dxa"/>
            </w:tcMar>
            <w:vAlign w:val="center"/>
          </w:tcPr>
          <w:p>
            <w:pPr>
              <w:pStyle w:val="105"/>
              <w:widowControl w:val="0"/>
              <w:jc w:val="center"/>
            </w:pPr>
            <w:r>
              <w:t>20</w:t>
            </w:r>
          </w:p>
        </w:tc>
        <w:tc>
          <w:tcPr>
            <w:tcW w:w="294" w:type="pct"/>
            <w:tcMar>
              <w:left w:w="57" w:type="dxa"/>
              <w:right w:w="57" w:type="dxa"/>
            </w:tcMar>
            <w:vAlign w:val="center"/>
          </w:tcPr>
          <w:p>
            <w:pPr>
              <w:pStyle w:val="105"/>
              <w:widowControl w:val="0"/>
              <w:jc w:val="center"/>
            </w:pPr>
            <w:r>
              <w:t>30</w:t>
            </w:r>
          </w:p>
        </w:tc>
        <w:tc>
          <w:tcPr>
            <w:tcW w:w="294" w:type="pct"/>
            <w:tcMar>
              <w:left w:w="57" w:type="dxa"/>
              <w:right w:w="57" w:type="dxa"/>
            </w:tcMar>
            <w:vAlign w:val="center"/>
          </w:tcPr>
          <w:p>
            <w:pPr>
              <w:pStyle w:val="105"/>
              <w:widowControl w:val="0"/>
              <w:jc w:val="center"/>
            </w:pPr>
            <w:r>
              <w:t>40</w:t>
            </w:r>
          </w:p>
        </w:tc>
        <w:tc>
          <w:tcPr>
            <w:tcW w:w="294" w:type="pct"/>
            <w:tcMar>
              <w:left w:w="57" w:type="dxa"/>
              <w:right w:w="57" w:type="dxa"/>
            </w:tcMar>
            <w:vAlign w:val="center"/>
          </w:tcPr>
          <w:p>
            <w:pPr>
              <w:pStyle w:val="105"/>
              <w:widowControl w:val="0"/>
              <w:jc w:val="center"/>
            </w:pPr>
            <w:r>
              <w:t>50</w:t>
            </w:r>
          </w:p>
        </w:tc>
        <w:tc>
          <w:tcPr>
            <w:tcW w:w="294" w:type="pct"/>
            <w:tcMar>
              <w:left w:w="57" w:type="dxa"/>
              <w:right w:w="57" w:type="dxa"/>
            </w:tcMar>
            <w:vAlign w:val="center"/>
          </w:tcPr>
          <w:p>
            <w:pPr>
              <w:pStyle w:val="105"/>
              <w:widowControl w:val="0"/>
              <w:jc w:val="center"/>
            </w:pPr>
            <w:r>
              <w:t>80</w:t>
            </w:r>
          </w:p>
        </w:tc>
        <w:tc>
          <w:tcPr>
            <w:tcW w:w="294" w:type="pct"/>
            <w:tcMar>
              <w:left w:w="57" w:type="dxa"/>
              <w:right w:w="57" w:type="dxa"/>
            </w:tcMar>
            <w:vAlign w:val="center"/>
          </w:tcPr>
          <w:p>
            <w:pPr>
              <w:pStyle w:val="105"/>
              <w:widowControl w:val="0"/>
              <w:jc w:val="center"/>
            </w:pPr>
            <w:r>
              <w:t>100</w:t>
            </w:r>
          </w:p>
        </w:tc>
        <w:tc>
          <w:tcPr>
            <w:tcW w:w="294" w:type="pct"/>
            <w:tcMar>
              <w:left w:w="57" w:type="dxa"/>
              <w:right w:w="57" w:type="dxa"/>
            </w:tcMar>
            <w:vAlign w:val="center"/>
          </w:tcPr>
          <w:p>
            <w:pPr>
              <w:pStyle w:val="105"/>
              <w:widowControl w:val="0"/>
              <w:jc w:val="center"/>
            </w:pPr>
            <w:r>
              <w:t>150</w:t>
            </w:r>
          </w:p>
        </w:tc>
        <w:tc>
          <w:tcPr>
            <w:tcW w:w="294" w:type="pct"/>
            <w:tcMar>
              <w:left w:w="57" w:type="dxa"/>
              <w:right w:w="57" w:type="dxa"/>
            </w:tcMar>
            <w:vAlign w:val="center"/>
          </w:tcPr>
          <w:p>
            <w:pPr>
              <w:pStyle w:val="105"/>
              <w:widowControl w:val="0"/>
              <w:jc w:val="center"/>
            </w:pPr>
            <w:r>
              <w:t>200</w:t>
            </w:r>
          </w:p>
        </w:tc>
        <w:tc>
          <w:tcPr>
            <w:tcW w:w="294" w:type="pct"/>
            <w:tcMar>
              <w:left w:w="57" w:type="dxa"/>
              <w:right w:w="57" w:type="dxa"/>
            </w:tcMar>
            <w:vAlign w:val="center"/>
          </w:tcPr>
          <w:p>
            <w:pPr>
              <w:pStyle w:val="105"/>
              <w:widowControl w:val="0"/>
              <w:jc w:val="center"/>
            </w:pPr>
            <w:r>
              <w:t>300</w:t>
            </w:r>
          </w:p>
        </w:tc>
        <w:tc>
          <w:tcPr>
            <w:tcW w:w="294" w:type="pct"/>
            <w:tcMar>
              <w:left w:w="57" w:type="dxa"/>
              <w:right w:w="57" w:type="dxa"/>
            </w:tcMar>
            <w:vAlign w:val="center"/>
          </w:tcPr>
          <w:p>
            <w:pPr>
              <w:pStyle w:val="105"/>
              <w:widowControl w:val="0"/>
              <w:jc w:val="center"/>
            </w:pPr>
            <w:r>
              <w:t>400</w:t>
            </w:r>
          </w:p>
        </w:tc>
        <w:tc>
          <w:tcPr>
            <w:tcW w:w="289" w:type="pct"/>
            <w:tcMar>
              <w:left w:w="57" w:type="dxa"/>
              <w:right w:w="57" w:type="dxa"/>
            </w:tcMar>
            <w:vAlign w:val="center"/>
          </w:tcPr>
          <w:p>
            <w:pPr>
              <w:pStyle w:val="105"/>
              <w:widowControl w:val="0"/>
              <w:jc w:val="center"/>
            </w:pPr>
            <w: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压路机/平地机/商砼搅拌车/液压挖掘机/液压岩石劈裂机</w:t>
            </w:r>
          </w:p>
        </w:tc>
        <w:tc>
          <w:tcPr>
            <w:tcW w:w="294" w:type="pct"/>
            <w:tcMar>
              <w:left w:w="57" w:type="dxa"/>
              <w:right w:w="57" w:type="dxa"/>
            </w:tcMar>
            <w:vAlign w:val="center"/>
          </w:tcPr>
          <w:p>
            <w:pPr>
              <w:pStyle w:val="105"/>
              <w:widowControl w:val="0"/>
              <w:jc w:val="center"/>
            </w:pPr>
            <w:r>
              <w:rPr>
                <w:rFonts w:eastAsia="等线" w:cs="Times New Roman"/>
              </w:rPr>
              <w:t>84.0</w:t>
            </w:r>
          </w:p>
        </w:tc>
        <w:tc>
          <w:tcPr>
            <w:tcW w:w="294" w:type="pct"/>
            <w:tcMar>
              <w:left w:w="57" w:type="dxa"/>
              <w:right w:w="57" w:type="dxa"/>
            </w:tcMar>
            <w:vAlign w:val="center"/>
          </w:tcPr>
          <w:p>
            <w:pPr>
              <w:pStyle w:val="105"/>
              <w:widowControl w:val="0"/>
              <w:jc w:val="center"/>
            </w:pPr>
            <w:r>
              <w:rPr>
                <w:rFonts w:eastAsia="等线" w:cs="Times New Roman"/>
              </w:rPr>
              <w:t>78.0</w:t>
            </w:r>
          </w:p>
        </w:tc>
        <w:tc>
          <w:tcPr>
            <w:tcW w:w="294" w:type="pct"/>
            <w:tcMar>
              <w:left w:w="57" w:type="dxa"/>
              <w:right w:w="57" w:type="dxa"/>
            </w:tcMar>
            <w:vAlign w:val="center"/>
          </w:tcPr>
          <w:p>
            <w:pPr>
              <w:pStyle w:val="105"/>
              <w:widowControl w:val="0"/>
              <w:jc w:val="center"/>
            </w:pPr>
            <w:r>
              <w:rPr>
                <w:rFonts w:eastAsia="等线" w:cs="Times New Roman"/>
              </w:rPr>
              <w:t>74.4</w:t>
            </w:r>
          </w:p>
        </w:tc>
        <w:tc>
          <w:tcPr>
            <w:tcW w:w="294" w:type="pct"/>
            <w:tcMar>
              <w:left w:w="57" w:type="dxa"/>
              <w:right w:w="57" w:type="dxa"/>
            </w:tcMar>
            <w:vAlign w:val="center"/>
          </w:tcPr>
          <w:p>
            <w:pPr>
              <w:pStyle w:val="105"/>
              <w:widowControl w:val="0"/>
              <w:jc w:val="center"/>
            </w:pPr>
            <w:r>
              <w:rPr>
                <w:rFonts w:eastAsia="等线" w:cs="Times New Roman"/>
              </w:rPr>
              <w:t>71.9</w:t>
            </w:r>
          </w:p>
        </w:tc>
        <w:tc>
          <w:tcPr>
            <w:tcW w:w="294" w:type="pct"/>
            <w:tcMar>
              <w:left w:w="57" w:type="dxa"/>
              <w:right w:w="57" w:type="dxa"/>
            </w:tcMar>
            <w:vAlign w:val="center"/>
          </w:tcPr>
          <w:p>
            <w:pPr>
              <w:pStyle w:val="105"/>
              <w:widowControl w:val="0"/>
              <w:jc w:val="center"/>
            </w:pPr>
            <w:r>
              <w:rPr>
                <w:rFonts w:eastAsia="等线" w:cs="Times New Roman"/>
              </w:rPr>
              <w:t>70.0</w:t>
            </w:r>
          </w:p>
        </w:tc>
        <w:tc>
          <w:tcPr>
            <w:tcW w:w="294" w:type="pct"/>
            <w:tcMar>
              <w:left w:w="57" w:type="dxa"/>
              <w:right w:w="57" w:type="dxa"/>
            </w:tcMar>
            <w:vAlign w:val="center"/>
          </w:tcPr>
          <w:p>
            <w:pPr>
              <w:pStyle w:val="105"/>
              <w:widowControl w:val="0"/>
              <w:jc w:val="center"/>
            </w:pPr>
            <w:r>
              <w:rPr>
                <w:rFonts w:eastAsia="等线" w:cs="Times New Roman"/>
              </w:rPr>
              <w:t>65.9</w:t>
            </w:r>
          </w:p>
        </w:tc>
        <w:tc>
          <w:tcPr>
            <w:tcW w:w="294" w:type="pct"/>
            <w:tcMar>
              <w:left w:w="57" w:type="dxa"/>
              <w:right w:w="57" w:type="dxa"/>
            </w:tcMar>
            <w:vAlign w:val="center"/>
          </w:tcPr>
          <w:p>
            <w:pPr>
              <w:pStyle w:val="105"/>
              <w:widowControl w:val="0"/>
              <w:jc w:val="center"/>
            </w:pPr>
            <w:r>
              <w:rPr>
                <w:rFonts w:eastAsia="等线" w:cs="Times New Roman"/>
              </w:rPr>
              <w:t>64.0</w:t>
            </w:r>
          </w:p>
        </w:tc>
        <w:tc>
          <w:tcPr>
            <w:tcW w:w="294" w:type="pct"/>
            <w:tcMar>
              <w:left w:w="57" w:type="dxa"/>
              <w:right w:w="57" w:type="dxa"/>
            </w:tcMar>
            <w:vAlign w:val="center"/>
          </w:tcPr>
          <w:p>
            <w:pPr>
              <w:pStyle w:val="105"/>
              <w:widowControl w:val="0"/>
              <w:jc w:val="center"/>
            </w:pPr>
            <w:r>
              <w:rPr>
                <w:rFonts w:eastAsia="等线" w:cs="Times New Roman"/>
              </w:rPr>
              <w:t>60.5</w:t>
            </w:r>
          </w:p>
        </w:tc>
        <w:tc>
          <w:tcPr>
            <w:tcW w:w="294" w:type="pct"/>
            <w:tcMar>
              <w:left w:w="57" w:type="dxa"/>
              <w:right w:w="57" w:type="dxa"/>
            </w:tcMar>
            <w:vAlign w:val="center"/>
          </w:tcPr>
          <w:p>
            <w:pPr>
              <w:pStyle w:val="105"/>
              <w:widowControl w:val="0"/>
              <w:jc w:val="center"/>
            </w:pPr>
            <w:r>
              <w:rPr>
                <w:rFonts w:eastAsia="等线" w:cs="Times New Roman"/>
              </w:rPr>
              <w:t>58.0</w:t>
            </w:r>
          </w:p>
        </w:tc>
        <w:tc>
          <w:tcPr>
            <w:tcW w:w="294" w:type="pct"/>
            <w:tcMar>
              <w:left w:w="57" w:type="dxa"/>
              <w:right w:w="57" w:type="dxa"/>
            </w:tcMar>
            <w:vAlign w:val="center"/>
          </w:tcPr>
          <w:p>
            <w:pPr>
              <w:pStyle w:val="105"/>
              <w:widowControl w:val="0"/>
              <w:jc w:val="center"/>
            </w:pPr>
            <w:r>
              <w:rPr>
                <w:rFonts w:eastAsia="等线" w:cs="Times New Roman"/>
              </w:rPr>
              <w:t>54.4</w:t>
            </w:r>
          </w:p>
        </w:tc>
        <w:tc>
          <w:tcPr>
            <w:tcW w:w="294" w:type="pct"/>
            <w:tcMar>
              <w:left w:w="57" w:type="dxa"/>
              <w:right w:w="57" w:type="dxa"/>
            </w:tcMar>
            <w:vAlign w:val="center"/>
          </w:tcPr>
          <w:p>
            <w:pPr>
              <w:pStyle w:val="105"/>
              <w:widowControl w:val="0"/>
              <w:jc w:val="center"/>
            </w:pPr>
            <w:r>
              <w:rPr>
                <w:rFonts w:eastAsia="等线" w:cs="Times New Roman"/>
              </w:rPr>
              <w:t>51.9</w:t>
            </w:r>
          </w:p>
        </w:tc>
        <w:tc>
          <w:tcPr>
            <w:tcW w:w="289" w:type="pct"/>
            <w:tcMar>
              <w:left w:w="57" w:type="dxa"/>
              <w:right w:w="57" w:type="dxa"/>
            </w:tcMar>
            <w:vAlign w:val="center"/>
          </w:tcPr>
          <w:p>
            <w:pPr>
              <w:pStyle w:val="105"/>
              <w:widowControl w:val="0"/>
              <w:jc w:val="center"/>
            </w:pPr>
            <w:r>
              <w:rPr>
                <w:rFonts w:eastAsia="等线" w:cs="Times New Roman"/>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推土机/混凝土振捣器</w:t>
            </w:r>
          </w:p>
        </w:tc>
        <w:tc>
          <w:tcPr>
            <w:tcW w:w="294" w:type="pct"/>
            <w:tcMar>
              <w:left w:w="57" w:type="dxa"/>
              <w:right w:w="57" w:type="dxa"/>
            </w:tcMar>
            <w:vAlign w:val="center"/>
          </w:tcPr>
          <w:p>
            <w:pPr>
              <w:pStyle w:val="105"/>
              <w:widowControl w:val="0"/>
              <w:jc w:val="center"/>
            </w:pPr>
            <w:r>
              <w:rPr>
                <w:rFonts w:eastAsia="等线" w:cs="Times New Roman"/>
              </w:rPr>
              <w:t>82.0</w:t>
            </w:r>
          </w:p>
        </w:tc>
        <w:tc>
          <w:tcPr>
            <w:tcW w:w="294" w:type="pct"/>
            <w:tcMar>
              <w:left w:w="57" w:type="dxa"/>
              <w:right w:w="57" w:type="dxa"/>
            </w:tcMar>
            <w:vAlign w:val="center"/>
          </w:tcPr>
          <w:p>
            <w:pPr>
              <w:pStyle w:val="105"/>
              <w:widowControl w:val="0"/>
              <w:jc w:val="center"/>
            </w:pPr>
            <w:r>
              <w:rPr>
                <w:rFonts w:eastAsia="等线" w:cs="Times New Roman"/>
              </w:rPr>
              <w:t>76.0</w:t>
            </w:r>
          </w:p>
        </w:tc>
        <w:tc>
          <w:tcPr>
            <w:tcW w:w="294" w:type="pct"/>
            <w:tcMar>
              <w:left w:w="57" w:type="dxa"/>
              <w:right w:w="57" w:type="dxa"/>
            </w:tcMar>
            <w:vAlign w:val="center"/>
          </w:tcPr>
          <w:p>
            <w:pPr>
              <w:pStyle w:val="105"/>
              <w:widowControl w:val="0"/>
              <w:jc w:val="center"/>
            </w:pPr>
            <w:r>
              <w:rPr>
                <w:rFonts w:eastAsia="等线" w:cs="Times New Roman"/>
              </w:rPr>
              <w:t>72.4</w:t>
            </w:r>
          </w:p>
        </w:tc>
        <w:tc>
          <w:tcPr>
            <w:tcW w:w="294" w:type="pct"/>
            <w:tcMar>
              <w:left w:w="57" w:type="dxa"/>
              <w:right w:w="57" w:type="dxa"/>
            </w:tcMar>
            <w:vAlign w:val="center"/>
          </w:tcPr>
          <w:p>
            <w:pPr>
              <w:pStyle w:val="105"/>
              <w:widowControl w:val="0"/>
              <w:jc w:val="center"/>
            </w:pPr>
            <w:r>
              <w:rPr>
                <w:rFonts w:eastAsia="等线" w:cs="Times New Roman"/>
              </w:rPr>
              <w:t>69.9</w:t>
            </w:r>
          </w:p>
        </w:tc>
        <w:tc>
          <w:tcPr>
            <w:tcW w:w="294" w:type="pct"/>
            <w:tcMar>
              <w:left w:w="57" w:type="dxa"/>
              <w:right w:w="57" w:type="dxa"/>
            </w:tcMar>
            <w:vAlign w:val="center"/>
          </w:tcPr>
          <w:p>
            <w:pPr>
              <w:pStyle w:val="105"/>
              <w:widowControl w:val="0"/>
              <w:jc w:val="center"/>
            </w:pPr>
            <w:r>
              <w:rPr>
                <w:rFonts w:eastAsia="等线" w:cs="Times New Roman"/>
              </w:rPr>
              <w:t>68.0</w:t>
            </w:r>
          </w:p>
        </w:tc>
        <w:tc>
          <w:tcPr>
            <w:tcW w:w="294" w:type="pct"/>
            <w:tcMar>
              <w:left w:w="57" w:type="dxa"/>
              <w:right w:w="57" w:type="dxa"/>
            </w:tcMar>
            <w:vAlign w:val="center"/>
          </w:tcPr>
          <w:p>
            <w:pPr>
              <w:pStyle w:val="105"/>
              <w:widowControl w:val="0"/>
              <w:jc w:val="center"/>
            </w:pPr>
            <w:r>
              <w:rPr>
                <w:rFonts w:eastAsia="等线" w:cs="Times New Roman"/>
              </w:rPr>
              <w:t>63.9</w:t>
            </w:r>
          </w:p>
        </w:tc>
        <w:tc>
          <w:tcPr>
            <w:tcW w:w="294" w:type="pct"/>
            <w:tcMar>
              <w:left w:w="57" w:type="dxa"/>
              <w:right w:w="57" w:type="dxa"/>
            </w:tcMar>
            <w:vAlign w:val="center"/>
          </w:tcPr>
          <w:p>
            <w:pPr>
              <w:pStyle w:val="105"/>
              <w:widowControl w:val="0"/>
              <w:jc w:val="center"/>
            </w:pPr>
            <w:r>
              <w:rPr>
                <w:rFonts w:eastAsia="等线" w:cs="Times New Roman"/>
              </w:rPr>
              <w:t>62.0</w:t>
            </w:r>
          </w:p>
        </w:tc>
        <w:tc>
          <w:tcPr>
            <w:tcW w:w="294" w:type="pct"/>
            <w:tcMar>
              <w:left w:w="57" w:type="dxa"/>
              <w:right w:w="57" w:type="dxa"/>
            </w:tcMar>
            <w:vAlign w:val="center"/>
          </w:tcPr>
          <w:p>
            <w:pPr>
              <w:pStyle w:val="105"/>
              <w:widowControl w:val="0"/>
              <w:jc w:val="center"/>
            </w:pPr>
            <w:r>
              <w:rPr>
                <w:rFonts w:eastAsia="等线" w:cs="Times New Roman"/>
              </w:rPr>
              <w:t>58.5</w:t>
            </w:r>
          </w:p>
        </w:tc>
        <w:tc>
          <w:tcPr>
            <w:tcW w:w="294" w:type="pct"/>
            <w:tcMar>
              <w:left w:w="57" w:type="dxa"/>
              <w:right w:w="57" w:type="dxa"/>
            </w:tcMar>
            <w:vAlign w:val="center"/>
          </w:tcPr>
          <w:p>
            <w:pPr>
              <w:pStyle w:val="105"/>
              <w:widowControl w:val="0"/>
              <w:jc w:val="center"/>
            </w:pPr>
            <w:r>
              <w:rPr>
                <w:rFonts w:eastAsia="等线" w:cs="Times New Roman"/>
              </w:rPr>
              <w:t>56.0</w:t>
            </w:r>
          </w:p>
        </w:tc>
        <w:tc>
          <w:tcPr>
            <w:tcW w:w="294" w:type="pct"/>
            <w:tcMar>
              <w:left w:w="57" w:type="dxa"/>
              <w:right w:w="57" w:type="dxa"/>
            </w:tcMar>
            <w:vAlign w:val="center"/>
          </w:tcPr>
          <w:p>
            <w:pPr>
              <w:pStyle w:val="105"/>
              <w:widowControl w:val="0"/>
              <w:jc w:val="center"/>
            </w:pPr>
            <w:r>
              <w:rPr>
                <w:rFonts w:eastAsia="等线" w:cs="Times New Roman"/>
              </w:rPr>
              <w:t>52.4</w:t>
            </w:r>
          </w:p>
        </w:tc>
        <w:tc>
          <w:tcPr>
            <w:tcW w:w="294" w:type="pct"/>
            <w:tcMar>
              <w:left w:w="57" w:type="dxa"/>
              <w:right w:w="57" w:type="dxa"/>
            </w:tcMar>
            <w:vAlign w:val="center"/>
          </w:tcPr>
          <w:p>
            <w:pPr>
              <w:pStyle w:val="105"/>
              <w:widowControl w:val="0"/>
              <w:jc w:val="center"/>
            </w:pPr>
            <w:r>
              <w:rPr>
                <w:rFonts w:eastAsia="等线" w:cs="Times New Roman"/>
              </w:rPr>
              <w:t>49.9</w:t>
            </w:r>
          </w:p>
        </w:tc>
        <w:tc>
          <w:tcPr>
            <w:tcW w:w="289" w:type="pct"/>
            <w:tcMar>
              <w:left w:w="57" w:type="dxa"/>
              <w:right w:w="57" w:type="dxa"/>
            </w:tcMar>
            <w:vAlign w:val="center"/>
          </w:tcPr>
          <w:p>
            <w:pPr>
              <w:pStyle w:val="105"/>
              <w:widowControl w:val="0"/>
              <w:jc w:val="center"/>
            </w:pPr>
            <w:r>
              <w:rPr>
                <w:rFonts w:eastAsia="等线" w:cs="Times New Roman"/>
              </w:rPr>
              <w:t>48.0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移动式发电机</w:t>
            </w:r>
          </w:p>
        </w:tc>
        <w:tc>
          <w:tcPr>
            <w:tcW w:w="294" w:type="pct"/>
            <w:tcMar>
              <w:left w:w="57" w:type="dxa"/>
              <w:right w:w="57" w:type="dxa"/>
            </w:tcMar>
            <w:vAlign w:val="center"/>
          </w:tcPr>
          <w:p>
            <w:pPr>
              <w:pStyle w:val="105"/>
              <w:widowControl w:val="0"/>
              <w:jc w:val="center"/>
            </w:pPr>
            <w:r>
              <w:rPr>
                <w:rFonts w:eastAsia="等线" w:cs="Times New Roman"/>
              </w:rPr>
              <w:t>96.0</w:t>
            </w:r>
          </w:p>
        </w:tc>
        <w:tc>
          <w:tcPr>
            <w:tcW w:w="294" w:type="pct"/>
            <w:tcMar>
              <w:left w:w="57" w:type="dxa"/>
              <w:right w:w="57" w:type="dxa"/>
            </w:tcMar>
            <w:vAlign w:val="center"/>
          </w:tcPr>
          <w:p>
            <w:pPr>
              <w:pStyle w:val="105"/>
              <w:widowControl w:val="0"/>
              <w:jc w:val="center"/>
            </w:pPr>
            <w:r>
              <w:rPr>
                <w:rFonts w:eastAsia="等线" w:cs="Times New Roman"/>
              </w:rPr>
              <w:t>90.0</w:t>
            </w:r>
          </w:p>
        </w:tc>
        <w:tc>
          <w:tcPr>
            <w:tcW w:w="294" w:type="pct"/>
            <w:tcMar>
              <w:left w:w="57" w:type="dxa"/>
              <w:right w:w="57" w:type="dxa"/>
            </w:tcMar>
            <w:vAlign w:val="center"/>
          </w:tcPr>
          <w:p>
            <w:pPr>
              <w:pStyle w:val="105"/>
              <w:widowControl w:val="0"/>
              <w:jc w:val="center"/>
            </w:pPr>
            <w:r>
              <w:rPr>
                <w:rFonts w:eastAsia="等线" w:cs="Times New Roman"/>
              </w:rPr>
              <w:t>86.4</w:t>
            </w:r>
          </w:p>
        </w:tc>
        <w:tc>
          <w:tcPr>
            <w:tcW w:w="294" w:type="pct"/>
            <w:tcMar>
              <w:left w:w="57" w:type="dxa"/>
              <w:right w:w="57" w:type="dxa"/>
            </w:tcMar>
            <w:vAlign w:val="center"/>
          </w:tcPr>
          <w:p>
            <w:pPr>
              <w:pStyle w:val="105"/>
              <w:widowControl w:val="0"/>
              <w:jc w:val="center"/>
            </w:pPr>
            <w:r>
              <w:rPr>
                <w:rFonts w:eastAsia="等线" w:cs="Times New Roman"/>
              </w:rPr>
              <w:t>83.9</w:t>
            </w:r>
          </w:p>
        </w:tc>
        <w:tc>
          <w:tcPr>
            <w:tcW w:w="294" w:type="pct"/>
            <w:tcMar>
              <w:left w:w="57" w:type="dxa"/>
              <w:right w:w="57" w:type="dxa"/>
            </w:tcMar>
            <w:vAlign w:val="center"/>
          </w:tcPr>
          <w:p>
            <w:pPr>
              <w:pStyle w:val="105"/>
              <w:widowControl w:val="0"/>
              <w:jc w:val="center"/>
            </w:pPr>
            <w:r>
              <w:rPr>
                <w:rFonts w:eastAsia="等线" w:cs="Times New Roman"/>
              </w:rPr>
              <w:t>82.0</w:t>
            </w:r>
          </w:p>
        </w:tc>
        <w:tc>
          <w:tcPr>
            <w:tcW w:w="294" w:type="pct"/>
            <w:tcMar>
              <w:left w:w="57" w:type="dxa"/>
              <w:right w:w="57" w:type="dxa"/>
            </w:tcMar>
            <w:vAlign w:val="center"/>
          </w:tcPr>
          <w:p>
            <w:pPr>
              <w:pStyle w:val="105"/>
              <w:widowControl w:val="0"/>
              <w:jc w:val="center"/>
            </w:pPr>
            <w:r>
              <w:rPr>
                <w:rFonts w:eastAsia="等线" w:cs="Times New Roman"/>
              </w:rPr>
              <w:t>77.9</w:t>
            </w:r>
          </w:p>
        </w:tc>
        <w:tc>
          <w:tcPr>
            <w:tcW w:w="294" w:type="pct"/>
            <w:tcMar>
              <w:left w:w="57" w:type="dxa"/>
              <w:right w:w="57" w:type="dxa"/>
            </w:tcMar>
            <w:vAlign w:val="center"/>
          </w:tcPr>
          <w:p>
            <w:pPr>
              <w:pStyle w:val="105"/>
              <w:widowControl w:val="0"/>
              <w:jc w:val="center"/>
            </w:pPr>
            <w:r>
              <w:rPr>
                <w:rFonts w:eastAsia="等线" w:cs="Times New Roman"/>
              </w:rPr>
              <w:t>76.0</w:t>
            </w:r>
          </w:p>
        </w:tc>
        <w:tc>
          <w:tcPr>
            <w:tcW w:w="294" w:type="pct"/>
            <w:tcMar>
              <w:left w:w="57" w:type="dxa"/>
              <w:right w:w="57" w:type="dxa"/>
            </w:tcMar>
            <w:vAlign w:val="center"/>
          </w:tcPr>
          <w:p>
            <w:pPr>
              <w:pStyle w:val="105"/>
              <w:widowControl w:val="0"/>
              <w:jc w:val="center"/>
            </w:pPr>
            <w:r>
              <w:rPr>
                <w:rFonts w:eastAsia="等线" w:cs="Times New Roman"/>
              </w:rPr>
              <w:t>72.5</w:t>
            </w:r>
          </w:p>
        </w:tc>
        <w:tc>
          <w:tcPr>
            <w:tcW w:w="294" w:type="pct"/>
            <w:tcMar>
              <w:left w:w="57" w:type="dxa"/>
              <w:right w:w="57" w:type="dxa"/>
            </w:tcMar>
            <w:vAlign w:val="center"/>
          </w:tcPr>
          <w:p>
            <w:pPr>
              <w:pStyle w:val="105"/>
              <w:widowControl w:val="0"/>
              <w:jc w:val="center"/>
            </w:pPr>
            <w:r>
              <w:rPr>
                <w:rFonts w:eastAsia="等线" w:cs="Times New Roman"/>
              </w:rPr>
              <w:t>70.0</w:t>
            </w:r>
          </w:p>
        </w:tc>
        <w:tc>
          <w:tcPr>
            <w:tcW w:w="294" w:type="pct"/>
            <w:tcMar>
              <w:left w:w="57" w:type="dxa"/>
              <w:right w:w="57" w:type="dxa"/>
            </w:tcMar>
            <w:vAlign w:val="center"/>
          </w:tcPr>
          <w:p>
            <w:pPr>
              <w:pStyle w:val="105"/>
              <w:widowControl w:val="0"/>
              <w:jc w:val="center"/>
            </w:pPr>
            <w:r>
              <w:rPr>
                <w:rFonts w:eastAsia="等线" w:cs="Times New Roman"/>
              </w:rPr>
              <w:t>66.4</w:t>
            </w:r>
          </w:p>
        </w:tc>
        <w:tc>
          <w:tcPr>
            <w:tcW w:w="294" w:type="pct"/>
            <w:tcMar>
              <w:left w:w="57" w:type="dxa"/>
              <w:right w:w="57" w:type="dxa"/>
            </w:tcMar>
            <w:vAlign w:val="center"/>
          </w:tcPr>
          <w:p>
            <w:pPr>
              <w:pStyle w:val="105"/>
              <w:widowControl w:val="0"/>
              <w:jc w:val="center"/>
            </w:pPr>
            <w:r>
              <w:rPr>
                <w:rFonts w:eastAsia="等线" w:cs="Times New Roman"/>
              </w:rPr>
              <w:t>63.9</w:t>
            </w:r>
          </w:p>
        </w:tc>
        <w:tc>
          <w:tcPr>
            <w:tcW w:w="289" w:type="pct"/>
            <w:tcMar>
              <w:left w:w="57" w:type="dxa"/>
              <w:right w:w="57" w:type="dxa"/>
            </w:tcMar>
            <w:vAlign w:val="center"/>
          </w:tcPr>
          <w:p>
            <w:pPr>
              <w:pStyle w:val="105"/>
              <w:widowControl w:val="0"/>
              <w:jc w:val="center"/>
            </w:pPr>
            <w:r>
              <w:rPr>
                <w:rFonts w:eastAsia="等线" w:cs="Times New Roman"/>
              </w:rPr>
              <w:t>62.0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振动夯锤</w:t>
            </w:r>
          </w:p>
        </w:tc>
        <w:tc>
          <w:tcPr>
            <w:tcW w:w="294" w:type="pct"/>
            <w:tcMar>
              <w:left w:w="57" w:type="dxa"/>
              <w:right w:w="57" w:type="dxa"/>
            </w:tcMar>
            <w:vAlign w:val="center"/>
          </w:tcPr>
          <w:p>
            <w:pPr>
              <w:pStyle w:val="105"/>
              <w:widowControl w:val="0"/>
              <w:jc w:val="center"/>
            </w:pPr>
            <w:r>
              <w:rPr>
                <w:rFonts w:eastAsia="等线" w:cs="Times New Roman"/>
              </w:rPr>
              <w:t>94.0</w:t>
            </w:r>
          </w:p>
        </w:tc>
        <w:tc>
          <w:tcPr>
            <w:tcW w:w="294" w:type="pct"/>
            <w:tcMar>
              <w:left w:w="57" w:type="dxa"/>
              <w:right w:w="57" w:type="dxa"/>
            </w:tcMar>
            <w:vAlign w:val="center"/>
          </w:tcPr>
          <w:p>
            <w:pPr>
              <w:pStyle w:val="105"/>
              <w:widowControl w:val="0"/>
              <w:jc w:val="center"/>
            </w:pPr>
            <w:r>
              <w:rPr>
                <w:rFonts w:eastAsia="等线" w:cs="Times New Roman"/>
              </w:rPr>
              <w:t>88.0</w:t>
            </w:r>
          </w:p>
        </w:tc>
        <w:tc>
          <w:tcPr>
            <w:tcW w:w="294" w:type="pct"/>
            <w:tcMar>
              <w:left w:w="57" w:type="dxa"/>
              <w:right w:w="57" w:type="dxa"/>
            </w:tcMar>
            <w:vAlign w:val="center"/>
          </w:tcPr>
          <w:p>
            <w:pPr>
              <w:pStyle w:val="105"/>
              <w:widowControl w:val="0"/>
              <w:jc w:val="center"/>
            </w:pPr>
            <w:r>
              <w:rPr>
                <w:rFonts w:eastAsia="等线" w:cs="Times New Roman"/>
              </w:rPr>
              <w:t>84.4</w:t>
            </w:r>
          </w:p>
        </w:tc>
        <w:tc>
          <w:tcPr>
            <w:tcW w:w="294" w:type="pct"/>
            <w:tcMar>
              <w:left w:w="57" w:type="dxa"/>
              <w:right w:w="57" w:type="dxa"/>
            </w:tcMar>
            <w:vAlign w:val="center"/>
          </w:tcPr>
          <w:p>
            <w:pPr>
              <w:pStyle w:val="105"/>
              <w:widowControl w:val="0"/>
              <w:jc w:val="center"/>
            </w:pPr>
            <w:r>
              <w:rPr>
                <w:rFonts w:eastAsia="等线" w:cs="Times New Roman"/>
              </w:rPr>
              <w:t>81.9</w:t>
            </w:r>
          </w:p>
        </w:tc>
        <w:tc>
          <w:tcPr>
            <w:tcW w:w="294" w:type="pct"/>
            <w:tcMar>
              <w:left w:w="57" w:type="dxa"/>
              <w:right w:w="57" w:type="dxa"/>
            </w:tcMar>
            <w:vAlign w:val="center"/>
          </w:tcPr>
          <w:p>
            <w:pPr>
              <w:pStyle w:val="105"/>
              <w:widowControl w:val="0"/>
              <w:jc w:val="center"/>
            </w:pPr>
            <w:r>
              <w:rPr>
                <w:rFonts w:eastAsia="等线" w:cs="Times New Roman"/>
              </w:rPr>
              <w:t>80.0</w:t>
            </w:r>
          </w:p>
        </w:tc>
        <w:tc>
          <w:tcPr>
            <w:tcW w:w="294" w:type="pct"/>
            <w:tcMar>
              <w:left w:w="57" w:type="dxa"/>
              <w:right w:w="57" w:type="dxa"/>
            </w:tcMar>
            <w:vAlign w:val="center"/>
          </w:tcPr>
          <w:p>
            <w:pPr>
              <w:pStyle w:val="105"/>
              <w:widowControl w:val="0"/>
              <w:jc w:val="center"/>
            </w:pPr>
            <w:r>
              <w:rPr>
                <w:rFonts w:eastAsia="等线" w:cs="Times New Roman"/>
              </w:rPr>
              <w:t>75.9</w:t>
            </w:r>
          </w:p>
        </w:tc>
        <w:tc>
          <w:tcPr>
            <w:tcW w:w="294" w:type="pct"/>
            <w:tcMar>
              <w:left w:w="57" w:type="dxa"/>
              <w:right w:w="57" w:type="dxa"/>
            </w:tcMar>
            <w:vAlign w:val="center"/>
          </w:tcPr>
          <w:p>
            <w:pPr>
              <w:pStyle w:val="105"/>
              <w:widowControl w:val="0"/>
              <w:jc w:val="center"/>
            </w:pPr>
            <w:r>
              <w:rPr>
                <w:rFonts w:eastAsia="等线" w:cs="Times New Roman"/>
              </w:rPr>
              <w:t>74.0</w:t>
            </w:r>
          </w:p>
        </w:tc>
        <w:tc>
          <w:tcPr>
            <w:tcW w:w="294" w:type="pct"/>
            <w:tcMar>
              <w:left w:w="57" w:type="dxa"/>
              <w:right w:w="57" w:type="dxa"/>
            </w:tcMar>
            <w:vAlign w:val="center"/>
          </w:tcPr>
          <w:p>
            <w:pPr>
              <w:pStyle w:val="105"/>
              <w:widowControl w:val="0"/>
              <w:jc w:val="center"/>
            </w:pPr>
            <w:r>
              <w:rPr>
                <w:rFonts w:eastAsia="等线" w:cs="Times New Roman"/>
              </w:rPr>
              <w:t>70.5</w:t>
            </w:r>
          </w:p>
        </w:tc>
        <w:tc>
          <w:tcPr>
            <w:tcW w:w="294" w:type="pct"/>
            <w:tcMar>
              <w:left w:w="57" w:type="dxa"/>
              <w:right w:w="57" w:type="dxa"/>
            </w:tcMar>
            <w:vAlign w:val="center"/>
          </w:tcPr>
          <w:p>
            <w:pPr>
              <w:pStyle w:val="105"/>
              <w:widowControl w:val="0"/>
              <w:jc w:val="center"/>
            </w:pPr>
            <w:r>
              <w:rPr>
                <w:rFonts w:eastAsia="等线" w:cs="Times New Roman"/>
              </w:rPr>
              <w:t>68.0</w:t>
            </w:r>
          </w:p>
        </w:tc>
        <w:tc>
          <w:tcPr>
            <w:tcW w:w="294" w:type="pct"/>
            <w:tcMar>
              <w:left w:w="57" w:type="dxa"/>
              <w:right w:w="57" w:type="dxa"/>
            </w:tcMar>
            <w:vAlign w:val="center"/>
          </w:tcPr>
          <w:p>
            <w:pPr>
              <w:pStyle w:val="105"/>
              <w:widowControl w:val="0"/>
              <w:jc w:val="center"/>
            </w:pPr>
            <w:r>
              <w:rPr>
                <w:rFonts w:eastAsia="等线" w:cs="Times New Roman"/>
              </w:rPr>
              <w:t>64.4</w:t>
            </w:r>
          </w:p>
        </w:tc>
        <w:tc>
          <w:tcPr>
            <w:tcW w:w="294" w:type="pct"/>
            <w:tcMar>
              <w:left w:w="57" w:type="dxa"/>
              <w:right w:w="57" w:type="dxa"/>
            </w:tcMar>
            <w:vAlign w:val="center"/>
          </w:tcPr>
          <w:p>
            <w:pPr>
              <w:pStyle w:val="105"/>
              <w:widowControl w:val="0"/>
              <w:jc w:val="center"/>
            </w:pPr>
            <w:r>
              <w:rPr>
                <w:rFonts w:eastAsia="等线" w:cs="Times New Roman"/>
              </w:rPr>
              <w:t>61.9</w:t>
            </w:r>
          </w:p>
        </w:tc>
        <w:tc>
          <w:tcPr>
            <w:tcW w:w="289" w:type="pct"/>
            <w:tcMar>
              <w:left w:w="57" w:type="dxa"/>
              <w:right w:w="57" w:type="dxa"/>
            </w:tcMar>
            <w:vAlign w:val="center"/>
          </w:tcPr>
          <w:p>
            <w:pPr>
              <w:pStyle w:val="105"/>
              <w:widowControl w:val="0"/>
              <w:jc w:val="center"/>
            </w:pPr>
            <w:r>
              <w:rPr>
                <w:rFonts w:eastAsia="等线" w:cs="Times New Roman"/>
              </w:rPr>
              <w:t>60.0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风镐</w:t>
            </w:r>
          </w:p>
        </w:tc>
        <w:tc>
          <w:tcPr>
            <w:tcW w:w="294" w:type="pct"/>
            <w:tcMar>
              <w:left w:w="57" w:type="dxa"/>
              <w:right w:w="57" w:type="dxa"/>
            </w:tcMar>
            <w:vAlign w:val="center"/>
          </w:tcPr>
          <w:p>
            <w:pPr>
              <w:pStyle w:val="105"/>
              <w:widowControl w:val="0"/>
              <w:jc w:val="center"/>
            </w:pPr>
            <w:r>
              <w:rPr>
                <w:rFonts w:eastAsia="等线" w:cs="Times New Roman"/>
              </w:rPr>
              <w:t>86.0</w:t>
            </w:r>
          </w:p>
        </w:tc>
        <w:tc>
          <w:tcPr>
            <w:tcW w:w="294" w:type="pct"/>
            <w:tcMar>
              <w:left w:w="57" w:type="dxa"/>
              <w:right w:w="57" w:type="dxa"/>
            </w:tcMar>
            <w:vAlign w:val="center"/>
          </w:tcPr>
          <w:p>
            <w:pPr>
              <w:pStyle w:val="105"/>
              <w:widowControl w:val="0"/>
              <w:jc w:val="center"/>
            </w:pPr>
            <w:r>
              <w:rPr>
                <w:rFonts w:eastAsia="等线" w:cs="Times New Roman"/>
              </w:rPr>
              <w:t>80.0</w:t>
            </w:r>
          </w:p>
        </w:tc>
        <w:tc>
          <w:tcPr>
            <w:tcW w:w="294" w:type="pct"/>
            <w:tcMar>
              <w:left w:w="57" w:type="dxa"/>
              <w:right w:w="57" w:type="dxa"/>
            </w:tcMar>
            <w:vAlign w:val="center"/>
          </w:tcPr>
          <w:p>
            <w:pPr>
              <w:pStyle w:val="105"/>
              <w:widowControl w:val="0"/>
              <w:jc w:val="center"/>
            </w:pPr>
            <w:r>
              <w:rPr>
                <w:rFonts w:eastAsia="等线" w:cs="Times New Roman"/>
              </w:rPr>
              <w:t>76.4</w:t>
            </w:r>
          </w:p>
        </w:tc>
        <w:tc>
          <w:tcPr>
            <w:tcW w:w="294" w:type="pct"/>
            <w:tcMar>
              <w:left w:w="57" w:type="dxa"/>
              <w:right w:w="57" w:type="dxa"/>
            </w:tcMar>
            <w:vAlign w:val="center"/>
          </w:tcPr>
          <w:p>
            <w:pPr>
              <w:pStyle w:val="105"/>
              <w:widowControl w:val="0"/>
              <w:jc w:val="center"/>
            </w:pPr>
            <w:r>
              <w:rPr>
                <w:rFonts w:eastAsia="等线" w:cs="Times New Roman"/>
              </w:rPr>
              <w:t>73.9</w:t>
            </w:r>
          </w:p>
        </w:tc>
        <w:tc>
          <w:tcPr>
            <w:tcW w:w="294" w:type="pct"/>
            <w:tcMar>
              <w:left w:w="57" w:type="dxa"/>
              <w:right w:w="57" w:type="dxa"/>
            </w:tcMar>
            <w:vAlign w:val="center"/>
          </w:tcPr>
          <w:p>
            <w:pPr>
              <w:pStyle w:val="105"/>
              <w:widowControl w:val="0"/>
              <w:jc w:val="center"/>
            </w:pPr>
            <w:r>
              <w:rPr>
                <w:rFonts w:eastAsia="等线" w:cs="Times New Roman"/>
              </w:rPr>
              <w:t>72.0</w:t>
            </w:r>
          </w:p>
        </w:tc>
        <w:tc>
          <w:tcPr>
            <w:tcW w:w="294" w:type="pct"/>
            <w:tcMar>
              <w:left w:w="57" w:type="dxa"/>
              <w:right w:w="57" w:type="dxa"/>
            </w:tcMar>
            <w:vAlign w:val="center"/>
          </w:tcPr>
          <w:p>
            <w:pPr>
              <w:pStyle w:val="105"/>
              <w:widowControl w:val="0"/>
              <w:jc w:val="center"/>
            </w:pPr>
            <w:r>
              <w:rPr>
                <w:rFonts w:eastAsia="等线" w:cs="Times New Roman"/>
              </w:rPr>
              <w:t>67.9</w:t>
            </w:r>
          </w:p>
        </w:tc>
        <w:tc>
          <w:tcPr>
            <w:tcW w:w="294" w:type="pct"/>
            <w:tcMar>
              <w:left w:w="57" w:type="dxa"/>
              <w:right w:w="57" w:type="dxa"/>
            </w:tcMar>
            <w:vAlign w:val="center"/>
          </w:tcPr>
          <w:p>
            <w:pPr>
              <w:pStyle w:val="105"/>
              <w:widowControl w:val="0"/>
              <w:jc w:val="center"/>
            </w:pPr>
            <w:r>
              <w:rPr>
                <w:rFonts w:eastAsia="等线" w:cs="Times New Roman"/>
              </w:rPr>
              <w:t>66.0</w:t>
            </w:r>
          </w:p>
        </w:tc>
        <w:tc>
          <w:tcPr>
            <w:tcW w:w="294" w:type="pct"/>
            <w:tcMar>
              <w:left w:w="57" w:type="dxa"/>
              <w:right w:w="57" w:type="dxa"/>
            </w:tcMar>
            <w:vAlign w:val="center"/>
          </w:tcPr>
          <w:p>
            <w:pPr>
              <w:pStyle w:val="105"/>
              <w:widowControl w:val="0"/>
              <w:jc w:val="center"/>
            </w:pPr>
            <w:r>
              <w:rPr>
                <w:rFonts w:eastAsia="等线" w:cs="Times New Roman"/>
              </w:rPr>
              <w:t>62.5</w:t>
            </w:r>
          </w:p>
        </w:tc>
        <w:tc>
          <w:tcPr>
            <w:tcW w:w="294" w:type="pct"/>
            <w:tcMar>
              <w:left w:w="57" w:type="dxa"/>
              <w:right w:w="57" w:type="dxa"/>
            </w:tcMar>
            <w:vAlign w:val="center"/>
          </w:tcPr>
          <w:p>
            <w:pPr>
              <w:pStyle w:val="105"/>
              <w:widowControl w:val="0"/>
              <w:jc w:val="center"/>
            </w:pPr>
            <w:r>
              <w:rPr>
                <w:rFonts w:eastAsia="等线" w:cs="Times New Roman"/>
              </w:rPr>
              <w:t>60.0</w:t>
            </w:r>
          </w:p>
        </w:tc>
        <w:tc>
          <w:tcPr>
            <w:tcW w:w="294" w:type="pct"/>
            <w:tcMar>
              <w:left w:w="57" w:type="dxa"/>
              <w:right w:w="57" w:type="dxa"/>
            </w:tcMar>
            <w:vAlign w:val="center"/>
          </w:tcPr>
          <w:p>
            <w:pPr>
              <w:pStyle w:val="105"/>
              <w:widowControl w:val="0"/>
              <w:jc w:val="center"/>
            </w:pPr>
            <w:r>
              <w:rPr>
                <w:rFonts w:eastAsia="等线" w:cs="Times New Roman"/>
              </w:rPr>
              <w:t>56.4</w:t>
            </w:r>
          </w:p>
        </w:tc>
        <w:tc>
          <w:tcPr>
            <w:tcW w:w="294" w:type="pct"/>
            <w:tcMar>
              <w:left w:w="57" w:type="dxa"/>
              <w:right w:w="57" w:type="dxa"/>
            </w:tcMar>
            <w:vAlign w:val="center"/>
          </w:tcPr>
          <w:p>
            <w:pPr>
              <w:pStyle w:val="105"/>
              <w:widowControl w:val="0"/>
              <w:jc w:val="center"/>
            </w:pPr>
            <w:r>
              <w:rPr>
                <w:rFonts w:eastAsia="等线" w:cs="Times New Roman"/>
              </w:rPr>
              <w:t>53.9</w:t>
            </w:r>
          </w:p>
        </w:tc>
        <w:tc>
          <w:tcPr>
            <w:tcW w:w="289" w:type="pct"/>
            <w:tcMar>
              <w:left w:w="57" w:type="dxa"/>
              <w:right w:w="57" w:type="dxa"/>
            </w:tcMar>
            <w:vAlign w:val="center"/>
          </w:tcPr>
          <w:p>
            <w:pPr>
              <w:pStyle w:val="105"/>
              <w:widowControl w:val="0"/>
              <w:jc w:val="center"/>
            </w:pPr>
            <w:r>
              <w:rPr>
                <w:rFonts w:eastAsia="等线" w:cs="Times New Roman"/>
              </w:rPr>
              <w:t>52.0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混凝土输送泵</w:t>
            </w:r>
          </w:p>
        </w:tc>
        <w:tc>
          <w:tcPr>
            <w:tcW w:w="294" w:type="pct"/>
            <w:tcMar>
              <w:left w:w="57" w:type="dxa"/>
              <w:right w:w="57" w:type="dxa"/>
            </w:tcMar>
            <w:vAlign w:val="center"/>
          </w:tcPr>
          <w:p>
            <w:pPr>
              <w:pStyle w:val="105"/>
              <w:widowControl w:val="0"/>
              <w:jc w:val="center"/>
            </w:pPr>
            <w:r>
              <w:rPr>
                <w:rFonts w:eastAsia="等线" w:cs="Times New Roman"/>
              </w:rPr>
              <w:t>89.0</w:t>
            </w:r>
          </w:p>
        </w:tc>
        <w:tc>
          <w:tcPr>
            <w:tcW w:w="294" w:type="pct"/>
            <w:tcMar>
              <w:left w:w="57" w:type="dxa"/>
              <w:right w:w="57" w:type="dxa"/>
            </w:tcMar>
            <w:vAlign w:val="center"/>
          </w:tcPr>
          <w:p>
            <w:pPr>
              <w:pStyle w:val="105"/>
              <w:widowControl w:val="0"/>
              <w:jc w:val="center"/>
            </w:pPr>
            <w:r>
              <w:rPr>
                <w:rFonts w:eastAsia="等线" w:cs="Times New Roman"/>
              </w:rPr>
              <w:t>83.0</w:t>
            </w:r>
          </w:p>
        </w:tc>
        <w:tc>
          <w:tcPr>
            <w:tcW w:w="294" w:type="pct"/>
            <w:tcMar>
              <w:left w:w="57" w:type="dxa"/>
              <w:right w:w="57" w:type="dxa"/>
            </w:tcMar>
            <w:vAlign w:val="center"/>
          </w:tcPr>
          <w:p>
            <w:pPr>
              <w:pStyle w:val="105"/>
              <w:widowControl w:val="0"/>
              <w:jc w:val="center"/>
            </w:pPr>
            <w:r>
              <w:rPr>
                <w:rFonts w:eastAsia="等线" w:cs="Times New Roman"/>
              </w:rPr>
              <w:t>79.4</w:t>
            </w:r>
          </w:p>
        </w:tc>
        <w:tc>
          <w:tcPr>
            <w:tcW w:w="294" w:type="pct"/>
            <w:tcMar>
              <w:left w:w="57" w:type="dxa"/>
              <w:right w:w="57" w:type="dxa"/>
            </w:tcMar>
            <w:vAlign w:val="center"/>
          </w:tcPr>
          <w:p>
            <w:pPr>
              <w:pStyle w:val="105"/>
              <w:widowControl w:val="0"/>
              <w:jc w:val="center"/>
            </w:pPr>
            <w:r>
              <w:rPr>
                <w:rFonts w:eastAsia="等线" w:cs="Times New Roman"/>
              </w:rPr>
              <w:t>76.9</w:t>
            </w:r>
          </w:p>
        </w:tc>
        <w:tc>
          <w:tcPr>
            <w:tcW w:w="294" w:type="pct"/>
            <w:tcMar>
              <w:left w:w="57" w:type="dxa"/>
              <w:right w:w="57" w:type="dxa"/>
            </w:tcMar>
            <w:vAlign w:val="center"/>
          </w:tcPr>
          <w:p>
            <w:pPr>
              <w:pStyle w:val="105"/>
              <w:widowControl w:val="0"/>
              <w:jc w:val="center"/>
            </w:pPr>
            <w:r>
              <w:rPr>
                <w:rFonts w:eastAsia="等线" w:cs="Times New Roman"/>
              </w:rPr>
              <w:t>75.0</w:t>
            </w:r>
          </w:p>
        </w:tc>
        <w:tc>
          <w:tcPr>
            <w:tcW w:w="294" w:type="pct"/>
            <w:tcMar>
              <w:left w:w="57" w:type="dxa"/>
              <w:right w:w="57" w:type="dxa"/>
            </w:tcMar>
            <w:vAlign w:val="center"/>
          </w:tcPr>
          <w:p>
            <w:pPr>
              <w:pStyle w:val="105"/>
              <w:widowControl w:val="0"/>
              <w:jc w:val="center"/>
            </w:pPr>
            <w:r>
              <w:rPr>
                <w:rFonts w:eastAsia="等线" w:cs="Times New Roman"/>
              </w:rPr>
              <w:t>70.9</w:t>
            </w:r>
          </w:p>
        </w:tc>
        <w:tc>
          <w:tcPr>
            <w:tcW w:w="294" w:type="pct"/>
            <w:tcMar>
              <w:left w:w="57" w:type="dxa"/>
              <w:right w:w="57" w:type="dxa"/>
            </w:tcMar>
            <w:vAlign w:val="center"/>
          </w:tcPr>
          <w:p>
            <w:pPr>
              <w:pStyle w:val="105"/>
              <w:widowControl w:val="0"/>
              <w:jc w:val="center"/>
            </w:pPr>
            <w:r>
              <w:rPr>
                <w:rFonts w:eastAsia="等线" w:cs="Times New Roman"/>
              </w:rPr>
              <w:t>69.0</w:t>
            </w:r>
          </w:p>
        </w:tc>
        <w:tc>
          <w:tcPr>
            <w:tcW w:w="294" w:type="pct"/>
            <w:tcMar>
              <w:left w:w="57" w:type="dxa"/>
              <w:right w:w="57" w:type="dxa"/>
            </w:tcMar>
            <w:vAlign w:val="center"/>
          </w:tcPr>
          <w:p>
            <w:pPr>
              <w:pStyle w:val="105"/>
              <w:widowControl w:val="0"/>
              <w:jc w:val="center"/>
            </w:pPr>
            <w:r>
              <w:rPr>
                <w:rFonts w:eastAsia="等线" w:cs="Times New Roman"/>
              </w:rPr>
              <w:t>65.5</w:t>
            </w:r>
          </w:p>
        </w:tc>
        <w:tc>
          <w:tcPr>
            <w:tcW w:w="294" w:type="pct"/>
            <w:tcMar>
              <w:left w:w="57" w:type="dxa"/>
              <w:right w:w="57" w:type="dxa"/>
            </w:tcMar>
            <w:vAlign w:val="center"/>
          </w:tcPr>
          <w:p>
            <w:pPr>
              <w:pStyle w:val="105"/>
              <w:widowControl w:val="0"/>
              <w:jc w:val="center"/>
            </w:pPr>
            <w:r>
              <w:rPr>
                <w:rFonts w:eastAsia="等线" w:cs="Times New Roman"/>
              </w:rPr>
              <w:t>63.0</w:t>
            </w:r>
          </w:p>
        </w:tc>
        <w:tc>
          <w:tcPr>
            <w:tcW w:w="294" w:type="pct"/>
            <w:tcMar>
              <w:left w:w="57" w:type="dxa"/>
              <w:right w:w="57" w:type="dxa"/>
            </w:tcMar>
            <w:vAlign w:val="center"/>
          </w:tcPr>
          <w:p>
            <w:pPr>
              <w:pStyle w:val="105"/>
              <w:widowControl w:val="0"/>
              <w:jc w:val="center"/>
            </w:pPr>
            <w:r>
              <w:rPr>
                <w:rFonts w:eastAsia="等线" w:cs="Times New Roman"/>
              </w:rPr>
              <w:t>59.4</w:t>
            </w:r>
          </w:p>
        </w:tc>
        <w:tc>
          <w:tcPr>
            <w:tcW w:w="294" w:type="pct"/>
            <w:tcMar>
              <w:left w:w="57" w:type="dxa"/>
              <w:right w:w="57" w:type="dxa"/>
            </w:tcMar>
            <w:vAlign w:val="center"/>
          </w:tcPr>
          <w:p>
            <w:pPr>
              <w:pStyle w:val="105"/>
              <w:widowControl w:val="0"/>
              <w:jc w:val="center"/>
            </w:pPr>
            <w:r>
              <w:rPr>
                <w:rFonts w:eastAsia="等线" w:cs="Times New Roman"/>
              </w:rPr>
              <w:t>56.9</w:t>
            </w:r>
          </w:p>
        </w:tc>
        <w:tc>
          <w:tcPr>
            <w:tcW w:w="289" w:type="pct"/>
            <w:tcMar>
              <w:left w:w="57" w:type="dxa"/>
              <w:right w:w="57" w:type="dxa"/>
            </w:tcMar>
            <w:vAlign w:val="center"/>
          </w:tcPr>
          <w:p>
            <w:pPr>
              <w:pStyle w:val="105"/>
              <w:widowControl w:val="0"/>
              <w:jc w:val="center"/>
            </w:pPr>
            <w:r>
              <w:rPr>
                <w:rFonts w:eastAsia="等线" w:cs="Times New Roman"/>
              </w:rPr>
              <w:t>55.0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摊铺机</w:t>
            </w:r>
          </w:p>
        </w:tc>
        <w:tc>
          <w:tcPr>
            <w:tcW w:w="294" w:type="pct"/>
            <w:tcMar>
              <w:left w:w="57" w:type="dxa"/>
              <w:right w:w="57" w:type="dxa"/>
            </w:tcMar>
            <w:vAlign w:val="center"/>
          </w:tcPr>
          <w:p>
            <w:pPr>
              <w:pStyle w:val="105"/>
              <w:widowControl w:val="0"/>
              <w:jc w:val="center"/>
            </w:pPr>
            <w:r>
              <w:rPr>
                <w:rFonts w:eastAsia="等线" w:cs="Times New Roman"/>
              </w:rPr>
              <w:t>81.0</w:t>
            </w:r>
          </w:p>
        </w:tc>
        <w:tc>
          <w:tcPr>
            <w:tcW w:w="294" w:type="pct"/>
            <w:tcMar>
              <w:left w:w="57" w:type="dxa"/>
              <w:right w:w="57" w:type="dxa"/>
            </w:tcMar>
            <w:vAlign w:val="center"/>
          </w:tcPr>
          <w:p>
            <w:pPr>
              <w:pStyle w:val="105"/>
              <w:widowControl w:val="0"/>
              <w:jc w:val="center"/>
            </w:pPr>
            <w:r>
              <w:rPr>
                <w:rFonts w:eastAsia="等线" w:cs="Times New Roman"/>
              </w:rPr>
              <w:t>75.0</w:t>
            </w:r>
          </w:p>
        </w:tc>
        <w:tc>
          <w:tcPr>
            <w:tcW w:w="294" w:type="pct"/>
            <w:tcMar>
              <w:left w:w="57" w:type="dxa"/>
              <w:right w:w="57" w:type="dxa"/>
            </w:tcMar>
            <w:vAlign w:val="center"/>
          </w:tcPr>
          <w:p>
            <w:pPr>
              <w:pStyle w:val="105"/>
              <w:widowControl w:val="0"/>
              <w:jc w:val="center"/>
            </w:pPr>
            <w:r>
              <w:rPr>
                <w:rFonts w:eastAsia="等线" w:cs="Times New Roman"/>
              </w:rPr>
              <w:t>71.4</w:t>
            </w:r>
          </w:p>
        </w:tc>
        <w:tc>
          <w:tcPr>
            <w:tcW w:w="294" w:type="pct"/>
            <w:tcMar>
              <w:left w:w="57" w:type="dxa"/>
              <w:right w:w="57" w:type="dxa"/>
            </w:tcMar>
            <w:vAlign w:val="center"/>
          </w:tcPr>
          <w:p>
            <w:pPr>
              <w:pStyle w:val="105"/>
              <w:widowControl w:val="0"/>
              <w:jc w:val="center"/>
            </w:pPr>
            <w:r>
              <w:rPr>
                <w:rFonts w:eastAsia="等线" w:cs="Times New Roman"/>
              </w:rPr>
              <w:t>68.9</w:t>
            </w:r>
          </w:p>
        </w:tc>
        <w:tc>
          <w:tcPr>
            <w:tcW w:w="294" w:type="pct"/>
            <w:tcMar>
              <w:left w:w="57" w:type="dxa"/>
              <w:right w:w="57" w:type="dxa"/>
            </w:tcMar>
            <w:vAlign w:val="center"/>
          </w:tcPr>
          <w:p>
            <w:pPr>
              <w:pStyle w:val="105"/>
              <w:widowControl w:val="0"/>
              <w:jc w:val="center"/>
            </w:pPr>
            <w:r>
              <w:rPr>
                <w:rFonts w:eastAsia="等线" w:cs="Times New Roman"/>
              </w:rPr>
              <w:t>67.0</w:t>
            </w:r>
          </w:p>
        </w:tc>
        <w:tc>
          <w:tcPr>
            <w:tcW w:w="294" w:type="pct"/>
            <w:tcMar>
              <w:left w:w="57" w:type="dxa"/>
              <w:right w:w="57" w:type="dxa"/>
            </w:tcMar>
            <w:vAlign w:val="center"/>
          </w:tcPr>
          <w:p>
            <w:pPr>
              <w:pStyle w:val="105"/>
              <w:widowControl w:val="0"/>
              <w:jc w:val="center"/>
            </w:pPr>
            <w:r>
              <w:rPr>
                <w:rFonts w:eastAsia="等线" w:cs="Times New Roman"/>
              </w:rPr>
              <w:t>62.9</w:t>
            </w:r>
          </w:p>
        </w:tc>
        <w:tc>
          <w:tcPr>
            <w:tcW w:w="294" w:type="pct"/>
            <w:tcMar>
              <w:left w:w="57" w:type="dxa"/>
              <w:right w:w="57" w:type="dxa"/>
            </w:tcMar>
            <w:vAlign w:val="center"/>
          </w:tcPr>
          <w:p>
            <w:pPr>
              <w:pStyle w:val="105"/>
              <w:widowControl w:val="0"/>
              <w:jc w:val="center"/>
            </w:pPr>
            <w:r>
              <w:rPr>
                <w:rFonts w:eastAsia="等线" w:cs="Times New Roman"/>
              </w:rPr>
              <w:t>61.0</w:t>
            </w:r>
          </w:p>
        </w:tc>
        <w:tc>
          <w:tcPr>
            <w:tcW w:w="294" w:type="pct"/>
            <w:tcMar>
              <w:left w:w="57" w:type="dxa"/>
              <w:right w:w="57" w:type="dxa"/>
            </w:tcMar>
            <w:vAlign w:val="center"/>
          </w:tcPr>
          <w:p>
            <w:pPr>
              <w:pStyle w:val="105"/>
              <w:widowControl w:val="0"/>
              <w:jc w:val="center"/>
            </w:pPr>
            <w:r>
              <w:rPr>
                <w:rFonts w:eastAsia="等线" w:cs="Times New Roman"/>
              </w:rPr>
              <w:t>57.5</w:t>
            </w:r>
          </w:p>
        </w:tc>
        <w:tc>
          <w:tcPr>
            <w:tcW w:w="294" w:type="pct"/>
            <w:tcMar>
              <w:left w:w="57" w:type="dxa"/>
              <w:right w:w="57" w:type="dxa"/>
            </w:tcMar>
            <w:vAlign w:val="center"/>
          </w:tcPr>
          <w:p>
            <w:pPr>
              <w:pStyle w:val="105"/>
              <w:widowControl w:val="0"/>
              <w:jc w:val="center"/>
            </w:pPr>
            <w:r>
              <w:rPr>
                <w:rFonts w:eastAsia="等线" w:cs="Times New Roman"/>
              </w:rPr>
              <w:t>55.0</w:t>
            </w:r>
          </w:p>
        </w:tc>
        <w:tc>
          <w:tcPr>
            <w:tcW w:w="294" w:type="pct"/>
            <w:tcMar>
              <w:left w:w="57" w:type="dxa"/>
              <w:right w:w="57" w:type="dxa"/>
            </w:tcMar>
            <w:vAlign w:val="center"/>
          </w:tcPr>
          <w:p>
            <w:pPr>
              <w:pStyle w:val="105"/>
              <w:widowControl w:val="0"/>
              <w:jc w:val="center"/>
            </w:pPr>
            <w:r>
              <w:rPr>
                <w:rFonts w:eastAsia="等线" w:cs="Times New Roman"/>
              </w:rPr>
              <w:t>51.4</w:t>
            </w:r>
          </w:p>
        </w:tc>
        <w:tc>
          <w:tcPr>
            <w:tcW w:w="294" w:type="pct"/>
            <w:tcMar>
              <w:left w:w="57" w:type="dxa"/>
              <w:right w:w="57" w:type="dxa"/>
            </w:tcMar>
            <w:vAlign w:val="center"/>
          </w:tcPr>
          <w:p>
            <w:pPr>
              <w:pStyle w:val="105"/>
              <w:widowControl w:val="0"/>
              <w:jc w:val="center"/>
            </w:pPr>
            <w:r>
              <w:rPr>
                <w:rFonts w:eastAsia="等线" w:cs="Times New Roman"/>
              </w:rPr>
              <w:t>48.9</w:t>
            </w:r>
          </w:p>
        </w:tc>
        <w:tc>
          <w:tcPr>
            <w:tcW w:w="289" w:type="pct"/>
            <w:tcMar>
              <w:left w:w="57" w:type="dxa"/>
              <w:right w:w="57" w:type="dxa"/>
            </w:tcMar>
            <w:vAlign w:val="center"/>
          </w:tcPr>
          <w:p>
            <w:pPr>
              <w:pStyle w:val="105"/>
              <w:widowControl w:val="0"/>
              <w:jc w:val="center"/>
            </w:pPr>
            <w:r>
              <w:rPr>
                <w:rFonts w:eastAsia="等线" w:cs="Times New Roman"/>
              </w:rPr>
              <w:t>47.0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发电机组</w:t>
            </w:r>
          </w:p>
        </w:tc>
        <w:tc>
          <w:tcPr>
            <w:tcW w:w="294" w:type="pct"/>
            <w:tcMar>
              <w:left w:w="57" w:type="dxa"/>
              <w:right w:w="57" w:type="dxa"/>
            </w:tcMar>
            <w:vAlign w:val="center"/>
          </w:tcPr>
          <w:p>
            <w:pPr>
              <w:pStyle w:val="105"/>
              <w:widowControl w:val="0"/>
              <w:jc w:val="center"/>
            </w:pPr>
            <w:r>
              <w:rPr>
                <w:rFonts w:eastAsia="等线" w:cs="Times New Roman"/>
              </w:rPr>
              <w:t>92.0</w:t>
            </w:r>
          </w:p>
        </w:tc>
        <w:tc>
          <w:tcPr>
            <w:tcW w:w="294" w:type="pct"/>
            <w:tcMar>
              <w:left w:w="57" w:type="dxa"/>
              <w:right w:w="57" w:type="dxa"/>
            </w:tcMar>
            <w:vAlign w:val="center"/>
          </w:tcPr>
          <w:p>
            <w:pPr>
              <w:pStyle w:val="105"/>
              <w:widowControl w:val="0"/>
              <w:jc w:val="center"/>
            </w:pPr>
            <w:r>
              <w:rPr>
                <w:rFonts w:eastAsia="等线" w:cs="Times New Roman"/>
              </w:rPr>
              <w:t>86.0</w:t>
            </w:r>
          </w:p>
        </w:tc>
        <w:tc>
          <w:tcPr>
            <w:tcW w:w="294" w:type="pct"/>
            <w:tcMar>
              <w:left w:w="57" w:type="dxa"/>
              <w:right w:w="57" w:type="dxa"/>
            </w:tcMar>
            <w:vAlign w:val="center"/>
          </w:tcPr>
          <w:p>
            <w:pPr>
              <w:pStyle w:val="105"/>
              <w:widowControl w:val="0"/>
              <w:jc w:val="center"/>
            </w:pPr>
            <w:r>
              <w:rPr>
                <w:rFonts w:eastAsia="等线" w:cs="Times New Roman"/>
              </w:rPr>
              <w:t>82.4</w:t>
            </w:r>
          </w:p>
        </w:tc>
        <w:tc>
          <w:tcPr>
            <w:tcW w:w="294" w:type="pct"/>
            <w:tcMar>
              <w:left w:w="57" w:type="dxa"/>
              <w:right w:w="57" w:type="dxa"/>
            </w:tcMar>
            <w:vAlign w:val="center"/>
          </w:tcPr>
          <w:p>
            <w:pPr>
              <w:pStyle w:val="105"/>
              <w:widowControl w:val="0"/>
              <w:jc w:val="center"/>
            </w:pPr>
            <w:r>
              <w:rPr>
                <w:rFonts w:eastAsia="等线" w:cs="Times New Roman"/>
              </w:rPr>
              <w:t>79.9</w:t>
            </w:r>
          </w:p>
        </w:tc>
        <w:tc>
          <w:tcPr>
            <w:tcW w:w="294" w:type="pct"/>
            <w:tcMar>
              <w:left w:w="57" w:type="dxa"/>
              <w:right w:w="57" w:type="dxa"/>
            </w:tcMar>
            <w:vAlign w:val="center"/>
          </w:tcPr>
          <w:p>
            <w:pPr>
              <w:pStyle w:val="105"/>
              <w:widowControl w:val="0"/>
              <w:jc w:val="center"/>
            </w:pPr>
            <w:r>
              <w:rPr>
                <w:rFonts w:eastAsia="等线" w:cs="Times New Roman"/>
              </w:rPr>
              <w:t>78.0</w:t>
            </w:r>
          </w:p>
        </w:tc>
        <w:tc>
          <w:tcPr>
            <w:tcW w:w="294" w:type="pct"/>
            <w:tcMar>
              <w:left w:w="57" w:type="dxa"/>
              <w:right w:w="57" w:type="dxa"/>
            </w:tcMar>
            <w:vAlign w:val="center"/>
          </w:tcPr>
          <w:p>
            <w:pPr>
              <w:pStyle w:val="105"/>
              <w:widowControl w:val="0"/>
              <w:jc w:val="center"/>
            </w:pPr>
            <w:r>
              <w:rPr>
                <w:rFonts w:eastAsia="等线" w:cs="Times New Roman"/>
              </w:rPr>
              <w:t>73.9</w:t>
            </w:r>
          </w:p>
        </w:tc>
        <w:tc>
          <w:tcPr>
            <w:tcW w:w="294" w:type="pct"/>
            <w:tcMar>
              <w:left w:w="57" w:type="dxa"/>
              <w:right w:w="57" w:type="dxa"/>
            </w:tcMar>
            <w:vAlign w:val="center"/>
          </w:tcPr>
          <w:p>
            <w:pPr>
              <w:pStyle w:val="105"/>
              <w:widowControl w:val="0"/>
              <w:jc w:val="center"/>
            </w:pPr>
            <w:r>
              <w:rPr>
                <w:rFonts w:eastAsia="等线" w:cs="Times New Roman"/>
              </w:rPr>
              <w:t>72.0</w:t>
            </w:r>
          </w:p>
        </w:tc>
        <w:tc>
          <w:tcPr>
            <w:tcW w:w="294" w:type="pct"/>
            <w:tcMar>
              <w:left w:w="57" w:type="dxa"/>
              <w:right w:w="57" w:type="dxa"/>
            </w:tcMar>
            <w:vAlign w:val="center"/>
          </w:tcPr>
          <w:p>
            <w:pPr>
              <w:pStyle w:val="105"/>
              <w:widowControl w:val="0"/>
              <w:jc w:val="center"/>
            </w:pPr>
            <w:r>
              <w:rPr>
                <w:rFonts w:eastAsia="等线" w:cs="Times New Roman"/>
              </w:rPr>
              <w:t>68.5</w:t>
            </w:r>
          </w:p>
        </w:tc>
        <w:tc>
          <w:tcPr>
            <w:tcW w:w="294" w:type="pct"/>
            <w:tcMar>
              <w:left w:w="57" w:type="dxa"/>
              <w:right w:w="57" w:type="dxa"/>
            </w:tcMar>
            <w:vAlign w:val="center"/>
          </w:tcPr>
          <w:p>
            <w:pPr>
              <w:pStyle w:val="105"/>
              <w:widowControl w:val="0"/>
              <w:jc w:val="center"/>
            </w:pPr>
            <w:r>
              <w:rPr>
                <w:rFonts w:eastAsia="等线" w:cs="Times New Roman"/>
              </w:rPr>
              <w:t>66.0</w:t>
            </w:r>
          </w:p>
        </w:tc>
        <w:tc>
          <w:tcPr>
            <w:tcW w:w="294" w:type="pct"/>
            <w:tcMar>
              <w:left w:w="57" w:type="dxa"/>
              <w:right w:w="57" w:type="dxa"/>
            </w:tcMar>
            <w:vAlign w:val="center"/>
          </w:tcPr>
          <w:p>
            <w:pPr>
              <w:pStyle w:val="105"/>
              <w:widowControl w:val="0"/>
              <w:jc w:val="center"/>
            </w:pPr>
            <w:r>
              <w:rPr>
                <w:rFonts w:eastAsia="等线" w:cs="Times New Roman"/>
              </w:rPr>
              <w:t>62.4</w:t>
            </w:r>
          </w:p>
        </w:tc>
        <w:tc>
          <w:tcPr>
            <w:tcW w:w="294" w:type="pct"/>
            <w:tcMar>
              <w:left w:w="57" w:type="dxa"/>
              <w:right w:w="57" w:type="dxa"/>
            </w:tcMar>
            <w:vAlign w:val="center"/>
          </w:tcPr>
          <w:p>
            <w:pPr>
              <w:pStyle w:val="105"/>
              <w:widowControl w:val="0"/>
              <w:jc w:val="center"/>
            </w:pPr>
            <w:r>
              <w:rPr>
                <w:rFonts w:eastAsia="等线" w:cs="Times New Roman"/>
              </w:rPr>
              <w:t>59.9</w:t>
            </w:r>
          </w:p>
        </w:tc>
        <w:tc>
          <w:tcPr>
            <w:tcW w:w="289" w:type="pct"/>
            <w:tcMar>
              <w:left w:w="57" w:type="dxa"/>
              <w:right w:w="57" w:type="dxa"/>
            </w:tcMar>
            <w:vAlign w:val="center"/>
          </w:tcPr>
          <w:p>
            <w:pPr>
              <w:pStyle w:val="105"/>
              <w:widowControl w:val="0"/>
              <w:jc w:val="center"/>
            </w:pPr>
            <w:r>
              <w:rPr>
                <w:rFonts w:eastAsia="等线" w:cs="Times New Roman"/>
              </w:rPr>
              <w:t>58.0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空压机</w:t>
            </w:r>
          </w:p>
        </w:tc>
        <w:tc>
          <w:tcPr>
            <w:tcW w:w="294" w:type="pct"/>
            <w:tcMar>
              <w:left w:w="57" w:type="dxa"/>
              <w:right w:w="57" w:type="dxa"/>
            </w:tcMar>
            <w:vAlign w:val="center"/>
          </w:tcPr>
          <w:p>
            <w:pPr>
              <w:pStyle w:val="105"/>
              <w:widowControl w:val="0"/>
              <w:jc w:val="center"/>
            </w:pPr>
            <w:r>
              <w:rPr>
                <w:rFonts w:eastAsia="等线" w:cs="Times New Roman"/>
              </w:rPr>
              <w:t>86.0</w:t>
            </w:r>
          </w:p>
        </w:tc>
        <w:tc>
          <w:tcPr>
            <w:tcW w:w="294" w:type="pct"/>
            <w:tcMar>
              <w:left w:w="57" w:type="dxa"/>
              <w:right w:w="57" w:type="dxa"/>
            </w:tcMar>
            <w:vAlign w:val="center"/>
          </w:tcPr>
          <w:p>
            <w:pPr>
              <w:pStyle w:val="105"/>
              <w:widowControl w:val="0"/>
              <w:jc w:val="center"/>
            </w:pPr>
            <w:r>
              <w:rPr>
                <w:rFonts w:eastAsia="等线" w:cs="Times New Roman"/>
              </w:rPr>
              <w:t>80.0</w:t>
            </w:r>
          </w:p>
        </w:tc>
        <w:tc>
          <w:tcPr>
            <w:tcW w:w="294" w:type="pct"/>
            <w:tcMar>
              <w:left w:w="57" w:type="dxa"/>
              <w:right w:w="57" w:type="dxa"/>
            </w:tcMar>
            <w:vAlign w:val="center"/>
          </w:tcPr>
          <w:p>
            <w:pPr>
              <w:pStyle w:val="105"/>
              <w:widowControl w:val="0"/>
              <w:jc w:val="center"/>
            </w:pPr>
            <w:r>
              <w:rPr>
                <w:rFonts w:eastAsia="等线" w:cs="Times New Roman"/>
              </w:rPr>
              <w:t>76.4</w:t>
            </w:r>
          </w:p>
        </w:tc>
        <w:tc>
          <w:tcPr>
            <w:tcW w:w="294" w:type="pct"/>
            <w:tcMar>
              <w:left w:w="57" w:type="dxa"/>
              <w:right w:w="57" w:type="dxa"/>
            </w:tcMar>
            <w:vAlign w:val="center"/>
          </w:tcPr>
          <w:p>
            <w:pPr>
              <w:pStyle w:val="105"/>
              <w:widowControl w:val="0"/>
              <w:jc w:val="center"/>
            </w:pPr>
            <w:r>
              <w:rPr>
                <w:rFonts w:eastAsia="等线" w:cs="Times New Roman"/>
              </w:rPr>
              <w:t>73.9</w:t>
            </w:r>
          </w:p>
        </w:tc>
        <w:tc>
          <w:tcPr>
            <w:tcW w:w="294" w:type="pct"/>
            <w:tcMar>
              <w:left w:w="57" w:type="dxa"/>
              <w:right w:w="57" w:type="dxa"/>
            </w:tcMar>
            <w:vAlign w:val="center"/>
          </w:tcPr>
          <w:p>
            <w:pPr>
              <w:pStyle w:val="105"/>
              <w:widowControl w:val="0"/>
              <w:jc w:val="center"/>
            </w:pPr>
            <w:r>
              <w:rPr>
                <w:rFonts w:eastAsia="等线" w:cs="Times New Roman"/>
              </w:rPr>
              <w:t>72.0</w:t>
            </w:r>
          </w:p>
        </w:tc>
        <w:tc>
          <w:tcPr>
            <w:tcW w:w="294" w:type="pct"/>
            <w:tcMar>
              <w:left w:w="57" w:type="dxa"/>
              <w:right w:w="57" w:type="dxa"/>
            </w:tcMar>
            <w:vAlign w:val="center"/>
          </w:tcPr>
          <w:p>
            <w:pPr>
              <w:pStyle w:val="105"/>
              <w:widowControl w:val="0"/>
              <w:jc w:val="center"/>
            </w:pPr>
            <w:r>
              <w:rPr>
                <w:rFonts w:eastAsia="等线" w:cs="Times New Roman"/>
              </w:rPr>
              <w:t>67.9</w:t>
            </w:r>
          </w:p>
        </w:tc>
        <w:tc>
          <w:tcPr>
            <w:tcW w:w="294" w:type="pct"/>
            <w:tcMar>
              <w:left w:w="57" w:type="dxa"/>
              <w:right w:w="57" w:type="dxa"/>
            </w:tcMar>
            <w:vAlign w:val="center"/>
          </w:tcPr>
          <w:p>
            <w:pPr>
              <w:pStyle w:val="105"/>
              <w:widowControl w:val="0"/>
              <w:jc w:val="center"/>
            </w:pPr>
            <w:r>
              <w:rPr>
                <w:rFonts w:eastAsia="等线" w:cs="Times New Roman"/>
              </w:rPr>
              <w:t>66.0</w:t>
            </w:r>
          </w:p>
        </w:tc>
        <w:tc>
          <w:tcPr>
            <w:tcW w:w="294" w:type="pct"/>
            <w:tcMar>
              <w:left w:w="57" w:type="dxa"/>
              <w:right w:w="57" w:type="dxa"/>
            </w:tcMar>
            <w:vAlign w:val="center"/>
          </w:tcPr>
          <w:p>
            <w:pPr>
              <w:pStyle w:val="105"/>
              <w:widowControl w:val="0"/>
              <w:jc w:val="center"/>
            </w:pPr>
            <w:r>
              <w:rPr>
                <w:rFonts w:eastAsia="等线" w:cs="Times New Roman"/>
              </w:rPr>
              <w:t>62.5</w:t>
            </w:r>
          </w:p>
        </w:tc>
        <w:tc>
          <w:tcPr>
            <w:tcW w:w="294" w:type="pct"/>
            <w:tcMar>
              <w:left w:w="57" w:type="dxa"/>
              <w:right w:w="57" w:type="dxa"/>
            </w:tcMar>
            <w:vAlign w:val="center"/>
          </w:tcPr>
          <w:p>
            <w:pPr>
              <w:pStyle w:val="105"/>
              <w:widowControl w:val="0"/>
              <w:jc w:val="center"/>
            </w:pPr>
            <w:r>
              <w:rPr>
                <w:rFonts w:eastAsia="等线" w:cs="Times New Roman"/>
              </w:rPr>
              <w:t>60.0</w:t>
            </w:r>
          </w:p>
        </w:tc>
        <w:tc>
          <w:tcPr>
            <w:tcW w:w="294" w:type="pct"/>
            <w:tcMar>
              <w:left w:w="57" w:type="dxa"/>
              <w:right w:w="57" w:type="dxa"/>
            </w:tcMar>
            <w:vAlign w:val="center"/>
          </w:tcPr>
          <w:p>
            <w:pPr>
              <w:pStyle w:val="105"/>
              <w:widowControl w:val="0"/>
              <w:jc w:val="center"/>
            </w:pPr>
            <w:r>
              <w:rPr>
                <w:rFonts w:eastAsia="等线" w:cs="Times New Roman"/>
              </w:rPr>
              <w:t>56.4</w:t>
            </w:r>
          </w:p>
        </w:tc>
        <w:tc>
          <w:tcPr>
            <w:tcW w:w="294" w:type="pct"/>
            <w:tcMar>
              <w:left w:w="57" w:type="dxa"/>
              <w:right w:w="57" w:type="dxa"/>
            </w:tcMar>
            <w:vAlign w:val="center"/>
          </w:tcPr>
          <w:p>
            <w:pPr>
              <w:pStyle w:val="105"/>
              <w:widowControl w:val="0"/>
              <w:jc w:val="center"/>
            </w:pPr>
            <w:r>
              <w:rPr>
                <w:rFonts w:eastAsia="等线" w:cs="Times New Roman"/>
              </w:rPr>
              <w:t>53.9</w:t>
            </w:r>
          </w:p>
        </w:tc>
        <w:tc>
          <w:tcPr>
            <w:tcW w:w="289" w:type="pct"/>
            <w:tcMar>
              <w:left w:w="57" w:type="dxa"/>
              <w:right w:w="57" w:type="dxa"/>
            </w:tcMar>
            <w:vAlign w:val="center"/>
          </w:tcPr>
          <w:p>
            <w:pPr>
              <w:pStyle w:val="105"/>
              <w:widowControl w:val="0"/>
              <w:jc w:val="center"/>
            </w:pPr>
            <w:r>
              <w:rPr>
                <w:rFonts w:eastAsia="等线" w:cs="Times New Roman"/>
              </w:rPr>
              <w:t>52.0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7" w:type="pct"/>
            <w:tcBorders>
              <w:top w:val="single" w:color="auto" w:sz="6" w:space="0"/>
            </w:tcBorders>
            <w:tcMar>
              <w:left w:w="57" w:type="dxa"/>
              <w:right w:w="57" w:type="dxa"/>
            </w:tcMar>
            <w:vAlign w:val="center"/>
          </w:tcPr>
          <w:p>
            <w:pPr>
              <w:pStyle w:val="105"/>
              <w:widowControl w:val="0"/>
              <w:jc w:val="center"/>
            </w:pPr>
            <w:r>
              <w:rPr>
                <w:rFonts w:hint="eastAsia"/>
              </w:rPr>
              <w:t>沥青混凝土搅拌机</w:t>
            </w:r>
          </w:p>
        </w:tc>
        <w:tc>
          <w:tcPr>
            <w:tcW w:w="294" w:type="pct"/>
            <w:tcMar>
              <w:left w:w="57" w:type="dxa"/>
              <w:right w:w="57" w:type="dxa"/>
            </w:tcMar>
            <w:vAlign w:val="center"/>
          </w:tcPr>
          <w:p>
            <w:pPr>
              <w:pStyle w:val="105"/>
              <w:widowControl w:val="0"/>
              <w:jc w:val="center"/>
            </w:pPr>
            <w:r>
              <w:rPr>
                <w:rFonts w:eastAsia="等线" w:cs="Times New Roman"/>
              </w:rPr>
              <w:t>76.0</w:t>
            </w:r>
          </w:p>
        </w:tc>
        <w:tc>
          <w:tcPr>
            <w:tcW w:w="294" w:type="pct"/>
            <w:tcMar>
              <w:left w:w="57" w:type="dxa"/>
              <w:right w:w="57" w:type="dxa"/>
            </w:tcMar>
            <w:vAlign w:val="center"/>
          </w:tcPr>
          <w:p>
            <w:pPr>
              <w:pStyle w:val="105"/>
              <w:widowControl w:val="0"/>
              <w:jc w:val="center"/>
            </w:pPr>
            <w:r>
              <w:rPr>
                <w:rFonts w:eastAsia="等线" w:cs="Times New Roman"/>
              </w:rPr>
              <w:t>70.0</w:t>
            </w:r>
          </w:p>
        </w:tc>
        <w:tc>
          <w:tcPr>
            <w:tcW w:w="294" w:type="pct"/>
            <w:tcMar>
              <w:left w:w="57" w:type="dxa"/>
              <w:right w:w="57" w:type="dxa"/>
            </w:tcMar>
            <w:vAlign w:val="center"/>
          </w:tcPr>
          <w:p>
            <w:pPr>
              <w:pStyle w:val="105"/>
              <w:widowControl w:val="0"/>
              <w:jc w:val="center"/>
            </w:pPr>
            <w:r>
              <w:rPr>
                <w:rFonts w:eastAsia="等线" w:cs="Times New Roman"/>
              </w:rPr>
              <w:t>66.5</w:t>
            </w:r>
          </w:p>
        </w:tc>
        <w:tc>
          <w:tcPr>
            <w:tcW w:w="294" w:type="pct"/>
            <w:tcMar>
              <w:left w:w="57" w:type="dxa"/>
              <w:right w:w="57" w:type="dxa"/>
            </w:tcMar>
            <w:vAlign w:val="center"/>
          </w:tcPr>
          <w:p>
            <w:pPr>
              <w:pStyle w:val="105"/>
              <w:widowControl w:val="0"/>
              <w:jc w:val="center"/>
            </w:pPr>
            <w:r>
              <w:rPr>
                <w:rFonts w:eastAsia="等线" w:cs="Times New Roman"/>
              </w:rPr>
              <w:t>64.0</w:t>
            </w:r>
          </w:p>
        </w:tc>
        <w:tc>
          <w:tcPr>
            <w:tcW w:w="294" w:type="pct"/>
            <w:tcMar>
              <w:left w:w="57" w:type="dxa"/>
              <w:right w:w="57" w:type="dxa"/>
            </w:tcMar>
            <w:vAlign w:val="center"/>
          </w:tcPr>
          <w:p>
            <w:pPr>
              <w:pStyle w:val="105"/>
              <w:widowControl w:val="0"/>
              <w:jc w:val="center"/>
            </w:pPr>
            <w:r>
              <w:rPr>
                <w:rFonts w:eastAsia="等线" w:cs="Times New Roman"/>
              </w:rPr>
              <w:t>62.0</w:t>
            </w:r>
          </w:p>
        </w:tc>
        <w:tc>
          <w:tcPr>
            <w:tcW w:w="294" w:type="pct"/>
            <w:tcMar>
              <w:left w:w="57" w:type="dxa"/>
              <w:right w:w="57" w:type="dxa"/>
            </w:tcMar>
            <w:vAlign w:val="center"/>
          </w:tcPr>
          <w:p>
            <w:pPr>
              <w:pStyle w:val="105"/>
              <w:widowControl w:val="0"/>
              <w:jc w:val="center"/>
            </w:pPr>
            <w:r>
              <w:rPr>
                <w:rFonts w:eastAsia="等线" w:cs="Times New Roman"/>
              </w:rPr>
              <w:t>58.0</w:t>
            </w:r>
          </w:p>
        </w:tc>
        <w:tc>
          <w:tcPr>
            <w:tcW w:w="294" w:type="pct"/>
            <w:tcMar>
              <w:left w:w="57" w:type="dxa"/>
              <w:right w:w="57" w:type="dxa"/>
            </w:tcMar>
            <w:vAlign w:val="center"/>
          </w:tcPr>
          <w:p>
            <w:pPr>
              <w:pStyle w:val="105"/>
              <w:widowControl w:val="0"/>
              <w:jc w:val="center"/>
            </w:pPr>
            <w:r>
              <w:rPr>
                <w:rFonts w:eastAsia="等线" w:cs="Times New Roman"/>
              </w:rPr>
              <w:t>56.0</w:t>
            </w:r>
          </w:p>
        </w:tc>
        <w:tc>
          <w:tcPr>
            <w:tcW w:w="294" w:type="pct"/>
            <w:tcMar>
              <w:left w:w="57" w:type="dxa"/>
              <w:right w:w="57" w:type="dxa"/>
            </w:tcMar>
            <w:vAlign w:val="center"/>
          </w:tcPr>
          <w:p>
            <w:pPr>
              <w:pStyle w:val="105"/>
              <w:widowControl w:val="0"/>
              <w:jc w:val="center"/>
            </w:pPr>
            <w:r>
              <w:rPr>
                <w:rFonts w:eastAsia="等线" w:cs="Times New Roman"/>
              </w:rPr>
              <w:t>52.5</w:t>
            </w:r>
          </w:p>
        </w:tc>
        <w:tc>
          <w:tcPr>
            <w:tcW w:w="294" w:type="pct"/>
            <w:tcMar>
              <w:left w:w="57" w:type="dxa"/>
              <w:right w:w="57" w:type="dxa"/>
            </w:tcMar>
            <w:vAlign w:val="center"/>
          </w:tcPr>
          <w:p>
            <w:pPr>
              <w:pStyle w:val="105"/>
              <w:widowControl w:val="0"/>
              <w:jc w:val="center"/>
            </w:pPr>
            <w:r>
              <w:rPr>
                <w:rFonts w:eastAsia="等线" w:cs="Times New Roman"/>
              </w:rPr>
              <w:t>50.0</w:t>
            </w:r>
          </w:p>
        </w:tc>
        <w:tc>
          <w:tcPr>
            <w:tcW w:w="294" w:type="pct"/>
            <w:tcMar>
              <w:left w:w="57" w:type="dxa"/>
              <w:right w:w="57" w:type="dxa"/>
            </w:tcMar>
            <w:vAlign w:val="center"/>
          </w:tcPr>
          <w:p>
            <w:pPr>
              <w:pStyle w:val="105"/>
              <w:widowControl w:val="0"/>
              <w:jc w:val="center"/>
            </w:pPr>
            <w:r>
              <w:rPr>
                <w:rFonts w:eastAsia="等线" w:cs="Times New Roman"/>
              </w:rPr>
              <w:t>46.5</w:t>
            </w:r>
          </w:p>
        </w:tc>
        <w:tc>
          <w:tcPr>
            <w:tcW w:w="294" w:type="pct"/>
            <w:tcMar>
              <w:left w:w="57" w:type="dxa"/>
              <w:right w:w="57" w:type="dxa"/>
            </w:tcMar>
            <w:vAlign w:val="center"/>
          </w:tcPr>
          <w:p>
            <w:pPr>
              <w:pStyle w:val="105"/>
              <w:widowControl w:val="0"/>
              <w:jc w:val="center"/>
            </w:pPr>
            <w:r>
              <w:rPr>
                <w:rFonts w:eastAsia="等线" w:cs="Times New Roman"/>
              </w:rPr>
              <w:t>44.0</w:t>
            </w:r>
          </w:p>
        </w:tc>
        <w:tc>
          <w:tcPr>
            <w:tcW w:w="289" w:type="pct"/>
            <w:tcMar>
              <w:left w:w="57" w:type="dxa"/>
              <w:right w:w="57" w:type="dxa"/>
            </w:tcMar>
            <w:vAlign w:val="center"/>
          </w:tcPr>
          <w:p>
            <w:pPr>
              <w:pStyle w:val="105"/>
              <w:widowControl w:val="0"/>
              <w:jc w:val="center"/>
            </w:pPr>
            <w:r>
              <w:rPr>
                <w:rFonts w:eastAsia="等线" w:cs="Times New Roman"/>
              </w:rPr>
              <w:t>42.0</w:t>
            </w:r>
          </w:p>
        </w:tc>
      </w:tr>
    </w:tbl>
    <w:p>
      <w:pPr>
        <w:pStyle w:val="124"/>
        <w:spacing w:before="163"/>
      </w:pPr>
      <w:r>
        <w:rPr>
          <w:rFonts w:hint="eastAsia"/>
        </w:rPr>
        <w:t>（1）由预测结果可知，施工机械噪声在无遮挡情况下，产生的噪声声级比较大，施工场界及公路作业带边界超过《建筑施工场界环境噪声排放标准》(GB12523-2011)（排放限值昼间≤70dB，夜间≤5</w:t>
      </w:r>
      <w:r>
        <w:t>5</w:t>
      </w:r>
      <w:r>
        <w:rPr>
          <w:rFonts w:hint="eastAsia"/>
        </w:rPr>
        <w:t>dB）。</w:t>
      </w:r>
    </w:p>
    <w:p>
      <w:pPr>
        <w:ind w:firstLine="480"/>
      </w:pPr>
      <w:r>
        <w:rPr>
          <w:rFonts w:hint="eastAsia"/>
        </w:rPr>
        <w:t>（2）在施工实际过程中可能出现多台机械同时在一处作业，则此时施工噪声影响的范围比单一机械产生的噪声预测值还要大。但由于在实际施工中各施工机械组合情况较为复杂，则很难一一用声级叠加方法计算得出其可能的实际影响结果。</w:t>
      </w:r>
    </w:p>
    <w:p>
      <w:pPr>
        <w:ind w:firstLine="480"/>
      </w:pPr>
      <w:r>
        <w:rPr>
          <w:rFonts w:hint="eastAsia"/>
        </w:rPr>
        <w:t>（3）公路施工噪声主要发生在场地平整阶段、路基施工和路面施工阶段。</w:t>
      </w:r>
    </w:p>
    <w:p>
      <w:pPr>
        <w:ind w:firstLine="480"/>
      </w:pPr>
      <w:r>
        <w:rPr>
          <w:rFonts w:hint="eastAsia"/>
        </w:rPr>
        <w:t>（4）本项目建设时间虽然较长，但对固定路段而言施工时间要短得多，因此实际施工噪声的影响程度应比推算值低一些，因此一般的居民均能理解。但是作为建设施工单位为保护沿线居民的正常生活和休息，应合理地安排施工进度和时间，文明施工、环保施工，并采取必要的噪声控制措施（如设置移动式声屏障等），降低施工噪声对环境的影响。</w:t>
      </w:r>
    </w:p>
    <w:p>
      <w:pPr>
        <w:ind w:firstLine="480"/>
      </w:pPr>
      <w:r>
        <w:rPr>
          <w:rFonts w:hint="eastAsia"/>
        </w:rPr>
        <w:t>（5）本项目周边现状声环境敏感目标为牌边村新桥，上张村林泉、王房，联华村后郑、火烧埔、田楼</w:t>
      </w:r>
      <w:r>
        <w:t>、</w:t>
      </w:r>
      <w:r>
        <w:rPr>
          <w:rFonts w:hint="eastAsia"/>
        </w:rPr>
        <w:t>西山、朱里、木厝洋、三落厝等。全线设置</w:t>
      </w:r>
      <w:r>
        <w:t>1处</w:t>
      </w:r>
      <w:r>
        <w:rPr>
          <w:rFonts w:hint="eastAsia"/>
        </w:rPr>
        <w:t>施工场地，3个表土堆场，因线路沿线的农田和地形制约，1</w:t>
      </w:r>
      <w:r>
        <w:t>#</w:t>
      </w:r>
      <w:r>
        <w:rPr>
          <w:rFonts w:hint="eastAsia"/>
        </w:rPr>
        <w:t>表土堆场距离上张村林泉、鳗鱼养殖场较近， 2#表土堆场距离</w:t>
      </w:r>
      <w:r>
        <w:t>联华村</w:t>
      </w:r>
      <w:r>
        <w:rPr>
          <w:rFonts w:hint="eastAsia"/>
        </w:rPr>
        <w:t>木厝洋较近，其施工噪声对其产生一定的影响。因此，施工单位在组织施工时，选用低噪声的设备，在施工场界做围挡措施，特别是村民住宅一侧应采取必要的隔声减噪措施（如设置施工围挡、移动式声屏障等措施），降低施工噪声对周边敏感点的影响，同时禁止夜间施工、避开午间休息时间，使噪声的影响降至最低程度。若确属施工工艺需要昼夜连续作业的，则应向标段所属生态环境局书面申请，说明具体路段、时段以及必须昼夜连续施工作业的理由，以获得夜间连续施工许可，获批并公示后，方可施工。</w:t>
      </w:r>
    </w:p>
    <w:p>
      <w:pPr>
        <w:pStyle w:val="120"/>
        <w:rPr>
          <w:color w:val="auto"/>
        </w:rPr>
      </w:pPr>
      <w:r>
        <w:rPr>
          <w:rFonts w:hint="eastAsia"/>
          <w:color w:val="auto"/>
        </w:rPr>
        <w:t>运营期声环境影响分析</w:t>
      </w:r>
    </w:p>
    <w:p>
      <w:pPr>
        <w:pStyle w:val="118"/>
      </w:pPr>
      <w:r>
        <w:rPr>
          <w:rFonts w:hint="eastAsia"/>
        </w:rPr>
        <w:t>预测模式</w:t>
      </w:r>
    </w:p>
    <w:p>
      <w:pPr>
        <w:ind w:firstLine="480"/>
      </w:pPr>
      <w:r>
        <w:rPr>
          <w:rFonts w:hint="eastAsia"/>
        </w:rPr>
        <w:t>根据拟建道路特点、沿线的环境特征，以及工程设计的交通量等因素，本评价采用《环境影响评价技术导则——公路建设项目》（</w:t>
      </w:r>
      <w:r>
        <w:t>HJ1358—2024</w:t>
      </w:r>
      <w:r>
        <w:rPr>
          <w:rFonts w:hint="eastAsia"/>
        </w:rPr>
        <w:t>）中的公路交通运输噪声预测模式进行预测。</w:t>
      </w:r>
    </w:p>
    <w:p>
      <w:pPr>
        <w:ind w:firstLine="480"/>
      </w:pPr>
      <w:r>
        <w:rPr>
          <w:rFonts w:hint="eastAsia"/>
        </w:rPr>
        <w:t>（1）</w:t>
      </w:r>
      <w:r>
        <w:t>第</w:t>
      </w:r>
      <w:r>
        <w:rPr>
          <w:rFonts w:eastAsia="Times New Roman"/>
        </w:rPr>
        <w:t>i</w:t>
      </w:r>
      <w:r>
        <w:t>类车等效声级的预测模式</w:t>
      </w:r>
    </w:p>
    <w:p>
      <w:pPr>
        <w:ind w:firstLine="480"/>
        <w:jc w:val="center"/>
        <w:rPr>
          <w:rFonts w:hint="eastAsia" w:eastAsia="宋体"/>
          <w:lang w:eastAsia="zh-CN"/>
        </w:rPr>
      </w:pPr>
    </w:p>
    <w:p>
      <w:pPr>
        <w:widowControl/>
        <w:ind w:firstLine="480"/>
        <w:rPr>
          <w:snapToGrid w:val="0"/>
          <w:kern w:val="0"/>
          <w:szCs w:val="21"/>
        </w:rPr>
      </w:pPr>
      <w:r>
        <w:rPr>
          <w:snapToGrid w:val="0"/>
          <w:kern w:val="0"/>
          <w:szCs w:val="21"/>
        </w:rPr>
        <w:t>式中： ---第</w:t>
      </w:r>
      <w:r>
        <w:rPr>
          <w:i/>
          <w:iCs/>
          <w:snapToGrid w:val="0"/>
          <w:kern w:val="0"/>
          <w:szCs w:val="21"/>
        </w:rPr>
        <w:t>i</w:t>
      </w:r>
      <w:r>
        <w:rPr>
          <w:snapToGrid w:val="0"/>
          <w:kern w:val="0"/>
          <w:szCs w:val="21"/>
        </w:rPr>
        <w:t>类车的小时等效声级，dB(A)；</w:t>
      </w:r>
    </w:p>
    <w:p>
      <w:pPr>
        <w:widowControl/>
        <w:ind w:firstLine="1200" w:firstLineChars="500"/>
        <w:rPr>
          <w:szCs w:val="21"/>
        </w:rPr>
      </w:pPr>
      <w:r>
        <w:rPr>
          <w:szCs w:val="21"/>
        </w:rPr>
        <w:t>---</w:t>
      </w:r>
      <w:r>
        <w:rPr>
          <w:rFonts w:hint="eastAsia"/>
          <w:szCs w:val="21"/>
        </w:rPr>
        <w:t xml:space="preserve">距第 </w:t>
      </w:r>
      <w:r>
        <w:rPr>
          <w:rFonts w:hint="eastAsia"/>
          <w:i/>
          <w:iCs/>
          <w:szCs w:val="21"/>
        </w:rPr>
        <w:t xml:space="preserve">i </w:t>
      </w:r>
      <w:r>
        <w:rPr>
          <w:rFonts w:hint="eastAsia"/>
          <w:szCs w:val="21"/>
        </w:rPr>
        <w:t>类车水平距离为 7.5m 处的平均辐射噪声级，dB(A)；</w:t>
      </w:r>
    </w:p>
    <w:p>
      <w:pPr>
        <w:widowControl/>
        <w:ind w:firstLine="1200" w:firstLineChars="500"/>
        <w:rPr>
          <w:szCs w:val="21"/>
        </w:rPr>
      </w:pPr>
      <w:r>
        <w:rPr>
          <w:i/>
          <w:iCs/>
        </w:rPr>
        <w:t>N</w:t>
      </w:r>
      <w:r>
        <w:rPr>
          <w:i/>
          <w:iCs/>
          <w:vertAlign w:val="subscript"/>
        </w:rPr>
        <w:t xml:space="preserve">i </w:t>
      </w:r>
      <w:r>
        <w:t>——昼间、夜间通过某预测点的第 i 类车平均小时车流量，辆/h</w:t>
      </w:r>
      <w:r>
        <w:rPr>
          <w:rFonts w:hint="eastAsia"/>
        </w:rPr>
        <w:t>；</w:t>
      </w:r>
    </w:p>
    <w:p>
      <w:pPr>
        <w:widowControl/>
        <w:ind w:firstLine="1200" w:firstLineChars="500"/>
        <w:rPr>
          <w:szCs w:val="21"/>
        </w:rPr>
      </w:pPr>
      <w:r>
        <w:rPr>
          <w:rFonts w:hint="eastAsia"/>
          <w:i/>
          <w:iCs/>
          <w:szCs w:val="21"/>
        </w:rPr>
        <w:t>V</w:t>
      </w:r>
      <w:r>
        <w:rPr>
          <w:rFonts w:hint="eastAsia"/>
          <w:i/>
          <w:iCs/>
          <w:szCs w:val="21"/>
          <w:vertAlign w:val="subscript"/>
        </w:rPr>
        <w:t>i</w:t>
      </w:r>
      <w:r>
        <w:rPr>
          <w:rFonts w:hint="eastAsia"/>
          <w:i/>
          <w:iCs/>
          <w:szCs w:val="21"/>
        </w:rPr>
        <w:t xml:space="preserve"> </w:t>
      </w:r>
      <w:r>
        <w:rPr>
          <w:i/>
          <w:iCs/>
          <w:vertAlign w:val="subscript"/>
        </w:rPr>
        <w:t xml:space="preserve"> </w:t>
      </w:r>
      <w:r>
        <w:t>——</w:t>
      </w:r>
      <w:r>
        <w:rPr>
          <w:rFonts w:hint="eastAsia"/>
          <w:szCs w:val="21"/>
        </w:rPr>
        <w:t xml:space="preserve">第 </w:t>
      </w:r>
      <w:r>
        <w:rPr>
          <w:rFonts w:hint="eastAsia"/>
          <w:i/>
          <w:iCs/>
          <w:szCs w:val="21"/>
        </w:rPr>
        <w:t>i</w:t>
      </w:r>
      <w:r>
        <w:rPr>
          <w:rFonts w:hint="eastAsia"/>
          <w:szCs w:val="21"/>
        </w:rPr>
        <w:t xml:space="preserve"> 类车的平均车速，km/h；</w:t>
      </w:r>
    </w:p>
    <w:p>
      <w:pPr>
        <w:widowControl/>
        <w:ind w:firstLine="1200" w:firstLineChars="500"/>
        <w:rPr>
          <w:szCs w:val="21"/>
        </w:rPr>
      </w:pPr>
      <w:r>
        <w:rPr>
          <w:szCs w:val="21"/>
        </w:rPr>
        <w:t>T</w:t>
      </w:r>
      <w:r>
        <w:rPr>
          <w:i/>
          <w:iCs/>
          <w:vertAlign w:val="subscript"/>
        </w:rPr>
        <w:t xml:space="preserve"> </w:t>
      </w:r>
      <w:r>
        <w:t>——</w:t>
      </w:r>
      <w:r>
        <w:rPr>
          <w:rFonts w:hint="eastAsia"/>
          <w:szCs w:val="21"/>
        </w:rPr>
        <w:t>计算等效声级的时间，</w:t>
      </w:r>
      <w:r>
        <w:rPr>
          <w:szCs w:val="21"/>
        </w:rPr>
        <w:t>1h</w:t>
      </w:r>
      <w:r>
        <w:rPr>
          <w:rFonts w:hint="eastAsia"/>
          <w:szCs w:val="21"/>
        </w:rPr>
        <w:t>；</w:t>
      </w:r>
      <w:r>
        <w:rPr>
          <w:szCs w:val="21"/>
        </w:rPr>
        <w:t xml:space="preserve"> </w:t>
      </w:r>
    </w:p>
    <w:p>
      <w:pPr>
        <w:widowControl/>
        <w:ind w:firstLine="1200" w:firstLineChars="500"/>
      </w:pPr>
      <w:r>
        <w:t>ΔL</w:t>
      </w:r>
      <w:r>
        <w:rPr>
          <w:vertAlign w:val="subscript"/>
        </w:rPr>
        <w:t>距离</w:t>
      </w:r>
      <w:r>
        <w:rPr>
          <w:szCs w:val="21"/>
        </w:rPr>
        <w:t xml:space="preserve"> ——</w:t>
      </w:r>
      <w:r>
        <w:rPr>
          <w:rFonts w:hint="eastAsia"/>
          <w:szCs w:val="21"/>
        </w:rPr>
        <w:t>距离衰减量，</w:t>
      </w:r>
      <w:r>
        <w:rPr>
          <w:szCs w:val="21"/>
        </w:rPr>
        <w:t>dB(A)</w:t>
      </w:r>
      <w:r>
        <w:rPr>
          <w:rFonts w:hint="eastAsia"/>
          <w:szCs w:val="21"/>
        </w:rPr>
        <w:t>；距离衰减量，dB(A)，</w:t>
      </w:r>
      <w:r>
        <w:rPr>
          <w:rFonts w:hint="eastAsia"/>
        </w:rPr>
        <w:t>N</w:t>
      </w:r>
      <w:r>
        <w:rPr>
          <w:rFonts w:hint="eastAsia"/>
          <w:vertAlign w:val="subscript"/>
        </w:rPr>
        <w:t>max</w:t>
      </w:r>
      <w:r>
        <w:rPr>
          <w:rFonts w:hint="eastAsia"/>
          <w:szCs w:val="21"/>
        </w:rPr>
        <w:t>小时车流量大于等于300 辆/小时：</w:t>
      </w:r>
      <w:r>
        <w:t>ΔL</w:t>
      </w:r>
      <w:r>
        <w:rPr>
          <w:vertAlign w:val="subscript"/>
        </w:rPr>
        <w:t>距离</w:t>
      </w:r>
      <w:r>
        <w:rPr>
          <w:szCs w:val="21"/>
        </w:rPr>
        <w:t>=10lg 7.5/L</w:t>
      </w:r>
      <w:r>
        <w:rPr>
          <w:szCs w:val="21"/>
          <w:vertAlign w:val="subscript"/>
        </w:rPr>
        <w:t>r</w:t>
      </w:r>
      <w:r>
        <w:rPr>
          <w:rFonts w:hint="eastAsia"/>
          <w:szCs w:val="21"/>
        </w:rPr>
        <w:t>，</w:t>
      </w:r>
      <w:r>
        <w:rPr>
          <w:rFonts w:hint="eastAsia"/>
        </w:rPr>
        <w:t>N</w:t>
      </w:r>
      <w:r>
        <w:rPr>
          <w:rFonts w:hint="eastAsia"/>
          <w:vertAlign w:val="subscript"/>
        </w:rPr>
        <w:t>max</w:t>
      </w:r>
      <w:r>
        <w:rPr>
          <w:rFonts w:hint="eastAsia"/>
          <w:szCs w:val="21"/>
        </w:rPr>
        <w:t>小时车流量小于300 辆/小时：</w:t>
      </w:r>
      <w:r>
        <w:rPr>
          <w:szCs w:val="21"/>
        </w:rPr>
        <w:t xml:space="preserve"> </w:t>
      </w:r>
      <w:r>
        <w:t>ΔL</w:t>
      </w:r>
      <w:r>
        <w:rPr>
          <w:rFonts w:hint="eastAsia"/>
          <w:szCs w:val="21"/>
          <w:vertAlign w:val="subscript"/>
        </w:rPr>
        <w:t>距离</w:t>
      </w:r>
      <w:r>
        <w:rPr>
          <w:szCs w:val="21"/>
        </w:rPr>
        <w:t>=15lg 7.5/L</w:t>
      </w:r>
      <w:r>
        <w:rPr>
          <w:szCs w:val="21"/>
          <w:vertAlign w:val="subscript"/>
        </w:rPr>
        <w:t>r</w:t>
      </w:r>
      <w:r>
        <w:t>；</w:t>
      </w:r>
      <w:r>
        <w:rPr>
          <w:rFonts w:hint="eastAsia"/>
        </w:rPr>
        <w:t>N</w:t>
      </w:r>
      <w:r>
        <w:rPr>
          <w:rFonts w:hint="eastAsia"/>
          <w:vertAlign w:val="subscript"/>
        </w:rPr>
        <w:t>max</w:t>
      </w:r>
      <w:r>
        <w:rPr>
          <w:rFonts w:hint="eastAsia"/>
        </w:rPr>
        <w:t>——最大平均小时车流量，辆/h ，同一个公路建设项目采用同一个值，取公路运营期各代表年份、各路段平均小时车流量中的最大值。</w:t>
      </w:r>
    </w:p>
    <w:p>
      <w:pPr>
        <w:widowControl/>
        <w:ind w:firstLine="1200" w:firstLineChars="500"/>
        <w:rPr>
          <w:szCs w:val="21"/>
        </w:rPr>
      </w:pPr>
      <w:r>
        <w:rPr>
          <w:rFonts w:hint="eastAsia"/>
        </w:rPr>
        <w:t>θ</w:t>
      </w:r>
      <w:r>
        <w:rPr>
          <w:szCs w:val="21"/>
        </w:rPr>
        <w:t>——</w:t>
      </w:r>
      <w:r>
        <w:rPr>
          <w:rFonts w:hint="eastAsia"/>
          <w:szCs w:val="21"/>
        </w:rPr>
        <w:t>预测点到有限长路段两端的张角，弧度，见</w:t>
      </w:r>
      <w:r>
        <w:rPr>
          <w:szCs w:val="21"/>
        </w:rPr>
        <w:fldChar w:fldCharType="begin"/>
      </w:r>
      <w:r>
        <w:rPr>
          <w:szCs w:val="21"/>
        </w:rPr>
        <w:instrText xml:space="preserve"> </w:instrText>
      </w:r>
      <w:r>
        <w:rPr>
          <w:rFonts w:hint="eastAsia"/>
          <w:szCs w:val="21"/>
        </w:rPr>
        <w:instrText xml:space="preserve">REF _Ref177218758 \r \h</w:instrText>
      </w:r>
      <w:r>
        <w:rPr>
          <w:szCs w:val="21"/>
        </w:rPr>
        <w:instrText xml:space="preserve"> </w:instrText>
      </w:r>
      <w:r>
        <w:rPr>
          <w:szCs w:val="21"/>
        </w:rPr>
        <w:fldChar w:fldCharType="separate"/>
      </w:r>
      <w:r>
        <w:rPr>
          <w:rFonts w:hint="eastAsia"/>
          <w:szCs w:val="21"/>
        </w:rPr>
        <w:t>图5.4-1</w:t>
      </w:r>
      <w:r>
        <w:rPr>
          <w:szCs w:val="21"/>
        </w:rPr>
        <w:fldChar w:fldCharType="end"/>
      </w:r>
      <w:r>
        <w:rPr>
          <w:rFonts w:hint="eastAsia"/>
          <w:szCs w:val="21"/>
        </w:rPr>
        <w:t>；</w:t>
      </w:r>
    </w:p>
    <w:p>
      <w:pPr>
        <w:pStyle w:val="105"/>
        <w:jc w:val="center"/>
        <w:rPr>
          <w:rFonts w:hint="eastAsia" w:eastAsia="宋体"/>
          <w:szCs w:val="21"/>
          <w:lang w:eastAsia="zh-CN"/>
        </w:rPr>
      </w:pPr>
    </w:p>
    <w:p>
      <w:pPr>
        <w:pStyle w:val="122"/>
      </w:pPr>
      <w:bookmarkStart w:id="466" w:name="_Ref177218758"/>
      <w:r>
        <w:rPr>
          <w:rFonts w:hint="eastAsia"/>
        </w:rPr>
        <w:t>预测点到有限长路段两端的张角</w:t>
      </w:r>
      <w:bookmarkEnd w:id="466"/>
    </w:p>
    <w:p>
      <w:pPr>
        <w:ind w:firstLine="1200" w:firstLineChars="500"/>
        <w:rPr>
          <w:rFonts w:cs="Times New Roman"/>
          <w:szCs w:val="21"/>
        </w:rPr>
      </w:pPr>
      <w:r>
        <w:rPr>
          <w:rFonts w:eastAsia="微软雅黑" w:cs="Times New Roman"/>
        </w:rPr>
        <w:t>∆</w:t>
      </w:r>
      <w:r>
        <w:rPr>
          <w:rFonts w:cs="Times New Roman"/>
        </w:rPr>
        <w:t>L ——</w:t>
      </w:r>
      <w:r>
        <w:rPr>
          <w:rFonts w:hint="eastAsia" w:cs="Times New Roman"/>
        </w:rPr>
        <w:t>由其他</w:t>
      </w:r>
      <w:r>
        <w:rPr>
          <w:rFonts w:cs="Times New Roman"/>
        </w:rPr>
        <w:t>因素引起的修正量，dB(A)</w:t>
      </w:r>
      <w:r>
        <w:rPr>
          <w:rFonts w:cs="Times New Roman"/>
          <w:szCs w:val="21"/>
        </w:rPr>
        <w:t>，可按下式计算：</w:t>
      </w:r>
    </w:p>
    <w:p>
      <w:pPr>
        <w:autoSpaceDE w:val="0"/>
        <w:autoSpaceDN w:val="0"/>
        <w:ind w:firstLine="1920" w:firstLineChars="800"/>
        <w:jc w:val="left"/>
      </w:pPr>
      <w:r>
        <w:t>ΔL=ΔL</w:t>
      </w:r>
      <w:r>
        <w:rPr>
          <w:vertAlign w:val="subscript"/>
        </w:rPr>
        <w:t>1</w:t>
      </w:r>
      <w:r>
        <w:t>-ΔL</w:t>
      </w:r>
      <w:r>
        <w:rPr>
          <w:vertAlign w:val="subscript"/>
        </w:rPr>
        <w:t>2</w:t>
      </w:r>
    </w:p>
    <w:p>
      <w:pPr>
        <w:autoSpaceDE w:val="0"/>
        <w:autoSpaceDN w:val="0"/>
        <w:ind w:firstLine="1920" w:firstLineChars="800"/>
        <w:jc w:val="left"/>
      </w:pPr>
      <w:r>
        <w:t>ΔL</w:t>
      </w:r>
      <w:r>
        <w:rPr>
          <w:vertAlign w:val="subscript"/>
        </w:rPr>
        <w:t>1</w:t>
      </w:r>
      <w:r>
        <w:t>=ΔL</w:t>
      </w:r>
      <w:r>
        <w:rPr>
          <w:vertAlign w:val="subscript"/>
        </w:rPr>
        <w:t>坡度</w:t>
      </w:r>
      <w:r>
        <w:t>+ΔL</w:t>
      </w:r>
      <w:r>
        <w:rPr>
          <w:vertAlign w:val="subscript"/>
        </w:rPr>
        <w:t>路面</w:t>
      </w:r>
    </w:p>
    <w:p>
      <w:pPr>
        <w:autoSpaceDE w:val="0"/>
        <w:autoSpaceDN w:val="0"/>
        <w:ind w:firstLine="1920" w:firstLineChars="800"/>
        <w:jc w:val="left"/>
      </w:pPr>
      <w:r>
        <w:t>ΔL</w:t>
      </w:r>
      <w:r>
        <w:rPr>
          <w:vertAlign w:val="subscript"/>
        </w:rPr>
        <w:t>2</w:t>
      </w:r>
      <w:r>
        <w:t>=A</w:t>
      </w:r>
      <w:r>
        <w:rPr>
          <w:vertAlign w:val="subscript"/>
        </w:rPr>
        <w:t>atm</w:t>
      </w:r>
      <w:r>
        <w:t>+A</w:t>
      </w:r>
      <w:r>
        <w:rPr>
          <w:vertAlign w:val="subscript"/>
        </w:rPr>
        <w:t>gr</w:t>
      </w:r>
      <w:r>
        <w:t>+A</w:t>
      </w:r>
      <w:r>
        <w:rPr>
          <w:vertAlign w:val="subscript"/>
        </w:rPr>
        <w:t>bar</w:t>
      </w:r>
      <w:r>
        <w:t>+A</w:t>
      </w:r>
      <w:r>
        <w:rPr>
          <w:rFonts w:hint="eastAsia"/>
          <w:vertAlign w:val="subscript"/>
        </w:rPr>
        <w:t>fol</w:t>
      </w:r>
    </w:p>
    <w:p>
      <w:pPr>
        <w:ind w:firstLine="480"/>
      </w:pPr>
      <w:r>
        <w:t>式中：ΔL</w:t>
      </w:r>
      <w:r>
        <w:rPr>
          <w:vertAlign w:val="subscript"/>
        </w:rPr>
        <w:t>1</w:t>
      </w:r>
      <w:r>
        <w:t>—线路因素引起的修正量，dB（A）；</w:t>
      </w:r>
    </w:p>
    <w:p>
      <w:pPr>
        <w:ind w:firstLine="1200" w:firstLineChars="500"/>
      </w:pPr>
      <w:r>
        <w:t>ΔL</w:t>
      </w:r>
      <w:r>
        <w:rPr>
          <w:vertAlign w:val="subscript"/>
        </w:rPr>
        <w:t>坡度</w:t>
      </w:r>
      <w:r>
        <w:t>—公路纵坡修正量，dB（A）；</w:t>
      </w:r>
    </w:p>
    <w:p>
      <w:pPr>
        <w:ind w:firstLine="1200" w:firstLineChars="500"/>
      </w:pPr>
      <w:r>
        <w:t>ΔL</w:t>
      </w:r>
      <w:r>
        <w:rPr>
          <w:vertAlign w:val="subscript"/>
        </w:rPr>
        <w:t>路面</w:t>
      </w:r>
      <w:r>
        <w:t>—公路路面引起的修正量，dB（A）；</w:t>
      </w:r>
    </w:p>
    <w:p>
      <w:pPr>
        <w:ind w:firstLine="1200" w:firstLineChars="500"/>
      </w:pPr>
      <w:r>
        <w:t>ΔL</w:t>
      </w:r>
      <w:r>
        <w:rPr>
          <w:vertAlign w:val="subscript"/>
        </w:rPr>
        <w:t>2</w:t>
      </w:r>
      <w:r>
        <w:t>—声波传播途径中引起的衰减量，dB（A）；</w:t>
      </w:r>
    </w:p>
    <w:p>
      <w:pPr>
        <w:ind w:firstLine="1200" w:firstLineChars="500"/>
      </w:pPr>
      <w:r>
        <w:rPr>
          <w:rFonts w:eastAsia="Times New Roman" w:cs="Times New Roman"/>
          <w:i/>
          <w:iCs/>
        </w:rPr>
        <w:t>A</w:t>
      </w:r>
      <w:r>
        <w:rPr>
          <w:rFonts w:eastAsia="Times New Roman" w:cs="Times New Roman"/>
          <w:position w:val="-1"/>
          <w:sz w:val="13"/>
          <w:szCs w:val="13"/>
        </w:rPr>
        <w:t>gr</w:t>
      </w:r>
      <w:r>
        <w:rPr>
          <w:rFonts w:eastAsia="Times New Roman" w:cs="Times New Roman"/>
        </w:rPr>
        <w:t>——</w:t>
      </w:r>
      <w:r>
        <w:t>地面吸收引起的衰减量，</w:t>
      </w:r>
      <w:r>
        <w:rPr>
          <w:rFonts w:eastAsia="Times New Roman" w:cs="Times New Roman"/>
        </w:rPr>
        <w:t>dB(A)</w:t>
      </w:r>
      <w:r>
        <w:t>；</w:t>
      </w:r>
    </w:p>
    <w:p>
      <w:pPr>
        <w:ind w:firstLine="1200" w:firstLineChars="500"/>
      </w:pPr>
      <w:r>
        <w:rPr>
          <w:rFonts w:eastAsia="Times New Roman" w:cs="Times New Roman"/>
          <w:i/>
          <w:iCs/>
        </w:rPr>
        <w:t>A</w:t>
      </w:r>
      <w:r>
        <w:rPr>
          <w:rFonts w:eastAsia="Times New Roman" w:cs="Times New Roman"/>
          <w:position w:val="-1"/>
          <w:sz w:val="13"/>
          <w:szCs w:val="13"/>
        </w:rPr>
        <w:t>bar</w:t>
      </w:r>
      <w:r>
        <w:rPr>
          <w:rFonts w:eastAsia="Times New Roman" w:cs="Times New Roman"/>
        </w:rPr>
        <w:t>——</w:t>
      </w:r>
      <w:r>
        <w:t>遮挡物引起的衰减量，</w:t>
      </w:r>
      <w:r>
        <w:rPr>
          <w:rFonts w:eastAsia="Times New Roman" w:cs="Times New Roman"/>
        </w:rPr>
        <w:t>dB(A)</w:t>
      </w:r>
      <w:r>
        <w:t>；</w:t>
      </w:r>
    </w:p>
    <w:p>
      <w:pPr>
        <w:ind w:firstLine="1200" w:firstLineChars="500"/>
      </w:pPr>
      <w:r>
        <w:rPr>
          <w:rFonts w:eastAsia="Times New Roman" w:cs="Times New Roman"/>
          <w:i/>
          <w:iCs/>
        </w:rPr>
        <w:t>A</w:t>
      </w:r>
      <w:r>
        <w:rPr>
          <w:rFonts w:eastAsia="Times New Roman" w:cs="Times New Roman"/>
          <w:position w:val="-1"/>
          <w:sz w:val="13"/>
          <w:szCs w:val="13"/>
        </w:rPr>
        <w:t>fol</w:t>
      </w:r>
      <w:r>
        <w:rPr>
          <w:rFonts w:eastAsia="Times New Roman" w:cs="Times New Roman"/>
          <w:spacing w:val="8"/>
        </w:rPr>
        <w:t>——</w:t>
      </w:r>
      <w:r>
        <w:rPr>
          <w:spacing w:val="8"/>
        </w:rPr>
        <w:t>绿化林带</w:t>
      </w:r>
      <w:r>
        <w:rPr>
          <w:rFonts w:hint="eastAsia"/>
          <w:spacing w:val="8"/>
        </w:rPr>
        <w:t>引起的</w:t>
      </w:r>
      <w:r>
        <w:rPr>
          <w:spacing w:val="8"/>
        </w:rPr>
        <w:t>衰减量，</w:t>
      </w:r>
      <w:r>
        <w:rPr>
          <w:rFonts w:eastAsia="Times New Roman" w:cs="Times New Roman"/>
        </w:rPr>
        <w:t>dB</w:t>
      </w:r>
      <w:r>
        <w:rPr>
          <w:rFonts w:eastAsia="Times New Roman" w:cs="Times New Roman"/>
          <w:spacing w:val="8"/>
        </w:rPr>
        <w:t>(A)</w:t>
      </w:r>
      <w:r>
        <w:rPr>
          <w:spacing w:val="8"/>
        </w:rPr>
        <w:t>；</w:t>
      </w:r>
    </w:p>
    <w:p>
      <w:pPr>
        <w:ind w:firstLine="1200" w:firstLineChars="500"/>
      </w:pPr>
      <w:r>
        <w:rPr>
          <w:rFonts w:eastAsia="Times New Roman" w:cs="Times New Roman"/>
          <w:i/>
          <w:iCs/>
        </w:rPr>
        <w:t>A</w:t>
      </w:r>
      <w:r>
        <w:rPr>
          <w:rFonts w:eastAsia="Times New Roman" w:cs="Times New Roman"/>
          <w:position w:val="-1"/>
          <w:sz w:val="13"/>
          <w:szCs w:val="13"/>
        </w:rPr>
        <w:t>atm</w:t>
      </w:r>
      <w:r>
        <w:rPr>
          <w:rFonts w:eastAsia="Times New Roman" w:cs="Times New Roman"/>
        </w:rPr>
        <w:t>——</w:t>
      </w:r>
      <w:r>
        <w:t>大气吸收引起的衰减量，</w:t>
      </w:r>
      <w:r>
        <w:rPr>
          <w:rFonts w:eastAsia="Times New Roman" w:cs="Times New Roman"/>
        </w:rPr>
        <w:t>dB(A)</w:t>
      </w:r>
      <w:r>
        <w:t>。</w:t>
      </w:r>
    </w:p>
    <w:p>
      <w:pPr>
        <w:ind w:firstLine="480"/>
      </w:pPr>
      <w:r>
        <w:rPr>
          <w:rFonts w:hint="eastAsia"/>
        </w:rPr>
        <w:t>（2）噪声贡献值</w:t>
      </w:r>
    </w:p>
    <w:p>
      <w:pPr>
        <w:pStyle w:val="105"/>
        <w:jc w:val="center"/>
        <w:rPr>
          <w:rFonts w:hint="eastAsia" w:eastAsia="宋体"/>
          <w:kern w:val="44"/>
          <w:szCs w:val="21"/>
          <w:lang w:eastAsia="zh-CN"/>
        </w:rPr>
      </w:pPr>
    </w:p>
    <w:p>
      <w:pPr>
        <w:ind w:firstLine="480"/>
      </w:pPr>
      <w:r>
        <w:t>式中：</w:t>
      </w:r>
      <w:r>
        <w:rPr>
          <w:rFonts w:eastAsia="Times New Roman" w:cs="Times New Roman"/>
          <w:i/>
          <w:iCs/>
        </w:rPr>
        <w:t>L</w:t>
      </w:r>
      <w:r>
        <w:rPr>
          <w:rFonts w:eastAsia="Times New Roman" w:cs="Times New Roman"/>
          <w:position w:val="-1"/>
          <w:sz w:val="13"/>
          <w:szCs w:val="13"/>
        </w:rPr>
        <w:t>Aeqg</w:t>
      </w:r>
      <w:r>
        <w:rPr>
          <w:rFonts w:eastAsia="Times New Roman" w:cs="Times New Roman"/>
        </w:rPr>
        <w:t>——</w:t>
      </w:r>
      <w:r>
        <w:t>公路建设项目声源在预测点产生的噪声贡献值，</w:t>
      </w:r>
      <w:r>
        <w:rPr>
          <w:rFonts w:eastAsia="Times New Roman" w:cs="Times New Roman"/>
        </w:rPr>
        <w:t>dB(A)</w:t>
      </w:r>
      <w:r>
        <w:t>；</w:t>
      </w:r>
    </w:p>
    <w:p>
      <w:pPr>
        <w:ind w:firstLine="1200" w:firstLineChars="500"/>
      </w:pPr>
      <w:r>
        <w:rPr>
          <w:rFonts w:eastAsia="Times New Roman" w:cs="Times New Roman"/>
          <w:i/>
          <w:iCs/>
        </w:rPr>
        <w:t>L</w:t>
      </w:r>
      <w:r>
        <w:rPr>
          <w:rFonts w:eastAsia="Times New Roman" w:cs="Times New Roman"/>
          <w:position w:val="-1"/>
          <w:sz w:val="13"/>
          <w:szCs w:val="13"/>
        </w:rPr>
        <w:t>Aeql</w:t>
      </w:r>
      <w:r>
        <w:rPr>
          <w:rFonts w:eastAsia="Times New Roman" w:cs="Times New Roman"/>
          <w:spacing w:val="16"/>
        </w:rPr>
        <w:t>——</w:t>
      </w:r>
      <w:r>
        <w:rPr>
          <w:spacing w:val="16"/>
        </w:rPr>
        <w:t>大型车的噪声贡献值，</w:t>
      </w:r>
      <w:r>
        <w:rPr>
          <w:rFonts w:eastAsia="Times New Roman" w:cs="Times New Roman"/>
        </w:rPr>
        <w:t>dB</w:t>
      </w:r>
      <w:r>
        <w:rPr>
          <w:rFonts w:eastAsia="Times New Roman" w:cs="Times New Roman"/>
          <w:spacing w:val="16"/>
        </w:rPr>
        <w:t>(A)</w:t>
      </w:r>
      <w:r>
        <w:rPr>
          <w:spacing w:val="16"/>
        </w:rPr>
        <w:t>；</w:t>
      </w:r>
      <w:r>
        <w:t xml:space="preserve"> </w:t>
      </w:r>
    </w:p>
    <w:p>
      <w:pPr>
        <w:ind w:firstLine="1200" w:firstLineChars="500"/>
        <w:rPr>
          <w:spacing w:val="5"/>
        </w:rPr>
      </w:pPr>
      <w:r>
        <w:rPr>
          <w:rFonts w:eastAsia="Times New Roman" w:cs="Times New Roman"/>
          <w:i/>
          <w:iCs/>
        </w:rPr>
        <w:t>L</w:t>
      </w:r>
      <w:r>
        <w:rPr>
          <w:rFonts w:eastAsia="Times New Roman" w:cs="Times New Roman"/>
          <w:position w:val="-1"/>
          <w:sz w:val="13"/>
          <w:szCs w:val="13"/>
        </w:rPr>
        <w:t>Aeqm</w:t>
      </w:r>
      <w:r>
        <w:rPr>
          <w:rFonts w:eastAsia="Times New Roman" w:cs="Times New Roman"/>
          <w:spacing w:val="13"/>
        </w:rPr>
        <w:t>——</w:t>
      </w:r>
      <w:r>
        <w:rPr>
          <w:spacing w:val="13"/>
        </w:rPr>
        <w:t>中型车的噪声贡献值，</w:t>
      </w:r>
      <w:r>
        <w:rPr>
          <w:rFonts w:eastAsia="Times New Roman" w:cs="Times New Roman"/>
        </w:rPr>
        <w:t>dB</w:t>
      </w:r>
      <w:r>
        <w:rPr>
          <w:rFonts w:eastAsia="Times New Roman" w:cs="Times New Roman"/>
          <w:spacing w:val="13"/>
        </w:rPr>
        <w:t>(A)</w:t>
      </w:r>
      <w:r>
        <w:rPr>
          <w:spacing w:val="13"/>
        </w:rPr>
        <w:t>；</w:t>
      </w:r>
      <w:r>
        <w:rPr>
          <w:spacing w:val="5"/>
        </w:rPr>
        <w:t xml:space="preserve"> </w:t>
      </w:r>
    </w:p>
    <w:p>
      <w:pPr>
        <w:ind w:firstLine="1200" w:firstLineChars="500"/>
      </w:pPr>
      <w:r>
        <w:rPr>
          <w:rFonts w:eastAsia="Times New Roman" w:cs="Times New Roman"/>
          <w:i/>
          <w:iCs/>
        </w:rPr>
        <w:t>L</w:t>
      </w:r>
      <w:r>
        <w:rPr>
          <w:rFonts w:eastAsia="Times New Roman" w:cs="Times New Roman"/>
          <w:position w:val="-1"/>
          <w:sz w:val="13"/>
          <w:szCs w:val="13"/>
        </w:rPr>
        <w:t>Aeqs</w:t>
      </w:r>
      <w:r>
        <w:rPr>
          <w:rFonts w:eastAsia="Times New Roman" w:cs="Times New Roman"/>
          <w:spacing w:val="16"/>
        </w:rPr>
        <w:t>——</w:t>
      </w:r>
      <w:r>
        <w:rPr>
          <w:spacing w:val="16"/>
        </w:rPr>
        <w:t>小型车的噪声贡献值，</w:t>
      </w:r>
      <w:r>
        <w:rPr>
          <w:rFonts w:eastAsia="Times New Roman" w:cs="Times New Roman"/>
        </w:rPr>
        <w:t>dB</w:t>
      </w:r>
      <w:r>
        <w:rPr>
          <w:rFonts w:eastAsia="Times New Roman" w:cs="Times New Roman"/>
          <w:spacing w:val="16"/>
        </w:rPr>
        <w:t>(A)</w:t>
      </w:r>
      <w:r>
        <w:rPr>
          <w:spacing w:val="16"/>
        </w:rPr>
        <w:t>。</w:t>
      </w:r>
    </w:p>
    <w:p>
      <w:pPr>
        <w:ind w:firstLine="480"/>
      </w:pPr>
      <w:r>
        <w:t>（3）噪声预测值：</w:t>
      </w:r>
    </w:p>
    <w:p>
      <w:pPr>
        <w:pStyle w:val="105"/>
        <w:jc w:val="center"/>
        <w:rPr>
          <w:rFonts w:hint="eastAsia" w:eastAsia="宋体"/>
          <w:szCs w:val="24"/>
          <w:lang w:eastAsia="zh-CN"/>
        </w:rPr>
      </w:pPr>
    </w:p>
    <w:p>
      <w:pPr>
        <w:ind w:firstLine="480"/>
        <w:rPr>
          <w:spacing w:val="16"/>
        </w:rPr>
      </w:pPr>
      <w:r>
        <w:t>式中：</w:t>
      </w:r>
      <w:r>
        <w:rPr>
          <w:rFonts w:eastAsia="Times New Roman" w:cs="Times New Roman"/>
          <w:i/>
          <w:iCs/>
        </w:rPr>
        <w:t>L</w:t>
      </w:r>
      <w:r>
        <w:rPr>
          <w:rFonts w:eastAsia="Times New Roman" w:cs="Times New Roman"/>
          <w:position w:val="-1"/>
          <w:sz w:val="13"/>
          <w:szCs w:val="13"/>
        </w:rPr>
        <w:t>Aeq</w:t>
      </w:r>
      <w:r>
        <w:rPr>
          <w:rFonts w:eastAsia="Times New Roman" w:cs="Times New Roman"/>
        </w:rPr>
        <w:t>——</w:t>
      </w:r>
      <w:r>
        <w:t>预测点的噪声预测值，</w:t>
      </w:r>
      <w:r>
        <w:rPr>
          <w:rFonts w:eastAsia="Times New Roman" w:cs="Times New Roman"/>
        </w:rPr>
        <w:t>dB(A)</w:t>
      </w:r>
      <w:r>
        <w:t>；</w:t>
      </w:r>
      <w:r>
        <w:rPr>
          <w:spacing w:val="16"/>
        </w:rPr>
        <w:t xml:space="preserve"> </w:t>
      </w:r>
    </w:p>
    <w:p>
      <w:pPr>
        <w:ind w:firstLine="1200" w:firstLineChars="500"/>
        <w:rPr>
          <w:spacing w:val="6"/>
        </w:rPr>
      </w:pPr>
      <w:r>
        <w:rPr>
          <w:rFonts w:eastAsia="Times New Roman" w:cs="Times New Roman"/>
          <w:i/>
          <w:iCs/>
        </w:rPr>
        <w:t>L</w:t>
      </w:r>
      <w:r>
        <w:rPr>
          <w:rFonts w:eastAsia="Times New Roman" w:cs="Times New Roman"/>
          <w:position w:val="-1"/>
          <w:sz w:val="13"/>
          <w:szCs w:val="13"/>
        </w:rPr>
        <w:t>Aeqg</w:t>
      </w:r>
      <w:r>
        <w:rPr>
          <w:rFonts w:eastAsia="Times New Roman" w:cs="Times New Roman"/>
          <w:spacing w:val="14"/>
        </w:rPr>
        <w:t>——</w:t>
      </w:r>
      <w:r>
        <w:rPr>
          <w:spacing w:val="14"/>
        </w:rPr>
        <w:t>预测点的噪声贡献值，</w:t>
      </w:r>
      <w:r>
        <w:rPr>
          <w:rFonts w:eastAsia="Times New Roman" w:cs="Times New Roman"/>
        </w:rPr>
        <w:t>dB</w:t>
      </w:r>
      <w:r>
        <w:rPr>
          <w:rFonts w:eastAsia="Times New Roman" w:cs="Times New Roman"/>
          <w:spacing w:val="14"/>
        </w:rPr>
        <w:t>(A)</w:t>
      </w:r>
      <w:r>
        <w:rPr>
          <w:spacing w:val="14"/>
        </w:rPr>
        <w:t>；</w:t>
      </w:r>
      <w:r>
        <w:rPr>
          <w:spacing w:val="6"/>
        </w:rPr>
        <w:t xml:space="preserve"> </w:t>
      </w:r>
    </w:p>
    <w:p>
      <w:pPr>
        <w:ind w:firstLine="1200" w:firstLineChars="500"/>
      </w:pPr>
      <w:r>
        <w:rPr>
          <w:rFonts w:eastAsia="Times New Roman" w:cs="Times New Roman"/>
          <w:i/>
          <w:iCs/>
        </w:rPr>
        <w:t>L</w:t>
      </w:r>
      <w:r>
        <w:rPr>
          <w:rFonts w:eastAsia="Times New Roman" w:cs="Times New Roman"/>
          <w:position w:val="-1"/>
          <w:sz w:val="13"/>
          <w:szCs w:val="13"/>
        </w:rPr>
        <w:t>Aeqb</w:t>
      </w:r>
      <w:r>
        <w:rPr>
          <w:rFonts w:eastAsia="Times New Roman" w:cs="Times New Roman"/>
          <w:spacing w:val="14"/>
        </w:rPr>
        <w:t>——</w:t>
      </w:r>
      <w:r>
        <w:rPr>
          <w:spacing w:val="14"/>
        </w:rPr>
        <w:t>预测点的背景噪声值，</w:t>
      </w:r>
      <w:r>
        <w:rPr>
          <w:rFonts w:eastAsia="Times New Roman" w:cs="Times New Roman"/>
        </w:rPr>
        <w:t>dB</w:t>
      </w:r>
      <w:r>
        <w:rPr>
          <w:rFonts w:eastAsia="Times New Roman" w:cs="Times New Roman"/>
          <w:spacing w:val="14"/>
        </w:rPr>
        <w:t>(A)</w:t>
      </w:r>
      <w:r>
        <w:rPr>
          <w:spacing w:val="14"/>
        </w:rPr>
        <w:t>。</w:t>
      </w:r>
    </w:p>
    <w:p>
      <w:pPr>
        <w:pStyle w:val="118"/>
      </w:pPr>
      <w:r>
        <w:t>修正量和衰减量的计算</w:t>
      </w:r>
    </w:p>
    <w:p>
      <w:pPr>
        <w:ind w:firstLine="480"/>
      </w:pPr>
      <w:r>
        <w:rPr>
          <w:rFonts w:hint="eastAsia"/>
        </w:rPr>
        <w:t>（1）</w:t>
      </w:r>
      <w:r>
        <w:t>线路因素引起的修正量（Δ</w:t>
      </w:r>
      <w:r>
        <w:rPr>
          <w:i/>
        </w:rPr>
        <w:t>L</w:t>
      </w:r>
      <w:r>
        <w:rPr>
          <w:i/>
          <w:vertAlign w:val="subscript"/>
        </w:rPr>
        <w:t>1</w:t>
      </w:r>
      <w:r>
        <w:t>）</w:t>
      </w:r>
    </w:p>
    <w:p>
      <w:pPr>
        <w:ind w:firstLine="480"/>
      </w:pPr>
      <w:r>
        <w:rPr>
          <w:rFonts w:hint="eastAsia" w:ascii="宋体" w:hAnsi="宋体"/>
        </w:rPr>
        <w:t>①</w:t>
      </w:r>
      <w:r>
        <w:rPr>
          <w:rFonts w:hint="eastAsia"/>
        </w:rPr>
        <w:t>公路纵坡引起的修正量</w:t>
      </w:r>
      <w:r>
        <w:t>（Δ</w:t>
      </w:r>
      <w:r>
        <w:rPr>
          <w:i/>
          <w:iCs/>
        </w:rPr>
        <w:t>L</w:t>
      </w:r>
      <w:r>
        <w:rPr>
          <w:vertAlign w:val="subscript"/>
        </w:rPr>
        <w:t>坡度</w:t>
      </w:r>
      <w:r>
        <w:t>）</w:t>
      </w:r>
    </w:p>
    <w:p>
      <w:pPr>
        <w:ind w:firstLine="480"/>
      </w:pPr>
      <w:r>
        <w:t>道路纵坡修正量Δ</w:t>
      </w:r>
      <w:r>
        <w:rPr>
          <w:i/>
          <w:iCs/>
        </w:rPr>
        <w:t>L</w:t>
      </w:r>
      <w:r>
        <w:t>坡度可按下式计算：</w:t>
      </w:r>
    </w:p>
    <w:p>
      <w:pPr>
        <w:ind w:firstLine="480"/>
        <w:jc w:val="center"/>
      </w:pPr>
      <w:r>
        <w:t>大型车：Δ</w:t>
      </w:r>
      <w:r>
        <w:rPr>
          <w:i/>
          <w:iCs/>
        </w:rPr>
        <w:t>L</w:t>
      </w:r>
      <w:r>
        <w:rPr>
          <w:vertAlign w:val="subscript"/>
        </w:rPr>
        <w:t>坡度</w:t>
      </w:r>
      <w:r>
        <w:t>=98×βdB(A)</w:t>
      </w:r>
    </w:p>
    <w:p>
      <w:pPr>
        <w:ind w:firstLine="480"/>
        <w:jc w:val="center"/>
      </w:pPr>
      <w:r>
        <w:t>中型车：Δ</w:t>
      </w:r>
      <w:r>
        <w:rPr>
          <w:i/>
          <w:iCs/>
        </w:rPr>
        <w:t>L</w:t>
      </w:r>
      <w:r>
        <w:rPr>
          <w:vertAlign w:val="subscript"/>
        </w:rPr>
        <w:t>坡度</w:t>
      </w:r>
      <w:r>
        <w:t>=73×βdB(A)</w:t>
      </w:r>
    </w:p>
    <w:p>
      <w:pPr>
        <w:ind w:firstLine="480"/>
        <w:jc w:val="center"/>
      </w:pPr>
      <w:r>
        <w:t>小型车：Δ</w:t>
      </w:r>
      <w:r>
        <w:rPr>
          <w:i/>
        </w:rPr>
        <w:t>L</w:t>
      </w:r>
      <w:r>
        <w:rPr>
          <w:vertAlign w:val="subscript"/>
        </w:rPr>
        <w:t>坡度</w:t>
      </w:r>
      <w:r>
        <w:t>=50×βdB(A)</w:t>
      </w:r>
    </w:p>
    <w:p>
      <w:pPr>
        <w:ind w:firstLine="480"/>
      </w:pPr>
      <w:r>
        <w:t>式中：β——道路纵坡坡度，%。</w:t>
      </w:r>
    </w:p>
    <w:p>
      <w:pPr>
        <w:ind w:firstLine="480"/>
      </w:pPr>
      <w:r>
        <w:rPr>
          <w:rFonts w:hint="eastAsia" w:ascii="宋体" w:hAnsi="宋体"/>
        </w:rPr>
        <w:t>②</w:t>
      </w:r>
      <w:r>
        <w:t>路面修正量（Δ</w:t>
      </w:r>
      <w:r>
        <w:rPr>
          <w:i/>
        </w:rPr>
        <w:t>L</w:t>
      </w:r>
      <w:r>
        <w:rPr>
          <w:vertAlign w:val="subscript"/>
        </w:rPr>
        <w:t>路面</w:t>
      </w:r>
      <w:r>
        <w:t>）</w:t>
      </w:r>
      <w:r>
        <w:rPr>
          <w:rFonts w:hint="eastAsia"/>
        </w:rPr>
        <w:t>：</w:t>
      </w:r>
      <w:r>
        <w:t>不同路面的噪声修正量见</w:t>
      </w:r>
      <w:r>
        <w:fldChar w:fldCharType="begin"/>
      </w:r>
      <w:r>
        <w:instrText xml:space="preserve"> REF _Ref145142109 \r \h  \* MERGEFORMAT </w:instrText>
      </w:r>
      <w:r>
        <w:fldChar w:fldCharType="separate"/>
      </w:r>
      <w:r>
        <w:rPr>
          <w:rFonts w:hint="eastAsia"/>
        </w:rPr>
        <w:t>表5.4-2</w:t>
      </w:r>
      <w:r>
        <w:fldChar w:fldCharType="end"/>
      </w:r>
      <w:r>
        <w:t>。</w:t>
      </w:r>
    </w:p>
    <w:p>
      <w:pPr>
        <w:pStyle w:val="87"/>
        <w:spacing w:before="163"/>
      </w:pPr>
      <w:bookmarkStart w:id="467" w:name="_Ref145142109"/>
      <w:r>
        <w:t>常见路面噪声修正量   单位：dB（A）</w:t>
      </w:r>
      <w:bookmarkEnd w:id="467"/>
    </w:p>
    <w:tbl>
      <w:tblPr>
        <w:tblStyle w:val="15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81"/>
        <w:gridCol w:w="2234"/>
        <w:gridCol w:w="2234"/>
        <w:gridCol w:w="22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51" w:type="pct"/>
            <w:vMerge w:val="restart"/>
            <w:tcMar>
              <w:left w:w="57" w:type="dxa"/>
              <w:right w:w="57" w:type="dxa"/>
            </w:tcMar>
            <w:vAlign w:val="center"/>
          </w:tcPr>
          <w:p>
            <w:pPr>
              <w:pStyle w:val="105"/>
              <w:widowControl w:val="0"/>
              <w:jc w:val="center"/>
            </w:pPr>
            <w:r>
              <w:t>路面类型</w:t>
            </w:r>
          </w:p>
        </w:tc>
        <w:tc>
          <w:tcPr>
            <w:tcW w:w="3649" w:type="pct"/>
            <w:gridSpan w:val="3"/>
            <w:tcMar>
              <w:left w:w="57" w:type="dxa"/>
              <w:right w:w="57" w:type="dxa"/>
            </w:tcMar>
            <w:vAlign w:val="center"/>
          </w:tcPr>
          <w:p>
            <w:pPr>
              <w:pStyle w:val="105"/>
              <w:widowControl w:val="0"/>
              <w:jc w:val="center"/>
            </w:pPr>
            <w:r>
              <w:t>不同行驶速度修正量km/h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51" w:type="pct"/>
            <w:vMerge w:val="continue"/>
            <w:tcMar>
              <w:left w:w="57" w:type="dxa"/>
              <w:right w:w="57" w:type="dxa"/>
            </w:tcMar>
            <w:vAlign w:val="center"/>
          </w:tcPr>
          <w:p>
            <w:pPr>
              <w:pStyle w:val="105"/>
              <w:widowControl w:val="0"/>
              <w:jc w:val="center"/>
            </w:pPr>
          </w:p>
        </w:tc>
        <w:tc>
          <w:tcPr>
            <w:tcW w:w="1216" w:type="pct"/>
            <w:tcMar>
              <w:left w:w="57" w:type="dxa"/>
              <w:right w:w="57" w:type="dxa"/>
            </w:tcMar>
            <w:vAlign w:val="center"/>
          </w:tcPr>
          <w:p>
            <w:pPr>
              <w:pStyle w:val="105"/>
              <w:widowControl w:val="0"/>
              <w:jc w:val="center"/>
            </w:pPr>
            <w:r>
              <w:t>30</w:t>
            </w:r>
          </w:p>
        </w:tc>
        <w:tc>
          <w:tcPr>
            <w:tcW w:w="1216" w:type="pct"/>
            <w:tcMar>
              <w:left w:w="57" w:type="dxa"/>
              <w:right w:w="57" w:type="dxa"/>
            </w:tcMar>
            <w:vAlign w:val="center"/>
          </w:tcPr>
          <w:p>
            <w:pPr>
              <w:pStyle w:val="105"/>
              <w:widowControl w:val="0"/>
              <w:jc w:val="center"/>
            </w:pPr>
            <w:r>
              <w:t>40</w:t>
            </w:r>
          </w:p>
        </w:tc>
        <w:tc>
          <w:tcPr>
            <w:tcW w:w="1217" w:type="pct"/>
            <w:tcMar>
              <w:left w:w="57" w:type="dxa"/>
              <w:right w:w="57" w:type="dxa"/>
            </w:tcMar>
            <w:vAlign w:val="center"/>
          </w:tcPr>
          <w:p>
            <w:pPr>
              <w:pStyle w:val="105"/>
              <w:widowControl w:val="0"/>
              <w:jc w:val="center"/>
            </w:pPr>
            <w: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51" w:type="pct"/>
            <w:tcMar>
              <w:left w:w="57" w:type="dxa"/>
              <w:right w:w="57" w:type="dxa"/>
            </w:tcMar>
            <w:vAlign w:val="center"/>
          </w:tcPr>
          <w:p>
            <w:pPr>
              <w:pStyle w:val="105"/>
              <w:widowControl w:val="0"/>
              <w:jc w:val="center"/>
            </w:pPr>
            <w:r>
              <w:rPr>
                <w:rFonts w:hint="eastAsia"/>
              </w:rPr>
              <w:t>普通沥青混凝土</w:t>
            </w:r>
          </w:p>
        </w:tc>
        <w:tc>
          <w:tcPr>
            <w:tcW w:w="1216" w:type="pct"/>
            <w:tcMar>
              <w:left w:w="57" w:type="dxa"/>
              <w:right w:w="57" w:type="dxa"/>
            </w:tcMar>
            <w:vAlign w:val="center"/>
          </w:tcPr>
          <w:p>
            <w:pPr>
              <w:pStyle w:val="105"/>
              <w:widowControl w:val="0"/>
              <w:jc w:val="center"/>
            </w:pPr>
            <w:r>
              <w:t>0</w:t>
            </w:r>
          </w:p>
        </w:tc>
        <w:tc>
          <w:tcPr>
            <w:tcW w:w="1216" w:type="pct"/>
            <w:tcMar>
              <w:left w:w="57" w:type="dxa"/>
              <w:right w:w="57" w:type="dxa"/>
            </w:tcMar>
            <w:vAlign w:val="center"/>
          </w:tcPr>
          <w:p>
            <w:pPr>
              <w:pStyle w:val="105"/>
              <w:widowControl w:val="0"/>
              <w:jc w:val="center"/>
            </w:pPr>
            <w:r>
              <w:t>0</w:t>
            </w:r>
          </w:p>
        </w:tc>
        <w:tc>
          <w:tcPr>
            <w:tcW w:w="1217" w:type="pct"/>
            <w:tcMar>
              <w:left w:w="57" w:type="dxa"/>
              <w:right w:w="57" w:type="dxa"/>
            </w:tcMar>
            <w:vAlign w:val="center"/>
          </w:tcPr>
          <w:p>
            <w:pPr>
              <w:pStyle w:val="105"/>
              <w:widowControl w:val="0"/>
              <w:jc w:val="center"/>
            </w:pPr>
            <w: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51" w:type="pct"/>
            <w:tcMar>
              <w:left w:w="57" w:type="dxa"/>
              <w:right w:w="57" w:type="dxa"/>
            </w:tcMar>
            <w:vAlign w:val="center"/>
          </w:tcPr>
          <w:p>
            <w:pPr>
              <w:pStyle w:val="105"/>
              <w:widowControl w:val="0"/>
              <w:jc w:val="center"/>
            </w:pPr>
            <w:r>
              <w:rPr>
                <w:rFonts w:hint="eastAsia"/>
              </w:rPr>
              <w:t>普通水泥混凝土</w:t>
            </w:r>
          </w:p>
        </w:tc>
        <w:tc>
          <w:tcPr>
            <w:tcW w:w="1216" w:type="pct"/>
            <w:tcMar>
              <w:left w:w="57" w:type="dxa"/>
              <w:right w:w="57" w:type="dxa"/>
            </w:tcMar>
            <w:vAlign w:val="center"/>
          </w:tcPr>
          <w:p>
            <w:pPr>
              <w:pStyle w:val="105"/>
              <w:widowControl w:val="0"/>
              <w:jc w:val="center"/>
            </w:pPr>
            <w:r>
              <w:t>+1.0</w:t>
            </w:r>
          </w:p>
        </w:tc>
        <w:tc>
          <w:tcPr>
            <w:tcW w:w="1216" w:type="pct"/>
            <w:tcMar>
              <w:left w:w="57" w:type="dxa"/>
              <w:right w:w="57" w:type="dxa"/>
            </w:tcMar>
            <w:vAlign w:val="center"/>
          </w:tcPr>
          <w:p>
            <w:pPr>
              <w:pStyle w:val="105"/>
              <w:widowControl w:val="0"/>
              <w:jc w:val="center"/>
            </w:pPr>
            <w:r>
              <w:t>+1.5</w:t>
            </w:r>
          </w:p>
        </w:tc>
        <w:tc>
          <w:tcPr>
            <w:tcW w:w="1217" w:type="pct"/>
            <w:tcMar>
              <w:left w:w="57" w:type="dxa"/>
              <w:right w:w="57" w:type="dxa"/>
            </w:tcMar>
            <w:vAlign w:val="center"/>
          </w:tcPr>
          <w:p>
            <w:pPr>
              <w:pStyle w:val="105"/>
              <w:widowControl w:val="0"/>
              <w:jc w:val="center"/>
            </w:pPr>
            <w: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51" w:type="pct"/>
            <w:tcMar>
              <w:left w:w="57" w:type="dxa"/>
              <w:right w:w="57" w:type="dxa"/>
            </w:tcMar>
            <w:vAlign w:val="center"/>
          </w:tcPr>
          <w:p>
            <w:pPr>
              <w:pStyle w:val="105"/>
              <w:widowControl w:val="0"/>
              <w:jc w:val="center"/>
            </w:pPr>
            <w:r>
              <w:rPr>
                <w:rFonts w:hint="eastAsia"/>
              </w:rPr>
              <w:t>低噪声路面</w:t>
            </w:r>
          </w:p>
        </w:tc>
        <w:tc>
          <w:tcPr>
            <w:tcW w:w="3649" w:type="pct"/>
            <w:gridSpan w:val="3"/>
            <w:tcMar>
              <w:left w:w="57" w:type="dxa"/>
              <w:right w:w="57" w:type="dxa"/>
            </w:tcMar>
            <w:vAlign w:val="center"/>
          </w:tcPr>
          <w:p>
            <w:pPr>
              <w:pStyle w:val="105"/>
              <w:widowControl w:val="0"/>
              <w:jc w:val="left"/>
            </w:pPr>
            <w:r>
              <w:rPr>
                <w:rFonts w:hint="eastAsia"/>
                <w:sz w:val="20"/>
                <w:szCs w:val="24"/>
              </w:rPr>
              <w:t>单层低噪声路面对应普通沥青混凝土路面或普通水泥混凝土路面，可做-1 dB(A)~-3 dB（A）修正（设计车速较高时，取较大修正量），多层或其他新型低噪声路面修正量可根据工程验证的研究成果适当增加。</w:t>
            </w:r>
          </w:p>
        </w:tc>
      </w:tr>
    </w:tbl>
    <w:p>
      <w:pPr>
        <w:pStyle w:val="124"/>
        <w:spacing w:before="163"/>
      </w:pPr>
      <w:r>
        <w:rPr>
          <w:rFonts w:hint="eastAsia"/>
        </w:rPr>
        <w:t>（2）</w:t>
      </w:r>
      <w:r>
        <w:t>声波传播途径中引起的衰减量</w:t>
      </w:r>
      <w:r>
        <w:rPr>
          <w:rFonts w:hint="eastAsia"/>
        </w:rPr>
        <w:t>（</w:t>
      </w:r>
      <w:r>
        <w:t>Δ</w:t>
      </w:r>
      <w:r>
        <w:rPr>
          <w:i/>
        </w:rPr>
        <w:t>L</w:t>
      </w:r>
      <w:r>
        <w:rPr>
          <w:vertAlign w:val="subscript"/>
        </w:rPr>
        <w:t>2</w:t>
      </w:r>
      <w:r>
        <w:rPr>
          <w:rFonts w:hint="eastAsia"/>
          <w:vertAlign w:val="subscript"/>
        </w:rPr>
        <w:t>）</w:t>
      </w:r>
    </w:p>
    <w:p>
      <w:pPr>
        <w:autoSpaceDE w:val="0"/>
        <w:autoSpaceDN w:val="0"/>
        <w:spacing w:line="300" w:lineRule="auto"/>
        <w:ind w:firstLine="480"/>
      </w:pPr>
      <w:r>
        <w:rPr>
          <w:rFonts w:hint="eastAsia"/>
        </w:rPr>
        <w:t>①</w:t>
      </w:r>
      <w:r>
        <w:t>大气吸收引起的衰减（</w:t>
      </w:r>
      <w:r>
        <w:rPr>
          <w:i/>
          <w:iCs/>
        </w:rPr>
        <w:t>A</w:t>
      </w:r>
      <w:r>
        <w:rPr>
          <w:i/>
          <w:iCs/>
          <w:vertAlign w:val="subscript"/>
        </w:rPr>
        <w:t>atm</w:t>
      </w:r>
      <w:r>
        <w:t>）</w:t>
      </w:r>
      <w:r>
        <w:rPr>
          <w:rFonts w:hint="eastAsia"/>
        </w:rPr>
        <w:t>：大</w:t>
      </w:r>
      <w:r>
        <w:t>气吸收引起的衰减按下式计算：</w:t>
      </w:r>
    </w:p>
    <w:p>
      <w:pPr>
        <w:autoSpaceDE w:val="0"/>
        <w:autoSpaceDN w:val="0"/>
        <w:spacing w:line="300" w:lineRule="auto"/>
        <w:ind w:firstLine="480"/>
        <w:jc w:val="center"/>
        <w:rPr>
          <w:rFonts w:hint="eastAsia" w:eastAsia="宋体"/>
          <w:lang w:eastAsia="zh-CN"/>
        </w:rPr>
      </w:pPr>
    </w:p>
    <w:p>
      <w:pPr>
        <w:ind w:firstLine="480"/>
      </w:pPr>
      <w:r>
        <w:t>式中：</w:t>
      </w:r>
      <w:r>
        <w:rPr>
          <w:i/>
          <w:iCs/>
        </w:rPr>
        <w:t>A</w:t>
      </w:r>
      <w:r>
        <w:rPr>
          <w:i/>
          <w:iCs/>
          <w:vertAlign w:val="subscript"/>
        </w:rPr>
        <w:t>atm</w:t>
      </w:r>
      <w:r>
        <w:t>—大气吸收引起的衰减，dB；</w:t>
      </w:r>
    </w:p>
    <w:p>
      <w:pPr>
        <w:ind w:firstLine="1200" w:firstLineChars="500"/>
      </w:pPr>
      <w:r>
        <w:rPr>
          <w:i/>
          <w:iCs/>
        </w:rPr>
        <w:t>α</w:t>
      </w:r>
      <w:r>
        <w:t>—与温度、湿度和声波频率有关的大气吸收衰减系数，预测计算中一般根据建设项目所处区域常年平均气温和湿度选择相应的大气吸收衰减系数（</w:t>
      </w:r>
      <w:r>
        <w:fldChar w:fldCharType="begin"/>
      </w:r>
      <w:r>
        <w:instrText xml:space="preserve"> REF _Ref144455060 \r \h  \* MERGEFORMAT </w:instrText>
      </w:r>
      <w:r>
        <w:fldChar w:fldCharType="separate"/>
      </w:r>
      <w:r>
        <w:rPr>
          <w:rFonts w:hint="eastAsia"/>
        </w:rPr>
        <w:t>表5.4-3</w:t>
      </w:r>
      <w:r>
        <w:fldChar w:fldCharType="end"/>
      </w:r>
      <w:r>
        <w:t>）；</w:t>
      </w:r>
    </w:p>
    <w:p>
      <w:pPr>
        <w:autoSpaceDE w:val="0"/>
        <w:autoSpaceDN w:val="0"/>
        <w:spacing w:line="300" w:lineRule="auto"/>
        <w:ind w:firstLine="1200" w:firstLineChars="500"/>
      </w:pPr>
      <w:r>
        <w:rPr>
          <w:i/>
          <w:iCs/>
        </w:rPr>
        <w:t>r</w:t>
      </w:r>
      <w:r>
        <w:t>—预测点距声源的距离</w:t>
      </w:r>
      <w:r>
        <w:rPr>
          <w:rFonts w:hint="eastAsia"/>
        </w:rPr>
        <w:t>，m</w:t>
      </w:r>
      <w:r>
        <w:t>；</w:t>
      </w:r>
    </w:p>
    <w:p>
      <w:pPr>
        <w:autoSpaceDE w:val="0"/>
        <w:autoSpaceDN w:val="0"/>
        <w:spacing w:line="300" w:lineRule="auto"/>
        <w:ind w:firstLine="1200" w:firstLineChars="500"/>
      </w:pPr>
      <w:r>
        <w:rPr>
          <w:i/>
          <w:iCs/>
        </w:rPr>
        <w:t>r</w:t>
      </w:r>
      <w:r>
        <w:rPr>
          <w:i/>
          <w:iCs/>
          <w:vertAlign w:val="subscript"/>
        </w:rPr>
        <w:t>0</w:t>
      </w:r>
      <w:r>
        <w:t>—</w:t>
      </w:r>
      <w:r>
        <w:rPr>
          <w:rFonts w:hint="eastAsia"/>
        </w:rPr>
        <w:t>参照点距声源的距离，m。</w:t>
      </w:r>
    </w:p>
    <w:p>
      <w:pPr>
        <w:autoSpaceDE w:val="0"/>
        <w:autoSpaceDN w:val="0"/>
        <w:spacing w:line="300" w:lineRule="auto"/>
        <w:ind w:firstLine="1200" w:firstLineChars="500"/>
      </w:pPr>
    </w:p>
    <w:p>
      <w:pPr>
        <w:autoSpaceDE w:val="0"/>
        <w:autoSpaceDN w:val="0"/>
        <w:spacing w:line="300" w:lineRule="auto"/>
        <w:ind w:firstLine="1200" w:firstLineChars="500"/>
      </w:pPr>
    </w:p>
    <w:p>
      <w:pPr>
        <w:autoSpaceDE w:val="0"/>
        <w:autoSpaceDN w:val="0"/>
        <w:spacing w:line="300" w:lineRule="auto"/>
        <w:ind w:firstLine="1200" w:firstLineChars="500"/>
      </w:pPr>
    </w:p>
    <w:p>
      <w:pPr>
        <w:autoSpaceDE w:val="0"/>
        <w:autoSpaceDN w:val="0"/>
        <w:spacing w:line="300" w:lineRule="auto"/>
        <w:ind w:firstLine="1200" w:firstLineChars="500"/>
      </w:pPr>
    </w:p>
    <w:p>
      <w:pPr>
        <w:autoSpaceDE w:val="0"/>
        <w:autoSpaceDN w:val="0"/>
        <w:spacing w:line="300" w:lineRule="auto"/>
        <w:ind w:firstLine="1200" w:firstLineChars="500"/>
      </w:pPr>
    </w:p>
    <w:p>
      <w:pPr>
        <w:autoSpaceDE w:val="0"/>
        <w:autoSpaceDN w:val="0"/>
        <w:spacing w:line="300" w:lineRule="auto"/>
        <w:ind w:firstLine="1200" w:firstLineChars="500"/>
      </w:pPr>
    </w:p>
    <w:p>
      <w:pPr>
        <w:autoSpaceDE w:val="0"/>
        <w:autoSpaceDN w:val="0"/>
        <w:spacing w:line="300" w:lineRule="auto"/>
        <w:ind w:firstLine="1200" w:firstLineChars="500"/>
      </w:pPr>
    </w:p>
    <w:p>
      <w:pPr>
        <w:pStyle w:val="87"/>
        <w:spacing w:before="163"/>
      </w:pPr>
      <w:bookmarkStart w:id="468" w:name="_Ref144455060"/>
      <w:r>
        <w:t>倍频带噪声的大气吸收衰减系数</w:t>
      </w:r>
      <w:bookmarkEnd w:id="468"/>
    </w:p>
    <w:tbl>
      <w:tblPr>
        <w:tblStyle w:val="24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56"/>
        <w:gridCol w:w="1219"/>
        <w:gridCol w:w="887"/>
        <w:gridCol w:w="887"/>
        <w:gridCol w:w="887"/>
        <w:gridCol w:w="887"/>
        <w:gridCol w:w="887"/>
        <w:gridCol w:w="887"/>
        <w:gridCol w:w="887"/>
        <w:gridCol w:w="8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17" w:type="pct"/>
            <w:vMerge w:val="restart"/>
            <w:vAlign w:val="center"/>
          </w:tcPr>
          <w:p>
            <w:pPr>
              <w:pStyle w:val="105"/>
              <w:jc w:val="center"/>
            </w:pPr>
            <w:r>
              <w:t>温度</w:t>
            </w:r>
          </w:p>
          <w:p>
            <w:pPr>
              <w:pStyle w:val="105"/>
              <w:jc w:val="center"/>
            </w:pPr>
            <w:r>
              <w:rPr>
                <w:rFonts w:hint="eastAsia"/>
              </w:rPr>
              <w:t>℃</w:t>
            </w:r>
          </w:p>
        </w:tc>
        <w:tc>
          <w:tcPr>
            <w:tcW w:w="672" w:type="pct"/>
            <w:vMerge w:val="restart"/>
            <w:vAlign w:val="center"/>
          </w:tcPr>
          <w:p>
            <w:pPr>
              <w:pStyle w:val="105"/>
              <w:jc w:val="center"/>
            </w:pPr>
            <w:r>
              <w:t>相对湿度</w:t>
            </w:r>
          </w:p>
          <w:p>
            <w:pPr>
              <w:pStyle w:val="105"/>
              <w:jc w:val="center"/>
            </w:pPr>
            <w:r>
              <w:t>%</w:t>
            </w:r>
          </w:p>
        </w:tc>
        <w:tc>
          <w:tcPr>
            <w:tcW w:w="3912" w:type="pct"/>
            <w:gridSpan w:val="8"/>
            <w:vAlign w:val="center"/>
          </w:tcPr>
          <w:p>
            <w:pPr>
              <w:pStyle w:val="105"/>
              <w:jc w:val="center"/>
            </w:pPr>
            <w:r>
              <w:t>大气吸收衰减系数α，dB/km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17" w:type="pct"/>
            <w:vMerge w:val="continue"/>
            <w:vAlign w:val="center"/>
          </w:tcPr>
          <w:p>
            <w:pPr>
              <w:pStyle w:val="105"/>
              <w:jc w:val="center"/>
            </w:pPr>
          </w:p>
        </w:tc>
        <w:tc>
          <w:tcPr>
            <w:tcW w:w="672" w:type="pct"/>
            <w:vMerge w:val="continue"/>
            <w:vAlign w:val="center"/>
          </w:tcPr>
          <w:p>
            <w:pPr>
              <w:pStyle w:val="105"/>
              <w:jc w:val="center"/>
            </w:pPr>
          </w:p>
        </w:tc>
        <w:tc>
          <w:tcPr>
            <w:tcW w:w="3912" w:type="pct"/>
            <w:gridSpan w:val="8"/>
            <w:vAlign w:val="center"/>
          </w:tcPr>
          <w:p>
            <w:pPr>
              <w:pStyle w:val="105"/>
              <w:jc w:val="center"/>
            </w:pPr>
            <w:r>
              <w:t>倍频带中心频率Hz</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17" w:type="pct"/>
            <w:vMerge w:val="continue"/>
            <w:vAlign w:val="center"/>
          </w:tcPr>
          <w:p>
            <w:pPr>
              <w:pStyle w:val="105"/>
              <w:jc w:val="center"/>
            </w:pPr>
          </w:p>
        </w:tc>
        <w:tc>
          <w:tcPr>
            <w:tcW w:w="672" w:type="pct"/>
            <w:vMerge w:val="continue"/>
            <w:vAlign w:val="center"/>
          </w:tcPr>
          <w:p>
            <w:pPr>
              <w:pStyle w:val="105"/>
              <w:jc w:val="center"/>
            </w:pPr>
          </w:p>
        </w:tc>
        <w:tc>
          <w:tcPr>
            <w:tcW w:w="489" w:type="pct"/>
            <w:vAlign w:val="center"/>
          </w:tcPr>
          <w:p>
            <w:pPr>
              <w:pStyle w:val="105"/>
              <w:jc w:val="center"/>
            </w:pPr>
            <w:r>
              <w:t>63</w:t>
            </w:r>
          </w:p>
        </w:tc>
        <w:tc>
          <w:tcPr>
            <w:tcW w:w="489" w:type="pct"/>
            <w:vAlign w:val="center"/>
          </w:tcPr>
          <w:p>
            <w:pPr>
              <w:pStyle w:val="105"/>
              <w:jc w:val="center"/>
            </w:pPr>
            <w:r>
              <w:t>125</w:t>
            </w:r>
          </w:p>
        </w:tc>
        <w:tc>
          <w:tcPr>
            <w:tcW w:w="489" w:type="pct"/>
            <w:vAlign w:val="center"/>
          </w:tcPr>
          <w:p>
            <w:pPr>
              <w:pStyle w:val="105"/>
              <w:jc w:val="center"/>
            </w:pPr>
            <w:r>
              <w:t>250</w:t>
            </w:r>
          </w:p>
        </w:tc>
        <w:tc>
          <w:tcPr>
            <w:tcW w:w="489" w:type="pct"/>
            <w:vAlign w:val="center"/>
          </w:tcPr>
          <w:p>
            <w:pPr>
              <w:pStyle w:val="105"/>
              <w:jc w:val="center"/>
            </w:pPr>
            <w:r>
              <w:t>500</w:t>
            </w:r>
          </w:p>
        </w:tc>
        <w:tc>
          <w:tcPr>
            <w:tcW w:w="489" w:type="pct"/>
            <w:vAlign w:val="center"/>
          </w:tcPr>
          <w:p>
            <w:pPr>
              <w:pStyle w:val="105"/>
              <w:jc w:val="center"/>
            </w:pPr>
            <w:r>
              <w:t>1000</w:t>
            </w:r>
          </w:p>
        </w:tc>
        <w:tc>
          <w:tcPr>
            <w:tcW w:w="489" w:type="pct"/>
            <w:vAlign w:val="center"/>
          </w:tcPr>
          <w:p>
            <w:pPr>
              <w:pStyle w:val="105"/>
              <w:jc w:val="center"/>
            </w:pPr>
            <w:r>
              <w:t>2000</w:t>
            </w:r>
          </w:p>
        </w:tc>
        <w:tc>
          <w:tcPr>
            <w:tcW w:w="489" w:type="pct"/>
            <w:vAlign w:val="center"/>
          </w:tcPr>
          <w:p>
            <w:pPr>
              <w:pStyle w:val="105"/>
              <w:jc w:val="center"/>
            </w:pPr>
            <w:r>
              <w:t>4000</w:t>
            </w:r>
          </w:p>
        </w:tc>
        <w:tc>
          <w:tcPr>
            <w:tcW w:w="488" w:type="pct"/>
            <w:vAlign w:val="center"/>
          </w:tcPr>
          <w:p>
            <w:pPr>
              <w:pStyle w:val="105"/>
              <w:jc w:val="center"/>
            </w:pPr>
            <w:r>
              <w:t>8000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17" w:type="pct"/>
            <w:vAlign w:val="center"/>
          </w:tcPr>
          <w:p>
            <w:pPr>
              <w:pStyle w:val="105"/>
              <w:jc w:val="center"/>
            </w:pPr>
            <w:r>
              <w:t>10</w:t>
            </w:r>
          </w:p>
        </w:tc>
        <w:tc>
          <w:tcPr>
            <w:tcW w:w="672" w:type="pct"/>
            <w:vAlign w:val="center"/>
          </w:tcPr>
          <w:p>
            <w:pPr>
              <w:pStyle w:val="105"/>
              <w:jc w:val="center"/>
            </w:pPr>
            <w:r>
              <w:t>70</w:t>
            </w:r>
          </w:p>
        </w:tc>
        <w:tc>
          <w:tcPr>
            <w:tcW w:w="489" w:type="pct"/>
            <w:vAlign w:val="center"/>
          </w:tcPr>
          <w:p>
            <w:pPr>
              <w:pStyle w:val="105"/>
              <w:jc w:val="center"/>
            </w:pPr>
            <w:r>
              <w:t>0.1</w:t>
            </w:r>
          </w:p>
        </w:tc>
        <w:tc>
          <w:tcPr>
            <w:tcW w:w="489" w:type="pct"/>
            <w:vAlign w:val="center"/>
          </w:tcPr>
          <w:p>
            <w:pPr>
              <w:pStyle w:val="105"/>
              <w:jc w:val="center"/>
            </w:pPr>
            <w:r>
              <w:t>0.4</w:t>
            </w:r>
          </w:p>
        </w:tc>
        <w:tc>
          <w:tcPr>
            <w:tcW w:w="489" w:type="pct"/>
            <w:vAlign w:val="center"/>
          </w:tcPr>
          <w:p>
            <w:pPr>
              <w:pStyle w:val="105"/>
              <w:jc w:val="center"/>
            </w:pPr>
            <w:r>
              <w:t>1.0</w:t>
            </w:r>
          </w:p>
        </w:tc>
        <w:tc>
          <w:tcPr>
            <w:tcW w:w="489" w:type="pct"/>
            <w:vAlign w:val="center"/>
          </w:tcPr>
          <w:p>
            <w:pPr>
              <w:pStyle w:val="105"/>
              <w:jc w:val="center"/>
            </w:pPr>
            <w:r>
              <w:t>1.9</w:t>
            </w:r>
          </w:p>
        </w:tc>
        <w:tc>
          <w:tcPr>
            <w:tcW w:w="489" w:type="pct"/>
            <w:vAlign w:val="center"/>
          </w:tcPr>
          <w:p>
            <w:pPr>
              <w:pStyle w:val="105"/>
              <w:jc w:val="center"/>
            </w:pPr>
            <w:r>
              <w:t>3.7</w:t>
            </w:r>
          </w:p>
        </w:tc>
        <w:tc>
          <w:tcPr>
            <w:tcW w:w="489" w:type="pct"/>
            <w:vAlign w:val="center"/>
          </w:tcPr>
          <w:p>
            <w:pPr>
              <w:pStyle w:val="105"/>
              <w:jc w:val="center"/>
            </w:pPr>
            <w:r>
              <w:t>9.7</w:t>
            </w:r>
          </w:p>
        </w:tc>
        <w:tc>
          <w:tcPr>
            <w:tcW w:w="489" w:type="pct"/>
            <w:vAlign w:val="center"/>
          </w:tcPr>
          <w:p>
            <w:pPr>
              <w:pStyle w:val="105"/>
              <w:jc w:val="center"/>
            </w:pPr>
            <w:r>
              <w:t>32.8</w:t>
            </w:r>
          </w:p>
        </w:tc>
        <w:tc>
          <w:tcPr>
            <w:tcW w:w="488" w:type="pct"/>
            <w:vAlign w:val="center"/>
          </w:tcPr>
          <w:p>
            <w:pPr>
              <w:pStyle w:val="105"/>
              <w:jc w:val="center"/>
            </w:pPr>
            <w:r>
              <w:t>117.0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17" w:type="pct"/>
            <w:vAlign w:val="center"/>
          </w:tcPr>
          <w:p>
            <w:pPr>
              <w:pStyle w:val="105"/>
              <w:jc w:val="center"/>
            </w:pPr>
            <w:r>
              <w:t>20</w:t>
            </w:r>
          </w:p>
        </w:tc>
        <w:tc>
          <w:tcPr>
            <w:tcW w:w="672" w:type="pct"/>
            <w:vAlign w:val="center"/>
          </w:tcPr>
          <w:p>
            <w:pPr>
              <w:pStyle w:val="105"/>
              <w:jc w:val="center"/>
            </w:pPr>
            <w:r>
              <w:t>70</w:t>
            </w:r>
          </w:p>
        </w:tc>
        <w:tc>
          <w:tcPr>
            <w:tcW w:w="489" w:type="pct"/>
            <w:vAlign w:val="center"/>
          </w:tcPr>
          <w:p>
            <w:pPr>
              <w:pStyle w:val="105"/>
              <w:jc w:val="center"/>
            </w:pPr>
            <w:r>
              <w:t>0.1</w:t>
            </w:r>
          </w:p>
        </w:tc>
        <w:tc>
          <w:tcPr>
            <w:tcW w:w="489" w:type="pct"/>
            <w:vAlign w:val="center"/>
          </w:tcPr>
          <w:p>
            <w:pPr>
              <w:pStyle w:val="105"/>
              <w:jc w:val="center"/>
            </w:pPr>
            <w:r>
              <w:t>0.3</w:t>
            </w:r>
          </w:p>
        </w:tc>
        <w:tc>
          <w:tcPr>
            <w:tcW w:w="489" w:type="pct"/>
            <w:vAlign w:val="center"/>
          </w:tcPr>
          <w:p>
            <w:pPr>
              <w:pStyle w:val="105"/>
              <w:jc w:val="center"/>
            </w:pPr>
            <w:r>
              <w:t>1.1</w:t>
            </w:r>
          </w:p>
        </w:tc>
        <w:tc>
          <w:tcPr>
            <w:tcW w:w="489" w:type="pct"/>
            <w:vAlign w:val="center"/>
          </w:tcPr>
          <w:p>
            <w:pPr>
              <w:pStyle w:val="105"/>
              <w:jc w:val="center"/>
            </w:pPr>
            <w:r>
              <w:t>2.8</w:t>
            </w:r>
          </w:p>
        </w:tc>
        <w:tc>
          <w:tcPr>
            <w:tcW w:w="489" w:type="pct"/>
            <w:vAlign w:val="center"/>
          </w:tcPr>
          <w:p>
            <w:pPr>
              <w:pStyle w:val="105"/>
              <w:jc w:val="center"/>
            </w:pPr>
            <w:r>
              <w:t>5.0</w:t>
            </w:r>
          </w:p>
        </w:tc>
        <w:tc>
          <w:tcPr>
            <w:tcW w:w="489" w:type="pct"/>
            <w:vAlign w:val="center"/>
          </w:tcPr>
          <w:p>
            <w:pPr>
              <w:pStyle w:val="105"/>
              <w:jc w:val="center"/>
            </w:pPr>
            <w:r>
              <w:t>9.0</w:t>
            </w:r>
          </w:p>
        </w:tc>
        <w:tc>
          <w:tcPr>
            <w:tcW w:w="489" w:type="pct"/>
            <w:vAlign w:val="center"/>
          </w:tcPr>
          <w:p>
            <w:pPr>
              <w:pStyle w:val="105"/>
              <w:jc w:val="center"/>
            </w:pPr>
            <w:r>
              <w:t>22.9</w:t>
            </w:r>
          </w:p>
        </w:tc>
        <w:tc>
          <w:tcPr>
            <w:tcW w:w="488" w:type="pct"/>
            <w:vAlign w:val="center"/>
          </w:tcPr>
          <w:p>
            <w:pPr>
              <w:pStyle w:val="105"/>
              <w:jc w:val="center"/>
            </w:pPr>
            <w:r>
              <w:t>76.6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17" w:type="pct"/>
            <w:vAlign w:val="center"/>
          </w:tcPr>
          <w:p>
            <w:pPr>
              <w:pStyle w:val="105"/>
              <w:jc w:val="center"/>
            </w:pPr>
            <w:r>
              <w:t>30</w:t>
            </w:r>
          </w:p>
        </w:tc>
        <w:tc>
          <w:tcPr>
            <w:tcW w:w="672" w:type="pct"/>
            <w:vAlign w:val="center"/>
          </w:tcPr>
          <w:p>
            <w:pPr>
              <w:pStyle w:val="105"/>
              <w:jc w:val="center"/>
            </w:pPr>
            <w:r>
              <w:t>70</w:t>
            </w:r>
          </w:p>
        </w:tc>
        <w:tc>
          <w:tcPr>
            <w:tcW w:w="489" w:type="pct"/>
            <w:vAlign w:val="center"/>
          </w:tcPr>
          <w:p>
            <w:pPr>
              <w:pStyle w:val="105"/>
              <w:jc w:val="center"/>
            </w:pPr>
            <w:r>
              <w:t>0.1</w:t>
            </w:r>
          </w:p>
        </w:tc>
        <w:tc>
          <w:tcPr>
            <w:tcW w:w="489" w:type="pct"/>
            <w:vAlign w:val="center"/>
          </w:tcPr>
          <w:p>
            <w:pPr>
              <w:pStyle w:val="105"/>
              <w:jc w:val="center"/>
            </w:pPr>
            <w:r>
              <w:t>0.3</w:t>
            </w:r>
          </w:p>
        </w:tc>
        <w:tc>
          <w:tcPr>
            <w:tcW w:w="489" w:type="pct"/>
            <w:vAlign w:val="center"/>
          </w:tcPr>
          <w:p>
            <w:pPr>
              <w:pStyle w:val="105"/>
              <w:jc w:val="center"/>
            </w:pPr>
            <w:r>
              <w:t>1.0</w:t>
            </w:r>
          </w:p>
        </w:tc>
        <w:tc>
          <w:tcPr>
            <w:tcW w:w="489" w:type="pct"/>
            <w:vAlign w:val="center"/>
          </w:tcPr>
          <w:p>
            <w:pPr>
              <w:pStyle w:val="105"/>
              <w:jc w:val="center"/>
            </w:pPr>
            <w:r>
              <w:t>3.1</w:t>
            </w:r>
          </w:p>
        </w:tc>
        <w:tc>
          <w:tcPr>
            <w:tcW w:w="489" w:type="pct"/>
            <w:vAlign w:val="center"/>
          </w:tcPr>
          <w:p>
            <w:pPr>
              <w:pStyle w:val="105"/>
              <w:jc w:val="center"/>
            </w:pPr>
            <w:r>
              <w:t>7.4</w:t>
            </w:r>
          </w:p>
        </w:tc>
        <w:tc>
          <w:tcPr>
            <w:tcW w:w="489" w:type="pct"/>
            <w:vAlign w:val="center"/>
          </w:tcPr>
          <w:p>
            <w:pPr>
              <w:pStyle w:val="105"/>
              <w:jc w:val="center"/>
            </w:pPr>
            <w:r>
              <w:t>12.7</w:t>
            </w:r>
          </w:p>
        </w:tc>
        <w:tc>
          <w:tcPr>
            <w:tcW w:w="489" w:type="pct"/>
            <w:vAlign w:val="center"/>
          </w:tcPr>
          <w:p>
            <w:pPr>
              <w:pStyle w:val="105"/>
              <w:jc w:val="center"/>
            </w:pPr>
            <w:r>
              <w:t>23.1</w:t>
            </w:r>
          </w:p>
        </w:tc>
        <w:tc>
          <w:tcPr>
            <w:tcW w:w="488" w:type="pct"/>
            <w:vAlign w:val="center"/>
          </w:tcPr>
          <w:p>
            <w:pPr>
              <w:pStyle w:val="105"/>
              <w:jc w:val="center"/>
            </w:pPr>
            <w:r>
              <w:t>59.3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17" w:type="pct"/>
            <w:vAlign w:val="center"/>
          </w:tcPr>
          <w:p>
            <w:pPr>
              <w:pStyle w:val="105"/>
              <w:jc w:val="center"/>
            </w:pPr>
            <w:r>
              <w:t>15</w:t>
            </w:r>
          </w:p>
        </w:tc>
        <w:tc>
          <w:tcPr>
            <w:tcW w:w="672" w:type="pct"/>
            <w:vAlign w:val="center"/>
          </w:tcPr>
          <w:p>
            <w:pPr>
              <w:pStyle w:val="105"/>
              <w:jc w:val="center"/>
            </w:pPr>
            <w:r>
              <w:t>20</w:t>
            </w:r>
          </w:p>
        </w:tc>
        <w:tc>
          <w:tcPr>
            <w:tcW w:w="489" w:type="pct"/>
            <w:vAlign w:val="center"/>
          </w:tcPr>
          <w:p>
            <w:pPr>
              <w:pStyle w:val="105"/>
              <w:jc w:val="center"/>
            </w:pPr>
            <w:r>
              <w:t>0.3</w:t>
            </w:r>
          </w:p>
        </w:tc>
        <w:tc>
          <w:tcPr>
            <w:tcW w:w="489" w:type="pct"/>
            <w:vAlign w:val="center"/>
          </w:tcPr>
          <w:p>
            <w:pPr>
              <w:pStyle w:val="105"/>
              <w:jc w:val="center"/>
            </w:pPr>
            <w:r>
              <w:t>0.6</w:t>
            </w:r>
          </w:p>
        </w:tc>
        <w:tc>
          <w:tcPr>
            <w:tcW w:w="489" w:type="pct"/>
            <w:vAlign w:val="center"/>
          </w:tcPr>
          <w:p>
            <w:pPr>
              <w:pStyle w:val="105"/>
              <w:jc w:val="center"/>
            </w:pPr>
            <w:r>
              <w:t>1.2</w:t>
            </w:r>
          </w:p>
        </w:tc>
        <w:tc>
          <w:tcPr>
            <w:tcW w:w="489" w:type="pct"/>
            <w:vAlign w:val="center"/>
          </w:tcPr>
          <w:p>
            <w:pPr>
              <w:pStyle w:val="105"/>
              <w:jc w:val="center"/>
            </w:pPr>
            <w:r>
              <w:t>2.7</w:t>
            </w:r>
          </w:p>
        </w:tc>
        <w:tc>
          <w:tcPr>
            <w:tcW w:w="489" w:type="pct"/>
            <w:vAlign w:val="center"/>
          </w:tcPr>
          <w:p>
            <w:pPr>
              <w:pStyle w:val="105"/>
              <w:jc w:val="center"/>
            </w:pPr>
            <w:r>
              <w:t>8.2</w:t>
            </w:r>
          </w:p>
        </w:tc>
        <w:tc>
          <w:tcPr>
            <w:tcW w:w="489" w:type="pct"/>
            <w:vAlign w:val="center"/>
          </w:tcPr>
          <w:p>
            <w:pPr>
              <w:pStyle w:val="105"/>
              <w:jc w:val="center"/>
            </w:pPr>
            <w:r>
              <w:t>28.2</w:t>
            </w:r>
          </w:p>
        </w:tc>
        <w:tc>
          <w:tcPr>
            <w:tcW w:w="489" w:type="pct"/>
            <w:vAlign w:val="center"/>
          </w:tcPr>
          <w:p>
            <w:pPr>
              <w:pStyle w:val="105"/>
              <w:jc w:val="center"/>
            </w:pPr>
            <w:r>
              <w:t>28.8</w:t>
            </w:r>
          </w:p>
        </w:tc>
        <w:tc>
          <w:tcPr>
            <w:tcW w:w="488" w:type="pct"/>
            <w:vAlign w:val="center"/>
          </w:tcPr>
          <w:p>
            <w:pPr>
              <w:pStyle w:val="105"/>
              <w:jc w:val="center"/>
            </w:pPr>
            <w:r>
              <w:t>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17" w:type="pct"/>
            <w:vAlign w:val="center"/>
          </w:tcPr>
          <w:p>
            <w:pPr>
              <w:pStyle w:val="105"/>
              <w:jc w:val="center"/>
            </w:pPr>
            <w:r>
              <w:t>15</w:t>
            </w:r>
          </w:p>
        </w:tc>
        <w:tc>
          <w:tcPr>
            <w:tcW w:w="672" w:type="pct"/>
            <w:vAlign w:val="center"/>
          </w:tcPr>
          <w:p>
            <w:pPr>
              <w:pStyle w:val="105"/>
              <w:jc w:val="center"/>
            </w:pPr>
            <w:r>
              <w:t>50</w:t>
            </w:r>
          </w:p>
        </w:tc>
        <w:tc>
          <w:tcPr>
            <w:tcW w:w="489" w:type="pct"/>
            <w:vAlign w:val="center"/>
          </w:tcPr>
          <w:p>
            <w:pPr>
              <w:pStyle w:val="105"/>
              <w:jc w:val="center"/>
            </w:pPr>
            <w:r>
              <w:t>0.1</w:t>
            </w:r>
          </w:p>
        </w:tc>
        <w:tc>
          <w:tcPr>
            <w:tcW w:w="489" w:type="pct"/>
            <w:vAlign w:val="center"/>
          </w:tcPr>
          <w:p>
            <w:pPr>
              <w:pStyle w:val="105"/>
              <w:jc w:val="center"/>
            </w:pPr>
            <w:r>
              <w:t>0.5</w:t>
            </w:r>
          </w:p>
        </w:tc>
        <w:tc>
          <w:tcPr>
            <w:tcW w:w="489" w:type="pct"/>
            <w:vAlign w:val="center"/>
          </w:tcPr>
          <w:p>
            <w:pPr>
              <w:pStyle w:val="105"/>
              <w:jc w:val="center"/>
            </w:pPr>
            <w:r>
              <w:t>1.2</w:t>
            </w:r>
          </w:p>
        </w:tc>
        <w:tc>
          <w:tcPr>
            <w:tcW w:w="489" w:type="pct"/>
            <w:vAlign w:val="center"/>
          </w:tcPr>
          <w:p>
            <w:pPr>
              <w:pStyle w:val="105"/>
              <w:jc w:val="center"/>
            </w:pPr>
            <w:r>
              <w:t>2.2</w:t>
            </w:r>
          </w:p>
        </w:tc>
        <w:tc>
          <w:tcPr>
            <w:tcW w:w="489" w:type="pct"/>
            <w:vAlign w:val="center"/>
          </w:tcPr>
          <w:p>
            <w:pPr>
              <w:pStyle w:val="105"/>
              <w:jc w:val="center"/>
            </w:pPr>
            <w:r>
              <w:t>4.2</w:t>
            </w:r>
          </w:p>
        </w:tc>
        <w:tc>
          <w:tcPr>
            <w:tcW w:w="489" w:type="pct"/>
            <w:vAlign w:val="center"/>
          </w:tcPr>
          <w:p>
            <w:pPr>
              <w:pStyle w:val="105"/>
              <w:jc w:val="center"/>
            </w:pPr>
            <w:r>
              <w:t>10.8</w:t>
            </w:r>
          </w:p>
        </w:tc>
        <w:tc>
          <w:tcPr>
            <w:tcW w:w="489" w:type="pct"/>
            <w:vAlign w:val="center"/>
          </w:tcPr>
          <w:p>
            <w:pPr>
              <w:pStyle w:val="105"/>
              <w:jc w:val="center"/>
            </w:pPr>
            <w:r>
              <w:t>36.2</w:t>
            </w:r>
          </w:p>
        </w:tc>
        <w:tc>
          <w:tcPr>
            <w:tcW w:w="488" w:type="pct"/>
            <w:vAlign w:val="center"/>
          </w:tcPr>
          <w:p>
            <w:pPr>
              <w:pStyle w:val="105"/>
              <w:jc w:val="center"/>
            </w:pPr>
            <w:r>
              <w:t>129.0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17" w:type="pct"/>
            <w:vAlign w:val="center"/>
          </w:tcPr>
          <w:p>
            <w:pPr>
              <w:pStyle w:val="105"/>
              <w:jc w:val="center"/>
            </w:pPr>
            <w:r>
              <w:t>15</w:t>
            </w:r>
          </w:p>
        </w:tc>
        <w:tc>
          <w:tcPr>
            <w:tcW w:w="672" w:type="pct"/>
            <w:vAlign w:val="center"/>
          </w:tcPr>
          <w:p>
            <w:pPr>
              <w:pStyle w:val="105"/>
              <w:jc w:val="center"/>
            </w:pPr>
            <w:r>
              <w:t>80</w:t>
            </w:r>
          </w:p>
        </w:tc>
        <w:tc>
          <w:tcPr>
            <w:tcW w:w="489" w:type="pct"/>
            <w:vAlign w:val="center"/>
          </w:tcPr>
          <w:p>
            <w:pPr>
              <w:pStyle w:val="105"/>
              <w:jc w:val="center"/>
            </w:pPr>
            <w:r>
              <w:t>0.1</w:t>
            </w:r>
          </w:p>
        </w:tc>
        <w:tc>
          <w:tcPr>
            <w:tcW w:w="489" w:type="pct"/>
            <w:vAlign w:val="center"/>
          </w:tcPr>
          <w:p>
            <w:pPr>
              <w:pStyle w:val="105"/>
              <w:jc w:val="center"/>
            </w:pPr>
            <w:r>
              <w:t>0.3</w:t>
            </w:r>
          </w:p>
        </w:tc>
        <w:tc>
          <w:tcPr>
            <w:tcW w:w="489" w:type="pct"/>
            <w:vAlign w:val="center"/>
          </w:tcPr>
          <w:p>
            <w:pPr>
              <w:pStyle w:val="105"/>
              <w:jc w:val="center"/>
            </w:pPr>
            <w:r>
              <w:t>1.1</w:t>
            </w:r>
          </w:p>
        </w:tc>
        <w:tc>
          <w:tcPr>
            <w:tcW w:w="489" w:type="pct"/>
            <w:vAlign w:val="center"/>
          </w:tcPr>
          <w:p>
            <w:pPr>
              <w:pStyle w:val="105"/>
              <w:jc w:val="center"/>
            </w:pPr>
            <w:r>
              <w:t>2.4</w:t>
            </w:r>
          </w:p>
        </w:tc>
        <w:tc>
          <w:tcPr>
            <w:tcW w:w="489" w:type="pct"/>
            <w:vAlign w:val="center"/>
          </w:tcPr>
          <w:p>
            <w:pPr>
              <w:pStyle w:val="105"/>
              <w:jc w:val="center"/>
            </w:pPr>
            <w:r>
              <w:t>4.1</w:t>
            </w:r>
          </w:p>
        </w:tc>
        <w:tc>
          <w:tcPr>
            <w:tcW w:w="489" w:type="pct"/>
            <w:vAlign w:val="center"/>
          </w:tcPr>
          <w:p>
            <w:pPr>
              <w:pStyle w:val="105"/>
              <w:jc w:val="center"/>
            </w:pPr>
            <w:r>
              <w:t>8.3</w:t>
            </w:r>
          </w:p>
        </w:tc>
        <w:tc>
          <w:tcPr>
            <w:tcW w:w="489" w:type="pct"/>
            <w:vAlign w:val="center"/>
          </w:tcPr>
          <w:p>
            <w:pPr>
              <w:pStyle w:val="105"/>
              <w:jc w:val="center"/>
            </w:pPr>
            <w:r>
              <w:t>23.7</w:t>
            </w:r>
          </w:p>
        </w:tc>
        <w:tc>
          <w:tcPr>
            <w:tcW w:w="488" w:type="pct"/>
            <w:vAlign w:val="center"/>
          </w:tcPr>
          <w:p>
            <w:pPr>
              <w:pStyle w:val="105"/>
              <w:jc w:val="center"/>
            </w:pPr>
            <w:r>
              <w:t>82.8</w:t>
            </w:r>
          </w:p>
        </w:tc>
      </w:tr>
    </w:tbl>
    <w:p>
      <w:pPr>
        <w:pStyle w:val="124"/>
        <w:spacing w:before="163"/>
      </w:pPr>
      <w:r>
        <w:rPr>
          <w:rFonts w:hint="eastAsia"/>
        </w:rPr>
        <w:t>②地面吸收引起的衰减量</w:t>
      </w:r>
      <w:r>
        <w:t>（</w:t>
      </w:r>
      <w:r>
        <w:rPr>
          <w:i/>
        </w:rPr>
        <w:t>A</w:t>
      </w:r>
      <w:r>
        <w:rPr>
          <w:i/>
          <w:vertAlign w:val="subscript"/>
        </w:rPr>
        <w:t>gr</w:t>
      </w:r>
      <w:r>
        <w:t>）</w:t>
      </w:r>
    </w:p>
    <w:p>
      <w:pPr>
        <w:ind w:firstLine="480"/>
      </w:pPr>
      <w:r>
        <w:t>地面</w:t>
      </w:r>
      <w:r>
        <w:rPr>
          <w:rFonts w:hint="eastAsia"/>
        </w:rPr>
        <w:t>吸收引起的衰减量</w:t>
      </w:r>
      <w:r>
        <w:t>可用以下公式计算：</w:t>
      </w:r>
    </w:p>
    <w:p>
      <w:pPr>
        <w:ind w:firstLine="480"/>
        <w:jc w:val="center"/>
        <w:rPr>
          <w:rFonts w:hint="eastAsia" w:eastAsia="宋体"/>
          <w:lang w:eastAsia="zh-CN"/>
        </w:rPr>
      </w:pPr>
    </w:p>
    <w:p>
      <w:pPr>
        <w:ind w:firstLine="480"/>
      </w:pPr>
      <w:r>
        <w:t>式中：</w:t>
      </w:r>
      <w:r>
        <w:rPr>
          <w:i/>
          <w:iCs/>
        </w:rPr>
        <w:t>A</w:t>
      </w:r>
      <w:r>
        <w:rPr>
          <w:i/>
          <w:iCs/>
          <w:vertAlign w:val="subscript"/>
        </w:rPr>
        <w:t>gr</w:t>
      </w:r>
      <w:r>
        <w:t>—地面效应引起的衰减，dB；</w:t>
      </w:r>
    </w:p>
    <w:p>
      <w:pPr>
        <w:ind w:firstLine="1200" w:firstLineChars="500"/>
      </w:pPr>
      <w:r>
        <w:rPr>
          <w:i/>
        </w:rPr>
        <w:t>r</w:t>
      </w:r>
      <w:r>
        <w:t>——声源到预测点的距离，m；</w:t>
      </w:r>
    </w:p>
    <w:p>
      <w:pPr>
        <w:ind w:firstLine="1200" w:firstLineChars="500"/>
      </w:pPr>
      <w:r>
        <w:rPr>
          <w:i/>
        </w:rPr>
        <w:t>h</w:t>
      </w:r>
      <w:r>
        <w:rPr>
          <w:i/>
          <w:vertAlign w:val="subscript"/>
        </w:rPr>
        <w:t>m</w:t>
      </w:r>
      <w:r>
        <w:t>——</w:t>
      </w:r>
      <w:r>
        <w:rPr>
          <w:rFonts w:hint="eastAsia"/>
        </w:rPr>
        <w:t>传播路径的平均离地高度，m；可按图 B.2 计算，</w:t>
      </w:r>
      <w:r>
        <w:rPr>
          <w:rFonts w:hint="eastAsia"/>
          <w:i/>
          <w:iCs/>
        </w:rPr>
        <w:t>h</w:t>
      </w:r>
      <w:r>
        <w:rPr>
          <w:rFonts w:hint="eastAsia"/>
          <w:i/>
          <w:iCs/>
          <w:vertAlign w:val="subscript"/>
        </w:rPr>
        <w:t>m</w:t>
      </w:r>
      <w:r>
        <w:rPr>
          <w:rFonts w:hint="eastAsia"/>
        </w:rPr>
        <w:t>=F/r，F 为阴影面积，m</w:t>
      </w:r>
      <w:r>
        <w:rPr>
          <w:rFonts w:hint="eastAsia"/>
          <w:vertAlign w:val="superscript"/>
        </w:rPr>
        <w:t>2</w:t>
      </w:r>
      <w:r>
        <w:rPr>
          <w:rFonts w:hint="eastAsia"/>
        </w:rPr>
        <w:t xml:space="preserve">。若 </w:t>
      </w:r>
      <w:r>
        <w:rPr>
          <w:rFonts w:hint="eastAsia"/>
          <w:i/>
          <w:iCs/>
        </w:rPr>
        <w:t>A</w:t>
      </w:r>
      <w:r>
        <w:rPr>
          <w:rFonts w:hint="eastAsia"/>
          <w:i/>
          <w:iCs/>
          <w:vertAlign w:val="subscript"/>
        </w:rPr>
        <w:t>gr</w:t>
      </w:r>
      <w:r>
        <w:rPr>
          <w:rFonts w:hint="eastAsia"/>
          <w:i/>
          <w:iCs/>
        </w:rPr>
        <w:t xml:space="preserve"> </w:t>
      </w:r>
      <w:r>
        <w:rPr>
          <w:rFonts w:hint="eastAsia"/>
        </w:rPr>
        <w:t>计算出负值，则</w:t>
      </w:r>
      <w:r>
        <w:rPr>
          <w:rFonts w:hint="eastAsia"/>
          <w:i/>
          <w:iCs/>
        </w:rPr>
        <w:t>A</w:t>
      </w:r>
      <w:r>
        <w:rPr>
          <w:rFonts w:hint="eastAsia"/>
          <w:i/>
          <w:iCs/>
          <w:vertAlign w:val="subscript"/>
        </w:rPr>
        <w:t>gr</w:t>
      </w:r>
      <w:r>
        <w:rPr>
          <w:rFonts w:hint="eastAsia"/>
        </w:rPr>
        <w:t>可取 0，其他情况可参照 GB/T 17247.2 计算。</w:t>
      </w:r>
    </w:p>
    <w:p>
      <w:pPr>
        <w:ind w:firstLine="480"/>
        <w:jc w:val="center"/>
        <w:rPr>
          <w:rFonts w:hint="eastAsia" w:eastAsia="宋体"/>
          <w:lang w:eastAsia="zh-CN"/>
        </w:rPr>
      </w:pPr>
    </w:p>
    <w:p>
      <w:pPr>
        <w:pStyle w:val="122"/>
      </w:pPr>
      <w:bookmarkStart w:id="469" w:name="_Ref144455099"/>
      <w:r>
        <w:t>估计平均高度</w:t>
      </w:r>
      <w:r>
        <w:rPr>
          <w:i/>
          <w:iCs/>
        </w:rPr>
        <w:t>h</w:t>
      </w:r>
      <w:r>
        <w:rPr>
          <w:i/>
          <w:iCs/>
          <w:vertAlign w:val="subscript"/>
        </w:rPr>
        <w:t>m</w:t>
      </w:r>
      <w:r>
        <w:t>的方法</w:t>
      </w:r>
      <w:bookmarkEnd w:id="469"/>
    </w:p>
    <w:p>
      <w:pPr>
        <w:ind w:firstLine="480"/>
      </w:pPr>
      <w:r>
        <w:rPr>
          <w:rFonts w:hint="eastAsia"/>
        </w:rPr>
        <w:t>③遮挡物引起的衰减量（</w:t>
      </w:r>
      <w:r>
        <w:rPr>
          <w:rFonts w:hint="eastAsia"/>
          <w:i/>
          <w:iCs/>
        </w:rPr>
        <w:t>A</w:t>
      </w:r>
      <w:r>
        <w:rPr>
          <w:rFonts w:hint="eastAsia"/>
          <w:i/>
          <w:iCs/>
          <w:vertAlign w:val="subscript"/>
        </w:rPr>
        <w:t>bar</w:t>
      </w:r>
      <w:r>
        <w:rPr>
          <w:rFonts w:hint="eastAsia"/>
        </w:rPr>
        <w:t>）</w:t>
      </w:r>
    </w:p>
    <w:p>
      <w:pPr>
        <w:ind w:firstLine="480"/>
        <w:rPr>
          <w:i/>
          <w:iCs/>
        </w:rPr>
      </w:pPr>
      <w:r>
        <w:rPr>
          <w:rFonts w:hint="eastAsia"/>
        </w:rPr>
        <w:t>遮挡物引起的衰减量按公式计算：</w:t>
      </w:r>
      <w:r>
        <w:rPr>
          <w:i/>
          <w:iCs/>
        </w:rPr>
        <w:t>A</w:t>
      </w:r>
      <w:r>
        <w:rPr>
          <w:i/>
          <w:iCs/>
          <w:vertAlign w:val="subscript"/>
        </w:rPr>
        <w:t>bar</w:t>
      </w:r>
      <w:r>
        <w:rPr>
          <w:i/>
          <w:iCs/>
        </w:rPr>
        <w:t xml:space="preserve">=∆L </w:t>
      </w:r>
      <w:r>
        <w:rPr>
          <w:rFonts w:hint="eastAsia"/>
          <w:vertAlign w:val="subscript"/>
        </w:rPr>
        <w:t>建筑物</w:t>
      </w:r>
      <w:r>
        <w:rPr>
          <w:rFonts w:hint="eastAsia"/>
          <w:i/>
          <w:iCs/>
        </w:rPr>
        <w:t>＋</w:t>
      </w:r>
      <w:r>
        <w:rPr>
          <w:i/>
          <w:iCs/>
        </w:rPr>
        <w:t>∆L</w:t>
      </w:r>
      <w:r>
        <w:rPr>
          <w:i/>
          <w:iCs/>
          <w:vertAlign w:val="subscript"/>
        </w:rPr>
        <w:t xml:space="preserve"> </w:t>
      </w:r>
      <w:r>
        <w:rPr>
          <w:rFonts w:hint="eastAsia"/>
          <w:vertAlign w:val="subscript"/>
        </w:rPr>
        <w:t>声影区</w:t>
      </w:r>
    </w:p>
    <w:p>
      <w:pPr>
        <w:ind w:firstLine="480"/>
      </w:pPr>
      <w:r>
        <w:rPr>
          <w:rFonts w:hint="eastAsia"/>
        </w:rPr>
        <w:t>式中：</w:t>
      </w:r>
      <w:r>
        <w:rPr>
          <w:rFonts w:hint="eastAsia"/>
          <w:i/>
          <w:iCs/>
        </w:rPr>
        <w:t>A</w:t>
      </w:r>
      <w:r>
        <w:rPr>
          <w:rFonts w:hint="eastAsia"/>
          <w:i/>
          <w:iCs/>
          <w:vertAlign w:val="subscript"/>
        </w:rPr>
        <w:t>bar</w:t>
      </w:r>
      <w:r>
        <w:rPr>
          <w:rFonts w:hint="eastAsia"/>
        </w:rPr>
        <w:t>——遮挡物引起的衰减量，dB(A)；</w:t>
      </w:r>
    </w:p>
    <w:p>
      <w:pPr>
        <w:ind w:firstLine="1200" w:firstLineChars="500"/>
      </w:pPr>
      <w:r>
        <w:rPr>
          <w:i/>
          <w:iCs/>
        </w:rPr>
        <w:t xml:space="preserve">∆L </w:t>
      </w:r>
      <w:r>
        <w:rPr>
          <w:rFonts w:hint="eastAsia"/>
          <w:vertAlign w:val="subscript"/>
        </w:rPr>
        <w:t>建筑物</w:t>
      </w:r>
      <w:r>
        <w:rPr>
          <w:rFonts w:hint="eastAsia"/>
        </w:rPr>
        <w:t>——建筑物引起的衰减量，</w:t>
      </w:r>
      <w:r>
        <w:t>dB(A)</w:t>
      </w:r>
      <w:r>
        <w:rPr>
          <w:rFonts w:hint="eastAsia"/>
        </w:rPr>
        <w:t>；</w:t>
      </w:r>
    </w:p>
    <w:p>
      <w:pPr>
        <w:ind w:firstLine="1200" w:firstLineChars="500"/>
      </w:pPr>
      <w:r>
        <w:rPr>
          <w:i/>
          <w:iCs/>
        </w:rPr>
        <w:t xml:space="preserve">∆L </w:t>
      </w:r>
      <w:r>
        <w:rPr>
          <w:rFonts w:hint="eastAsia"/>
          <w:vertAlign w:val="subscript"/>
        </w:rPr>
        <w:t>声影区</w:t>
      </w:r>
      <w:r>
        <w:rPr>
          <w:rFonts w:hint="eastAsia"/>
        </w:rPr>
        <w:t>——路堤和路堑引起的衰减量，</w:t>
      </w:r>
      <w:r>
        <w:t>dB(A)</w:t>
      </w:r>
      <w:r>
        <w:rPr>
          <w:rFonts w:hint="eastAsia"/>
        </w:rPr>
        <w:t>。</w:t>
      </w:r>
    </w:p>
    <w:p>
      <w:pPr>
        <w:ind w:firstLine="480"/>
      </w:pPr>
      <w:r>
        <w:rPr>
          <w:rFonts w:hint="eastAsia"/>
        </w:rPr>
        <w:t>（3）建筑物引起的衰减量（</w:t>
      </w:r>
      <w:r>
        <w:t xml:space="preserve">∆L </w:t>
      </w:r>
      <w:r>
        <w:rPr>
          <w:rFonts w:hint="eastAsia"/>
        </w:rPr>
        <w:t>建筑物）</w:t>
      </w:r>
      <w:r>
        <w:t xml:space="preserve"> </w:t>
      </w:r>
    </w:p>
    <w:p>
      <w:pPr>
        <w:ind w:firstLine="480"/>
      </w:pPr>
      <w:r>
        <w:rPr>
          <w:rFonts w:hint="eastAsia"/>
        </w:rPr>
        <w:t>建筑物引起的衰减量可参照 GB/T 17247.2 附录 A3 计算，在沿公路第一排房屋声影区范围内，可按</w:t>
      </w:r>
      <w:r>
        <w:fldChar w:fldCharType="begin"/>
      </w:r>
      <w:r>
        <w:instrText xml:space="preserve"> </w:instrText>
      </w:r>
      <w:r>
        <w:rPr>
          <w:rFonts w:hint="eastAsia"/>
        </w:rPr>
        <w:instrText xml:space="preserve">REF _Ref177219289 \r \h</w:instrText>
      </w:r>
      <w:r>
        <w:instrText xml:space="preserve"> </w:instrText>
      </w:r>
      <w:r>
        <w:fldChar w:fldCharType="separate"/>
      </w:r>
      <w:r>
        <w:rPr>
          <w:rFonts w:hint="eastAsia"/>
        </w:rPr>
        <w:t>图5.4-3</w:t>
      </w:r>
      <w:r>
        <w:fldChar w:fldCharType="end"/>
      </w:r>
      <w:r>
        <w:rPr>
          <w:rFonts w:hint="eastAsia"/>
        </w:rPr>
        <w:t>和</w:t>
      </w:r>
      <w:r>
        <w:fldChar w:fldCharType="begin"/>
      </w:r>
      <w:r>
        <w:instrText xml:space="preserve"> </w:instrText>
      </w:r>
      <w:r>
        <w:rPr>
          <w:rFonts w:hint="eastAsia"/>
        </w:rPr>
        <w:instrText xml:space="preserve">REF _Ref177219417 \r \h</w:instrText>
      </w:r>
      <w:r>
        <w:instrText xml:space="preserve"> </w:instrText>
      </w:r>
      <w:r>
        <w:fldChar w:fldCharType="separate"/>
      </w:r>
      <w:r>
        <w:rPr>
          <w:rFonts w:hint="eastAsia"/>
        </w:rPr>
        <w:t>表5.4-4</w:t>
      </w:r>
      <w:r>
        <w:fldChar w:fldCharType="end"/>
      </w:r>
      <w:r>
        <w:rPr>
          <w:rFonts w:hint="eastAsia"/>
        </w:rPr>
        <w:t>近似计算。</w:t>
      </w:r>
    </w:p>
    <w:p>
      <w:pPr>
        <w:pStyle w:val="105"/>
        <w:jc w:val="center"/>
        <w:rPr>
          <w:rFonts w:hint="eastAsia" w:eastAsia="宋体"/>
          <w:lang w:eastAsia="zh-CN"/>
        </w:rPr>
      </w:pPr>
    </w:p>
    <w:p>
      <w:pPr>
        <w:pStyle w:val="105"/>
        <w:jc w:val="both"/>
      </w:pPr>
      <w:r>
        <w:rPr>
          <w:rFonts w:hint="eastAsia"/>
        </w:rPr>
        <w:t>注 1：第一排房屋面积 S=S</w:t>
      </w:r>
      <w:r>
        <w:rPr>
          <w:rFonts w:hint="eastAsia"/>
          <w:vertAlign w:val="subscript"/>
        </w:rPr>
        <w:t>1</w:t>
      </w:r>
      <w:r>
        <w:rPr>
          <w:rFonts w:hint="eastAsia"/>
        </w:rPr>
        <w:t>+S</w:t>
      </w:r>
      <w:r>
        <w:rPr>
          <w:rFonts w:hint="eastAsia"/>
          <w:vertAlign w:val="subscript"/>
        </w:rPr>
        <w:t>2</w:t>
      </w:r>
      <w:r>
        <w:rPr>
          <w:rFonts w:hint="eastAsia"/>
        </w:rPr>
        <w:t>+……+S</w:t>
      </w:r>
      <w:r>
        <w:rPr>
          <w:rFonts w:hint="eastAsia"/>
          <w:vertAlign w:val="subscript"/>
        </w:rPr>
        <w:t>n</w:t>
      </w:r>
    </w:p>
    <w:p>
      <w:pPr>
        <w:pStyle w:val="105"/>
        <w:jc w:val="both"/>
      </w:pPr>
      <w:r>
        <w:rPr>
          <w:rFonts w:hint="eastAsia"/>
        </w:rPr>
        <w:t>注 2：S</w:t>
      </w:r>
      <w:r>
        <w:rPr>
          <w:rFonts w:hint="eastAsia"/>
          <w:vertAlign w:val="subscript"/>
        </w:rPr>
        <w:t xml:space="preserve">0 </w:t>
      </w:r>
      <w:r>
        <w:rPr>
          <w:rFonts w:hint="eastAsia"/>
        </w:rPr>
        <w:t>为接受点对房屋张角至行车线三角形的面积</w:t>
      </w:r>
    </w:p>
    <w:p>
      <w:pPr>
        <w:pStyle w:val="122"/>
      </w:pPr>
      <w:bookmarkStart w:id="470" w:name="_Ref177219289"/>
      <w:r>
        <w:rPr>
          <w:rFonts w:hint="eastAsia"/>
        </w:rPr>
        <w:t>建筑物引起的衰减量计算示意图</w:t>
      </w:r>
      <w:bookmarkEnd w:id="470"/>
    </w:p>
    <w:p>
      <w:pPr>
        <w:pStyle w:val="87"/>
        <w:spacing w:before="163"/>
      </w:pPr>
      <w:bookmarkStart w:id="471" w:name="_Ref177219417"/>
      <w:r>
        <w:rPr>
          <w:rFonts w:hint="eastAsia"/>
        </w:rPr>
        <w:t>建筑物引起的衰减量估算值</w:t>
      </w:r>
      <w:bookmarkEnd w:id="471"/>
    </w:p>
    <w:tbl>
      <w:tblPr>
        <w:tblStyle w:val="14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pPr>
              <w:pStyle w:val="105"/>
              <w:jc w:val="center"/>
              <w:rPr>
                <w:snapToGrid w:val="0"/>
              </w:rPr>
            </w:pPr>
            <w:r>
              <w:rPr>
                <w:snapToGrid w:val="0"/>
              </w:rPr>
              <w:t>S/S</w:t>
            </w:r>
            <w:r>
              <w:rPr>
                <w:snapToGrid w:val="0"/>
                <w:vertAlign w:val="subscript"/>
              </w:rPr>
              <w:t>0</w:t>
            </w:r>
          </w:p>
        </w:tc>
        <w:tc>
          <w:tcPr>
            <w:tcW w:w="4530" w:type="dxa"/>
            <w:vAlign w:val="center"/>
          </w:tcPr>
          <w:p>
            <w:pPr>
              <w:pStyle w:val="105"/>
              <w:jc w:val="center"/>
              <w:rPr>
                <w:snapToGrid w:val="0"/>
              </w:rPr>
            </w:pPr>
            <w:r>
              <w:rPr>
                <w:rFonts w:hint="eastAsia"/>
                <w:snapToGrid w:val="0"/>
              </w:rPr>
              <w:t>衰减量</w:t>
            </w:r>
            <w:r>
              <w:rPr>
                <w:snapToGrid w:val="0"/>
              </w:rPr>
              <w:t>∆L</w:t>
            </w:r>
            <w:r>
              <w:rPr>
                <w:rFonts w:hint="eastAsia"/>
                <w:snapToGrid w:val="0"/>
                <w:vertAlign w:val="subscript"/>
              </w:rPr>
              <w:t>建筑物</w:t>
            </w:r>
            <w:r>
              <w:rPr>
                <w:snapToGrid w:val="0"/>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pPr>
              <w:pStyle w:val="105"/>
              <w:jc w:val="center"/>
              <w:rPr>
                <w:snapToGrid w:val="0"/>
              </w:rPr>
            </w:pPr>
            <w:r>
              <w:rPr>
                <w:rFonts w:hint="eastAsia"/>
                <w:snapToGrid w:val="0"/>
              </w:rPr>
              <w:t>40%~60%</w:t>
            </w:r>
          </w:p>
        </w:tc>
        <w:tc>
          <w:tcPr>
            <w:tcW w:w="4530" w:type="dxa"/>
            <w:vAlign w:val="center"/>
          </w:tcPr>
          <w:p>
            <w:pPr>
              <w:pStyle w:val="105"/>
              <w:jc w:val="center"/>
              <w:rPr>
                <w:snapToGrid w:val="0"/>
              </w:rPr>
            </w:pPr>
            <w:r>
              <w:rPr>
                <w:rFonts w:hint="eastAsia"/>
                <w:snapToGrid w:val="0"/>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pPr>
              <w:pStyle w:val="105"/>
              <w:jc w:val="center"/>
              <w:rPr>
                <w:snapToGrid w:val="0"/>
              </w:rPr>
            </w:pPr>
            <w:r>
              <w:rPr>
                <w:rFonts w:hint="eastAsia"/>
                <w:snapToGrid w:val="0"/>
              </w:rPr>
              <w:t>70%~90%</w:t>
            </w:r>
          </w:p>
        </w:tc>
        <w:tc>
          <w:tcPr>
            <w:tcW w:w="4530" w:type="dxa"/>
            <w:vAlign w:val="center"/>
          </w:tcPr>
          <w:p>
            <w:pPr>
              <w:pStyle w:val="105"/>
              <w:jc w:val="center"/>
              <w:rPr>
                <w:snapToGrid w:val="0"/>
              </w:rPr>
            </w:pPr>
            <w:r>
              <w:rPr>
                <w:rFonts w:hint="eastAsia"/>
                <w:snapToGrid w:val="0"/>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pPr>
              <w:pStyle w:val="105"/>
              <w:jc w:val="center"/>
              <w:rPr>
                <w:snapToGrid w:val="0"/>
              </w:rPr>
            </w:pPr>
            <w:r>
              <w:rPr>
                <w:rFonts w:hint="eastAsia"/>
                <w:snapToGrid w:val="0"/>
              </w:rPr>
              <w:t>以后每增加一排房屋</w:t>
            </w:r>
          </w:p>
        </w:tc>
        <w:tc>
          <w:tcPr>
            <w:tcW w:w="4530" w:type="dxa"/>
            <w:vAlign w:val="center"/>
          </w:tcPr>
          <w:p>
            <w:pPr>
              <w:pStyle w:val="105"/>
              <w:jc w:val="center"/>
              <w:rPr>
                <w:snapToGrid w:val="0"/>
              </w:rPr>
            </w:pPr>
            <w:r>
              <w:rPr>
                <w:snapToGrid w:val="0"/>
              </w:rPr>
              <w:t>1.5</w:t>
            </w:r>
            <w:r>
              <w:rPr>
                <w:rFonts w:hint="eastAsia"/>
                <w:snapToGrid w:val="0"/>
              </w:rPr>
              <w:t>最大衰减量≤10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2"/>
            <w:vAlign w:val="center"/>
          </w:tcPr>
          <w:p>
            <w:pPr>
              <w:pStyle w:val="105"/>
              <w:jc w:val="left"/>
              <w:rPr>
                <w:snapToGrid w:val="0"/>
              </w:rPr>
            </w:pPr>
            <w:r>
              <w:rPr>
                <w:rFonts w:hint="eastAsia"/>
                <w:snapToGrid w:val="0"/>
              </w:rPr>
              <w:t>注：仅适用于平路堤路侧的建筑物。</w:t>
            </w:r>
          </w:p>
        </w:tc>
      </w:tr>
    </w:tbl>
    <w:p>
      <w:pPr>
        <w:pStyle w:val="124"/>
        <w:spacing w:before="163"/>
      </w:pPr>
      <w:r>
        <w:rPr>
          <w:rFonts w:hint="eastAsia"/>
        </w:rPr>
        <w:t>（4）路堤或路堑引起的衰减量（</w:t>
      </w:r>
      <w:r>
        <w:t xml:space="preserve"> </w:t>
      </w:r>
      <w:r>
        <w:rPr>
          <w:i/>
          <w:iCs/>
        </w:rPr>
        <w:t>∆L</w:t>
      </w:r>
      <w:r>
        <w:rPr>
          <w:rFonts w:hint="eastAsia"/>
          <w:vertAlign w:val="subscript"/>
        </w:rPr>
        <w:t>声影区）</w:t>
      </w:r>
    </w:p>
    <w:p>
      <w:pPr>
        <w:ind w:firstLine="480"/>
      </w:pPr>
      <w:r>
        <w:rPr>
          <w:rFonts w:hint="eastAsia"/>
        </w:rPr>
        <w:t>当预测点位于声影区时，</w:t>
      </w:r>
      <w:r>
        <w:t xml:space="preserve">  </w:t>
      </w:r>
      <w:r>
        <w:rPr>
          <w:i/>
          <w:iCs/>
        </w:rPr>
        <w:t>∆L</w:t>
      </w:r>
      <w:r>
        <w:rPr>
          <w:rFonts w:hint="eastAsia"/>
          <w:vertAlign w:val="subscript"/>
        </w:rPr>
        <w:t>声影区</w:t>
      </w:r>
      <w:r>
        <w:rPr>
          <w:rFonts w:hint="eastAsia"/>
        </w:rPr>
        <w:t>按公式计算：</w:t>
      </w:r>
    </w:p>
    <w:p>
      <w:pPr>
        <w:ind w:firstLine="480"/>
        <w:jc w:val="center"/>
        <w:rPr>
          <w:rFonts w:hint="eastAsia" w:eastAsia="宋体"/>
          <w:lang w:eastAsia="zh-CN"/>
        </w:rPr>
      </w:pPr>
    </w:p>
    <w:p>
      <w:pPr>
        <w:ind w:firstLine="480"/>
        <w:rPr>
          <w:rFonts w:hint="eastAsia" w:eastAsia="宋体"/>
          <w:lang w:eastAsia="zh-CN"/>
        </w:rPr>
      </w:pPr>
      <w:r>
        <w:t>式中：</w:t>
      </w:r>
      <w:r>
        <w:rPr>
          <w:i/>
        </w:rPr>
        <w:t>N</w:t>
      </w:r>
      <w:r>
        <w:t>—菲涅耳数；</w:t>
      </w:r>
    </w:p>
    <w:p>
      <w:pPr>
        <w:ind w:firstLine="1200" w:firstLineChars="500"/>
      </w:pPr>
      <w:r>
        <w:rPr>
          <w:i/>
        </w:rPr>
        <w:t>λ</w:t>
      </w:r>
      <w:r>
        <w:t>—声波波长，m；</w:t>
      </w:r>
    </w:p>
    <w:p>
      <w:pPr>
        <w:ind w:firstLine="1200" w:firstLineChars="500"/>
      </w:pPr>
      <w:r>
        <w:rPr>
          <w:i/>
          <w:iCs/>
        </w:rPr>
        <w:t>δ</w:t>
      </w:r>
      <w:r>
        <w:t>—声程差，m；由</w:t>
      </w:r>
      <w:r>
        <w:fldChar w:fldCharType="begin"/>
      </w:r>
      <w:r>
        <w:instrText xml:space="preserve"> REF _Ref152319697 \r \h  \* MERGEFORMAT </w:instrText>
      </w:r>
      <w:r>
        <w:fldChar w:fldCharType="separate"/>
      </w:r>
      <w:r>
        <w:rPr>
          <w:rFonts w:hint="eastAsia"/>
        </w:rPr>
        <w:t>图5.4-4</w:t>
      </w:r>
      <w:r>
        <w:fldChar w:fldCharType="end"/>
      </w:r>
      <w:r>
        <w:t>计算</w:t>
      </w:r>
      <w:r>
        <w:rPr>
          <w:i/>
          <w:iCs/>
        </w:rPr>
        <w:t>δ</w:t>
      </w:r>
      <w:r>
        <w:t>，</w:t>
      </w:r>
      <w:r>
        <w:rPr>
          <w:i/>
          <w:iCs/>
        </w:rPr>
        <w:t>δ</w:t>
      </w:r>
      <w:r>
        <w:t>=</w:t>
      </w:r>
      <w:r>
        <w:rPr>
          <w:i/>
          <w:iCs/>
        </w:rPr>
        <w:t>a+b-c</w:t>
      </w:r>
      <w:r>
        <w:t>。</w:t>
      </w:r>
    </w:p>
    <w:p>
      <w:pPr>
        <w:ind w:firstLine="1200" w:firstLineChars="500"/>
      </w:pPr>
      <w:r>
        <w:rPr>
          <w:i/>
          <w:iCs/>
        </w:rPr>
        <w:t>a</w:t>
      </w:r>
      <w:r>
        <w:t>—声源与路基边缘（或路堑顶部）距离，m；</w:t>
      </w:r>
    </w:p>
    <w:p>
      <w:pPr>
        <w:ind w:firstLine="1200" w:firstLineChars="500"/>
      </w:pPr>
      <w:r>
        <w:rPr>
          <w:i/>
          <w:iCs/>
        </w:rPr>
        <w:t>b</w:t>
      </w:r>
      <w:r>
        <w:t>—接受（预测）点至路基边缘（或路堑顶部）距离，m；</w:t>
      </w:r>
    </w:p>
    <w:p>
      <w:pPr>
        <w:ind w:firstLine="1200" w:firstLineChars="500"/>
      </w:pPr>
      <w:r>
        <w:rPr>
          <w:i/>
          <w:iCs/>
        </w:rPr>
        <w:t>c</w:t>
      </w:r>
      <w:r>
        <w:t>—声源与接受（预测）点间的直线距离，m。</w:t>
      </w:r>
    </w:p>
    <w:p>
      <w:pPr>
        <w:pStyle w:val="105"/>
        <w:jc w:val="center"/>
        <w:rPr>
          <w:rFonts w:hint="eastAsia" w:eastAsia="宋体"/>
          <w:szCs w:val="24"/>
          <w:lang w:eastAsia="zh-CN"/>
        </w:rPr>
      </w:pPr>
    </w:p>
    <w:p>
      <w:pPr>
        <w:pStyle w:val="122"/>
      </w:pPr>
      <w:bookmarkStart w:id="472" w:name="_Ref152319697"/>
      <w:r>
        <w:rPr>
          <w:rFonts w:hint="eastAsia"/>
        </w:rPr>
        <w:t>声程差计算示意图</w:t>
      </w:r>
      <w:bookmarkEnd w:id="472"/>
    </w:p>
    <w:p>
      <w:pPr>
        <w:ind w:firstLine="480"/>
        <w:rPr>
          <w:szCs w:val="24"/>
        </w:rPr>
      </w:pPr>
      <w:r>
        <w:rPr>
          <w:rFonts w:hint="eastAsia"/>
        </w:rPr>
        <w:t>（</w:t>
      </w:r>
      <w:r>
        <w:t>5</w:t>
      </w:r>
      <w:r>
        <w:rPr>
          <w:rFonts w:hint="eastAsia"/>
        </w:rPr>
        <w:t>）</w:t>
      </w:r>
      <w:r>
        <w:rPr>
          <w:rFonts w:hint="eastAsia"/>
          <w:szCs w:val="24"/>
        </w:rPr>
        <w:t>线源绕射声衰减量的计算模式如下式：</w:t>
      </w:r>
    </w:p>
    <w:p>
      <w:pPr>
        <w:ind w:firstLine="480"/>
        <w:jc w:val="center"/>
        <w:rPr>
          <w:rFonts w:hint="eastAsia" w:eastAsia="宋体"/>
          <w:szCs w:val="24"/>
          <w:lang w:eastAsia="zh-CN"/>
        </w:rPr>
      </w:pPr>
    </w:p>
    <w:p>
      <w:pPr>
        <w:ind w:firstLine="1200" w:firstLineChars="500"/>
      </w:pPr>
      <w:r>
        <w:rPr>
          <w:rFonts w:hint="eastAsia"/>
        </w:rPr>
        <w:t>其中：</w:t>
      </w:r>
      <w:r>
        <w:t>t</w:t>
      </w:r>
      <w:r>
        <w:rPr>
          <w:rFonts w:hint="eastAsia"/>
        </w:rPr>
        <w:t>＝</w:t>
      </w:r>
      <w:r>
        <w:t>20</w:t>
      </w:r>
      <w:r>
        <w:rPr>
          <w:rFonts w:hint="eastAsia"/>
        </w:rPr>
        <w:t>×</w:t>
      </w:r>
      <w:r>
        <w:rPr>
          <w:i/>
        </w:rPr>
        <w:t>N</w:t>
      </w:r>
      <w:r>
        <w:rPr>
          <w:vertAlign w:val="subscript"/>
        </w:rPr>
        <w:t>max</w:t>
      </w:r>
      <w:r>
        <w:t>/3</w:t>
      </w:r>
      <w:r>
        <w:rPr>
          <w:rFonts w:hint="eastAsia"/>
        </w:rPr>
        <w:t>。</w:t>
      </w:r>
    </w:p>
    <w:p>
      <w:pPr>
        <w:pStyle w:val="118"/>
      </w:pPr>
      <w:r>
        <w:rPr>
          <w:rFonts w:hint="eastAsia"/>
        </w:rPr>
        <w:t>交通噪声影响预测与评价</w:t>
      </w:r>
    </w:p>
    <w:p>
      <w:pPr>
        <w:pStyle w:val="118"/>
        <w:numPr>
          <w:ilvl w:val="0"/>
          <w:numId w:val="0"/>
        </w:numPr>
      </w:pPr>
      <w:r>
        <w:rPr>
          <w:rFonts w:hint="eastAsia"/>
        </w:rPr>
        <w:t>（1）预测参数</w:t>
      </w:r>
    </w:p>
    <w:p>
      <w:pPr>
        <w:ind w:firstLine="480"/>
      </w:pPr>
      <w:r>
        <w:rPr>
          <w:rFonts w:hint="eastAsia"/>
        </w:rPr>
        <w:t>①公路噪声源强调查清单（车速、车流量、源强）详见</w:t>
      </w:r>
      <w:r>
        <w:fldChar w:fldCharType="begin"/>
      </w:r>
      <w:r>
        <w:instrText xml:space="preserve"> </w:instrText>
      </w:r>
      <w:r>
        <w:rPr>
          <w:rFonts w:hint="eastAsia"/>
        </w:rPr>
        <w:instrText xml:space="preserve">REF _Ref151018893 \r \h</w:instrText>
      </w:r>
      <w:r>
        <w:instrText xml:space="preserve">  \* MERGEFORMAT </w:instrText>
      </w:r>
      <w:r>
        <w:fldChar w:fldCharType="separate"/>
      </w:r>
      <w:r>
        <w:rPr>
          <w:rFonts w:hint="eastAsia"/>
        </w:rPr>
        <w:t>表3.9-8</w:t>
      </w:r>
      <w:r>
        <w:fldChar w:fldCharType="end"/>
      </w:r>
      <w:r>
        <w:rPr>
          <w:rFonts w:hint="eastAsia"/>
        </w:rPr>
        <w:t>；</w:t>
      </w:r>
    </w:p>
    <w:p>
      <w:pPr>
        <w:ind w:firstLine="480"/>
      </w:pPr>
      <w:r>
        <w:rPr>
          <w:rFonts w:hint="eastAsia"/>
        </w:rPr>
        <w:t>②公路基本情况：二级公路，</w:t>
      </w:r>
      <w:r>
        <w:t>沥青砼路面</w:t>
      </w:r>
      <w:r>
        <w:rPr>
          <w:rFonts w:hint="eastAsia"/>
        </w:rPr>
        <w:t>，</w:t>
      </w:r>
      <w:r>
        <w:t>双向</w:t>
      </w:r>
      <w:r>
        <w:rPr>
          <w:rFonts w:hint="eastAsia"/>
        </w:rPr>
        <w:t>二</w:t>
      </w:r>
      <w:r>
        <w:t>车道</w:t>
      </w:r>
      <w:r>
        <w:rPr>
          <w:rFonts w:hint="eastAsia"/>
        </w:rPr>
        <w:t>设计。</w:t>
      </w:r>
    </w:p>
    <w:p>
      <w:pPr>
        <w:ind w:firstLine="480"/>
      </w:pPr>
      <w:r>
        <w:rPr>
          <w:rFonts w:hint="eastAsia"/>
        </w:rPr>
        <w:t>③路基断面：路基</w:t>
      </w:r>
      <w:r>
        <w:t>宽度</w:t>
      </w:r>
      <w:r>
        <w:rPr>
          <w:rFonts w:hint="eastAsia"/>
        </w:rPr>
        <w:t>路线路基宽度12.0m，路基断面形式为：0.75m土路肩+1.75m硬路肩+2x3.50m行车道+1.75m硬路肩+0.75m土路肩，</w:t>
      </w:r>
      <w:r>
        <w:rPr>
          <w:rFonts w:hint="eastAsia"/>
          <w:b/>
          <w:bCs/>
        </w:rPr>
        <w:t xml:space="preserve">上跨沈海高速桥梁段（大埔大桥）落拟按宽 </w:t>
      </w:r>
      <w:r>
        <w:rPr>
          <w:b/>
          <w:bCs/>
        </w:rPr>
        <w:t>18.5</w:t>
      </w:r>
      <w:r>
        <w:rPr>
          <w:rFonts w:hint="eastAsia"/>
          <w:b/>
          <w:bCs/>
        </w:rPr>
        <w:t>m（双幅桥）、设计速度60km/h、双向四车道的二级公路标准建设</w:t>
      </w:r>
      <w:r>
        <w:rPr>
          <w:rFonts w:hint="eastAsia"/>
        </w:rPr>
        <w:t>。</w:t>
      </w:r>
    </w:p>
    <w:p>
      <w:pPr>
        <w:pStyle w:val="118"/>
        <w:numPr>
          <w:ilvl w:val="0"/>
          <w:numId w:val="0"/>
        </w:numPr>
      </w:pPr>
      <w:r>
        <w:rPr>
          <w:rFonts w:hint="eastAsia"/>
        </w:rPr>
        <w:t>（</w:t>
      </w:r>
      <w:r>
        <w:t>2</w:t>
      </w:r>
      <w:r>
        <w:rPr>
          <w:rFonts w:hint="eastAsia"/>
        </w:rPr>
        <w:t>）公路两侧水平交通噪声预测</w:t>
      </w:r>
    </w:p>
    <w:p>
      <w:pPr>
        <w:ind w:firstLine="480"/>
      </w:pPr>
      <w:r>
        <w:rPr>
          <w:rFonts w:hint="eastAsia"/>
        </w:rPr>
        <w:t>预测内容包括：运营期交通噪声各特征年、距中心线不同距离的交通噪声影响预测。交通噪声预测假设在平路基、开阔、平坦的地形条件下，不考虑构筑物和树木等附加声衰减，只考虑声波的距离衰减、空气吸收和软性地面（或地面附着物）附加吸收。</w:t>
      </w:r>
      <w:bookmarkStart w:id="473" w:name="_Hlk197441614"/>
      <w:r>
        <w:rPr>
          <w:rFonts w:hint="eastAsia"/>
        </w:rPr>
        <w:t>本次预测采用环安噪声环境影响评价系统NOISESYSTEMV4，该预测系统是根据最新导则构建，支持《环境影响技术导则 公路建设项目》（HJ1358-2024）中声环境预测模型。</w:t>
      </w:r>
      <w:bookmarkEnd w:id="473"/>
      <w:r>
        <w:rPr>
          <w:rFonts w:hint="eastAsia"/>
        </w:rPr>
        <w:t>该公路交通噪声影响预测结果详见</w:t>
      </w:r>
      <w:r>
        <w:fldChar w:fldCharType="begin"/>
      </w:r>
      <w:r>
        <w:instrText xml:space="preserve"> </w:instrText>
      </w:r>
      <w:r>
        <w:rPr>
          <w:rFonts w:hint="eastAsia"/>
        </w:rPr>
        <w:instrText xml:space="preserve">REF _Ref152319840 \r \h</w:instrText>
      </w:r>
      <w:r>
        <w:instrText xml:space="preserve"> </w:instrText>
      </w:r>
      <w:r>
        <w:fldChar w:fldCharType="separate"/>
      </w:r>
      <w:r>
        <w:rPr>
          <w:rFonts w:hint="eastAsia"/>
        </w:rPr>
        <w:t>表5.4-5</w:t>
      </w:r>
      <w:r>
        <w:fldChar w:fldCharType="end"/>
      </w:r>
      <w:r>
        <w:rPr>
          <w:rFonts w:hint="eastAsia"/>
        </w:rPr>
        <w:t>，噪声等值线图详见</w:t>
      </w:r>
      <w:r>
        <w:t>~</w:t>
      </w:r>
      <w:r>
        <w:fldChar w:fldCharType="begin"/>
      </w:r>
      <w:r>
        <w:instrText xml:space="preserve"> REF _Ref193786678 \r \h </w:instrText>
      </w:r>
      <w:r>
        <w:fldChar w:fldCharType="separate"/>
      </w:r>
      <w:r>
        <w:rPr>
          <w:rFonts w:hint="eastAsia"/>
        </w:rPr>
        <w:t>图5.4-7</w:t>
      </w:r>
      <w:r>
        <w:fldChar w:fldCharType="end"/>
      </w:r>
      <w:r>
        <w:rPr>
          <w:rFonts w:hint="eastAsia"/>
        </w:rPr>
        <w:t>。</w:t>
      </w:r>
    </w:p>
    <w:p>
      <w:pPr>
        <w:ind w:firstLine="480"/>
      </w:pPr>
      <w:r>
        <w:rPr>
          <w:rFonts w:hint="eastAsia"/>
        </w:rPr>
        <w:t>项目公路设计等级为二级公路，设计</w:t>
      </w:r>
      <w:r>
        <w:t>6</w:t>
      </w:r>
      <w:r>
        <w:rPr>
          <w:rFonts w:hint="eastAsia"/>
        </w:rPr>
        <w:t>0km，路面为沥青混凝土，公路两侧含有4a和2类区，根据</w:t>
      </w:r>
      <w:r>
        <w:fldChar w:fldCharType="begin"/>
      </w:r>
      <w:r>
        <w:instrText xml:space="preserve"> </w:instrText>
      </w:r>
      <w:r>
        <w:rPr>
          <w:rFonts w:hint="eastAsia"/>
        </w:rPr>
        <w:instrText xml:space="preserve">REF _Ref152319840 \r \h</w:instrText>
      </w:r>
      <w:r>
        <w:instrText xml:space="preserve">  \* MERGEFORMAT </w:instrText>
      </w:r>
      <w:r>
        <w:fldChar w:fldCharType="separate"/>
      </w:r>
      <w:r>
        <w:rPr>
          <w:rFonts w:hint="eastAsia"/>
        </w:rPr>
        <w:t>表5.4-5</w:t>
      </w:r>
      <w:r>
        <w:fldChar w:fldCharType="end"/>
      </w:r>
      <w:r>
        <w:rPr>
          <w:rFonts w:hint="eastAsia"/>
        </w:rPr>
        <w:t>的预测结果：</w:t>
      </w:r>
    </w:p>
    <w:p>
      <w:pPr>
        <w:ind w:firstLine="480"/>
      </w:pPr>
      <w:r>
        <w:rPr>
          <w:rFonts w:hint="eastAsia"/>
        </w:rPr>
        <w:t>在4a类标准适用区内，项目全路段昼间近、中、远期噪声达标距离分别为距离中心线</w:t>
      </w:r>
      <w:r>
        <w:t>11.6</w:t>
      </w:r>
      <w:r>
        <w:rPr>
          <w:rFonts w:hint="eastAsia"/>
        </w:rPr>
        <w:t>m、</w:t>
      </w:r>
      <w:r>
        <w:rPr>
          <w:rFonts w:cs="Times New Roman"/>
        </w:rPr>
        <w:t>12.5</w:t>
      </w:r>
      <w:r>
        <w:rPr>
          <w:rFonts w:hint="eastAsia"/>
        </w:rPr>
        <w:t>m和</w:t>
      </w:r>
      <w:r>
        <w:rPr>
          <w:rFonts w:cs="Times New Roman"/>
        </w:rPr>
        <w:t>12.7</w:t>
      </w:r>
      <w:r>
        <w:rPr>
          <w:rFonts w:hint="eastAsia"/>
        </w:rPr>
        <w:t>m；夜间近、中、远期噪声达标距离分别为距离中心线</w:t>
      </w:r>
      <w:r>
        <w:rPr>
          <w:rFonts w:cs="Times New Roman"/>
        </w:rPr>
        <w:t xml:space="preserve">18.3 </w:t>
      </w:r>
      <w:r>
        <w:rPr>
          <w:rFonts w:hint="eastAsia"/>
        </w:rPr>
        <w:t>m、</w:t>
      </w:r>
      <w:r>
        <w:rPr>
          <w:rFonts w:cs="Times New Roman"/>
        </w:rPr>
        <w:t>19.0</w:t>
      </w:r>
      <w:r>
        <w:rPr>
          <w:rFonts w:hint="eastAsia"/>
        </w:rPr>
        <w:t>m和</w:t>
      </w:r>
      <w:r>
        <w:rPr>
          <w:rFonts w:cs="Times New Roman"/>
        </w:rPr>
        <w:t xml:space="preserve">19.3 </w:t>
      </w:r>
      <w:r>
        <w:rPr>
          <w:rFonts w:hint="eastAsia"/>
        </w:rPr>
        <w:t>m。</w:t>
      </w:r>
    </w:p>
    <w:p>
      <w:pPr>
        <w:ind w:firstLine="480"/>
      </w:pPr>
      <w:r>
        <w:rPr>
          <w:rFonts w:hint="eastAsia"/>
        </w:rPr>
        <w:t>在2类标准适用区内，项目全路段昼间近、中、远期噪声衰减至60dB的距离，分别为距离中心线</w:t>
      </w:r>
      <w:r>
        <w:rPr>
          <w:rFonts w:cs="Times New Roman"/>
        </w:rPr>
        <w:t>22.8</w:t>
      </w:r>
      <w:r>
        <w:rPr>
          <w:rFonts w:hint="eastAsia"/>
        </w:rPr>
        <w:t>m、</w:t>
      </w:r>
      <w:r>
        <w:rPr>
          <w:rFonts w:cs="Times New Roman"/>
        </w:rPr>
        <w:t>33.1</w:t>
      </w:r>
      <w:r>
        <w:rPr>
          <w:rFonts w:hint="eastAsia"/>
        </w:rPr>
        <w:t>m和</w:t>
      </w:r>
      <w:r>
        <w:rPr>
          <w:rFonts w:cs="Times New Roman"/>
        </w:rPr>
        <w:t>34.2</w:t>
      </w:r>
      <w:r>
        <w:rPr>
          <w:rFonts w:hint="eastAsia"/>
        </w:rPr>
        <w:t>m；夜间噪声衰减至50dB的距离，近、中、远期噪声达标距离分别为距离中心线</w:t>
      </w:r>
      <w:r>
        <w:rPr>
          <w:rFonts w:cs="Times New Roman"/>
        </w:rPr>
        <w:t xml:space="preserve">28.9 </w:t>
      </w:r>
      <w:r>
        <w:rPr>
          <w:rFonts w:hint="eastAsia"/>
        </w:rPr>
        <w:t>m、</w:t>
      </w:r>
      <w:r>
        <w:rPr>
          <w:rFonts w:cs="Times New Roman"/>
        </w:rPr>
        <w:t>30.3</w:t>
      </w:r>
      <w:r>
        <w:rPr>
          <w:rFonts w:hint="eastAsia"/>
        </w:rPr>
        <w:t>m和</w:t>
      </w:r>
      <w:r>
        <w:rPr>
          <w:rFonts w:cs="Times New Roman"/>
        </w:rPr>
        <w:t>31.0</w:t>
      </w:r>
      <w:r>
        <w:rPr>
          <w:rFonts w:hint="eastAsia"/>
        </w:rPr>
        <w:t>m。根据项目公路两侧功能区划，公路红线外两侧2类区为</w:t>
      </w:r>
      <w:r>
        <w:t>35</w:t>
      </w:r>
      <w:r>
        <w:rPr>
          <w:rFonts w:hint="eastAsia"/>
        </w:rPr>
        <w:t>m，因此在2类区内均能达到2类标准。</w:t>
      </w:r>
    </w:p>
    <w:p>
      <w:pPr>
        <w:pStyle w:val="87"/>
        <w:spacing w:before="163"/>
      </w:pPr>
      <w:bookmarkStart w:id="474" w:name="_Ref152319840"/>
      <w:r>
        <w:rPr>
          <w:rFonts w:hint="eastAsia"/>
        </w:rPr>
        <w:t>全线路段</w:t>
      </w:r>
      <w:r>
        <w:t>交通噪声影响预测噪声级分布表</w:t>
      </w:r>
      <w:r>
        <w:rPr>
          <w:rFonts w:hint="eastAsia"/>
        </w:rPr>
        <w:t xml:space="preserve">    </w:t>
      </w:r>
      <w:r>
        <w:t>单位：dB（A）</w:t>
      </w:r>
      <w:bookmarkEnd w:id="474"/>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4"/>
        <w:gridCol w:w="355"/>
        <w:gridCol w:w="491"/>
        <w:gridCol w:w="754"/>
        <w:gridCol w:w="588"/>
        <w:gridCol w:w="432"/>
        <w:gridCol w:w="432"/>
        <w:gridCol w:w="432"/>
        <w:gridCol w:w="432"/>
        <w:gridCol w:w="432"/>
        <w:gridCol w:w="432"/>
        <w:gridCol w:w="432"/>
        <w:gridCol w:w="432"/>
        <w:gridCol w:w="542"/>
        <w:gridCol w:w="660"/>
        <w:gridCol w:w="668"/>
        <w:gridCol w:w="553"/>
        <w:gridCol w:w="61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restart"/>
            <w:vAlign w:val="center"/>
          </w:tcPr>
          <w:p>
            <w:pPr>
              <w:pStyle w:val="105"/>
              <w:jc w:val="center"/>
            </w:pPr>
            <w:r>
              <w:rPr>
                <w:rFonts w:hint="eastAsia"/>
              </w:rPr>
              <w:t>路</w:t>
            </w:r>
          </w:p>
          <w:p>
            <w:pPr>
              <w:pStyle w:val="105"/>
              <w:jc w:val="center"/>
            </w:pPr>
            <w:r>
              <w:rPr>
                <w:rFonts w:hint="eastAsia"/>
              </w:rPr>
              <w:t>段</w:t>
            </w:r>
          </w:p>
        </w:tc>
        <w:tc>
          <w:tcPr>
            <w:tcW w:w="196" w:type="pct"/>
            <w:vMerge w:val="restart"/>
            <w:vAlign w:val="center"/>
          </w:tcPr>
          <w:p>
            <w:pPr>
              <w:pStyle w:val="105"/>
              <w:jc w:val="center"/>
            </w:pPr>
            <w:r>
              <w:t>营</w:t>
            </w:r>
          </w:p>
          <w:p>
            <w:pPr>
              <w:pStyle w:val="105"/>
              <w:jc w:val="center"/>
            </w:pPr>
            <w:r>
              <w:t>运</w:t>
            </w:r>
          </w:p>
          <w:p>
            <w:pPr>
              <w:pStyle w:val="105"/>
              <w:jc w:val="center"/>
            </w:pPr>
            <w:r>
              <w:t>期</w:t>
            </w:r>
          </w:p>
        </w:tc>
        <w:tc>
          <w:tcPr>
            <w:tcW w:w="271" w:type="pct"/>
            <w:vMerge w:val="restart"/>
            <w:vAlign w:val="center"/>
          </w:tcPr>
          <w:p>
            <w:pPr>
              <w:pStyle w:val="105"/>
              <w:jc w:val="center"/>
            </w:pPr>
            <w:r>
              <w:t>时</w:t>
            </w:r>
          </w:p>
          <w:p>
            <w:pPr>
              <w:pStyle w:val="105"/>
              <w:jc w:val="center"/>
            </w:pPr>
            <w:r>
              <w:t>段</w:t>
            </w:r>
          </w:p>
        </w:tc>
        <w:tc>
          <w:tcPr>
            <w:tcW w:w="2943" w:type="pct"/>
            <w:gridSpan w:val="11"/>
            <w:vAlign w:val="center"/>
          </w:tcPr>
          <w:p>
            <w:pPr>
              <w:pStyle w:val="105"/>
              <w:jc w:val="center"/>
            </w:pPr>
            <w:r>
              <w:t>预测点与</w:t>
            </w:r>
            <w:r>
              <w:rPr>
                <w:rFonts w:hint="eastAsia"/>
              </w:rPr>
              <w:t>公路</w:t>
            </w:r>
            <w:r>
              <w:t>中心线距离 (m)</w:t>
            </w:r>
          </w:p>
        </w:tc>
        <w:tc>
          <w:tcPr>
            <w:tcW w:w="732" w:type="pct"/>
            <w:gridSpan w:val="2"/>
            <w:vAlign w:val="center"/>
          </w:tcPr>
          <w:p>
            <w:pPr>
              <w:pStyle w:val="105"/>
              <w:jc w:val="center"/>
            </w:pPr>
            <w:r>
              <w:t>超4a类标准</w:t>
            </w:r>
          </w:p>
          <w:p>
            <w:pPr>
              <w:pStyle w:val="105"/>
              <w:jc w:val="center"/>
            </w:pPr>
            <w:r>
              <w:t>距离（m）</w:t>
            </w:r>
          </w:p>
        </w:tc>
        <w:tc>
          <w:tcPr>
            <w:tcW w:w="647" w:type="pct"/>
            <w:gridSpan w:val="2"/>
            <w:vAlign w:val="center"/>
          </w:tcPr>
          <w:p>
            <w:pPr>
              <w:pStyle w:val="105"/>
              <w:jc w:val="center"/>
            </w:pPr>
            <w:r>
              <w:t>2类标准距</w:t>
            </w:r>
          </w:p>
          <w:p>
            <w:pPr>
              <w:pStyle w:val="105"/>
              <w:jc w:val="center"/>
            </w:pPr>
            <w:r>
              <w:t>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continue"/>
            <w:vAlign w:val="center"/>
          </w:tcPr>
          <w:p>
            <w:pPr>
              <w:pStyle w:val="105"/>
              <w:jc w:val="center"/>
            </w:pPr>
          </w:p>
        </w:tc>
        <w:tc>
          <w:tcPr>
            <w:tcW w:w="271" w:type="pct"/>
            <w:vMerge w:val="continue"/>
            <w:vAlign w:val="center"/>
          </w:tcPr>
          <w:p>
            <w:pPr>
              <w:pStyle w:val="105"/>
              <w:jc w:val="center"/>
            </w:pPr>
          </w:p>
        </w:tc>
        <w:tc>
          <w:tcPr>
            <w:tcW w:w="416" w:type="pct"/>
            <w:vAlign w:val="center"/>
          </w:tcPr>
          <w:p>
            <w:pPr>
              <w:pStyle w:val="105"/>
              <w:jc w:val="center"/>
              <w:rPr>
                <w:sz w:val="22"/>
                <w:szCs w:val="22"/>
              </w:rPr>
            </w:pPr>
            <w:r>
              <w:rPr>
                <w:rFonts w:hint="eastAsia"/>
              </w:rPr>
              <w:t>1</w:t>
            </w:r>
            <w:r>
              <w:t>0</w:t>
            </w:r>
          </w:p>
        </w:tc>
        <w:tc>
          <w:tcPr>
            <w:tcW w:w="324" w:type="pct"/>
            <w:vAlign w:val="center"/>
          </w:tcPr>
          <w:p>
            <w:pPr>
              <w:pStyle w:val="105"/>
              <w:jc w:val="center"/>
            </w:pPr>
            <w:r>
              <w:rPr>
                <w:rFonts w:hint="eastAsia"/>
                <w:sz w:val="22"/>
                <w:szCs w:val="22"/>
              </w:rPr>
              <w:t>20</w:t>
            </w:r>
          </w:p>
        </w:tc>
        <w:tc>
          <w:tcPr>
            <w:tcW w:w="238" w:type="pct"/>
            <w:vAlign w:val="center"/>
          </w:tcPr>
          <w:p>
            <w:pPr>
              <w:pStyle w:val="105"/>
              <w:jc w:val="center"/>
            </w:pPr>
            <w:r>
              <w:rPr>
                <w:rFonts w:hint="eastAsia"/>
                <w:sz w:val="22"/>
                <w:szCs w:val="22"/>
              </w:rPr>
              <w:t>30</w:t>
            </w:r>
          </w:p>
        </w:tc>
        <w:tc>
          <w:tcPr>
            <w:tcW w:w="238" w:type="pct"/>
            <w:vAlign w:val="center"/>
          </w:tcPr>
          <w:p>
            <w:pPr>
              <w:pStyle w:val="105"/>
              <w:jc w:val="center"/>
            </w:pPr>
            <w:r>
              <w:rPr>
                <w:rFonts w:hint="eastAsia"/>
                <w:sz w:val="22"/>
                <w:szCs w:val="22"/>
              </w:rPr>
              <w:t>40</w:t>
            </w:r>
          </w:p>
        </w:tc>
        <w:tc>
          <w:tcPr>
            <w:tcW w:w="238" w:type="pct"/>
            <w:vAlign w:val="center"/>
          </w:tcPr>
          <w:p>
            <w:pPr>
              <w:pStyle w:val="105"/>
              <w:jc w:val="center"/>
            </w:pPr>
            <w:r>
              <w:rPr>
                <w:rFonts w:hint="eastAsia"/>
                <w:sz w:val="22"/>
                <w:szCs w:val="22"/>
              </w:rPr>
              <w:t>50</w:t>
            </w:r>
          </w:p>
        </w:tc>
        <w:tc>
          <w:tcPr>
            <w:tcW w:w="238" w:type="pct"/>
            <w:vAlign w:val="center"/>
          </w:tcPr>
          <w:p>
            <w:pPr>
              <w:pStyle w:val="105"/>
              <w:jc w:val="center"/>
            </w:pPr>
            <w:r>
              <w:rPr>
                <w:rFonts w:hint="eastAsia"/>
                <w:sz w:val="22"/>
                <w:szCs w:val="22"/>
              </w:rPr>
              <w:t>60</w:t>
            </w:r>
          </w:p>
        </w:tc>
        <w:tc>
          <w:tcPr>
            <w:tcW w:w="238" w:type="pct"/>
            <w:vAlign w:val="center"/>
          </w:tcPr>
          <w:p>
            <w:pPr>
              <w:pStyle w:val="105"/>
              <w:jc w:val="center"/>
            </w:pPr>
            <w:r>
              <w:rPr>
                <w:rFonts w:hint="eastAsia"/>
                <w:sz w:val="22"/>
                <w:szCs w:val="22"/>
              </w:rPr>
              <w:t>80</w:t>
            </w:r>
          </w:p>
        </w:tc>
        <w:tc>
          <w:tcPr>
            <w:tcW w:w="238" w:type="pct"/>
            <w:vAlign w:val="center"/>
          </w:tcPr>
          <w:p>
            <w:pPr>
              <w:pStyle w:val="105"/>
              <w:jc w:val="center"/>
            </w:pPr>
            <w:r>
              <w:rPr>
                <w:rFonts w:hint="eastAsia"/>
                <w:sz w:val="22"/>
                <w:szCs w:val="22"/>
              </w:rPr>
              <w:t>100</w:t>
            </w:r>
          </w:p>
        </w:tc>
        <w:tc>
          <w:tcPr>
            <w:tcW w:w="238" w:type="pct"/>
            <w:vAlign w:val="center"/>
          </w:tcPr>
          <w:p>
            <w:pPr>
              <w:pStyle w:val="105"/>
              <w:jc w:val="center"/>
            </w:pPr>
            <w:r>
              <w:rPr>
                <w:rFonts w:hint="eastAsia"/>
                <w:sz w:val="22"/>
                <w:szCs w:val="22"/>
              </w:rPr>
              <w:t>120</w:t>
            </w:r>
          </w:p>
        </w:tc>
        <w:tc>
          <w:tcPr>
            <w:tcW w:w="238" w:type="pct"/>
            <w:vAlign w:val="center"/>
          </w:tcPr>
          <w:p>
            <w:pPr>
              <w:pStyle w:val="105"/>
              <w:jc w:val="center"/>
            </w:pPr>
            <w:r>
              <w:rPr>
                <w:rFonts w:hint="eastAsia"/>
                <w:sz w:val="22"/>
                <w:szCs w:val="22"/>
              </w:rPr>
              <w:t>160</w:t>
            </w:r>
          </w:p>
        </w:tc>
        <w:tc>
          <w:tcPr>
            <w:tcW w:w="298" w:type="pct"/>
            <w:vAlign w:val="center"/>
          </w:tcPr>
          <w:p>
            <w:pPr>
              <w:pStyle w:val="105"/>
              <w:jc w:val="center"/>
            </w:pPr>
            <w:r>
              <w:rPr>
                <w:rFonts w:hint="eastAsia"/>
                <w:sz w:val="22"/>
                <w:szCs w:val="22"/>
              </w:rPr>
              <w:t>200</w:t>
            </w:r>
          </w:p>
        </w:tc>
        <w:tc>
          <w:tcPr>
            <w:tcW w:w="364" w:type="pct"/>
            <w:vAlign w:val="center"/>
          </w:tcPr>
          <w:p>
            <w:pPr>
              <w:pStyle w:val="105"/>
              <w:jc w:val="center"/>
            </w:pPr>
            <w:r>
              <w:t>距中</w:t>
            </w:r>
          </w:p>
          <w:p>
            <w:pPr>
              <w:pStyle w:val="105"/>
              <w:jc w:val="center"/>
            </w:pPr>
            <w:r>
              <w:t>心线</w:t>
            </w:r>
          </w:p>
        </w:tc>
        <w:tc>
          <w:tcPr>
            <w:tcW w:w="368" w:type="pct"/>
            <w:vAlign w:val="center"/>
          </w:tcPr>
          <w:p>
            <w:pPr>
              <w:pStyle w:val="105"/>
              <w:jc w:val="center"/>
            </w:pPr>
            <w:r>
              <w:rPr>
                <w:rFonts w:hint="eastAsia"/>
              </w:rPr>
              <w:t>公路边界线</w:t>
            </w:r>
          </w:p>
        </w:tc>
        <w:tc>
          <w:tcPr>
            <w:tcW w:w="305" w:type="pct"/>
            <w:vAlign w:val="center"/>
          </w:tcPr>
          <w:p>
            <w:pPr>
              <w:pStyle w:val="105"/>
              <w:jc w:val="center"/>
            </w:pPr>
            <w:r>
              <w:t>距中</w:t>
            </w:r>
          </w:p>
          <w:p>
            <w:pPr>
              <w:pStyle w:val="105"/>
              <w:jc w:val="center"/>
            </w:pPr>
            <w:r>
              <w:t>心线</w:t>
            </w:r>
          </w:p>
        </w:tc>
        <w:tc>
          <w:tcPr>
            <w:tcW w:w="342" w:type="pct"/>
            <w:vAlign w:val="center"/>
          </w:tcPr>
          <w:p>
            <w:pPr>
              <w:pStyle w:val="105"/>
              <w:jc w:val="center"/>
            </w:pPr>
            <w:r>
              <w:rPr>
                <w:rFonts w:hint="eastAsia"/>
              </w:rPr>
              <w:t>公路边界线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restart"/>
            <w:vAlign w:val="center"/>
          </w:tcPr>
          <w:p>
            <w:pPr>
              <w:pStyle w:val="105"/>
              <w:jc w:val="center"/>
            </w:pPr>
            <w:r>
              <w:rPr>
                <w:rFonts w:hint="eastAsia"/>
              </w:rPr>
              <w:t>全线</w:t>
            </w:r>
          </w:p>
        </w:tc>
        <w:tc>
          <w:tcPr>
            <w:tcW w:w="196" w:type="pct"/>
            <w:vMerge w:val="restart"/>
            <w:vAlign w:val="center"/>
          </w:tcPr>
          <w:p>
            <w:pPr>
              <w:pStyle w:val="105"/>
              <w:jc w:val="center"/>
            </w:pPr>
            <w:r>
              <w:t>近</w:t>
            </w:r>
          </w:p>
          <w:p>
            <w:pPr>
              <w:pStyle w:val="105"/>
              <w:jc w:val="center"/>
            </w:pPr>
            <w:r>
              <w:t>期</w:t>
            </w:r>
          </w:p>
        </w:tc>
        <w:tc>
          <w:tcPr>
            <w:tcW w:w="271" w:type="pct"/>
            <w:vAlign w:val="center"/>
          </w:tcPr>
          <w:p>
            <w:pPr>
              <w:pStyle w:val="105"/>
              <w:jc w:val="center"/>
            </w:pPr>
            <w:r>
              <w:t>昼间</w:t>
            </w:r>
          </w:p>
        </w:tc>
        <w:tc>
          <w:tcPr>
            <w:tcW w:w="416" w:type="pct"/>
            <w:vAlign w:val="center"/>
          </w:tcPr>
          <w:p>
            <w:pPr>
              <w:pStyle w:val="105"/>
              <w:jc w:val="center"/>
              <w:rPr>
                <w:rFonts w:cs="Times New Roman"/>
              </w:rPr>
            </w:pPr>
            <w:r>
              <w:rPr>
                <w:rFonts w:cs="Times New Roman"/>
              </w:rPr>
              <w:t xml:space="preserve">67.2 </w:t>
            </w:r>
          </w:p>
        </w:tc>
        <w:tc>
          <w:tcPr>
            <w:tcW w:w="324" w:type="pct"/>
            <w:vAlign w:val="center"/>
          </w:tcPr>
          <w:p>
            <w:pPr>
              <w:pStyle w:val="105"/>
              <w:jc w:val="center"/>
            </w:pPr>
            <w:r>
              <w:rPr>
                <w:rFonts w:cs="Times New Roman"/>
              </w:rPr>
              <w:t xml:space="preserve">61.5 </w:t>
            </w:r>
          </w:p>
        </w:tc>
        <w:tc>
          <w:tcPr>
            <w:tcW w:w="238" w:type="pct"/>
            <w:vAlign w:val="center"/>
          </w:tcPr>
          <w:p>
            <w:pPr>
              <w:pStyle w:val="105"/>
              <w:jc w:val="center"/>
            </w:pPr>
            <w:r>
              <w:rPr>
                <w:rFonts w:cs="Times New Roman"/>
              </w:rPr>
              <w:t xml:space="preserve">57.2 </w:t>
            </w:r>
          </w:p>
        </w:tc>
        <w:tc>
          <w:tcPr>
            <w:tcW w:w="238" w:type="pct"/>
            <w:vAlign w:val="center"/>
          </w:tcPr>
          <w:p>
            <w:pPr>
              <w:pStyle w:val="105"/>
              <w:jc w:val="center"/>
            </w:pPr>
            <w:r>
              <w:rPr>
                <w:rFonts w:cs="Times New Roman"/>
              </w:rPr>
              <w:t xml:space="preserve">54.7 </w:t>
            </w:r>
          </w:p>
        </w:tc>
        <w:tc>
          <w:tcPr>
            <w:tcW w:w="238" w:type="pct"/>
            <w:vAlign w:val="center"/>
          </w:tcPr>
          <w:p>
            <w:pPr>
              <w:pStyle w:val="105"/>
              <w:jc w:val="center"/>
            </w:pPr>
            <w:r>
              <w:rPr>
                <w:rFonts w:cs="Times New Roman"/>
              </w:rPr>
              <w:t xml:space="preserve">52.8 </w:t>
            </w:r>
          </w:p>
        </w:tc>
        <w:tc>
          <w:tcPr>
            <w:tcW w:w="238" w:type="pct"/>
            <w:vAlign w:val="center"/>
          </w:tcPr>
          <w:p>
            <w:pPr>
              <w:pStyle w:val="105"/>
              <w:jc w:val="center"/>
            </w:pPr>
            <w:r>
              <w:rPr>
                <w:rFonts w:cs="Times New Roman"/>
              </w:rPr>
              <w:t xml:space="preserve">51.4 </w:t>
            </w:r>
          </w:p>
        </w:tc>
        <w:tc>
          <w:tcPr>
            <w:tcW w:w="238" w:type="pct"/>
            <w:vAlign w:val="center"/>
          </w:tcPr>
          <w:p>
            <w:pPr>
              <w:pStyle w:val="105"/>
              <w:jc w:val="center"/>
            </w:pPr>
            <w:r>
              <w:rPr>
                <w:rFonts w:cs="Times New Roman"/>
              </w:rPr>
              <w:t xml:space="preserve">49.2 </w:t>
            </w:r>
          </w:p>
        </w:tc>
        <w:tc>
          <w:tcPr>
            <w:tcW w:w="238" w:type="pct"/>
            <w:vAlign w:val="center"/>
          </w:tcPr>
          <w:p>
            <w:pPr>
              <w:pStyle w:val="105"/>
              <w:jc w:val="center"/>
            </w:pPr>
            <w:r>
              <w:rPr>
                <w:rFonts w:cs="Times New Roman"/>
              </w:rPr>
              <w:t xml:space="preserve">47.6 </w:t>
            </w:r>
          </w:p>
        </w:tc>
        <w:tc>
          <w:tcPr>
            <w:tcW w:w="238" w:type="pct"/>
            <w:vAlign w:val="center"/>
          </w:tcPr>
          <w:p>
            <w:pPr>
              <w:pStyle w:val="105"/>
              <w:jc w:val="center"/>
            </w:pPr>
            <w:r>
              <w:rPr>
                <w:rFonts w:cs="Times New Roman"/>
              </w:rPr>
              <w:t xml:space="preserve">46.3 </w:t>
            </w:r>
          </w:p>
        </w:tc>
        <w:tc>
          <w:tcPr>
            <w:tcW w:w="238" w:type="pct"/>
            <w:vAlign w:val="center"/>
          </w:tcPr>
          <w:p>
            <w:pPr>
              <w:pStyle w:val="105"/>
              <w:jc w:val="center"/>
            </w:pPr>
            <w:r>
              <w:rPr>
                <w:rFonts w:cs="Times New Roman"/>
              </w:rPr>
              <w:t xml:space="preserve">44.2 </w:t>
            </w:r>
          </w:p>
        </w:tc>
        <w:tc>
          <w:tcPr>
            <w:tcW w:w="298" w:type="pct"/>
            <w:vAlign w:val="center"/>
          </w:tcPr>
          <w:p>
            <w:pPr>
              <w:pStyle w:val="105"/>
              <w:jc w:val="center"/>
            </w:pPr>
            <w:r>
              <w:rPr>
                <w:rFonts w:cs="Times New Roman"/>
              </w:rPr>
              <w:t xml:space="preserve">42.6 </w:t>
            </w:r>
          </w:p>
        </w:tc>
        <w:tc>
          <w:tcPr>
            <w:tcW w:w="364" w:type="pct"/>
            <w:vAlign w:val="center"/>
          </w:tcPr>
          <w:p>
            <w:pPr>
              <w:pStyle w:val="105"/>
              <w:jc w:val="center"/>
            </w:pPr>
            <w:r>
              <w:rPr>
                <w:rFonts w:cs="Times New Roman"/>
              </w:rPr>
              <w:t xml:space="preserve">11.6 </w:t>
            </w:r>
          </w:p>
        </w:tc>
        <w:tc>
          <w:tcPr>
            <w:tcW w:w="368" w:type="pct"/>
            <w:vAlign w:val="center"/>
          </w:tcPr>
          <w:p>
            <w:pPr>
              <w:pStyle w:val="105"/>
              <w:jc w:val="center"/>
            </w:pPr>
            <w:r>
              <w:rPr>
                <w:rFonts w:cs="Times New Roman"/>
              </w:rPr>
              <w:t xml:space="preserve">5.6 </w:t>
            </w:r>
          </w:p>
        </w:tc>
        <w:tc>
          <w:tcPr>
            <w:tcW w:w="305" w:type="pct"/>
            <w:vAlign w:val="center"/>
          </w:tcPr>
          <w:p>
            <w:pPr>
              <w:pStyle w:val="105"/>
              <w:jc w:val="center"/>
            </w:pPr>
            <w:r>
              <w:rPr>
                <w:rFonts w:cs="Times New Roman"/>
              </w:rPr>
              <w:t xml:space="preserve">22.8 </w:t>
            </w:r>
          </w:p>
        </w:tc>
        <w:tc>
          <w:tcPr>
            <w:tcW w:w="342" w:type="pct"/>
            <w:vAlign w:val="center"/>
          </w:tcPr>
          <w:p>
            <w:pPr>
              <w:pStyle w:val="105"/>
              <w:jc w:val="center"/>
            </w:pPr>
            <w:r>
              <w:rPr>
                <w:rFonts w:cs="Times New Roman"/>
              </w:rPr>
              <w:t xml:space="preserve">16.8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continue"/>
            <w:vAlign w:val="center"/>
          </w:tcPr>
          <w:p>
            <w:pPr>
              <w:pStyle w:val="105"/>
              <w:jc w:val="center"/>
            </w:pPr>
          </w:p>
        </w:tc>
        <w:tc>
          <w:tcPr>
            <w:tcW w:w="271" w:type="pct"/>
            <w:vAlign w:val="center"/>
          </w:tcPr>
          <w:p>
            <w:pPr>
              <w:pStyle w:val="105"/>
              <w:jc w:val="center"/>
            </w:pPr>
            <w:r>
              <w:t>夜间</w:t>
            </w:r>
          </w:p>
        </w:tc>
        <w:tc>
          <w:tcPr>
            <w:tcW w:w="416" w:type="pct"/>
            <w:vAlign w:val="center"/>
          </w:tcPr>
          <w:p>
            <w:pPr>
              <w:pStyle w:val="105"/>
              <w:jc w:val="center"/>
              <w:rPr>
                <w:rFonts w:cs="Times New Roman"/>
              </w:rPr>
            </w:pPr>
            <w:r>
              <w:rPr>
                <w:rFonts w:cs="Times New Roman"/>
              </w:rPr>
              <w:t xml:space="preserve">59.6 </w:t>
            </w:r>
          </w:p>
        </w:tc>
        <w:tc>
          <w:tcPr>
            <w:tcW w:w="324" w:type="pct"/>
            <w:vAlign w:val="center"/>
          </w:tcPr>
          <w:p>
            <w:pPr>
              <w:pStyle w:val="105"/>
              <w:jc w:val="center"/>
            </w:pPr>
            <w:r>
              <w:rPr>
                <w:rFonts w:cs="Times New Roman"/>
              </w:rPr>
              <w:t xml:space="preserve">53.9 </w:t>
            </w:r>
          </w:p>
        </w:tc>
        <w:tc>
          <w:tcPr>
            <w:tcW w:w="238" w:type="pct"/>
            <w:vAlign w:val="center"/>
          </w:tcPr>
          <w:p>
            <w:pPr>
              <w:pStyle w:val="105"/>
              <w:jc w:val="center"/>
            </w:pPr>
            <w:r>
              <w:rPr>
                <w:rFonts w:cs="Times New Roman"/>
              </w:rPr>
              <w:t xml:space="preserve">49.6 </w:t>
            </w:r>
          </w:p>
        </w:tc>
        <w:tc>
          <w:tcPr>
            <w:tcW w:w="238" w:type="pct"/>
            <w:vAlign w:val="center"/>
          </w:tcPr>
          <w:p>
            <w:pPr>
              <w:pStyle w:val="105"/>
              <w:jc w:val="center"/>
            </w:pPr>
            <w:r>
              <w:rPr>
                <w:rFonts w:cs="Times New Roman"/>
              </w:rPr>
              <w:t xml:space="preserve">47.1 </w:t>
            </w:r>
          </w:p>
        </w:tc>
        <w:tc>
          <w:tcPr>
            <w:tcW w:w="238" w:type="pct"/>
            <w:vAlign w:val="center"/>
          </w:tcPr>
          <w:p>
            <w:pPr>
              <w:pStyle w:val="105"/>
              <w:jc w:val="center"/>
            </w:pPr>
            <w:r>
              <w:rPr>
                <w:rFonts w:cs="Times New Roman"/>
              </w:rPr>
              <w:t xml:space="preserve">45.3 </w:t>
            </w:r>
          </w:p>
        </w:tc>
        <w:tc>
          <w:tcPr>
            <w:tcW w:w="238" w:type="pct"/>
            <w:vAlign w:val="center"/>
          </w:tcPr>
          <w:p>
            <w:pPr>
              <w:pStyle w:val="105"/>
              <w:jc w:val="center"/>
            </w:pPr>
            <w:r>
              <w:rPr>
                <w:rFonts w:cs="Times New Roman"/>
              </w:rPr>
              <w:t xml:space="preserve">43.8 </w:t>
            </w:r>
          </w:p>
        </w:tc>
        <w:tc>
          <w:tcPr>
            <w:tcW w:w="238" w:type="pct"/>
            <w:vAlign w:val="center"/>
          </w:tcPr>
          <w:p>
            <w:pPr>
              <w:pStyle w:val="105"/>
              <w:jc w:val="center"/>
            </w:pPr>
            <w:r>
              <w:rPr>
                <w:rFonts w:cs="Times New Roman"/>
              </w:rPr>
              <w:t xml:space="preserve">41.6 </w:t>
            </w:r>
          </w:p>
        </w:tc>
        <w:tc>
          <w:tcPr>
            <w:tcW w:w="238" w:type="pct"/>
            <w:vAlign w:val="center"/>
          </w:tcPr>
          <w:p>
            <w:pPr>
              <w:pStyle w:val="105"/>
              <w:jc w:val="center"/>
            </w:pPr>
            <w:r>
              <w:rPr>
                <w:rFonts w:cs="Times New Roman"/>
              </w:rPr>
              <w:t xml:space="preserve">40.0 </w:t>
            </w:r>
          </w:p>
        </w:tc>
        <w:tc>
          <w:tcPr>
            <w:tcW w:w="238" w:type="pct"/>
            <w:vAlign w:val="center"/>
          </w:tcPr>
          <w:p>
            <w:pPr>
              <w:pStyle w:val="105"/>
              <w:jc w:val="center"/>
            </w:pPr>
            <w:r>
              <w:rPr>
                <w:rFonts w:cs="Times New Roman"/>
              </w:rPr>
              <w:t xml:space="preserve">38.7 </w:t>
            </w:r>
          </w:p>
        </w:tc>
        <w:tc>
          <w:tcPr>
            <w:tcW w:w="238" w:type="pct"/>
            <w:vAlign w:val="center"/>
          </w:tcPr>
          <w:p>
            <w:pPr>
              <w:pStyle w:val="105"/>
              <w:jc w:val="center"/>
            </w:pPr>
            <w:r>
              <w:rPr>
                <w:rFonts w:cs="Times New Roman"/>
              </w:rPr>
              <w:t xml:space="preserve">36.6 </w:t>
            </w:r>
          </w:p>
        </w:tc>
        <w:tc>
          <w:tcPr>
            <w:tcW w:w="298" w:type="pct"/>
            <w:vAlign w:val="center"/>
          </w:tcPr>
          <w:p>
            <w:pPr>
              <w:pStyle w:val="105"/>
              <w:jc w:val="center"/>
            </w:pPr>
            <w:r>
              <w:rPr>
                <w:rFonts w:cs="Times New Roman"/>
              </w:rPr>
              <w:t xml:space="preserve">35.0 </w:t>
            </w:r>
          </w:p>
        </w:tc>
        <w:tc>
          <w:tcPr>
            <w:tcW w:w="364" w:type="pct"/>
            <w:vAlign w:val="center"/>
          </w:tcPr>
          <w:p>
            <w:pPr>
              <w:pStyle w:val="105"/>
              <w:jc w:val="center"/>
            </w:pPr>
            <w:r>
              <w:rPr>
                <w:rFonts w:cs="Times New Roman"/>
              </w:rPr>
              <w:t xml:space="preserve">18.3 </w:t>
            </w:r>
          </w:p>
        </w:tc>
        <w:tc>
          <w:tcPr>
            <w:tcW w:w="368" w:type="pct"/>
            <w:vAlign w:val="center"/>
          </w:tcPr>
          <w:p>
            <w:pPr>
              <w:pStyle w:val="105"/>
              <w:jc w:val="center"/>
            </w:pPr>
            <w:r>
              <w:rPr>
                <w:rFonts w:cs="Times New Roman"/>
              </w:rPr>
              <w:t xml:space="preserve">12.3 </w:t>
            </w:r>
          </w:p>
        </w:tc>
        <w:tc>
          <w:tcPr>
            <w:tcW w:w="305" w:type="pct"/>
            <w:vAlign w:val="center"/>
          </w:tcPr>
          <w:p>
            <w:pPr>
              <w:pStyle w:val="105"/>
              <w:jc w:val="center"/>
            </w:pPr>
            <w:r>
              <w:rPr>
                <w:rFonts w:cs="Times New Roman"/>
              </w:rPr>
              <w:t xml:space="preserve">28.9 </w:t>
            </w:r>
          </w:p>
        </w:tc>
        <w:tc>
          <w:tcPr>
            <w:tcW w:w="342" w:type="pct"/>
            <w:vAlign w:val="center"/>
          </w:tcPr>
          <w:p>
            <w:pPr>
              <w:pStyle w:val="105"/>
              <w:jc w:val="center"/>
            </w:pPr>
            <w:r>
              <w:rPr>
                <w:rFonts w:cs="Times New Roman"/>
              </w:rPr>
              <w:t xml:space="preserve">22.9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restart"/>
            <w:vAlign w:val="center"/>
          </w:tcPr>
          <w:p>
            <w:pPr>
              <w:pStyle w:val="105"/>
              <w:jc w:val="center"/>
            </w:pPr>
            <w:r>
              <w:t>中</w:t>
            </w:r>
          </w:p>
          <w:p>
            <w:pPr>
              <w:pStyle w:val="105"/>
              <w:jc w:val="center"/>
            </w:pPr>
            <w:r>
              <w:t>期</w:t>
            </w:r>
          </w:p>
        </w:tc>
        <w:tc>
          <w:tcPr>
            <w:tcW w:w="271" w:type="pct"/>
            <w:vAlign w:val="center"/>
          </w:tcPr>
          <w:p>
            <w:pPr>
              <w:pStyle w:val="105"/>
              <w:jc w:val="center"/>
            </w:pPr>
            <w:r>
              <w:t>昼间</w:t>
            </w:r>
          </w:p>
        </w:tc>
        <w:tc>
          <w:tcPr>
            <w:tcW w:w="416" w:type="pct"/>
            <w:vAlign w:val="center"/>
          </w:tcPr>
          <w:p>
            <w:pPr>
              <w:pStyle w:val="105"/>
              <w:jc w:val="center"/>
              <w:rPr>
                <w:rFonts w:cs="Times New Roman"/>
              </w:rPr>
            </w:pPr>
            <w:r>
              <w:rPr>
                <w:rFonts w:cs="Times New Roman"/>
              </w:rPr>
              <w:t xml:space="preserve">68.2 </w:t>
            </w:r>
          </w:p>
        </w:tc>
        <w:tc>
          <w:tcPr>
            <w:tcW w:w="324" w:type="pct"/>
            <w:vAlign w:val="center"/>
          </w:tcPr>
          <w:p>
            <w:pPr>
              <w:pStyle w:val="105"/>
              <w:jc w:val="center"/>
            </w:pPr>
            <w:r>
              <w:rPr>
                <w:rFonts w:cs="Times New Roman"/>
              </w:rPr>
              <w:t xml:space="preserve">64.1 </w:t>
            </w:r>
          </w:p>
        </w:tc>
        <w:tc>
          <w:tcPr>
            <w:tcW w:w="238" w:type="pct"/>
            <w:vAlign w:val="center"/>
          </w:tcPr>
          <w:p>
            <w:pPr>
              <w:pStyle w:val="105"/>
              <w:jc w:val="center"/>
            </w:pPr>
            <w:r>
              <w:rPr>
                <w:rFonts w:cs="Times New Roman"/>
              </w:rPr>
              <w:t xml:space="preserve">60.7 </w:t>
            </w:r>
          </w:p>
        </w:tc>
        <w:tc>
          <w:tcPr>
            <w:tcW w:w="238" w:type="pct"/>
            <w:vAlign w:val="center"/>
          </w:tcPr>
          <w:p>
            <w:pPr>
              <w:pStyle w:val="105"/>
              <w:jc w:val="center"/>
            </w:pPr>
            <w:r>
              <w:rPr>
                <w:rFonts w:cs="Times New Roman"/>
              </w:rPr>
              <w:t xml:space="preserve">58.8 </w:t>
            </w:r>
          </w:p>
        </w:tc>
        <w:tc>
          <w:tcPr>
            <w:tcW w:w="238" w:type="pct"/>
            <w:vAlign w:val="center"/>
          </w:tcPr>
          <w:p>
            <w:pPr>
              <w:pStyle w:val="105"/>
              <w:jc w:val="center"/>
            </w:pPr>
            <w:r>
              <w:rPr>
                <w:rFonts w:cs="Times New Roman"/>
              </w:rPr>
              <w:t xml:space="preserve">57.4 </w:t>
            </w:r>
          </w:p>
        </w:tc>
        <w:tc>
          <w:tcPr>
            <w:tcW w:w="238" w:type="pct"/>
            <w:vAlign w:val="center"/>
          </w:tcPr>
          <w:p>
            <w:pPr>
              <w:pStyle w:val="105"/>
              <w:jc w:val="center"/>
            </w:pPr>
            <w:r>
              <w:rPr>
                <w:rFonts w:cs="Times New Roman"/>
              </w:rPr>
              <w:t xml:space="preserve">56.4 </w:t>
            </w:r>
          </w:p>
        </w:tc>
        <w:tc>
          <w:tcPr>
            <w:tcW w:w="238" w:type="pct"/>
            <w:vAlign w:val="center"/>
          </w:tcPr>
          <w:p>
            <w:pPr>
              <w:pStyle w:val="105"/>
              <w:jc w:val="center"/>
            </w:pPr>
            <w:r>
              <w:rPr>
                <w:rFonts w:cs="Times New Roman"/>
              </w:rPr>
              <w:t xml:space="preserve">54.8 </w:t>
            </w:r>
          </w:p>
        </w:tc>
        <w:tc>
          <w:tcPr>
            <w:tcW w:w="238" w:type="pct"/>
            <w:vAlign w:val="center"/>
          </w:tcPr>
          <w:p>
            <w:pPr>
              <w:pStyle w:val="105"/>
              <w:jc w:val="center"/>
            </w:pPr>
            <w:r>
              <w:rPr>
                <w:rFonts w:cs="Times New Roman"/>
              </w:rPr>
              <w:t xml:space="preserve">53.7 </w:t>
            </w:r>
          </w:p>
        </w:tc>
        <w:tc>
          <w:tcPr>
            <w:tcW w:w="238" w:type="pct"/>
            <w:vAlign w:val="center"/>
          </w:tcPr>
          <w:p>
            <w:pPr>
              <w:pStyle w:val="105"/>
              <w:jc w:val="center"/>
            </w:pPr>
            <w:r>
              <w:rPr>
                <w:rFonts w:cs="Times New Roman"/>
              </w:rPr>
              <w:t xml:space="preserve">52.7 </w:t>
            </w:r>
          </w:p>
        </w:tc>
        <w:tc>
          <w:tcPr>
            <w:tcW w:w="238" w:type="pct"/>
            <w:vAlign w:val="center"/>
          </w:tcPr>
          <w:p>
            <w:pPr>
              <w:pStyle w:val="105"/>
              <w:jc w:val="center"/>
            </w:pPr>
            <w:r>
              <w:rPr>
                <w:rFonts w:cs="Times New Roman"/>
              </w:rPr>
              <w:t xml:space="preserve">51.3 </w:t>
            </w:r>
          </w:p>
        </w:tc>
        <w:tc>
          <w:tcPr>
            <w:tcW w:w="298" w:type="pct"/>
            <w:vAlign w:val="center"/>
          </w:tcPr>
          <w:p>
            <w:pPr>
              <w:pStyle w:val="105"/>
              <w:jc w:val="center"/>
            </w:pPr>
            <w:r>
              <w:rPr>
                <w:rFonts w:cs="Times New Roman"/>
              </w:rPr>
              <w:t xml:space="preserve">50.1 </w:t>
            </w:r>
          </w:p>
        </w:tc>
        <w:tc>
          <w:tcPr>
            <w:tcW w:w="364" w:type="pct"/>
            <w:vAlign w:val="center"/>
          </w:tcPr>
          <w:p>
            <w:pPr>
              <w:pStyle w:val="105"/>
              <w:jc w:val="center"/>
            </w:pPr>
            <w:r>
              <w:rPr>
                <w:rFonts w:cs="Times New Roman"/>
              </w:rPr>
              <w:t xml:space="preserve">12.5 </w:t>
            </w:r>
          </w:p>
        </w:tc>
        <w:tc>
          <w:tcPr>
            <w:tcW w:w="368" w:type="pct"/>
            <w:vAlign w:val="center"/>
          </w:tcPr>
          <w:p>
            <w:pPr>
              <w:pStyle w:val="105"/>
              <w:jc w:val="center"/>
            </w:pPr>
            <w:r>
              <w:rPr>
                <w:rFonts w:cs="Times New Roman"/>
              </w:rPr>
              <w:t xml:space="preserve">6.5 </w:t>
            </w:r>
          </w:p>
        </w:tc>
        <w:tc>
          <w:tcPr>
            <w:tcW w:w="305" w:type="pct"/>
            <w:vAlign w:val="center"/>
          </w:tcPr>
          <w:p>
            <w:pPr>
              <w:pStyle w:val="105"/>
              <w:jc w:val="center"/>
            </w:pPr>
            <w:r>
              <w:rPr>
                <w:rFonts w:cs="Times New Roman"/>
              </w:rPr>
              <w:t xml:space="preserve">33.1 </w:t>
            </w:r>
          </w:p>
        </w:tc>
        <w:tc>
          <w:tcPr>
            <w:tcW w:w="342" w:type="pct"/>
            <w:vAlign w:val="center"/>
          </w:tcPr>
          <w:p>
            <w:pPr>
              <w:pStyle w:val="105"/>
              <w:jc w:val="center"/>
            </w:pPr>
            <w:r>
              <w:rPr>
                <w:rFonts w:cs="Times New Roman"/>
              </w:rPr>
              <w:t xml:space="preserve">27.1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continue"/>
            <w:vAlign w:val="center"/>
          </w:tcPr>
          <w:p>
            <w:pPr>
              <w:pStyle w:val="105"/>
              <w:jc w:val="center"/>
            </w:pPr>
          </w:p>
        </w:tc>
        <w:tc>
          <w:tcPr>
            <w:tcW w:w="271" w:type="pct"/>
            <w:vAlign w:val="center"/>
          </w:tcPr>
          <w:p>
            <w:pPr>
              <w:pStyle w:val="105"/>
              <w:jc w:val="center"/>
            </w:pPr>
            <w:r>
              <w:t>夜间</w:t>
            </w:r>
          </w:p>
        </w:tc>
        <w:tc>
          <w:tcPr>
            <w:tcW w:w="416" w:type="pct"/>
            <w:vAlign w:val="center"/>
          </w:tcPr>
          <w:p>
            <w:pPr>
              <w:pStyle w:val="105"/>
              <w:jc w:val="center"/>
              <w:rPr>
                <w:rFonts w:cs="Times New Roman"/>
              </w:rPr>
            </w:pPr>
            <w:r>
              <w:rPr>
                <w:rFonts w:cs="Times New Roman"/>
              </w:rPr>
              <w:t xml:space="preserve">60.0 </w:t>
            </w:r>
          </w:p>
        </w:tc>
        <w:tc>
          <w:tcPr>
            <w:tcW w:w="324" w:type="pct"/>
            <w:vAlign w:val="center"/>
          </w:tcPr>
          <w:p>
            <w:pPr>
              <w:pStyle w:val="105"/>
              <w:jc w:val="center"/>
            </w:pPr>
            <w:r>
              <w:rPr>
                <w:rFonts w:cs="Times New Roman"/>
              </w:rPr>
              <w:t xml:space="preserve">54.4 </w:t>
            </w:r>
          </w:p>
        </w:tc>
        <w:tc>
          <w:tcPr>
            <w:tcW w:w="238" w:type="pct"/>
            <w:vAlign w:val="center"/>
          </w:tcPr>
          <w:p>
            <w:pPr>
              <w:pStyle w:val="105"/>
              <w:jc w:val="center"/>
            </w:pPr>
            <w:r>
              <w:rPr>
                <w:rFonts w:cs="Times New Roman"/>
              </w:rPr>
              <w:t xml:space="preserve">50.1 </w:t>
            </w:r>
          </w:p>
        </w:tc>
        <w:tc>
          <w:tcPr>
            <w:tcW w:w="238" w:type="pct"/>
            <w:vAlign w:val="center"/>
          </w:tcPr>
          <w:p>
            <w:pPr>
              <w:pStyle w:val="105"/>
              <w:jc w:val="center"/>
            </w:pPr>
            <w:r>
              <w:rPr>
                <w:rFonts w:cs="Times New Roman"/>
              </w:rPr>
              <w:t xml:space="preserve">47.5 </w:t>
            </w:r>
          </w:p>
        </w:tc>
        <w:tc>
          <w:tcPr>
            <w:tcW w:w="238" w:type="pct"/>
            <w:vAlign w:val="center"/>
          </w:tcPr>
          <w:p>
            <w:pPr>
              <w:pStyle w:val="105"/>
              <w:jc w:val="center"/>
            </w:pPr>
            <w:r>
              <w:rPr>
                <w:rFonts w:cs="Times New Roman"/>
              </w:rPr>
              <w:t xml:space="preserve">45.7 </w:t>
            </w:r>
          </w:p>
        </w:tc>
        <w:tc>
          <w:tcPr>
            <w:tcW w:w="238" w:type="pct"/>
            <w:vAlign w:val="center"/>
          </w:tcPr>
          <w:p>
            <w:pPr>
              <w:pStyle w:val="105"/>
              <w:jc w:val="center"/>
            </w:pPr>
            <w:r>
              <w:rPr>
                <w:rFonts w:cs="Times New Roman"/>
              </w:rPr>
              <w:t xml:space="preserve">44.3 </w:t>
            </w:r>
          </w:p>
        </w:tc>
        <w:tc>
          <w:tcPr>
            <w:tcW w:w="238" w:type="pct"/>
            <w:vAlign w:val="center"/>
          </w:tcPr>
          <w:p>
            <w:pPr>
              <w:pStyle w:val="105"/>
              <w:jc w:val="center"/>
            </w:pPr>
            <w:r>
              <w:rPr>
                <w:rFonts w:cs="Times New Roman"/>
              </w:rPr>
              <w:t xml:space="preserve">42.1 </w:t>
            </w:r>
          </w:p>
        </w:tc>
        <w:tc>
          <w:tcPr>
            <w:tcW w:w="238" w:type="pct"/>
            <w:vAlign w:val="center"/>
          </w:tcPr>
          <w:p>
            <w:pPr>
              <w:pStyle w:val="105"/>
              <w:jc w:val="center"/>
            </w:pPr>
            <w:r>
              <w:rPr>
                <w:rFonts w:cs="Times New Roman"/>
              </w:rPr>
              <w:t xml:space="preserve">40.4 </w:t>
            </w:r>
          </w:p>
        </w:tc>
        <w:tc>
          <w:tcPr>
            <w:tcW w:w="238" w:type="pct"/>
            <w:vAlign w:val="center"/>
          </w:tcPr>
          <w:p>
            <w:pPr>
              <w:pStyle w:val="105"/>
              <w:jc w:val="center"/>
            </w:pPr>
            <w:r>
              <w:rPr>
                <w:rFonts w:cs="Times New Roman"/>
              </w:rPr>
              <w:t xml:space="preserve">39.1 </w:t>
            </w:r>
          </w:p>
        </w:tc>
        <w:tc>
          <w:tcPr>
            <w:tcW w:w="238" w:type="pct"/>
            <w:vAlign w:val="center"/>
          </w:tcPr>
          <w:p>
            <w:pPr>
              <w:pStyle w:val="105"/>
              <w:jc w:val="center"/>
            </w:pPr>
            <w:r>
              <w:rPr>
                <w:rFonts w:cs="Times New Roman"/>
              </w:rPr>
              <w:t xml:space="preserve">37.0 </w:t>
            </w:r>
          </w:p>
        </w:tc>
        <w:tc>
          <w:tcPr>
            <w:tcW w:w="298" w:type="pct"/>
            <w:vAlign w:val="center"/>
          </w:tcPr>
          <w:p>
            <w:pPr>
              <w:pStyle w:val="105"/>
              <w:jc w:val="center"/>
            </w:pPr>
            <w:r>
              <w:rPr>
                <w:rFonts w:cs="Times New Roman"/>
              </w:rPr>
              <w:t xml:space="preserve">35.4 </w:t>
            </w:r>
          </w:p>
        </w:tc>
        <w:tc>
          <w:tcPr>
            <w:tcW w:w="364" w:type="pct"/>
            <w:vAlign w:val="center"/>
          </w:tcPr>
          <w:p>
            <w:pPr>
              <w:pStyle w:val="105"/>
              <w:jc w:val="center"/>
            </w:pPr>
            <w:r>
              <w:rPr>
                <w:rFonts w:cs="Times New Roman"/>
              </w:rPr>
              <w:t xml:space="preserve">19.0 </w:t>
            </w:r>
          </w:p>
        </w:tc>
        <w:tc>
          <w:tcPr>
            <w:tcW w:w="368" w:type="pct"/>
            <w:vAlign w:val="center"/>
          </w:tcPr>
          <w:p>
            <w:pPr>
              <w:pStyle w:val="105"/>
              <w:jc w:val="center"/>
            </w:pPr>
            <w:r>
              <w:rPr>
                <w:rFonts w:cs="Times New Roman"/>
              </w:rPr>
              <w:t xml:space="preserve">13.0 </w:t>
            </w:r>
          </w:p>
        </w:tc>
        <w:tc>
          <w:tcPr>
            <w:tcW w:w="305" w:type="pct"/>
            <w:vAlign w:val="center"/>
          </w:tcPr>
          <w:p>
            <w:pPr>
              <w:pStyle w:val="105"/>
              <w:jc w:val="center"/>
            </w:pPr>
            <w:r>
              <w:rPr>
                <w:rFonts w:cs="Times New Roman"/>
              </w:rPr>
              <w:t xml:space="preserve">30.3 </w:t>
            </w:r>
          </w:p>
        </w:tc>
        <w:tc>
          <w:tcPr>
            <w:tcW w:w="342" w:type="pct"/>
            <w:vAlign w:val="center"/>
          </w:tcPr>
          <w:p>
            <w:pPr>
              <w:pStyle w:val="105"/>
              <w:jc w:val="center"/>
            </w:pPr>
            <w:r>
              <w:rPr>
                <w:rFonts w:cs="Times New Roman"/>
              </w:rPr>
              <w:t xml:space="preserve">24.3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restart"/>
            <w:vAlign w:val="center"/>
          </w:tcPr>
          <w:p>
            <w:pPr>
              <w:pStyle w:val="105"/>
              <w:jc w:val="center"/>
            </w:pPr>
            <w:r>
              <w:t>远</w:t>
            </w:r>
          </w:p>
          <w:p>
            <w:pPr>
              <w:pStyle w:val="105"/>
              <w:jc w:val="center"/>
            </w:pPr>
            <w:r>
              <w:t>期</w:t>
            </w:r>
          </w:p>
        </w:tc>
        <w:tc>
          <w:tcPr>
            <w:tcW w:w="271" w:type="pct"/>
            <w:vAlign w:val="center"/>
          </w:tcPr>
          <w:p>
            <w:pPr>
              <w:pStyle w:val="105"/>
              <w:jc w:val="center"/>
            </w:pPr>
            <w:r>
              <w:t>昼间</w:t>
            </w:r>
          </w:p>
        </w:tc>
        <w:tc>
          <w:tcPr>
            <w:tcW w:w="416" w:type="pct"/>
            <w:vAlign w:val="center"/>
          </w:tcPr>
          <w:p>
            <w:pPr>
              <w:pStyle w:val="105"/>
              <w:jc w:val="center"/>
              <w:rPr>
                <w:rFonts w:cs="Times New Roman"/>
              </w:rPr>
            </w:pPr>
            <w:r>
              <w:rPr>
                <w:rFonts w:cs="Times New Roman"/>
              </w:rPr>
              <w:t xml:space="preserve">68.5 </w:t>
            </w:r>
          </w:p>
        </w:tc>
        <w:tc>
          <w:tcPr>
            <w:tcW w:w="324" w:type="pct"/>
            <w:vAlign w:val="center"/>
          </w:tcPr>
          <w:p>
            <w:pPr>
              <w:pStyle w:val="105"/>
              <w:jc w:val="center"/>
            </w:pPr>
            <w:r>
              <w:rPr>
                <w:rFonts w:cs="Times New Roman"/>
              </w:rPr>
              <w:t xml:space="preserve">64.3 </w:t>
            </w:r>
          </w:p>
        </w:tc>
        <w:tc>
          <w:tcPr>
            <w:tcW w:w="238" w:type="pct"/>
            <w:vAlign w:val="center"/>
          </w:tcPr>
          <w:p>
            <w:pPr>
              <w:pStyle w:val="105"/>
              <w:jc w:val="center"/>
            </w:pPr>
            <w:r>
              <w:rPr>
                <w:rFonts w:cs="Times New Roman"/>
              </w:rPr>
              <w:t xml:space="preserve">60.9 </w:t>
            </w:r>
          </w:p>
        </w:tc>
        <w:tc>
          <w:tcPr>
            <w:tcW w:w="238" w:type="pct"/>
            <w:vAlign w:val="center"/>
          </w:tcPr>
          <w:p>
            <w:pPr>
              <w:pStyle w:val="105"/>
              <w:jc w:val="center"/>
            </w:pPr>
            <w:r>
              <w:rPr>
                <w:rFonts w:cs="Times New Roman"/>
              </w:rPr>
              <w:t xml:space="preserve">59.0 </w:t>
            </w:r>
          </w:p>
        </w:tc>
        <w:tc>
          <w:tcPr>
            <w:tcW w:w="238" w:type="pct"/>
            <w:vAlign w:val="center"/>
          </w:tcPr>
          <w:p>
            <w:pPr>
              <w:pStyle w:val="105"/>
              <w:jc w:val="center"/>
            </w:pPr>
            <w:r>
              <w:rPr>
                <w:rFonts w:cs="Times New Roman"/>
              </w:rPr>
              <w:t xml:space="preserve">57.6 </w:t>
            </w:r>
          </w:p>
        </w:tc>
        <w:tc>
          <w:tcPr>
            <w:tcW w:w="238" w:type="pct"/>
            <w:vAlign w:val="center"/>
          </w:tcPr>
          <w:p>
            <w:pPr>
              <w:pStyle w:val="105"/>
              <w:jc w:val="center"/>
            </w:pPr>
            <w:r>
              <w:rPr>
                <w:rFonts w:cs="Times New Roman"/>
              </w:rPr>
              <w:t xml:space="preserve">56.6 </w:t>
            </w:r>
          </w:p>
        </w:tc>
        <w:tc>
          <w:tcPr>
            <w:tcW w:w="238" w:type="pct"/>
            <w:vAlign w:val="center"/>
          </w:tcPr>
          <w:p>
            <w:pPr>
              <w:pStyle w:val="105"/>
              <w:jc w:val="center"/>
            </w:pPr>
            <w:r>
              <w:rPr>
                <w:rFonts w:cs="Times New Roman"/>
              </w:rPr>
              <w:t xml:space="preserve">55.0 </w:t>
            </w:r>
          </w:p>
        </w:tc>
        <w:tc>
          <w:tcPr>
            <w:tcW w:w="238" w:type="pct"/>
            <w:vAlign w:val="center"/>
          </w:tcPr>
          <w:p>
            <w:pPr>
              <w:pStyle w:val="105"/>
              <w:jc w:val="center"/>
            </w:pPr>
            <w:r>
              <w:rPr>
                <w:rFonts w:cs="Times New Roman"/>
              </w:rPr>
              <w:t xml:space="preserve">53.9 </w:t>
            </w:r>
          </w:p>
        </w:tc>
        <w:tc>
          <w:tcPr>
            <w:tcW w:w="238" w:type="pct"/>
            <w:vAlign w:val="center"/>
          </w:tcPr>
          <w:p>
            <w:pPr>
              <w:pStyle w:val="105"/>
              <w:jc w:val="center"/>
            </w:pPr>
            <w:r>
              <w:rPr>
                <w:rFonts w:cs="Times New Roman"/>
              </w:rPr>
              <w:t xml:space="preserve">52.9 </w:t>
            </w:r>
          </w:p>
        </w:tc>
        <w:tc>
          <w:tcPr>
            <w:tcW w:w="238" w:type="pct"/>
            <w:vAlign w:val="center"/>
          </w:tcPr>
          <w:p>
            <w:pPr>
              <w:pStyle w:val="105"/>
              <w:jc w:val="center"/>
            </w:pPr>
            <w:r>
              <w:rPr>
                <w:rFonts w:cs="Times New Roman"/>
              </w:rPr>
              <w:t xml:space="preserve">51.5 </w:t>
            </w:r>
          </w:p>
        </w:tc>
        <w:tc>
          <w:tcPr>
            <w:tcW w:w="298" w:type="pct"/>
            <w:vAlign w:val="center"/>
          </w:tcPr>
          <w:p>
            <w:pPr>
              <w:pStyle w:val="105"/>
              <w:jc w:val="center"/>
            </w:pPr>
            <w:r>
              <w:rPr>
                <w:rFonts w:cs="Times New Roman"/>
              </w:rPr>
              <w:t xml:space="preserve">50.3 </w:t>
            </w:r>
          </w:p>
        </w:tc>
        <w:tc>
          <w:tcPr>
            <w:tcW w:w="364" w:type="pct"/>
            <w:vAlign w:val="center"/>
          </w:tcPr>
          <w:p>
            <w:pPr>
              <w:pStyle w:val="105"/>
              <w:jc w:val="center"/>
            </w:pPr>
            <w:r>
              <w:rPr>
                <w:rFonts w:cs="Times New Roman"/>
              </w:rPr>
              <w:t xml:space="preserve">12.7 </w:t>
            </w:r>
          </w:p>
        </w:tc>
        <w:tc>
          <w:tcPr>
            <w:tcW w:w="368" w:type="pct"/>
            <w:vAlign w:val="center"/>
          </w:tcPr>
          <w:p>
            <w:pPr>
              <w:pStyle w:val="105"/>
              <w:jc w:val="center"/>
            </w:pPr>
            <w:r>
              <w:rPr>
                <w:rFonts w:cs="Times New Roman"/>
              </w:rPr>
              <w:t xml:space="preserve">6.7 </w:t>
            </w:r>
          </w:p>
        </w:tc>
        <w:tc>
          <w:tcPr>
            <w:tcW w:w="305" w:type="pct"/>
            <w:vAlign w:val="center"/>
          </w:tcPr>
          <w:p>
            <w:pPr>
              <w:pStyle w:val="105"/>
              <w:jc w:val="center"/>
            </w:pPr>
            <w:r>
              <w:rPr>
                <w:rFonts w:cs="Times New Roman"/>
              </w:rPr>
              <w:t xml:space="preserve">34.2 </w:t>
            </w:r>
          </w:p>
        </w:tc>
        <w:tc>
          <w:tcPr>
            <w:tcW w:w="342" w:type="pct"/>
            <w:vAlign w:val="center"/>
          </w:tcPr>
          <w:p>
            <w:pPr>
              <w:pStyle w:val="105"/>
              <w:jc w:val="center"/>
            </w:pPr>
            <w:r>
              <w:rPr>
                <w:rFonts w:cs="Times New Roman"/>
              </w:rPr>
              <w:t xml:space="preserve">28.2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continue"/>
            <w:vAlign w:val="center"/>
          </w:tcPr>
          <w:p>
            <w:pPr>
              <w:pStyle w:val="105"/>
              <w:jc w:val="center"/>
            </w:pPr>
          </w:p>
        </w:tc>
        <w:tc>
          <w:tcPr>
            <w:tcW w:w="271" w:type="pct"/>
            <w:vAlign w:val="center"/>
          </w:tcPr>
          <w:p>
            <w:pPr>
              <w:pStyle w:val="105"/>
              <w:jc w:val="center"/>
            </w:pPr>
            <w:r>
              <w:t>夜间</w:t>
            </w:r>
          </w:p>
        </w:tc>
        <w:tc>
          <w:tcPr>
            <w:tcW w:w="416" w:type="pct"/>
            <w:vAlign w:val="center"/>
          </w:tcPr>
          <w:p>
            <w:pPr>
              <w:pStyle w:val="105"/>
              <w:jc w:val="center"/>
              <w:rPr>
                <w:rFonts w:cs="Times New Roman"/>
              </w:rPr>
            </w:pPr>
            <w:r>
              <w:rPr>
                <w:rFonts w:cs="Times New Roman"/>
              </w:rPr>
              <w:t xml:space="preserve">60.2 </w:t>
            </w:r>
          </w:p>
        </w:tc>
        <w:tc>
          <w:tcPr>
            <w:tcW w:w="324" w:type="pct"/>
            <w:vAlign w:val="center"/>
          </w:tcPr>
          <w:p>
            <w:pPr>
              <w:pStyle w:val="105"/>
              <w:jc w:val="center"/>
            </w:pPr>
            <w:r>
              <w:rPr>
                <w:rFonts w:cs="Times New Roman"/>
              </w:rPr>
              <w:t xml:space="preserve">54.6 </w:t>
            </w:r>
          </w:p>
        </w:tc>
        <w:tc>
          <w:tcPr>
            <w:tcW w:w="238" w:type="pct"/>
            <w:vAlign w:val="center"/>
          </w:tcPr>
          <w:p>
            <w:pPr>
              <w:pStyle w:val="105"/>
              <w:jc w:val="center"/>
            </w:pPr>
            <w:r>
              <w:rPr>
                <w:rFonts w:cs="Times New Roman"/>
              </w:rPr>
              <w:t xml:space="preserve">50.3 </w:t>
            </w:r>
          </w:p>
        </w:tc>
        <w:tc>
          <w:tcPr>
            <w:tcW w:w="238" w:type="pct"/>
            <w:vAlign w:val="center"/>
          </w:tcPr>
          <w:p>
            <w:pPr>
              <w:pStyle w:val="105"/>
              <w:jc w:val="center"/>
            </w:pPr>
            <w:r>
              <w:rPr>
                <w:rFonts w:cs="Times New Roman"/>
              </w:rPr>
              <w:t xml:space="preserve">47.7 </w:t>
            </w:r>
          </w:p>
        </w:tc>
        <w:tc>
          <w:tcPr>
            <w:tcW w:w="238" w:type="pct"/>
            <w:vAlign w:val="center"/>
          </w:tcPr>
          <w:p>
            <w:pPr>
              <w:pStyle w:val="105"/>
              <w:jc w:val="center"/>
            </w:pPr>
            <w:r>
              <w:rPr>
                <w:rFonts w:cs="Times New Roman"/>
              </w:rPr>
              <w:t xml:space="preserve">45.9 </w:t>
            </w:r>
          </w:p>
        </w:tc>
        <w:tc>
          <w:tcPr>
            <w:tcW w:w="238" w:type="pct"/>
            <w:vAlign w:val="center"/>
          </w:tcPr>
          <w:p>
            <w:pPr>
              <w:pStyle w:val="105"/>
              <w:jc w:val="center"/>
            </w:pPr>
            <w:r>
              <w:rPr>
                <w:rFonts w:cs="Times New Roman"/>
              </w:rPr>
              <w:t xml:space="preserve">44.5 </w:t>
            </w:r>
          </w:p>
        </w:tc>
        <w:tc>
          <w:tcPr>
            <w:tcW w:w="238" w:type="pct"/>
            <w:vAlign w:val="center"/>
          </w:tcPr>
          <w:p>
            <w:pPr>
              <w:pStyle w:val="105"/>
              <w:jc w:val="center"/>
            </w:pPr>
            <w:r>
              <w:rPr>
                <w:rFonts w:cs="Times New Roman"/>
              </w:rPr>
              <w:t xml:space="preserve">42.3 </w:t>
            </w:r>
          </w:p>
        </w:tc>
        <w:tc>
          <w:tcPr>
            <w:tcW w:w="238" w:type="pct"/>
            <w:vAlign w:val="center"/>
          </w:tcPr>
          <w:p>
            <w:pPr>
              <w:pStyle w:val="105"/>
              <w:jc w:val="center"/>
            </w:pPr>
            <w:r>
              <w:rPr>
                <w:rFonts w:cs="Times New Roman"/>
              </w:rPr>
              <w:t xml:space="preserve">40.7 </w:t>
            </w:r>
          </w:p>
        </w:tc>
        <w:tc>
          <w:tcPr>
            <w:tcW w:w="238" w:type="pct"/>
            <w:vAlign w:val="center"/>
          </w:tcPr>
          <w:p>
            <w:pPr>
              <w:pStyle w:val="105"/>
              <w:jc w:val="center"/>
            </w:pPr>
            <w:r>
              <w:rPr>
                <w:rFonts w:cs="Times New Roman"/>
              </w:rPr>
              <w:t xml:space="preserve">39.3 </w:t>
            </w:r>
          </w:p>
        </w:tc>
        <w:tc>
          <w:tcPr>
            <w:tcW w:w="238" w:type="pct"/>
            <w:vAlign w:val="center"/>
          </w:tcPr>
          <w:p>
            <w:pPr>
              <w:pStyle w:val="105"/>
              <w:jc w:val="center"/>
            </w:pPr>
            <w:r>
              <w:rPr>
                <w:rFonts w:cs="Times New Roman"/>
              </w:rPr>
              <w:t xml:space="preserve">37.2 </w:t>
            </w:r>
          </w:p>
        </w:tc>
        <w:tc>
          <w:tcPr>
            <w:tcW w:w="298" w:type="pct"/>
            <w:vAlign w:val="center"/>
          </w:tcPr>
          <w:p>
            <w:pPr>
              <w:pStyle w:val="105"/>
              <w:jc w:val="center"/>
            </w:pPr>
            <w:r>
              <w:rPr>
                <w:rFonts w:cs="Times New Roman"/>
              </w:rPr>
              <w:t xml:space="preserve">35.6 </w:t>
            </w:r>
          </w:p>
        </w:tc>
        <w:tc>
          <w:tcPr>
            <w:tcW w:w="364" w:type="pct"/>
            <w:vAlign w:val="center"/>
          </w:tcPr>
          <w:p>
            <w:pPr>
              <w:pStyle w:val="105"/>
              <w:jc w:val="center"/>
            </w:pPr>
            <w:r>
              <w:rPr>
                <w:rFonts w:cs="Times New Roman"/>
              </w:rPr>
              <w:t xml:space="preserve">19.3 </w:t>
            </w:r>
          </w:p>
        </w:tc>
        <w:tc>
          <w:tcPr>
            <w:tcW w:w="368" w:type="pct"/>
            <w:vAlign w:val="center"/>
          </w:tcPr>
          <w:p>
            <w:pPr>
              <w:pStyle w:val="105"/>
              <w:jc w:val="center"/>
            </w:pPr>
            <w:r>
              <w:rPr>
                <w:rFonts w:cs="Times New Roman"/>
              </w:rPr>
              <w:t xml:space="preserve">13.3 </w:t>
            </w:r>
          </w:p>
        </w:tc>
        <w:tc>
          <w:tcPr>
            <w:tcW w:w="305" w:type="pct"/>
            <w:vAlign w:val="center"/>
          </w:tcPr>
          <w:p>
            <w:pPr>
              <w:pStyle w:val="105"/>
              <w:jc w:val="center"/>
            </w:pPr>
            <w:r>
              <w:rPr>
                <w:rFonts w:cs="Times New Roman"/>
              </w:rPr>
              <w:t xml:space="preserve">31.0 </w:t>
            </w:r>
          </w:p>
        </w:tc>
        <w:tc>
          <w:tcPr>
            <w:tcW w:w="342" w:type="pct"/>
            <w:vAlign w:val="center"/>
          </w:tcPr>
          <w:p>
            <w:pPr>
              <w:pStyle w:val="105"/>
              <w:jc w:val="center"/>
            </w:pPr>
            <w:r>
              <w:rPr>
                <w:rFonts w:cs="Times New Roman"/>
              </w:rPr>
              <w:t xml:space="preserve">25.0 </w:t>
            </w:r>
          </w:p>
        </w:tc>
      </w:tr>
    </w:tbl>
    <w:p>
      <w:pPr>
        <w:pStyle w:val="105"/>
        <w:jc w:val="center"/>
        <w:rPr>
          <w:rFonts w:hint="eastAsia" w:eastAsia="宋体"/>
          <w:lang w:eastAsia="zh-CN"/>
        </w:rPr>
      </w:pPr>
    </w:p>
    <w:p>
      <w:pPr>
        <w:pStyle w:val="122"/>
        <w:ind w:left="420" w:hanging="420"/>
      </w:pPr>
      <w:bookmarkStart w:id="475" w:name="_Ref149557758"/>
      <w:r>
        <w:rPr>
          <w:rFonts w:hint="eastAsia"/>
        </w:rPr>
        <w:t>近期昼、夜间水平向预测结果衰减曲线</w:t>
      </w:r>
      <w:bookmarkEnd w:id="475"/>
    </w:p>
    <w:p>
      <w:pPr>
        <w:pStyle w:val="105"/>
        <w:jc w:val="center"/>
        <w:rPr>
          <w:rFonts w:hint="eastAsia" w:eastAsia="宋体"/>
          <w:lang w:eastAsia="zh-CN"/>
        </w:rPr>
      </w:pPr>
    </w:p>
    <w:p>
      <w:pPr>
        <w:pStyle w:val="122"/>
        <w:spacing w:after="0"/>
        <w:ind w:left="420" w:hanging="420"/>
      </w:pPr>
      <w:r>
        <w:rPr>
          <w:rFonts w:hint="eastAsia"/>
        </w:rPr>
        <w:t>中期昼、夜间水平向预测结果衰减曲线</w:t>
      </w:r>
    </w:p>
    <w:p>
      <w:pPr>
        <w:pStyle w:val="105"/>
        <w:jc w:val="center"/>
        <w:rPr>
          <w:rFonts w:hint="eastAsia" w:eastAsia="宋体"/>
          <w:lang w:eastAsia="zh-CN"/>
        </w:rPr>
      </w:pPr>
    </w:p>
    <w:p>
      <w:pPr>
        <w:pStyle w:val="122"/>
        <w:ind w:left="420" w:hanging="420"/>
      </w:pPr>
      <w:bookmarkStart w:id="476" w:name="_Ref193786678"/>
      <w:r>
        <w:rPr>
          <w:rFonts w:hint="eastAsia"/>
        </w:rPr>
        <w:t>远期昼、夜间水平向预测结果衰减曲线</w:t>
      </w:r>
      <w:bookmarkEnd w:id="476"/>
    </w:p>
    <w:p>
      <w:pPr>
        <w:pStyle w:val="118"/>
        <w:numPr>
          <w:ilvl w:val="0"/>
          <w:numId w:val="0"/>
        </w:numPr>
      </w:pPr>
      <w:r>
        <w:rPr>
          <w:rFonts w:hint="eastAsia"/>
        </w:rPr>
        <w:t>（</w:t>
      </w:r>
      <w:r>
        <w:t>3</w:t>
      </w:r>
      <w:r>
        <w:rPr>
          <w:rFonts w:hint="eastAsia"/>
        </w:rPr>
        <w:t>）公路两侧铅垂向交通噪声影响预测与分析</w:t>
      </w:r>
    </w:p>
    <w:p>
      <w:pPr>
        <w:ind w:firstLine="480"/>
      </w:pPr>
      <w:r>
        <w:rPr>
          <w:rFonts w:hint="eastAsia"/>
        </w:rPr>
        <w:t>为了了解和掌握运营期交通噪声对主线公路两侧距交通干线边界线</w:t>
      </w:r>
      <w:r>
        <w:t>10</w:t>
      </w:r>
      <w:r>
        <w:rPr>
          <w:rFonts w:hint="eastAsia"/>
        </w:rPr>
        <w:t>m处，离地面不同高度的影响分布状况（结合项目沿线现状调查，主要高层建筑3</w:t>
      </w:r>
      <w:r>
        <w:t>~6F</w:t>
      </w:r>
      <w:r>
        <w:rPr>
          <w:rFonts w:hint="eastAsia"/>
        </w:rPr>
        <w:t>，本次评价预测至</w:t>
      </w:r>
      <w:r>
        <w:t>10F</w:t>
      </w:r>
      <w:r>
        <w:rPr>
          <w:rFonts w:hint="eastAsia"/>
        </w:rPr>
        <w:t>），同样假设在开阔、平坦、平路基、直线段等特定环境条件下，不考虑线路两侧树木与地上物对声波的遮挡等声传播附加衰减、环境的背景噪声的影响，只考虑声波的几何衰减与地面吸收和空气吸收（年平均温度20℃，相对湿度70%），由交通噪声直达声与路面反射声叠加影响预测结果，本项目选取典型路段的铅垂向噪声分布（K</w:t>
      </w:r>
      <w:r>
        <w:t>1+500~</w:t>
      </w:r>
      <w:r>
        <w:rPr>
          <w:rFonts w:hint="eastAsia"/>
        </w:rPr>
        <w:t xml:space="preserve"> K</w:t>
      </w:r>
      <w:r>
        <w:t>1+800</w:t>
      </w:r>
      <w:r>
        <w:rPr>
          <w:rFonts w:hint="eastAsia"/>
        </w:rPr>
        <w:t>段），铅垂向噪声分布分别见</w:t>
      </w:r>
      <w:r>
        <w:fldChar w:fldCharType="begin"/>
      </w:r>
      <w:r>
        <w:instrText xml:space="preserve"> </w:instrText>
      </w:r>
      <w:r>
        <w:rPr>
          <w:rFonts w:hint="eastAsia"/>
        </w:rPr>
        <w:instrText xml:space="preserve">REF _Ref149557797 \r \h</w:instrText>
      </w:r>
      <w:r>
        <w:instrText xml:space="preserve">  \* MERGEFORMAT </w:instrText>
      </w:r>
      <w:r>
        <w:fldChar w:fldCharType="separate"/>
      </w:r>
      <w:r>
        <w:rPr>
          <w:rFonts w:hint="eastAsia"/>
        </w:rPr>
        <w:t>表5.4-6</w:t>
      </w:r>
      <w:r>
        <w:fldChar w:fldCharType="end"/>
      </w:r>
      <w:r>
        <w:rPr>
          <w:rFonts w:hint="eastAsia"/>
        </w:rPr>
        <w:t>，</w:t>
      </w:r>
      <w:r>
        <w:fldChar w:fldCharType="begin"/>
      </w:r>
      <w:r>
        <w:instrText xml:space="preserve"> </w:instrText>
      </w:r>
      <w:r>
        <w:rPr>
          <w:rFonts w:hint="eastAsia"/>
        </w:rPr>
        <w:instrText xml:space="preserve">REF _Ref149557810 \r \h</w:instrText>
      </w:r>
      <w:r>
        <w:instrText xml:space="preserve">  \* MERGEFORMAT </w:instrText>
      </w:r>
      <w:r>
        <w:fldChar w:fldCharType="separate"/>
      </w:r>
      <w:r>
        <w:rPr>
          <w:rFonts w:hint="eastAsia"/>
        </w:rPr>
        <w:t>图5.4-8</w:t>
      </w:r>
      <w:r>
        <w:fldChar w:fldCharType="end"/>
      </w:r>
      <w:r>
        <w:rPr>
          <w:rFonts w:hint="eastAsia"/>
        </w:rPr>
        <w:t>。</w:t>
      </w:r>
    </w:p>
    <w:p>
      <w:pPr>
        <w:ind w:firstLine="480"/>
      </w:pPr>
      <w:r>
        <w:rPr>
          <w:rFonts w:hint="eastAsia"/>
        </w:rPr>
        <w:t>对各特征年各道路交通噪声铅垂线预测结果分析如下：运营中期位于公路红线外</w:t>
      </w:r>
      <w:r>
        <w:t>10</w:t>
      </w:r>
      <w:r>
        <w:rPr>
          <w:rFonts w:hint="eastAsia"/>
        </w:rPr>
        <w:t>m处的铅垂向不同高度上受交通噪声影响程度不一，以楼层为例（设层高为3.0m），道路以1~</w:t>
      </w:r>
      <w:r>
        <w:t>4</w:t>
      </w:r>
      <w:r>
        <w:rPr>
          <w:rFonts w:hint="eastAsia"/>
        </w:rPr>
        <w:t>层声级较高，</w:t>
      </w:r>
      <w:r>
        <w:t>3</w:t>
      </w:r>
      <w:r>
        <w:rPr>
          <w:rFonts w:hint="eastAsia"/>
        </w:rPr>
        <w:t>层起随着楼层递增其影响声级值呈直线递减走势，这表明铅垂向噪声受路面反射声的叠加影响很大，且路面越宽，声级达最高点的楼层越高。结合现状垂直噪声监测结果趋势分析，基本符合交通噪声影响的规律。</w:t>
      </w:r>
    </w:p>
    <w:p>
      <w:pPr>
        <w:pStyle w:val="87"/>
        <w:spacing w:before="163"/>
      </w:pPr>
      <w:bookmarkStart w:id="477" w:name="_Ref149557797"/>
      <w:r>
        <w:rPr>
          <w:rFonts w:hint="eastAsia"/>
        </w:rPr>
        <w:t>典型路段</w:t>
      </w:r>
      <w:r>
        <w:t xml:space="preserve">铅垂方向噪声分布 </w:t>
      </w:r>
      <w:r>
        <w:rPr>
          <w:rFonts w:hint="eastAsia"/>
        </w:rPr>
        <w:t xml:space="preserve"> </w:t>
      </w:r>
      <w:r>
        <w:t>单位：dB（A）</w:t>
      </w:r>
      <w:bookmarkEnd w:id="477"/>
    </w:p>
    <w:tbl>
      <w:tblPr>
        <w:tblStyle w:val="399"/>
        <w:tblW w:w="888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024"/>
        <w:gridCol w:w="1160"/>
        <w:gridCol w:w="1216"/>
        <w:gridCol w:w="1096"/>
        <w:gridCol w:w="1096"/>
        <w:gridCol w:w="1096"/>
        <w:gridCol w:w="1096"/>
        <w:gridCol w:w="10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vMerge w:val="restart"/>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楼层</w:t>
            </w:r>
          </w:p>
        </w:tc>
        <w:tc>
          <w:tcPr>
            <w:tcW w:w="1160" w:type="dxa"/>
            <w:vMerge w:val="restar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层高（</w:t>
            </w:r>
            <w:r>
              <w:rPr>
                <w:rFonts w:eastAsia="New York"/>
              </w:rPr>
              <w:t>m</w:t>
            </w:r>
            <w:r>
              <w:rPr>
                <w:rFonts w:hint="eastAsia" w:ascii="宋体" w:hAnsi="宋体" w:eastAsia="宋体"/>
              </w:rPr>
              <w:t>）</w:t>
            </w:r>
          </w:p>
        </w:tc>
        <w:tc>
          <w:tcPr>
            <w:tcW w:w="2312" w:type="dxa"/>
            <w:gridSpan w:val="2"/>
            <w:tcBorders>
              <w:top w:val="single" w:color="auto" w:sz="12" w:space="0"/>
              <w:bottom w:val="nil"/>
              <w:right w:val="single" w:color="auto" w:sz="6" w:space="0"/>
              <w:insideH w:val="nil"/>
              <w:insideV w:val="single" w:sz="6" w:space="0"/>
              <w:tl2br w:val="nil"/>
              <w:tr2bl w:val="nil"/>
            </w:tcBorders>
            <w:noWrap/>
            <w:vAlign w:val="center"/>
          </w:tcPr>
          <w:p>
            <w:pPr>
              <w:pStyle w:val="105"/>
              <w:widowControl w:val="0"/>
              <w:jc w:val="center"/>
              <w:rPr>
                <w:rFonts w:eastAsia="New York"/>
              </w:rPr>
            </w:pPr>
            <w:r>
              <w:rPr>
                <w:rFonts w:hint="eastAsia" w:ascii="宋体" w:hAnsi="宋体" w:eastAsia="宋体"/>
              </w:rPr>
              <w:t>近期</w:t>
            </w:r>
          </w:p>
        </w:tc>
        <w:tc>
          <w:tcPr>
            <w:tcW w:w="2192" w:type="dxa"/>
            <w:gridSpan w:val="2"/>
            <w:tcBorders>
              <w:top w:val="single" w:color="auto" w:sz="12" w:space="0"/>
              <w:bottom w:val="nil"/>
              <w:right w:val="single" w:color="auto" w:sz="6" w:space="0"/>
              <w:insideH w:val="nil"/>
              <w:insideV w:val="single" w:sz="6" w:space="0"/>
              <w:tl2br w:val="nil"/>
              <w:tr2bl w:val="nil"/>
            </w:tcBorders>
            <w:noWrap/>
            <w:vAlign w:val="center"/>
          </w:tcPr>
          <w:p>
            <w:pPr>
              <w:pStyle w:val="105"/>
              <w:widowControl w:val="0"/>
              <w:jc w:val="center"/>
              <w:rPr>
                <w:rFonts w:eastAsia="New York"/>
              </w:rPr>
            </w:pPr>
            <w:r>
              <w:rPr>
                <w:rFonts w:hint="eastAsia" w:ascii="宋体" w:hAnsi="宋体" w:eastAsia="宋体"/>
              </w:rPr>
              <w:t>中期</w:t>
            </w:r>
          </w:p>
        </w:tc>
        <w:tc>
          <w:tcPr>
            <w:tcW w:w="2192" w:type="dxa"/>
            <w:gridSpan w:val="2"/>
            <w:tcBorders>
              <w:top w:val="single" w:color="auto" w:sz="12" w:space="0"/>
              <w:bottom w:val="nil"/>
              <w:right w:val="nil"/>
              <w:insideH w:val="nil"/>
              <w:insideV w:val="single" w:sz="6" w:space="0"/>
              <w:tl2br w:val="nil"/>
              <w:tr2bl w:val="nil"/>
            </w:tcBorders>
            <w:noWrap/>
            <w:vAlign w:val="center"/>
          </w:tcPr>
          <w:p>
            <w:pPr>
              <w:pStyle w:val="105"/>
              <w:widowControl w:val="0"/>
              <w:jc w:val="center"/>
              <w:rPr>
                <w:rFonts w:eastAsia="New York"/>
              </w:rPr>
            </w:pPr>
            <w:r>
              <w:rPr>
                <w:rFonts w:hint="eastAsia" w:ascii="宋体" w:hAnsi="宋体" w:eastAsia="宋体"/>
              </w:rPr>
              <w:t>远期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vMerge w:val="continue"/>
            <w:vAlign w:val="center"/>
          </w:tcPr>
          <w:p>
            <w:pPr>
              <w:pStyle w:val="105"/>
              <w:widowControl w:val="0"/>
              <w:jc w:val="center"/>
            </w:pPr>
          </w:p>
        </w:tc>
        <w:tc>
          <w:tcPr>
            <w:tcW w:w="1160" w:type="dxa"/>
            <w:vMerge w:val="continue"/>
            <w:vAlign w:val="center"/>
          </w:tcPr>
          <w:p>
            <w:pPr>
              <w:pStyle w:val="105"/>
              <w:widowControl w:val="0"/>
              <w:jc w:val="center"/>
            </w:pPr>
          </w:p>
        </w:tc>
        <w:tc>
          <w:tcPr>
            <w:tcW w:w="1216" w:type="dxa"/>
            <w:noWrap/>
            <w:vAlign w:val="center"/>
          </w:tcPr>
          <w:p>
            <w:pPr>
              <w:pStyle w:val="105"/>
              <w:widowControl w:val="0"/>
              <w:jc w:val="center"/>
            </w:pPr>
            <w:r>
              <w:rPr>
                <w:rFonts w:hint="eastAsia"/>
              </w:rPr>
              <w:t>昼间</w:t>
            </w:r>
          </w:p>
        </w:tc>
        <w:tc>
          <w:tcPr>
            <w:tcW w:w="1096" w:type="dxa"/>
            <w:noWrap/>
            <w:vAlign w:val="center"/>
          </w:tcPr>
          <w:p>
            <w:pPr>
              <w:pStyle w:val="105"/>
              <w:widowControl w:val="0"/>
              <w:jc w:val="center"/>
            </w:pPr>
            <w:r>
              <w:rPr>
                <w:rFonts w:hint="eastAsia"/>
              </w:rPr>
              <w:t>夜间</w:t>
            </w:r>
          </w:p>
        </w:tc>
        <w:tc>
          <w:tcPr>
            <w:tcW w:w="1096" w:type="dxa"/>
            <w:noWrap/>
            <w:vAlign w:val="center"/>
          </w:tcPr>
          <w:p>
            <w:pPr>
              <w:pStyle w:val="105"/>
              <w:widowControl w:val="0"/>
              <w:jc w:val="center"/>
            </w:pPr>
            <w:r>
              <w:rPr>
                <w:rFonts w:hint="eastAsia"/>
              </w:rPr>
              <w:t>昼间</w:t>
            </w:r>
          </w:p>
        </w:tc>
        <w:tc>
          <w:tcPr>
            <w:tcW w:w="1096" w:type="dxa"/>
            <w:noWrap/>
            <w:vAlign w:val="center"/>
          </w:tcPr>
          <w:p>
            <w:pPr>
              <w:pStyle w:val="105"/>
              <w:widowControl w:val="0"/>
              <w:jc w:val="center"/>
            </w:pPr>
            <w:r>
              <w:rPr>
                <w:rFonts w:hint="eastAsia"/>
              </w:rPr>
              <w:t>夜间</w:t>
            </w:r>
          </w:p>
        </w:tc>
        <w:tc>
          <w:tcPr>
            <w:tcW w:w="1096" w:type="dxa"/>
            <w:noWrap/>
            <w:vAlign w:val="center"/>
          </w:tcPr>
          <w:p>
            <w:pPr>
              <w:pStyle w:val="105"/>
              <w:widowControl w:val="0"/>
              <w:jc w:val="center"/>
            </w:pPr>
            <w:r>
              <w:rPr>
                <w:rFonts w:hint="eastAsia"/>
              </w:rPr>
              <w:t>昼间</w:t>
            </w:r>
          </w:p>
        </w:tc>
        <w:tc>
          <w:tcPr>
            <w:tcW w:w="1096" w:type="dxa"/>
            <w:noWrap/>
            <w:vAlign w:val="center"/>
          </w:tcPr>
          <w:p>
            <w:pPr>
              <w:pStyle w:val="105"/>
              <w:widowControl w:val="0"/>
              <w:jc w:val="center"/>
            </w:pPr>
            <w:r>
              <w:rPr>
                <w:rFonts w:hint="eastAsia"/>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rPr>
              <w:t>1</w:t>
            </w:r>
          </w:p>
        </w:tc>
        <w:tc>
          <w:tcPr>
            <w:tcW w:w="1160" w:type="dxa"/>
            <w:noWrap/>
            <w:vAlign w:val="bottom"/>
          </w:tcPr>
          <w:p>
            <w:pPr>
              <w:pStyle w:val="857"/>
            </w:pPr>
            <w:r>
              <w:rPr>
                <w:rFonts w:hint="eastAsia"/>
              </w:rPr>
              <w:t>1.2</w:t>
            </w:r>
          </w:p>
        </w:tc>
        <w:tc>
          <w:tcPr>
            <w:tcW w:w="1216" w:type="dxa"/>
            <w:noWrap/>
            <w:vAlign w:val="bottom"/>
          </w:tcPr>
          <w:p>
            <w:pPr>
              <w:pStyle w:val="857"/>
            </w:pPr>
            <w:r>
              <w:rPr>
                <w:rFonts w:hint="eastAsia"/>
              </w:rPr>
              <w:t>64.2</w:t>
            </w:r>
          </w:p>
        </w:tc>
        <w:tc>
          <w:tcPr>
            <w:tcW w:w="1096" w:type="dxa"/>
            <w:noWrap/>
            <w:vAlign w:val="bottom"/>
          </w:tcPr>
          <w:p>
            <w:pPr>
              <w:pStyle w:val="857"/>
            </w:pPr>
            <w:r>
              <w:rPr>
                <w:rFonts w:hint="eastAsia"/>
              </w:rPr>
              <w:t>56.5</w:t>
            </w:r>
          </w:p>
        </w:tc>
        <w:tc>
          <w:tcPr>
            <w:tcW w:w="1096" w:type="dxa"/>
            <w:noWrap/>
            <w:vAlign w:val="bottom"/>
          </w:tcPr>
          <w:p>
            <w:pPr>
              <w:pStyle w:val="857"/>
            </w:pPr>
            <w:r>
              <w:rPr>
                <w:rFonts w:hint="eastAsia"/>
                <w:sz w:val="22"/>
                <w:szCs w:val="22"/>
              </w:rPr>
              <w:t>66.2</w:t>
            </w:r>
          </w:p>
        </w:tc>
        <w:tc>
          <w:tcPr>
            <w:tcW w:w="1096" w:type="dxa"/>
            <w:noWrap/>
            <w:vAlign w:val="bottom"/>
          </w:tcPr>
          <w:p>
            <w:pPr>
              <w:pStyle w:val="857"/>
            </w:pPr>
            <w:r>
              <w:rPr>
                <w:rFonts w:hint="eastAsia"/>
                <w:sz w:val="22"/>
                <w:szCs w:val="22"/>
              </w:rPr>
              <w:t>57.0</w:t>
            </w:r>
          </w:p>
        </w:tc>
        <w:tc>
          <w:tcPr>
            <w:tcW w:w="1096" w:type="dxa"/>
            <w:noWrap/>
            <w:vAlign w:val="bottom"/>
          </w:tcPr>
          <w:p>
            <w:pPr>
              <w:pStyle w:val="857"/>
            </w:pPr>
            <w:r>
              <w:rPr>
                <w:rFonts w:hint="eastAsia"/>
                <w:sz w:val="22"/>
                <w:szCs w:val="22"/>
              </w:rPr>
              <w:t>66.5</w:t>
            </w:r>
          </w:p>
        </w:tc>
        <w:tc>
          <w:tcPr>
            <w:tcW w:w="1096" w:type="dxa"/>
            <w:noWrap/>
            <w:vAlign w:val="bottom"/>
          </w:tcPr>
          <w:p>
            <w:pPr>
              <w:pStyle w:val="857"/>
            </w:pPr>
            <w:r>
              <w:rPr>
                <w:rFonts w:hint="eastAsia"/>
                <w:sz w:val="22"/>
                <w:szCs w:val="22"/>
              </w:rPr>
              <w:t>57.2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rPr>
              <w:t>2</w:t>
            </w:r>
          </w:p>
        </w:tc>
        <w:tc>
          <w:tcPr>
            <w:tcW w:w="1160" w:type="dxa"/>
            <w:noWrap/>
            <w:vAlign w:val="bottom"/>
          </w:tcPr>
          <w:p>
            <w:pPr>
              <w:pStyle w:val="857"/>
            </w:pPr>
            <w:r>
              <w:rPr>
                <w:rFonts w:hint="eastAsia"/>
              </w:rPr>
              <w:t>4.2</w:t>
            </w:r>
          </w:p>
        </w:tc>
        <w:tc>
          <w:tcPr>
            <w:tcW w:w="1216" w:type="dxa"/>
            <w:noWrap/>
            <w:vAlign w:val="bottom"/>
          </w:tcPr>
          <w:p>
            <w:pPr>
              <w:pStyle w:val="857"/>
            </w:pPr>
            <w:r>
              <w:rPr>
                <w:rFonts w:hint="eastAsia"/>
              </w:rPr>
              <w:t>64.2</w:t>
            </w:r>
          </w:p>
        </w:tc>
        <w:tc>
          <w:tcPr>
            <w:tcW w:w="1096" w:type="dxa"/>
            <w:noWrap/>
            <w:vAlign w:val="bottom"/>
          </w:tcPr>
          <w:p>
            <w:pPr>
              <w:pStyle w:val="857"/>
            </w:pPr>
            <w:r>
              <w:rPr>
                <w:rFonts w:hint="eastAsia"/>
              </w:rPr>
              <w:t>56.5</w:t>
            </w:r>
          </w:p>
        </w:tc>
        <w:tc>
          <w:tcPr>
            <w:tcW w:w="1096" w:type="dxa"/>
            <w:noWrap/>
            <w:vAlign w:val="bottom"/>
          </w:tcPr>
          <w:p>
            <w:pPr>
              <w:pStyle w:val="857"/>
            </w:pPr>
            <w:r>
              <w:rPr>
                <w:rFonts w:hint="eastAsia"/>
                <w:sz w:val="22"/>
                <w:szCs w:val="22"/>
              </w:rPr>
              <w:t>66.3</w:t>
            </w:r>
          </w:p>
        </w:tc>
        <w:tc>
          <w:tcPr>
            <w:tcW w:w="1096" w:type="dxa"/>
            <w:noWrap/>
            <w:vAlign w:val="bottom"/>
          </w:tcPr>
          <w:p>
            <w:pPr>
              <w:pStyle w:val="857"/>
            </w:pPr>
            <w:r>
              <w:rPr>
                <w:rFonts w:hint="eastAsia"/>
                <w:sz w:val="22"/>
                <w:szCs w:val="22"/>
              </w:rPr>
              <w:t>57.0</w:t>
            </w:r>
          </w:p>
        </w:tc>
        <w:tc>
          <w:tcPr>
            <w:tcW w:w="1096" w:type="dxa"/>
            <w:noWrap/>
            <w:vAlign w:val="bottom"/>
          </w:tcPr>
          <w:p>
            <w:pPr>
              <w:pStyle w:val="857"/>
            </w:pPr>
            <w:r>
              <w:rPr>
                <w:rFonts w:hint="eastAsia"/>
                <w:sz w:val="22"/>
                <w:szCs w:val="22"/>
              </w:rPr>
              <w:t>66.5</w:t>
            </w:r>
          </w:p>
        </w:tc>
        <w:tc>
          <w:tcPr>
            <w:tcW w:w="1096" w:type="dxa"/>
            <w:noWrap/>
            <w:vAlign w:val="bottom"/>
          </w:tcPr>
          <w:p>
            <w:pPr>
              <w:pStyle w:val="857"/>
            </w:pPr>
            <w:r>
              <w:rPr>
                <w:rFonts w:hint="eastAsia"/>
                <w:sz w:val="22"/>
                <w:szCs w:val="22"/>
              </w:rPr>
              <w:t>57.2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rPr>
              <w:t>3</w:t>
            </w:r>
          </w:p>
        </w:tc>
        <w:tc>
          <w:tcPr>
            <w:tcW w:w="1160" w:type="dxa"/>
            <w:noWrap/>
            <w:vAlign w:val="bottom"/>
          </w:tcPr>
          <w:p>
            <w:pPr>
              <w:pStyle w:val="857"/>
            </w:pPr>
            <w:r>
              <w:rPr>
                <w:rFonts w:hint="eastAsia"/>
              </w:rPr>
              <w:t>7.2</w:t>
            </w:r>
          </w:p>
        </w:tc>
        <w:tc>
          <w:tcPr>
            <w:tcW w:w="1216" w:type="dxa"/>
            <w:noWrap/>
            <w:vAlign w:val="bottom"/>
          </w:tcPr>
          <w:p>
            <w:pPr>
              <w:pStyle w:val="857"/>
            </w:pPr>
            <w:r>
              <w:rPr>
                <w:rFonts w:hint="eastAsia"/>
              </w:rPr>
              <w:t>64.3</w:t>
            </w:r>
          </w:p>
        </w:tc>
        <w:tc>
          <w:tcPr>
            <w:tcW w:w="1096" w:type="dxa"/>
            <w:noWrap/>
            <w:vAlign w:val="bottom"/>
          </w:tcPr>
          <w:p>
            <w:pPr>
              <w:pStyle w:val="857"/>
            </w:pPr>
            <w:r>
              <w:rPr>
                <w:rFonts w:hint="eastAsia"/>
              </w:rPr>
              <w:t>56.6</w:t>
            </w:r>
          </w:p>
        </w:tc>
        <w:tc>
          <w:tcPr>
            <w:tcW w:w="1096" w:type="dxa"/>
            <w:noWrap/>
            <w:vAlign w:val="bottom"/>
          </w:tcPr>
          <w:p>
            <w:pPr>
              <w:pStyle w:val="857"/>
            </w:pPr>
            <w:r>
              <w:rPr>
                <w:rFonts w:hint="eastAsia"/>
                <w:sz w:val="22"/>
                <w:szCs w:val="22"/>
              </w:rPr>
              <w:t>66.3</w:t>
            </w:r>
          </w:p>
        </w:tc>
        <w:tc>
          <w:tcPr>
            <w:tcW w:w="1096" w:type="dxa"/>
            <w:noWrap/>
            <w:vAlign w:val="bottom"/>
          </w:tcPr>
          <w:p>
            <w:pPr>
              <w:pStyle w:val="857"/>
            </w:pPr>
            <w:r>
              <w:rPr>
                <w:rFonts w:hint="eastAsia"/>
                <w:sz w:val="22"/>
                <w:szCs w:val="22"/>
              </w:rPr>
              <w:t>57.1</w:t>
            </w:r>
          </w:p>
        </w:tc>
        <w:tc>
          <w:tcPr>
            <w:tcW w:w="1096" w:type="dxa"/>
            <w:noWrap/>
            <w:vAlign w:val="bottom"/>
          </w:tcPr>
          <w:p>
            <w:pPr>
              <w:pStyle w:val="857"/>
            </w:pPr>
            <w:r>
              <w:rPr>
                <w:rFonts w:hint="eastAsia"/>
                <w:sz w:val="22"/>
                <w:szCs w:val="22"/>
              </w:rPr>
              <w:t>66.6</w:t>
            </w:r>
          </w:p>
        </w:tc>
        <w:tc>
          <w:tcPr>
            <w:tcW w:w="1096" w:type="dxa"/>
            <w:noWrap/>
            <w:vAlign w:val="bottom"/>
          </w:tcPr>
          <w:p>
            <w:pPr>
              <w:pStyle w:val="857"/>
            </w:pPr>
            <w:r>
              <w:rPr>
                <w:rFonts w:hint="eastAsia"/>
                <w:sz w:val="22"/>
                <w:szCs w:val="22"/>
              </w:rPr>
              <w:t>57.3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rPr>
              <w:t>4</w:t>
            </w:r>
          </w:p>
        </w:tc>
        <w:tc>
          <w:tcPr>
            <w:tcW w:w="1160" w:type="dxa"/>
            <w:noWrap/>
            <w:vAlign w:val="bottom"/>
          </w:tcPr>
          <w:p>
            <w:pPr>
              <w:pStyle w:val="857"/>
            </w:pPr>
            <w:r>
              <w:rPr>
                <w:rFonts w:hint="eastAsia"/>
              </w:rPr>
              <w:t>10.2</w:t>
            </w:r>
          </w:p>
        </w:tc>
        <w:tc>
          <w:tcPr>
            <w:tcW w:w="1216" w:type="dxa"/>
            <w:noWrap/>
            <w:vAlign w:val="bottom"/>
          </w:tcPr>
          <w:p>
            <w:pPr>
              <w:pStyle w:val="857"/>
            </w:pPr>
            <w:r>
              <w:rPr>
                <w:rFonts w:hint="eastAsia"/>
              </w:rPr>
              <w:t>63.7</w:t>
            </w:r>
          </w:p>
        </w:tc>
        <w:tc>
          <w:tcPr>
            <w:tcW w:w="1096" w:type="dxa"/>
            <w:noWrap/>
            <w:vAlign w:val="bottom"/>
          </w:tcPr>
          <w:p>
            <w:pPr>
              <w:pStyle w:val="857"/>
            </w:pPr>
            <w:r>
              <w:rPr>
                <w:rFonts w:hint="eastAsia"/>
              </w:rPr>
              <w:t>56.1</w:t>
            </w:r>
          </w:p>
        </w:tc>
        <w:tc>
          <w:tcPr>
            <w:tcW w:w="1096" w:type="dxa"/>
            <w:noWrap/>
            <w:vAlign w:val="bottom"/>
          </w:tcPr>
          <w:p>
            <w:pPr>
              <w:pStyle w:val="857"/>
            </w:pPr>
            <w:r>
              <w:rPr>
                <w:rFonts w:hint="eastAsia"/>
                <w:sz w:val="22"/>
                <w:szCs w:val="22"/>
              </w:rPr>
              <w:t>66.1</w:t>
            </w:r>
          </w:p>
        </w:tc>
        <w:tc>
          <w:tcPr>
            <w:tcW w:w="1096" w:type="dxa"/>
            <w:noWrap/>
            <w:vAlign w:val="bottom"/>
          </w:tcPr>
          <w:p>
            <w:pPr>
              <w:pStyle w:val="857"/>
            </w:pPr>
            <w:r>
              <w:rPr>
                <w:rFonts w:hint="eastAsia"/>
                <w:sz w:val="22"/>
                <w:szCs w:val="22"/>
              </w:rPr>
              <w:t>56.8</w:t>
            </w:r>
          </w:p>
        </w:tc>
        <w:tc>
          <w:tcPr>
            <w:tcW w:w="1096" w:type="dxa"/>
            <w:noWrap/>
            <w:vAlign w:val="bottom"/>
          </w:tcPr>
          <w:p>
            <w:pPr>
              <w:pStyle w:val="857"/>
            </w:pPr>
            <w:r>
              <w:rPr>
                <w:rFonts w:hint="eastAsia"/>
                <w:sz w:val="22"/>
                <w:szCs w:val="22"/>
              </w:rPr>
              <w:t>66.3</w:t>
            </w:r>
          </w:p>
        </w:tc>
        <w:tc>
          <w:tcPr>
            <w:tcW w:w="1096" w:type="dxa"/>
            <w:noWrap/>
            <w:vAlign w:val="bottom"/>
          </w:tcPr>
          <w:p>
            <w:pPr>
              <w:pStyle w:val="857"/>
            </w:pPr>
            <w:r>
              <w:rPr>
                <w:rFonts w:hint="eastAsia"/>
                <w:sz w:val="22"/>
                <w:szCs w:val="22"/>
              </w:rPr>
              <w:t>56.9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rPr>
              <w:t>5</w:t>
            </w:r>
          </w:p>
        </w:tc>
        <w:tc>
          <w:tcPr>
            <w:tcW w:w="1160" w:type="dxa"/>
            <w:noWrap/>
            <w:vAlign w:val="bottom"/>
          </w:tcPr>
          <w:p>
            <w:pPr>
              <w:pStyle w:val="857"/>
            </w:pPr>
            <w:r>
              <w:rPr>
                <w:rFonts w:hint="eastAsia"/>
              </w:rPr>
              <w:t>13.2</w:t>
            </w:r>
          </w:p>
        </w:tc>
        <w:tc>
          <w:tcPr>
            <w:tcW w:w="1216" w:type="dxa"/>
            <w:noWrap/>
            <w:vAlign w:val="bottom"/>
          </w:tcPr>
          <w:p>
            <w:pPr>
              <w:pStyle w:val="857"/>
            </w:pPr>
            <w:r>
              <w:rPr>
                <w:rFonts w:hint="eastAsia"/>
              </w:rPr>
              <w:t>62.9</w:t>
            </w:r>
          </w:p>
        </w:tc>
        <w:tc>
          <w:tcPr>
            <w:tcW w:w="1096" w:type="dxa"/>
            <w:noWrap/>
            <w:vAlign w:val="bottom"/>
          </w:tcPr>
          <w:p>
            <w:pPr>
              <w:pStyle w:val="857"/>
            </w:pPr>
            <w:r>
              <w:rPr>
                <w:rFonts w:hint="eastAsia"/>
              </w:rPr>
              <w:t>55.3</w:t>
            </w:r>
          </w:p>
        </w:tc>
        <w:tc>
          <w:tcPr>
            <w:tcW w:w="1096" w:type="dxa"/>
            <w:noWrap/>
            <w:vAlign w:val="bottom"/>
          </w:tcPr>
          <w:p>
            <w:pPr>
              <w:pStyle w:val="857"/>
            </w:pPr>
            <w:r>
              <w:rPr>
                <w:rFonts w:hint="eastAsia"/>
                <w:sz w:val="22"/>
                <w:szCs w:val="22"/>
              </w:rPr>
              <w:t>65.4</w:t>
            </w:r>
          </w:p>
        </w:tc>
        <w:tc>
          <w:tcPr>
            <w:tcW w:w="1096" w:type="dxa"/>
            <w:noWrap/>
            <w:vAlign w:val="bottom"/>
          </w:tcPr>
          <w:p>
            <w:pPr>
              <w:pStyle w:val="857"/>
            </w:pPr>
            <w:r>
              <w:rPr>
                <w:rFonts w:hint="eastAsia"/>
                <w:sz w:val="22"/>
                <w:szCs w:val="22"/>
              </w:rPr>
              <w:t>55.8</w:t>
            </w:r>
          </w:p>
        </w:tc>
        <w:tc>
          <w:tcPr>
            <w:tcW w:w="1096" w:type="dxa"/>
            <w:noWrap/>
            <w:vAlign w:val="bottom"/>
          </w:tcPr>
          <w:p>
            <w:pPr>
              <w:pStyle w:val="857"/>
            </w:pPr>
            <w:r>
              <w:rPr>
                <w:rFonts w:hint="eastAsia"/>
                <w:sz w:val="22"/>
                <w:szCs w:val="22"/>
              </w:rPr>
              <w:t>65.6</w:t>
            </w:r>
          </w:p>
        </w:tc>
        <w:tc>
          <w:tcPr>
            <w:tcW w:w="1096" w:type="dxa"/>
            <w:noWrap/>
            <w:vAlign w:val="bottom"/>
          </w:tcPr>
          <w:p>
            <w:pPr>
              <w:pStyle w:val="857"/>
            </w:pPr>
            <w:r>
              <w:rPr>
                <w:rFonts w:hint="eastAsia"/>
                <w:sz w:val="22"/>
                <w:szCs w:val="22"/>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rPr>
              <w:t>6</w:t>
            </w:r>
          </w:p>
        </w:tc>
        <w:tc>
          <w:tcPr>
            <w:tcW w:w="1160" w:type="dxa"/>
            <w:noWrap/>
            <w:vAlign w:val="bottom"/>
          </w:tcPr>
          <w:p>
            <w:pPr>
              <w:pStyle w:val="857"/>
            </w:pPr>
            <w:r>
              <w:rPr>
                <w:rFonts w:hint="eastAsia"/>
              </w:rPr>
              <w:t>16.2</w:t>
            </w:r>
          </w:p>
        </w:tc>
        <w:tc>
          <w:tcPr>
            <w:tcW w:w="1216" w:type="dxa"/>
            <w:noWrap/>
            <w:vAlign w:val="bottom"/>
          </w:tcPr>
          <w:p>
            <w:pPr>
              <w:pStyle w:val="857"/>
            </w:pPr>
            <w:r>
              <w:rPr>
                <w:rFonts w:hint="eastAsia"/>
              </w:rPr>
              <w:t>62.0</w:t>
            </w:r>
          </w:p>
        </w:tc>
        <w:tc>
          <w:tcPr>
            <w:tcW w:w="1096" w:type="dxa"/>
            <w:noWrap/>
            <w:vAlign w:val="bottom"/>
          </w:tcPr>
          <w:p>
            <w:pPr>
              <w:pStyle w:val="857"/>
            </w:pPr>
            <w:r>
              <w:rPr>
                <w:rFonts w:hint="eastAsia"/>
              </w:rPr>
              <w:t>54.4</w:t>
            </w:r>
          </w:p>
        </w:tc>
        <w:tc>
          <w:tcPr>
            <w:tcW w:w="1096" w:type="dxa"/>
            <w:noWrap/>
            <w:vAlign w:val="bottom"/>
          </w:tcPr>
          <w:p>
            <w:pPr>
              <w:pStyle w:val="857"/>
            </w:pPr>
            <w:r>
              <w:rPr>
                <w:rFonts w:hint="eastAsia"/>
                <w:sz w:val="22"/>
                <w:szCs w:val="22"/>
              </w:rPr>
              <w:t>64.7</w:t>
            </w:r>
          </w:p>
        </w:tc>
        <w:tc>
          <w:tcPr>
            <w:tcW w:w="1096" w:type="dxa"/>
            <w:noWrap/>
            <w:vAlign w:val="bottom"/>
          </w:tcPr>
          <w:p>
            <w:pPr>
              <w:pStyle w:val="857"/>
            </w:pPr>
            <w:r>
              <w:rPr>
                <w:rFonts w:hint="eastAsia"/>
                <w:sz w:val="22"/>
                <w:szCs w:val="22"/>
              </w:rPr>
              <w:t>54.8</w:t>
            </w:r>
          </w:p>
        </w:tc>
        <w:tc>
          <w:tcPr>
            <w:tcW w:w="1096" w:type="dxa"/>
            <w:noWrap/>
            <w:vAlign w:val="bottom"/>
          </w:tcPr>
          <w:p>
            <w:pPr>
              <w:pStyle w:val="857"/>
            </w:pPr>
            <w:r>
              <w:rPr>
                <w:rFonts w:hint="eastAsia"/>
                <w:sz w:val="22"/>
                <w:szCs w:val="22"/>
              </w:rPr>
              <w:t>65.0</w:t>
            </w:r>
          </w:p>
        </w:tc>
        <w:tc>
          <w:tcPr>
            <w:tcW w:w="1096" w:type="dxa"/>
            <w:noWrap/>
            <w:vAlign w:val="bottom"/>
          </w:tcPr>
          <w:p>
            <w:pPr>
              <w:pStyle w:val="857"/>
            </w:pPr>
            <w:r>
              <w:rPr>
                <w:rFonts w:hint="eastAsia"/>
                <w:sz w:val="22"/>
                <w:szCs w:val="22"/>
              </w:rPr>
              <w:t>55.0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rPr>
              <w:t>7</w:t>
            </w:r>
          </w:p>
        </w:tc>
        <w:tc>
          <w:tcPr>
            <w:tcW w:w="1160" w:type="dxa"/>
            <w:noWrap/>
            <w:vAlign w:val="bottom"/>
          </w:tcPr>
          <w:p>
            <w:pPr>
              <w:pStyle w:val="857"/>
            </w:pPr>
            <w:r>
              <w:rPr>
                <w:rFonts w:hint="eastAsia"/>
              </w:rPr>
              <w:t>19.2</w:t>
            </w:r>
          </w:p>
        </w:tc>
        <w:tc>
          <w:tcPr>
            <w:tcW w:w="1216" w:type="dxa"/>
            <w:noWrap/>
            <w:vAlign w:val="bottom"/>
          </w:tcPr>
          <w:p>
            <w:pPr>
              <w:pStyle w:val="857"/>
            </w:pPr>
            <w:r>
              <w:rPr>
                <w:rFonts w:hint="eastAsia"/>
              </w:rPr>
              <w:t>61.3</w:t>
            </w:r>
          </w:p>
        </w:tc>
        <w:tc>
          <w:tcPr>
            <w:tcW w:w="1096" w:type="dxa"/>
            <w:noWrap/>
            <w:vAlign w:val="bottom"/>
          </w:tcPr>
          <w:p>
            <w:pPr>
              <w:pStyle w:val="857"/>
            </w:pPr>
            <w:r>
              <w:rPr>
                <w:rFonts w:hint="eastAsia"/>
              </w:rPr>
              <w:t>53.7</w:t>
            </w:r>
          </w:p>
        </w:tc>
        <w:tc>
          <w:tcPr>
            <w:tcW w:w="1096" w:type="dxa"/>
            <w:noWrap/>
            <w:vAlign w:val="bottom"/>
          </w:tcPr>
          <w:p>
            <w:pPr>
              <w:pStyle w:val="857"/>
            </w:pPr>
            <w:r>
              <w:rPr>
                <w:rFonts w:hint="eastAsia"/>
                <w:sz w:val="22"/>
                <w:szCs w:val="22"/>
              </w:rPr>
              <w:t>64.3</w:t>
            </w:r>
          </w:p>
        </w:tc>
        <w:tc>
          <w:tcPr>
            <w:tcW w:w="1096" w:type="dxa"/>
            <w:noWrap/>
            <w:vAlign w:val="bottom"/>
          </w:tcPr>
          <w:p>
            <w:pPr>
              <w:pStyle w:val="857"/>
            </w:pPr>
            <w:r>
              <w:rPr>
                <w:rFonts w:hint="eastAsia"/>
                <w:sz w:val="22"/>
                <w:szCs w:val="22"/>
              </w:rPr>
              <w:t>54.2</w:t>
            </w:r>
          </w:p>
        </w:tc>
        <w:tc>
          <w:tcPr>
            <w:tcW w:w="1096" w:type="dxa"/>
            <w:noWrap/>
            <w:vAlign w:val="bottom"/>
          </w:tcPr>
          <w:p>
            <w:pPr>
              <w:pStyle w:val="857"/>
            </w:pPr>
            <w:r>
              <w:rPr>
                <w:rFonts w:hint="eastAsia"/>
                <w:sz w:val="22"/>
                <w:szCs w:val="22"/>
              </w:rPr>
              <w:t>64.6</w:t>
            </w:r>
          </w:p>
        </w:tc>
        <w:tc>
          <w:tcPr>
            <w:tcW w:w="1096" w:type="dxa"/>
            <w:noWrap/>
            <w:vAlign w:val="bottom"/>
          </w:tcPr>
          <w:p>
            <w:pPr>
              <w:pStyle w:val="857"/>
            </w:pPr>
            <w:r>
              <w:rPr>
                <w:rFonts w:hint="eastAsia"/>
                <w:sz w:val="22"/>
                <w:szCs w:val="22"/>
              </w:rPr>
              <w:t>54.4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rPr>
              <w:t>8</w:t>
            </w:r>
          </w:p>
        </w:tc>
        <w:tc>
          <w:tcPr>
            <w:tcW w:w="1160" w:type="dxa"/>
            <w:noWrap/>
            <w:vAlign w:val="bottom"/>
          </w:tcPr>
          <w:p>
            <w:pPr>
              <w:pStyle w:val="857"/>
            </w:pPr>
            <w:r>
              <w:rPr>
                <w:rFonts w:hint="eastAsia"/>
              </w:rPr>
              <w:t>22.2</w:t>
            </w:r>
          </w:p>
        </w:tc>
        <w:tc>
          <w:tcPr>
            <w:tcW w:w="1216" w:type="dxa"/>
            <w:noWrap/>
            <w:vAlign w:val="bottom"/>
          </w:tcPr>
          <w:p>
            <w:pPr>
              <w:pStyle w:val="857"/>
            </w:pPr>
            <w:r>
              <w:rPr>
                <w:rFonts w:hint="eastAsia"/>
              </w:rPr>
              <w:t>60.7</w:t>
            </w:r>
          </w:p>
        </w:tc>
        <w:tc>
          <w:tcPr>
            <w:tcW w:w="1096" w:type="dxa"/>
            <w:noWrap/>
            <w:vAlign w:val="bottom"/>
          </w:tcPr>
          <w:p>
            <w:pPr>
              <w:pStyle w:val="857"/>
            </w:pPr>
            <w:r>
              <w:rPr>
                <w:rFonts w:hint="eastAsia"/>
              </w:rPr>
              <w:t>53.1</w:t>
            </w:r>
          </w:p>
        </w:tc>
        <w:tc>
          <w:tcPr>
            <w:tcW w:w="1096" w:type="dxa"/>
            <w:noWrap/>
            <w:vAlign w:val="bottom"/>
          </w:tcPr>
          <w:p>
            <w:pPr>
              <w:pStyle w:val="857"/>
            </w:pPr>
            <w:r>
              <w:rPr>
                <w:rFonts w:hint="eastAsia"/>
                <w:sz w:val="22"/>
                <w:szCs w:val="22"/>
              </w:rPr>
              <w:t>63.9</w:t>
            </w:r>
          </w:p>
        </w:tc>
        <w:tc>
          <w:tcPr>
            <w:tcW w:w="1096" w:type="dxa"/>
            <w:noWrap/>
            <w:vAlign w:val="bottom"/>
          </w:tcPr>
          <w:p>
            <w:pPr>
              <w:pStyle w:val="857"/>
            </w:pPr>
            <w:r>
              <w:rPr>
                <w:rFonts w:hint="eastAsia"/>
                <w:sz w:val="22"/>
                <w:szCs w:val="22"/>
              </w:rPr>
              <w:t>53.6</w:t>
            </w:r>
          </w:p>
        </w:tc>
        <w:tc>
          <w:tcPr>
            <w:tcW w:w="1096" w:type="dxa"/>
            <w:noWrap/>
            <w:vAlign w:val="bottom"/>
          </w:tcPr>
          <w:p>
            <w:pPr>
              <w:pStyle w:val="857"/>
            </w:pPr>
            <w:r>
              <w:rPr>
                <w:rFonts w:hint="eastAsia"/>
                <w:sz w:val="22"/>
                <w:szCs w:val="22"/>
              </w:rPr>
              <w:t>64.2</w:t>
            </w:r>
          </w:p>
        </w:tc>
        <w:tc>
          <w:tcPr>
            <w:tcW w:w="1096" w:type="dxa"/>
            <w:noWrap/>
            <w:vAlign w:val="bottom"/>
          </w:tcPr>
          <w:p>
            <w:pPr>
              <w:pStyle w:val="857"/>
            </w:pPr>
            <w:r>
              <w:rPr>
                <w:rFonts w:hint="eastAsia"/>
                <w:sz w:val="22"/>
                <w:szCs w:val="22"/>
              </w:rPr>
              <w:t>53.8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sz w:val="22"/>
                <w:szCs w:val="22"/>
              </w:rPr>
              <w:t>9</w:t>
            </w:r>
          </w:p>
        </w:tc>
        <w:tc>
          <w:tcPr>
            <w:tcW w:w="1160" w:type="dxa"/>
            <w:noWrap/>
            <w:vAlign w:val="bottom"/>
          </w:tcPr>
          <w:p>
            <w:pPr>
              <w:pStyle w:val="857"/>
            </w:pPr>
            <w:r>
              <w:rPr>
                <w:rFonts w:hint="eastAsia"/>
                <w:sz w:val="22"/>
                <w:szCs w:val="22"/>
              </w:rPr>
              <w:t>25.2</w:t>
            </w:r>
          </w:p>
        </w:tc>
        <w:tc>
          <w:tcPr>
            <w:tcW w:w="1216" w:type="dxa"/>
            <w:noWrap/>
            <w:vAlign w:val="bottom"/>
          </w:tcPr>
          <w:p>
            <w:pPr>
              <w:pStyle w:val="857"/>
            </w:pPr>
            <w:r>
              <w:rPr>
                <w:rFonts w:hint="eastAsia"/>
                <w:sz w:val="22"/>
                <w:szCs w:val="22"/>
              </w:rPr>
              <w:t>60.2</w:t>
            </w:r>
          </w:p>
        </w:tc>
        <w:tc>
          <w:tcPr>
            <w:tcW w:w="1096" w:type="dxa"/>
            <w:noWrap/>
            <w:vAlign w:val="bottom"/>
          </w:tcPr>
          <w:p>
            <w:pPr>
              <w:pStyle w:val="857"/>
            </w:pPr>
            <w:r>
              <w:rPr>
                <w:rFonts w:hint="eastAsia"/>
                <w:sz w:val="22"/>
                <w:szCs w:val="22"/>
              </w:rPr>
              <w:t>52.6</w:t>
            </w:r>
          </w:p>
        </w:tc>
        <w:tc>
          <w:tcPr>
            <w:tcW w:w="1096" w:type="dxa"/>
            <w:noWrap/>
            <w:vAlign w:val="bottom"/>
          </w:tcPr>
          <w:p>
            <w:pPr>
              <w:pStyle w:val="857"/>
            </w:pPr>
            <w:r>
              <w:rPr>
                <w:rFonts w:hint="eastAsia"/>
                <w:sz w:val="22"/>
                <w:szCs w:val="22"/>
              </w:rPr>
              <w:t>63.5</w:t>
            </w:r>
          </w:p>
        </w:tc>
        <w:tc>
          <w:tcPr>
            <w:tcW w:w="1096" w:type="dxa"/>
            <w:noWrap/>
            <w:vAlign w:val="bottom"/>
          </w:tcPr>
          <w:p>
            <w:pPr>
              <w:pStyle w:val="857"/>
            </w:pPr>
            <w:r>
              <w:rPr>
                <w:rFonts w:hint="eastAsia"/>
                <w:sz w:val="22"/>
                <w:szCs w:val="22"/>
              </w:rPr>
              <w:t>53.0</w:t>
            </w:r>
          </w:p>
        </w:tc>
        <w:tc>
          <w:tcPr>
            <w:tcW w:w="1096" w:type="dxa"/>
            <w:noWrap/>
            <w:vAlign w:val="bottom"/>
          </w:tcPr>
          <w:p>
            <w:pPr>
              <w:pStyle w:val="857"/>
            </w:pPr>
            <w:r>
              <w:rPr>
                <w:rFonts w:hint="eastAsia"/>
                <w:sz w:val="22"/>
                <w:szCs w:val="22"/>
              </w:rPr>
              <w:t>63.8</w:t>
            </w:r>
          </w:p>
        </w:tc>
        <w:tc>
          <w:tcPr>
            <w:tcW w:w="1096" w:type="dxa"/>
            <w:noWrap/>
            <w:vAlign w:val="bottom"/>
          </w:tcPr>
          <w:p>
            <w:pPr>
              <w:pStyle w:val="857"/>
            </w:pPr>
            <w:r>
              <w:rPr>
                <w:rFonts w:hint="eastAsia"/>
                <w:sz w:val="22"/>
                <w:szCs w:val="22"/>
              </w:rPr>
              <w:t>53.2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1024" w:type="dxa"/>
            <w:noWrap/>
            <w:vAlign w:val="bottom"/>
          </w:tcPr>
          <w:p>
            <w:pPr>
              <w:pStyle w:val="857"/>
            </w:pPr>
            <w:r>
              <w:rPr>
                <w:rFonts w:hint="eastAsia"/>
                <w:sz w:val="22"/>
                <w:szCs w:val="22"/>
              </w:rPr>
              <w:t>10</w:t>
            </w:r>
          </w:p>
        </w:tc>
        <w:tc>
          <w:tcPr>
            <w:tcW w:w="1160" w:type="dxa"/>
            <w:noWrap/>
            <w:vAlign w:val="bottom"/>
          </w:tcPr>
          <w:p>
            <w:pPr>
              <w:pStyle w:val="857"/>
            </w:pPr>
            <w:r>
              <w:rPr>
                <w:rFonts w:hint="eastAsia"/>
                <w:sz w:val="22"/>
                <w:szCs w:val="22"/>
              </w:rPr>
              <w:t>28.2</w:t>
            </w:r>
          </w:p>
        </w:tc>
        <w:tc>
          <w:tcPr>
            <w:tcW w:w="1216" w:type="dxa"/>
            <w:noWrap/>
            <w:vAlign w:val="bottom"/>
          </w:tcPr>
          <w:p>
            <w:pPr>
              <w:pStyle w:val="857"/>
            </w:pPr>
            <w:r>
              <w:rPr>
                <w:rFonts w:hint="eastAsia"/>
                <w:sz w:val="22"/>
                <w:szCs w:val="22"/>
              </w:rPr>
              <w:t>59.6</w:t>
            </w:r>
          </w:p>
        </w:tc>
        <w:tc>
          <w:tcPr>
            <w:tcW w:w="1096" w:type="dxa"/>
            <w:noWrap/>
            <w:vAlign w:val="bottom"/>
          </w:tcPr>
          <w:p>
            <w:pPr>
              <w:pStyle w:val="857"/>
            </w:pPr>
            <w:r>
              <w:rPr>
                <w:rFonts w:hint="eastAsia"/>
                <w:sz w:val="22"/>
                <w:szCs w:val="22"/>
              </w:rPr>
              <w:t>52.0</w:t>
            </w:r>
          </w:p>
        </w:tc>
        <w:tc>
          <w:tcPr>
            <w:tcW w:w="1096" w:type="dxa"/>
            <w:noWrap/>
            <w:vAlign w:val="bottom"/>
          </w:tcPr>
          <w:p>
            <w:pPr>
              <w:pStyle w:val="857"/>
            </w:pPr>
            <w:r>
              <w:rPr>
                <w:rFonts w:hint="eastAsia"/>
                <w:sz w:val="22"/>
                <w:szCs w:val="22"/>
              </w:rPr>
              <w:t>63.2</w:t>
            </w:r>
          </w:p>
        </w:tc>
        <w:tc>
          <w:tcPr>
            <w:tcW w:w="1096" w:type="dxa"/>
            <w:noWrap/>
            <w:vAlign w:val="bottom"/>
          </w:tcPr>
          <w:p>
            <w:pPr>
              <w:pStyle w:val="857"/>
            </w:pPr>
            <w:r>
              <w:rPr>
                <w:rFonts w:hint="eastAsia"/>
                <w:sz w:val="22"/>
                <w:szCs w:val="22"/>
              </w:rPr>
              <w:t>52.4</w:t>
            </w:r>
          </w:p>
        </w:tc>
        <w:tc>
          <w:tcPr>
            <w:tcW w:w="1096" w:type="dxa"/>
            <w:noWrap/>
            <w:vAlign w:val="bottom"/>
          </w:tcPr>
          <w:p>
            <w:pPr>
              <w:pStyle w:val="857"/>
            </w:pPr>
            <w:r>
              <w:rPr>
                <w:rFonts w:hint="eastAsia"/>
                <w:sz w:val="22"/>
                <w:szCs w:val="22"/>
              </w:rPr>
              <w:t>63.4</w:t>
            </w:r>
          </w:p>
        </w:tc>
        <w:tc>
          <w:tcPr>
            <w:tcW w:w="1096" w:type="dxa"/>
            <w:noWrap/>
            <w:vAlign w:val="bottom"/>
          </w:tcPr>
          <w:p>
            <w:pPr>
              <w:pStyle w:val="857"/>
            </w:pPr>
            <w:r>
              <w:rPr>
                <w:rFonts w:hint="eastAsia"/>
                <w:sz w:val="22"/>
                <w:szCs w:val="22"/>
              </w:rPr>
              <w:t>52.7</w:t>
            </w:r>
          </w:p>
        </w:tc>
      </w:tr>
    </w:tbl>
    <w:p>
      <w:pPr>
        <w:spacing w:before="163" w:beforeLines="50"/>
        <w:ind w:firstLine="480"/>
        <w:rPr>
          <w:rFonts w:hint="eastAsia" w:eastAsia="宋体"/>
          <w:lang w:eastAsia="zh-CN"/>
        </w:rPr>
      </w:pPr>
      <w:r>
        <w:rPr>
          <w:rFonts w:hint="eastAsia"/>
        </w:rPr>
        <w:t xml:space="preserve"> </w:t>
      </w:r>
      <w:r>
        <w:t xml:space="preserve">   </w:t>
      </w:r>
    </w:p>
    <w:p>
      <w:pPr>
        <w:pStyle w:val="122"/>
      </w:pPr>
      <w:bookmarkStart w:id="478" w:name="_Ref149557810"/>
      <w:r>
        <w:rPr>
          <w:rFonts w:hint="eastAsia"/>
        </w:rPr>
        <w:t>中期交通噪声铅垂线分布图（</w:t>
      </w:r>
      <w:r>
        <w:t>12</w:t>
      </w:r>
      <w:r>
        <w:rPr>
          <w:rFonts w:hint="eastAsia"/>
        </w:rPr>
        <w:t>m路宽）</w:t>
      </w:r>
      <w:bookmarkEnd w:id="478"/>
    </w:p>
    <w:p>
      <w:pPr>
        <w:pStyle w:val="118"/>
        <w:numPr>
          <w:ilvl w:val="0"/>
          <w:numId w:val="0"/>
        </w:numPr>
      </w:pPr>
      <w:r>
        <w:rPr>
          <w:rFonts w:hint="eastAsia"/>
        </w:rPr>
        <w:t>（</w:t>
      </w:r>
      <w:r>
        <w:t>4</w:t>
      </w:r>
      <w:r>
        <w:rPr>
          <w:rFonts w:hint="eastAsia"/>
        </w:rPr>
        <w:t>）</w:t>
      </w:r>
      <w:r>
        <w:t>对公路沿线环境敏感目标影响预测与评价</w:t>
      </w:r>
    </w:p>
    <w:p>
      <w:pPr>
        <w:ind w:firstLine="480"/>
      </w:pPr>
      <w:r>
        <w:rPr>
          <w:rFonts w:hint="eastAsia"/>
        </w:rPr>
        <w:t>A.</w:t>
      </w:r>
      <w:r>
        <w:t>敏感点</w:t>
      </w:r>
      <w:r>
        <w:rPr>
          <w:rFonts w:hint="eastAsia"/>
        </w:rPr>
        <w:t>环境背景噪声取值</w:t>
      </w:r>
    </w:p>
    <w:p>
      <w:pPr>
        <w:ind w:firstLine="480"/>
      </w:pPr>
      <w:bookmarkStart w:id="479" w:name="_Hlk186408076"/>
      <w:r>
        <w:rPr>
          <w:rFonts w:hint="eastAsia"/>
        </w:rPr>
        <w:t>根据本项目所经区域的环境特征、噪声污染源和噪声敏感目标现状情况，在项目沿线共选取了4处敏感目标布设噪声监测点</w:t>
      </w:r>
      <w:r>
        <w:t>7</w:t>
      </w:r>
      <w:r>
        <w:rPr>
          <w:rFonts w:hint="eastAsia"/>
        </w:rPr>
        <w:t>个点位和一个水平衰减断面，其余敏感目标采用类比方式取值。</w:t>
      </w:r>
      <w:bookmarkEnd w:id="479"/>
      <w:r>
        <w:rPr>
          <w:rFonts w:hint="eastAsia"/>
        </w:rPr>
        <w:t>项目声环境敏感目标取值均为实测，详见</w:t>
      </w:r>
      <w:r>
        <w:rPr>
          <w:highlight w:val="yellow"/>
        </w:rPr>
        <w:fldChar w:fldCharType="begin"/>
      </w:r>
      <w:r>
        <w:instrText xml:space="preserve"> </w:instrText>
      </w:r>
      <w:r>
        <w:rPr>
          <w:rFonts w:hint="eastAsia"/>
        </w:rPr>
        <w:instrText xml:space="preserve">REF _Ref149557843 \r \h</w:instrText>
      </w:r>
      <w:r>
        <w:instrText xml:space="preserve"> </w:instrText>
      </w:r>
      <w:r>
        <w:rPr>
          <w:highlight w:val="yellow"/>
        </w:rPr>
        <w:fldChar w:fldCharType="separate"/>
      </w:r>
      <w:r>
        <w:rPr>
          <w:rFonts w:hint="eastAsia"/>
        </w:rPr>
        <w:t>表5.4-7</w:t>
      </w:r>
      <w:r>
        <w:rPr>
          <w:highlight w:val="yellow"/>
        </w:rPr>
        <w:fldChar w:fldCharType="end"/>
      </w:r>
      <w:r>
        <w:rPr>
          <w:rFonts w:hint="eastAsia"/>
        </w:rPr>
        <w:t>。</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87"/>
        <w:spacing w:before="163"/>
      </w:pPr>
      <w:bookmarkStart w:id="480" w:name="_Ref149557843"/>
      <w:r>
        <w:t>公路两侧</w:t>
      </w:r>
      <w:r>
        <w:rPr>
          <w:rFonts w:hint="eastAsia"/>
        </w:rPr>
        <w:t>现状</w:t>
      </w:r>
      <w:r>
        <w:t>敏感点环境背景噪声取值列表</w:t>
      </w:r>
      <w:r>
        <w:rPr>
          <w:rFonts w:hint="eastAsia"/>
        </w:rPr>
        <w:t xml:space="preserve">  单位：dB（A）</w:t>
      </w:r>
      <w:bookmarkEnd w:id="480"/>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28"/>
        <w:gridCol w:w="990"/>
        <w:gridCol w:w="481"/>
        <w:gridCol w:w="653"/>
        <w:gridCol w:w="1174"/>
        <w:gridCol w:w="593"/>
        <w:gridCol w:w="593"/>
        <w:gridCol w:w="760"/>
        <w:gridCol w:w="847"/>
        <w:gridCol w:w="25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restart"/>
            <w:vAlign w:val="center"/>
          </w:tcPr>
          <w:p>
            <w:pPr>
              <w:pStyle w:val="105"/>
              <w:jc w:val="center"/>
              <w:rPr>
                <w:sz w:val="18"/>
                <w:szCs w:val="18"/>
              </w:rPr>
            </w:pPr>
            <w:r>
              <w:rPr>
                <w:sz w:val="18"/>
                <w:szCs w:val="18"/>
              </w:rPr>
              <w:t>序号</w:t>
            </w:r>
          </w:p>
        </w:tc>
        <w:tc>
          <w:tcPr>
            <w:tcW w:w="811" w:type="pct"/>
            <w:gridSpan w:val="2"/>
            <w:vMerge w:val="restart"/>
            <w:vAlign w:val="center"/>
          </w:tcPr>
          <w:p>
            <w:pPr>
              <w:pStyle w:val="105"/>
              <w:jc w:val="center"/>
              <w:rPr>
                <w:sz w:val="18"/>
                <w:szCs w:val="18"/>
              </w:rPr>
            </w:pPr>
            <w:r>
              <w:rPr>
                <w:sz w:val="18"/>
                <w:szCs w:val="18"/>
              </w:rPr>
              <w:t>敏感点名称</w:t>
            </w:r>
          </w:p>
        </w:tc>
        <w:tc>
          <w:tcPr>
            <w:tcW w:w="360" w:type="pct"/>
            <w:vMerge w:val="restart"/>
            <w:vAlign w:val="center"/>
          </w:tcPr>
          <w:p>
            <w:pPr>
              <w:pStyle w:val="105"/>
              <w:jc w:val="center"/>
              <w:rPr>
                <w:sz w:val="18"/>
                <w:szCs w:val="18"/>
              </w:rPr>
            </w:pPr>
            <w:r>
              <w:rPr>
                <w:rFonts w:hint="eastAsia"/>
                <w:sz w:val="18"/>
                <w:szCs w:val="18"/>
              </w:rPr>
              <w:t>楼层</w:t>
            </w:r>
          </w:p>
        </w:tc>
        <w:tc>
          <w:tcPr>
            <w:tcW w:w="647" w:type="pct"/>
            <w:vMerge w:val="restart"/>
            <w:vAlign w:val="center"/>
          </w:tcPr>
          <w:p>
            <w:pPr>
              <w:pStyle w:val="105"/>
              <w:jc w:val="center"/>
              <w:rPr>
                <w:sz w:val="18"/>
                <w:szCs w:val="18"/>
              </w:rPr>
            </w:pPr>
            <w:r>
              <w:rPr>
                <w:sz w:val="18"/>
                <w:szCs w:val="18"/>
              </w:rPr>
              <w:t>声环境功能区</w:t>
            </w:r>
            <w:r>
              <w:rPr>
                <w:rFonts w:hint="eastAsia"/>
                <w:sz w:val="18"/>
                <w:szCs w:val="18"/>
              </w:rPr>
              <w:t>（项目建成后）</w:t>
            </w:r>
          </w:p>
        </w:tc>
        <w:tc>
          <w:tcPr>
            <w:tcW w:w="654" w:type="pct"/>
            <w:gridSpan w:val="2"/>
            <w:vAlign w:val="center"/>
          </w:tcPr>
          <w:p>
            <w:pPr>
              <w:pStyle w:val="105"/>
              <w:jc w:val="center"/>
              <w:rPr>
                <w:sz w:val="18"/>
                <w:szCs w:val="18"/>
              </w:rPr>
            </w:pPr>
            <w:r>
              <w:rPr>
                <w:sz w:val="18"/>
                <w:szCs w:val="18"/>
              </w:rPr>
              <w:t>现状噪声值</w:t>
            </w:r>
          </w:p>
        </w:tc>
        <w:tc>
          <w:tcPr>
            <w:tcW w:w="886" w:type="pct"/>
            <w:gridSpan w:val="2"/>
            <w:vAlign w:val="center"/>
          </w:tcPr>
          <w:p>
            <w:pPr>
              <w:pStyle w:val="105"/>
              <w:jc w:val="center"/>
              <w:rPr>
                <w:sz w:val="18"/>
                <w:szCs w:val="18"/>
              </w:rPr>
            </w:pPr>
            <w:r>
              <w:rPr>
                <w:sz w:val="18"/>
                <w:szCs w:val="18"/>
              </w:rPr>
              <w:t>背景噪声取值</w:t>
            </w:r>
          </w:p>
        </w:tc>
        <w:tc>
          <w:tcPr>
            <w:tcW w:w="1406" w:type="pct"/>
            <w:vMerge w:val="restart"/>
            <w:vAlign w:val="center"/>
          </w:tcPr>
          <w:p>
            <w:pPr>
              <w:pStyle w:val="105"/>
              <w:jc w:val="center"/>
              <w:rPr>
                <w:sz w:val="18"/>
                <w:szCs w:val="18"/>
              </w:rPr>
            </w:pPr>
            <w:r>
              <w:rPr>
                <w:sz w:val="18"/>
                <w:szCs w:val="18"/>
              </w:rPr>
              <w:t>说明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Merge w:val="continue"/>
            <w:vAlign w:val="center"/>
          </w:tcPr>
          <w:p>
            <w:pPr>
              <w:pStyle w:val="105"/>
              <w:jc w:val="center"/>
              <w:rPr>
                <w:sz w:val="18"/>
                <w:szCs w:val="18"/>
              </w:rPr>
            </w:pPr>
          </w:p>
        </w:tc>
        <w:tc>
          <w:tcPr>
            <w:tcW w:w="360" w:type="pct"/>
            <w:vMerge w:val="continue"/>
            <w:vAlign w:val="center"/>
          </w:tcPr>
          <w:p>
            <w:pPr>
              <w:pStyle w:val="105"/>
              <w:jc w:val="center"/>
              <w:rPr>
                <w:sz w:val="18"/>
                <w:szCs w:val="18"/>
              </w:rPr>
            </w:pPr>
          </w:p>
        </w:tc>
        <w:tc>
          <w:tcPr>
            <w:tcW w:w="647" w:type="pct"/>
            <w:vMerge w:val="continue"/>
            <w:vAlign w:val="center"/>
          </w:tcPr>
          <w:p>
            <w:pPr>
              <w:pStyle w:val="105"/>
              <w:jc w:val="center"/>
              <w:rPr>
                <w:sz w:val="18"/>
                <w:szCs w:val="18"/>
              </w:rPr>
            </w:pPr>
          </w:p>
        </w:tc>
        <w:tc>
          <w:tcPr>
            <w:tcW w:w="327" w:type="pct"/>
            <w:vAlign w:val="center"/>
          </w:tcPr>
          <w:p>
            <w:pPr>
              <w:pStyle w:val="105"/>
              <w:jc w:val="center"/>
              <w:rPr>
                <w:sz w:val="18"/>
                <w:szCs w:val="18"/>
              </w:rPr>
            </w:pPr>
            <w:r>
              <w:rPr>
                <w:sz w:val="18"/>
                <w:szCs w:val="18"/>
              </w:rPr>
              <w:t>昼间</w:t>
            </w:r>
          </w:p>
        </w:tc>
        <w:tc>
          <w:tcPr>
            <w:tcW w:w="327" w:type="pct"/>
            <w:vAlign w:val="center"/>
          </w:tcPr>
          <w:p>
            <w:pPr>
              <w:pStyle w:val="105"/>
              <w:jc w:val="center"/>
              <w:rPr>
                <w:sz w:val="18"/>
                <w:szCs w:val="18"/>
              </w:rPr>
            </w:pPr>
            <w:r>
              <w:rPr>
                <w:sz w:val="18"/>
                <w:szCs w:val="18"/>
              </w:rPr>
              <w:t>夜间</w:t>
            </w:r>
          </w:p>
        </w:tc>
        <w:tc>
          <w:tcPr>
            <w:tcW w:w="419" w:type="pct"/>
            <w:vAlign w:val="center"/>
          </w:tcPr>
          <w:p>
            <w:pPr>
              <w:pStyle w:val="105"/>
              <w:jc w:val="center"/>
              <w:rPr>
                <w:sz w:val="18"/>
                <w:szCs w:val="18"/>
              </w:rPr>
            </w:pPr>
            <w:r>
              <w:rPr>
                <w:sz w:val="18"/>
                <w:szCs w:val="18"/>
              </w:rPr>
              <w:t>昼间</w:t>
            </w:r>
          </w:p>
        </w:tc>
        <w:tc>
          <w:tcPr>
            <w:tcW w:w="467" w:type="pct"/>
            <w:vAlign w:val="center"/>
          </w:tcPr>
          <w:p>
            <w:pPr>
              <w:pStyle w:val="105"/>
              <w:jc w:val="center"/>
              <w:rPr>
                <w:sz w:val="18"/>
                <w:szCs w:val="18"/>
              </w:rPr>
            </w:pPr>
            <w:r>
              <w:rPr>
                <w:sz w:val="18"/>
                <w:szCs w:val="18"/>
              </w:rPr>
              <w:t>夜间</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27" w:hRule="atLeast"/>
          <w:tblHeader/>
          <w:jc w:val="center"/>
        </w:trPr>
        <w:tc>
          <w:tcPr>
            <w:tcW w:w="236" w:type="pct"/>
            <w:vMerge w:val="restart"/>
            <w:vAlign w:val="center"/>
          </w:tcPr>
          <w:p>
            <w:pPr>
              <w:pStyle w:val="105"/>
              <w:jc w:val="center"/>
              <w:rPr>
                <w:sz w:val="18"/>
                <w:szCs w:val="18"/>
              </w:rPr>
            </w:pPr>
            <w:r>
              <w:rPr>
                <w:sz w:val="18"/>
                <w:szCs w:val="18"/>
              </w:rPr>
              <w:t>1</w:t>
            </w:r>
          </w:p>
        </w:tc>
        <w:tc>
          <w:tcPr>
            <w:tcW w:w="546" w:type="pct"/>
            <w:vMerge w:val="restart"/>
            <w:vAlign w:val="center"/>
          </w:tcPr>
          <w:p>
            <w:pPr>
              <w:pStyle w:val="105"/>
              <w:jc w:val="center"/>
              <w:rPr>
                <w:sz w:val="18"/>
                <w:szCs w:val="18"/>
              </w:rPr>
            </w:pPr>
            <w:r>
              <w:rPr>
                <w:rFonts w:hint="eastAsia"/>
                <w:sz w:val="18"/>
                <w:szCs w:val="18"/>
              </w:rPr>
              <w:t>牌边村新桥（本项目的2类区和4a类）</w:t>
            </w:r>
          </w:p>
        </w:tc>
        <w:tc>
          <w:tcPr>
            <w:tcW w:w="265" w:type="pct"/>
            <w:vMerge w:val="restart"/>
            <w:vAlign w:val="center"/>
          </w:tcPr>
          <w:p>
            <w:pPr>
              <w:pStyle w:val="105"/>
              <w:jc w:val="center"/>
              <w:rPr>
                <w:sz w:val="18"/>
                <w:szCs w:val="18"/>
              </w:rPr>
            </w:pPr>
            <w:r>
              <w:rPr>
                <w:rFonts w:hint="eastAsia"/>
                <w:sz w:val="18"/>
                <w:szCs w:val="18"/>
              </w:rPr>
              <w:t>4a类</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sz w:val="18"/>
                <w:szCs w:val="18"/>
              </w:rPr>
              <w:t>4</w:t>
            </w:r>
            <w:r>
              <w:rPr>
                <w:rFonts w:hint="eastAsia"/>
                <w:sz w:val="18"/>
                <w:szCs w:val="18"/>
              </w:rPr>
              <w:t>a类</w:t>
            </w:r>
          </w:p>
        </w:tc>
        <w:tc>
          <w:tcPr>
            <w:tcW w:w="327" w:type="pct"/>
            <w:noWrap/>
            <w:vAlign w:val="center"/>
          </w:tcPr>
          <w:p>
            <w:pPr>
              <w:pStyle w:val="105"/>
              <w:jc w:val="center"/>
              <w:rPr>
                <w:sz w:val="18"/>
                <w:szCs w:val="18"/>
              </w:rPr>
            </w:pPr>
            <w:r>
              <w:rPr>
                <w:sz w:val="18"/>
                <w:szCs w:val="18"/>
              </w:rPr>
              <w:t>54</w:t>
            </w:r>
          </w:p>
        </w:tc>
        <w:tc>
          <w:tcPr>
            <w:tcW w:w="327" w:type="pct"/>
            <w:noWrap/>
            <w:vAlign w:val="center"/>
          </w:tcPr>
          <w:p>
            <w:pPr>
              <w:pStyle w:val="105"/>
              <w:jc w:val="center"/>
              <w:rPr>
                <w:sz w:val="18"/>
                <w:szCs w:val="18"/>
              </w:rPr>
            </w:pPr>
            <w:r>
              <w:rPr>
                <w:rFonts w:hint="eastAsia"/>
                <w:sz w:val="18"/>
                <w:szCs w:val="18"/>
              </w:rPr>
              <w:t>4</w:t>
            </w:r>
            <w:r>
              <w:rPr>
                <w:sz w:val="18"/>
                <w:szCs w:val="18"/>
              </w:rPr>
              <w:t>7</w:t>
            </w:r>
          </w:p>
        </w:tc>
        <w:tc>
          <w:tcPr>
            <w:tcW w:w="419" w:type="pct"/>
            <w:noWrap/>
            <w:vAlign w:val="center"/>
          </w:tcPr>
          <w:p>
            <w:pPr>
              <w:pStyle w:val="105"/>
              <w:jc w:val="center"/>
              <w:rPr>
                <w:sz w:val="18"/>
                <w:szCs w:val="18"/>
              </w:rPr>
            </w:pPr>
            <w:r>
              <w:rPr>
                <w:sz w:val="18"/>
                <w:szCs w:val="18"/>
              </w:rPr>
              <w:t>54</w:t>
            </w:r>
          </w:p>
        </w:tc>
        <w:tc>
          <w:tcPr>
            <w:tcW w:w="467" w:type="pct"/>
            <w:noWrap/>
            <w:vAlign w:val="center"/>
          </w:tcPr>
          <w:p>
            <w:pPr>
              <w:pStyle w:val="105"/>
              <w:jc w:val="center"/>
              <w:rPr>
                <w:sz w:val="18"/>
                <w:szCs w:val="18"/>
              </w:rPr>
            </w:pPr>
            <w:r>
              <w:rPr>
                <w:rFonts w:hint="eastAsia"/>
                <w:sz w:val="18"/>
                <w:szCs w:val="18"/>
              </w:rPr>
              <w:t>4</w:t>
            </w:r>
            <w:r>
              <w:rPr>
                <w:sz w:val="18"/>
                <w:szCs w:val="18"/>
              </w:rPr>
              <w:t>7</w:t>
            </w:r>
          </w:p>
        </w:tc>
        <w:tc>
          <w:tcPr>
            <w:tcW w:w="1406" w:type="pct"/>
            <w:vMerge w:val="restart"/>
            <w:vAlign w:val="center"/>
          </w:tcPr>
          <w:p>
            <w:pPr>
              <w:pStyle w:val="105"/>
              <w:jc w:val="center"/>
              <w:rPr>
                <w:sz w:val="18"/>
                <w:szCs w:val="18"/>
              </w:rPr>
            </w:pPr>
            <w:r>
              <w:rPr>
                <w:rFonts w:hint="eastAsia"/>
                <w:sz w:val="18"/>
                <w:szCs w:val="18"/>
              </w:rPr>
              <w:t>本项目4a类，现状2类，不受G</w:t>
            </w:r>
            <w:r>
              <w:rPr>
                <w:sz w:val="18"/>
                <w:szCs w:val="18"/>
              </w:rPr>
              <w:t>324</w:t>
            </w:r>
            <w:r>
              <w:rPr>
                <w:rFonts w:hint="eastAsia"/>
                <w:sz w:val="18"/>
                <w:szCs w:val="18"/>
              </w:rPr>
              <w:t>国道影响，背景值取2类区实测值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27" w:hRule="atLeast"/>
          <w:tblHeader/>
          <w:jc w:val="center"/>
        </w:trPr>
        <w:tc>
          <w:tcPr>
            <w:tcW w:w="236" w:type="pct"/>
            <w:vMerge w:val="continue"/>
            <w:vAlign w:val="center"/>
          </w:tcPr>
          <w:p>
            <w:pPr>
              <w:pStyle w:val="105"/>
              <w:jc w:val="center"/>
              <w:rPr>
                <w:sz w:val="18"/>
                <w:szCs w:val="18"/>
              </w:rPr>
            </w:pPr>
          </w:p>
        </w:tc>
        <w:tc>
          <w:tcPr>
            <w:tcW w:w="546" w:type="pct"/>
            <w:vMerge w:val="continue"/>
            <w:vAlign w:val="center"/>
          </w:tcPr>
          <w:p>
            <w:pPr>
              <w:pStyle w:val="105"/>
              <w:jc w:val="center"/>
              <w:rPr>
                <w:sz w:val="18"/>
                <w:szCs w:val="18"/>
              </w:rPr>
            </w:pPr>
          </w:p>
        </w:tc>
        <w:tc>
          <w:tcPr>
            <w:tcW w:w="265" w:type="pct"/>
            <w:vMerge w:val="continue"/>
            <w:vAlign w:val="center"/>
          </w:tcPr>
          <w:p>
            <w:pPr>
              <w:pStyle w:val="105"/>
              <w:jc w:val="center"/>
              <w:rPr>
                <w:sz w:val="18"/>
                <w:szCs w:val="18"/>
              </w:rPr>
            </w:pPr>
          </w:p>
        </w:tc>
        <w:tc>
          <w:tcPr>
            <w:tcW w:w="360" w:type="pct"/>
            <w:vAlign w:val="center"/>
          </w:tcPr>
          <w:p>
            <w:pPr>
              <w:pStyle w:val="105"/>
              <w:jc w:val="center"/>
              <w:rPr>
                <w:sz w:val="18"/>
                <w:szCs w:val="18"/>
              </w:rPr>
            </w:pPr>
            <w:r>
              <w:rPr>
                <w:sz w:val="18"/>
                <w:szCs w:val="18"/>
              </w:rPr>
              <w:t>3F</w:t>
            </w:r>
          </w:p>
        </w:tc>
        <w:tc>
          <w:tcPr>
            <w:tcW w:w="647" w:type="pct"/>
            <w:vAlign w:val="center"/>
          </w:tcPr>
          <w:p>
            <w:pPr>
              <w:pStyle w:val="105"/>
              <w:jc w:val="center"/>
              <w:rPr>
                <w:sz w:val="18"/>
                <w:szCs w:val="18"/>
              </w:rPr>
            </w:pPr>
            <w:r>
              <w:rPr>
                <w:sz w:val="18"/>
                <w:szCs w:val="18"/>
              </w:rPr>
              <w:t>4</w:t>
            </w:r>
            <w:r>
              <w:rPr>
                <w:rFonts w:hint="eastAsia"/>
                <w:sz w:val="18"/>
                <w:szCs w:val="18"/>
              </w:rPr>
              <w:t>a类</w:t>
            </w:r>
          </w:p>
        </w:tc>
        <w:tc>
          <w:tcPr>
            <w:tcW w:w="327" w:type="pct"/>
            <w:noWrap/>
            <w:vAlign w:val="center"/>
          </w:tcPr>
          <w:p>
            <w:pPr>
              <w:pStyle w:val="105"/>
              <w:jc w:val="center"/>
              <w:rPr>
                <w:sz w:val="18"/>
                <w:szCs w:val="18"/>
              </w:rPr>
            </w:pPr>
            <w:r>
              <w:rPr>
                <w:rFonts w:hint="eastAsia"/>
                <w:sz w:val="18"/>
                <w:szCs w:val="18"/>
              </w:rPr>
              <w:t>5</w:t>
            </w:r>
            <w:r>
              <w:rPr>
                <w:sz w:val="18"/>
                <w:szCs w:val="18"/>
              </w:rPr>
              <w:t>3</w:t>
            </w:r>
          </w:p>
        </w:tc>
        <w:tc>
          <w:tcPr>
            <w:tcW w:w="327" w:type="pct"/>
            <w:noWrap/>
            <w:vAlign w:val="center"/>
          </w:tcPr>
          <w:p>
            <w:pPr>
              <w:pStyle w:val="105"/>
              <w:jc w:val="center"/>
              <w:rPr>
                <w:sz w:val="18"/>
                <w:szCs w:val="18"/>
              </w:rPr>
            </w:pPr>
            <w:r>
              <w:rPr>
                <w:rFonts w:hint="eastAsia"/>
                <w:sz w:val="18"/>
                <w:szCs w:val="18"/>
              </w:rPr>
              <w:t>4</w:t>
            </w:r>
            <w:r>
              <w:rPr>
                <w:sz w:val="18"/>
                <w:szCs w:val="18"/>
              </w:rPr>
              <w:t>7</w:t>
            </w:r>
          </w:p>
        </w:tc>
        <w:tc>
          <w:tcPr>
            <w:tcW w:w="419" w:type="pct"/>
            <w:noWrap/>
            <w:vAlign w:val="center"/>
          </w:tcPr>
          <w:p>
            <w:pPr>
              <w:pStyle w:val="105"/>
              <w:jc w:val="center"/>
              <w:rPr>
                <w:sz w:val="18"/>
                <w:szCs w:val="18"/>
              </w:rPr>
            </w:pPr>
            <w:r>
              <w:rPr>
                <w:rFonts w:hint="eastAsia"/>
                <w:sz w:val="18"/>
                <w:szCs w:val="18"/>
              </w:rPr>
              <w:t>5</w:t>
            </w:r>
            <w:r>
              <w:rPr>
                <w:sz w:val="18"/>
                <w:szCs w:val="18"/>
              </w:rPr>
              <w:t>3</w:t>
            </w:r>
          </w:p>
        </w:tc>
        <w:tc>
          <w:tcPr>
            <w:tcW w:w="467" w:type="pct"/>
            <w:vAlign w:val="center"/>
          </w:tcPr>
          <w:p>
            <w:pPr>
              <w:pStyle w:val="105"/>
              <w:jc w:val="center"/>
              <w:rPr>
                <w:sz w:val="18"/>
                <w:szCs w:val="18"/>
              </w:rPr>
            </w:pPr>
            <w:r>
              <w:rPr>
                <w:rFonts w:hint="eastAsia"/>
                <w:sz w:val="18"/>
                <w:szCs w:val="18"/>
              </w:rPr>
              <w:t>4</w:t>
            </w:r>
            <w:r>
              <w:rPr>
                <w:sz w:val="18"/>
                <w:szCs w:val="18"/>
              </w:rPr>
              <w:t>7</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546" w:type="pct"/>
            <w:vMerge w:val="continue"/>
            <w:vAlign w:val="center"/>
          </w:tcPr>
          <w:p>
            <w:pPr>
              <w:pStyle w:val="105"/>
              <w:jc w:val="center"/>
              <w:rPr>
                <w:sz w:val="18"/>
                <w:szCs w:val="18"/>
              </w:rPr>
            </w:pPr>
          </w:p>
        </w:tc>
        <w:tc>
          <w:tcPr>
            <w:tcW w:w="265" w:type="pct"/>
            <w:vMerge w:val="restart"/>
            <w:vAlign w:val="center"/>
          </w:tcPr>
          <w:p>
            <w:pPr>
              <w:pStyle w:val="105"/>
              <w:jc w:val="center"/>
              <w:rPr>
                <w:sz w:val="18"/>
                <w:szCs w:val="18"/>
              </w:rPr>
            </w:pPr>
            <w:r>
              <w:rPr>
                <w:rFonts w:hint="eastAsia"/>
                <w:sz w:val="18"/>
                <w:szCs w:val="18"/>
              </w:rPr>
              <w:t>2类</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sz w:val="18"/>
                <w:szCs w:val="18"/>
              </w:rPr>
              <w:t>54</w:t>
            </w:r>
          </w:p>
        </w:tc>
        <w:tc>
          <w:tcPr>
            <w:tcW w:w="327" w:type="pct"/>
            <w:noWrap/>
            <w:vAlign w:val="center"/>
          </w:tcPr>
          <w:p>
            <w:pPr>
              <w:pStyle w:val="105"/>
              <w:jc w:val="center"/>
              <w:rPr>
                <w:sz w:val="18"/>
                <w:szCs w:val="18"/>
              </w:rPr>
            </w:pPr>
            <w:r>
              <w:rPr>
                <w:rFonts w:hint="eastAsia"/>
                <w:sz w:val="18"/>
                <w:szCs w:val="18"/>
              </w:rPr>
              <w:t>4</w:t>
            </w:r>
            <w:r>
              <w:rPr>
                <w:sz w:val="18"/>
                <w:szCs w:val="18"/>
              </w:rPr>
              <w:t>7</w:t>
            </w:r>
          </w:p>
        </w:tc>
        <w:tc>
          <w:tcPr>
            <w:tcW w:w="419" w:type="pct"/>
            <w:noWrap/>
            <w:vAlign w:val="center"/>
          </w:tcPr>
          <w:p>
            <w:pPr>
              <w:pStyle w:val="105"/>
              <w:jc w:val="center"/>
              <w:rPr>
                <w:sz w:val="18"/>
                <w:szCs w:val="18"/>
              </w:rPr>
            </w:pPr>
            <w:r>
              <w:rPr>
                <w:sz w:val="18"/>
                <w:szCs w:val="18"/>
              </w:rPr>
              <w:t>54</w:t>
            </w:r>
          </w:p>
        </w:tc>
        <w:tc>
          <w:tcPr>
            <w:tcW w:w="467" w:type="pct"/>
            <w:noWrap/>
            <w:vAlign w:val="center"/>
          </w:tcPr>
          <w:p>
            <w:pPr>
              <w:pStyle w:val="105"/>
              <w:jc w:val="center"/>
              <w:rPr>
                <w:sz w:val="18"/>
                <w:szCs w:val="18"/>
              </w:rPr>
            </w:pPr>
            <w:r>
              <w:rPr>
                <w:rFonts w:hint="eastAsia"/>
                <w:sz w:val="18"/>
                <w:szCs w:val="18"/>
              </w:rPr>
              <w:t>4</w:t>
            </w:r>
            <w:r>
              <w:rPr>
                <w:sz w:val="18"/>
                <w:szCs w:val="18"/>
              </w:rPr>
              <w:t>7</w:t>
            </w:r>
          </w:p>
        </w:tc>
        <w:tc>
          <w:tcPr>
            <w:tcW w:w="1406" w:type="pct"/>
            <w:vMerge w:val="restart"/>
            <w:vAlign w:val="center"/>
          </w:tcPr>
          <w:p>
            <w:pPr>
              <w:pStyle w:val="105"/>
              <w:jc w:val="center"/>
              <w:rPr>
                <w:sz w:val="18"/>
                <w:szCs w:val="18"/>
              </w:rPr>
            </w:pPr>
            <w:r>
              <w:rPr>
                <w:rFonts w:hint="eastAsia"/>
                <w:sz w:val="18"/>
                <w:szCs w:val="18"/>
              </w:rPr>
              <w:t>实测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546" w:type="pct"/>
            <w:vMerge w:val="continue"/>
            <w:vAlign w:val="center"/>
          </w:tcPr>
          <w:p>
            <w:pPr>
              <w:pStyle w:val="105"/>
              <w:jc w:val="center"/>
              <w:rPr>
                <w:sz w:val="18"/>
                <w:szCs w:val="18"/>
              </w:rPr>
            </w:pPr>
          </w:p>
        </w:tc>
        <w:tc>
          <w:tcPr>
            <w:tcW w:w="265" w:type="pct"/>
            <w:vMerge w:val="continue"/>
            <w:vAlign w:val="center"/>
          </w:tcPr>
          <w:p>
            <w:pPr>
              <w:pStyle w:val="105"/>
              <w:jc w:val="center"/>
              <w:rPr>
                <w:sz w:val="18"/>
                <w:szCs w:val="18"/>
              </w:rPr>
            </w:pPr>
          </w:p>
        </w:tc>
        <w:tc>
          <w:tcPr>
            <w:tcW w:w="360" w:type="pct"/>
            <w:vAlign w:val="center"/>
          </w:tcPr>
          <w:p>
            <w:pPr>
              <w:pStyle w:val="105"/>
              <w:jc w:val="center"/>
              <w:rPr>
                <w:sz w:val="18"/>
                <w:szCs w:val="18"/>
              </w:rPr>
            </w:pPr>
            <w:r>
              <w:rPr>
                <w:sz w:val="18"/>
                <w:szCs w:val="18"/>
              </w:rPr>
              <w:t>3F</w:t>
            </w: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rFonts w:hint="eastAsia"/>
                <w:sz w:val="18"/>
                <w:szCs w:val="18"/>
              </w:rPr>
              <w:t>5</w:t>
            </w:r>
            <w:r>
              <w:rPr>
                <w:sz w:val="18"/>
                <w:szCs w:val="18"/>
              </w:rPr>
              <w:t>3</w:t>
            </w:r>
          </w:p>
        </w:tc>
        <w:tc>
          <w:tcPr>
            <w:tcW w:w="327" w:type="pct"/>
            <w:noWrap/>
            <w:vAlign w:val="center"/>
          </w:tcPr>
          <w:p>
            <w:pPr>
              <w:pStyle w:val="105"/>
              <w:jc w:val="center"/>
              <w:rPr>
                <w:sz w:val="18"/>
                <w:szCs w:val="18"/>
              </w:rPr>
            </w:pPr>
            <w:r>
              <w:rPr>
                <w:rFonts w:hint="eastAsia"/>
                <w:sz w:val="18"/>
                <w:szCs w:val="18"/>
              </w:rPr>
              <w:t>4</w:t>
            </w:r>
            <w:r>
              <w:rPr>
                <w:sz w:val="18"/>
                <w:szCs w:val="18"/>
              </w:rPr>
              <w:t>7</w:t>
            </w:r>
          </w:p>
        </w:tc>
        <w:tc>
          <w:tcPr>
            <w:tcW w:w="419" w:type="pct"/>
            <w:noWrap/>
            <w:vAlign w:val="center"/>
          </w:tcPr>
          <w:p>
            <w:pPr>
              <w:pStyle w:val="105"/>
              <w:jc w:val="center"/>
              <w:rPr>
                <w:sz w:val="18"/>
                <w:szCs w:val="18"/>
              </w:rPr>
            </w:pPr>
            <w:r>
              <w:rPr>
                <w:rFonts w:hint="eastAsia"/>
                <w:sz w:val="18"/>
                <w:szCs w:val="18"/>
              </w:rPr>
              <w:t>5</w:t>
            </w:r>
            <w:r>
              <w:rPr>
                <w:sz w:val="18"/>
                <w:szCs w:val="18"/>
              </w:rPr>
              <w:t>3</w:t>
            </w:r>
          </w:p>
        </w:tc>
        <w:tc>
          <w:tcPr>
            <w:tcW w:w="467" w:type="pct"/>
            <w:noWrap/>
            <w:vAlign w:val="center"/>
          </w:tcPr>
          <w:p>
            <w:pPr>
              <w:pStyle w:val="105"/>
              <w:jc w:val="center"/>
              <w:rPr>
                <w:sz w:val="18"/>
                <w:szCs w:val="18"/>
              </w:rPr>
            </w:pPr>
            <w:r>
              <w:rPr>
                <w:rFonts w:hint="eastAsia"/>
                <w:sz w:val="18"/>
                <w:szCs w:val="18"/>
              </w:rPr>
              <w:t>4</w:t>
            </w:r>
            <w:r>
              <w:rPr>
                <w:sz w:val="18"/>
                <w:szCs w:val="18"/>
              </w:rPr>
              <w:t>7</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35" w:hRule="atLeast"/>
          <w:tblHeader/>
          <w:jc w:val="center"/>
        </w:trPr>
        <w:tc>
          <w:tcPr>
            <w:tcW w:w="236" w:type="pct"/>
            <w:vMerge w:val="continue"/>
            <w:vAlign w:val="center"/>
          </w:tcPr>
          <w:p>
            <w:pPr>
              <w:pStyle w:val="105"/>
              <w:jc w:val="center"/>
              <w:rPr>
                <w:sz w:val="18"/>
                <w:szCs w:val="18"/>
              </w:rPr>
            </w:pPr>
          </w:p>
        </w:tc>
        <w:tc>
          <w:tcPr>
            <w:tcW w:w="811" w:type="pct"/>
            <w:gridSpan w:val="2"/>
            <w:vMerge w:val="restart"/>
            <w:vAlign w:val="center"/>
          </w:tcPr>
          <w:p>
            <w:pPr>
              <w:pStyle w:val="105"/>
              <w:jc w:val="center"/>
              <w:rPr>
                <w:sz w:val="18"/>
                <w:szCs w:val="18"/>
              </w:rPr>
            </w:pPr>
            <w:r>
              <w:rPr>
                <w:rFonts w:hint="eastAsia"/>
                <w:sz w:val="18"/>
                <w:szCs w:val="18"/>
              </w:rPr>
              <w:t>牌边村新桥（G</w:t>
            </w:r>
            <w:r>
              <w:rPr>
                <w:sz w:val="18"/>
                <w:szCs w:val="18"/>
              </w:rPr>
              <w:t>324</w:t>
            </w:r>
            <w:r>
              <w:rPr>
                <w:rFonts w:hint="eastAsia"/>
                <w:sz w:val="18"/>
                <w:szCs w:val="18"/>
              </w:rPr>
              <w:t>国道的4a类）</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sz w:val="18"/>
                <w:szCs w:val="18"/>
              </w:rPr>
              <w:t>4</w:t>
            </w:r>
            <w:r>
              <w:rPr>
                <w:rFonts w:hint="eastAsia"/>
                <w:sz w:val="18"/>
                <w:szCs w:val="18"/>
              </w:rPr>
              <w:t>a</w:t>
            </w:r>
          </w:p>
        </w:tc>
        <w:tc>
          <w:tcPr>
            <w:tcW w:w="327" w:type="pct"/>
            <w:noWrap/>
            <w:vAlign w:val="center"/>
          </w:tcPr>
          <w:p>
            <w:pPr>
              <w:pStyle w:val="105"/>
              <w:jc w:val="center"/>
              <w:rPr>
                <w:sz w:val="18"/>
                <w:szCs w:val="18"/>
              </w:rPr>
            </w:pPr>
            <w:r>
              <w:rPr>
                <w:rFonts w:hint="eastAsia"/>
                <w:sz w:val="18"/>
                <w:szCs w:val="18"/>
              </w:rPr>
              <w:t>6</w:t>
            </w:r>
            <w:r>
              <w:rPr>
                <w:sz w:val="18"/>
                <w:szCs w:val="18"/>
              </w:rPr>
              <w:t>8</w:t>
            </w:r>
          </w:p>
        </w:tc>
        <w:tc>
          <w:tcPr>
            <w:tcW w:w="327" w:type="pct"/>
            <w:noWrap/>
            <w:vAlign w:val="center"/>
          </w:tcPr>
          <w:p>
            <w:pPr>
              <w:pStyle w:val="105"/>
              <w:jc w:val="center"/>
              <w:rPr>
                <w:sz w:val="18"/>
                <w:szCs w:val="18"/>
              </w:rPr>
            </w:pPr>
            <w:r>
              <w:rPr>
                <w:rFonts w:hint="eastAsia"/>
                <w:sz w:val="18"/>
                <w:szCs w:val="18"/>
              </w:rPr>
              <w:t>6</w:t>
            </w:r>
            <w:r>
              <w:rPr>
                <w:sz w:val="18"/>
                <w:szCs w:val="18"/>
              </w:rPr>
              <w:t>3</w:t>
            </w:r>
          </w:p>
        </w:tc>
        <w:tc>
          <w:tcPr>
            <w:tcW w:w="419" w:type="pct"/>
            <w:noWrap/>
            <w:vAlign w:val="center"/>
          </w:tcPr>
          <w:p>
            <w:pPr>
              <w:pStyle w:val="105"/>
              <w:jc w:val="center"/>
              <w:rPr>
                <w:sz w:val="18"/>
                <w:szCs w:val="18"/>
              </w:rPr>
            </w:pPr>
            <w:r>
              <w:rPr>
                <w:rFonts w:hint="eastAsia"/>
                <w:sz w:val="18"/>
                <w:szCs w:val="18"/>
              </w:rPr>
              <w:t>6</w:t>
            </w:r>
            <w:r>
              <w:rPr>
                <w:sz w:val="18"/>
                <w:szCs w:val="18"/>
              </w:rPr>
              <w:t>8</w:t>
            </w:r>
          </w:p>
        </w:tc>
        <w:tc>
          <w:tcPr>
            <w:tcW w:w="467" w:type="pct"/>
            <w:vAlign w:val="center"/>
          </w:tcPr>
          <w:p>
            <w:pPr>
              <w:pStyle w:val="105"/>
              <w:jc w:val="center"/>
              <w:rPr>
                <w:sz w:val="18"/>
                <w:szCs w:val="18"/>
              </w:rPr>
            </w:pPr>
            <w:r>
              <w:rPr>
                <w:rFonts w:hint="eastAsia"/>
                <w:sz w:val="18"/>
                <w:szCs w:val="18"/>
              </w:rPr>
              <w:t>6</w:t>
            </w:r>
            <w:r>
              <w:rPr>
                <w:sz w:val="18"/>
                <w:szCs w:val="18"/>
              </w:rPr>
              <w:t>3</w:t>
            </w:r>
          </w:p>
        </w:tc>
        <w:tc>
          <w:tcPr>
            <w:tcW w:w="1406" w:type="pct"/>
            <w:vAlign w:val="center"/>
          </w:tcPr>
          <w:p>
            <w:pPr>
              <w:pStyle w:val="105"/>
              <w:jc w:val="center"/>
              <w:rPr>
                <w:sz w:val="18"/>
                <w:szCs w:val="18"/>
              </w:rPr>
            </w:pPr>
            <w:r>
              <w:rPr>
                <w:sz w:val="18"/>
                <w:szCs w:val="18"/>
              </w:rPr>
              <w:t>位于G324国道第一排，但位于本项目的2类区，实测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35" w:hRule="atLeast"/>
          <w:tblHeader/>
          <w:jc w:val="center"/>
        </w:trPr>
        <w:tc>
          <w:tcPr>
            <w:tcW w:w="236" w:type="pct"/>
            <w:vMerge w:val="continue"/>
            <w:vAlign w:val="center"/>
          </w:tcPr>
          <w:p>
            <w:pPr>
              <w:pStyle w:val="105"/>
              <w:jc w:val="center"/>
              <w:rPr>
                <w:sz w:val="18"/>
                <w:szCs w:val="18"/>
              </w:rPr>
            </w:pPr>
          </w:p>
        </w:tc>
        <w:tc>
          <w:tcPr>
            <w:tcW w:w="811" w:type="pct"/>
            <w:gridSpan w:val="2"/>
            <w:vMerge w:val="continue"/>
            <w:vAlign w:val="center"/>
          </w:tcPr>
          <w:p>
            <w:pPr>
              <w:pStyle w:val="105"/>
              <w:jc w:val="center"/>
              <w:rPr>
                <w:sz w:val="18"/>
                <w:szCs w:val="18"/>
              </w:rPr>
            </w:pPr>
          </w:p>
        </w:tc>
        <w:tc>
          <w:tcPr>
            <w:tcW w:w="360" w:type="pct"/>
            <w:vAlign w:val="center"/>
          </w:tcPr>
          <w:p>
            <w:pPr>
              <w:pStyle w:val="105"/>
              <w:jc w:val="center"/>
              <w:rPr>
                <w:sz w:val="18"/>
                <w:szCs w:val="18"/>
              </w:rPr>
            </w:pPr>
            <w:r>
              <w:rPr>
                <w:sz w:val="18"/>
                <w:szCs w:val="18"/>
              </w:rPr>
              <w:t>3F</w:t>
            </w:r>
          </w:p>
        </w:tc>
        <w:tc>
          <w:tcPr>
            <w:tcW w:w="647" w:type="pct"/>
            <w:vAlign w:val="center"/>
          </w:tcPr>
          <w:p>
            <w:pPr>
              <w:pStyle w:val="105"/>
              <w:jc w:val="center"/>
              <w:rPr>
                <w:sz w:val="18"/>
                <w:szCs w:val="18"/>
              </w:rPr>
            </w:pPr>
            <w:r>
              <w:rPr>
                <w:sz w:val="18"/>
                <w:szCs w:val="18"/>
              </w:rPr>
              <w:t>4</w:t>
            </w:r>
            <w:r>
              <w:rPr>
                <w:rFonts w:hint="eastAsia"/>
                <w:sz w:val="18"/>
                <w:szCs w:val="18"/>
              </w:rPr>
              <w:t>a</w:t>
            </w:r>
          </w:p>
        </w:tc>
        <w:tc>
          <w:tcPr>
            <w:tcW w:w="327" w:type="pct"/>
            <w:noWrap/>
            <w:vAlign w:val="center"/>
          </w:tcPr>
          <w:p>
            <w:pPr>
              <w:pStyle w:val="105"/>
              <w:jc w:val="center"/>
              <w:rPr>
                <w:sz w:val="18"/>
                <w:szCs w:val="18"/>
              </w:rPr>
            </w:pPr>
            <w:r>
              <w:rPr>
                <w:rFonts w:hint="eastAsia"/>
                <w:sz w:val="18"/>
                <w:szCs w:val="18"/>
              </w:rPr>
              <w:t>6</w:t>
            </w:r>
            <w:r>
              <w:rPr>
                <w:sz w:val="18"/>
                <w:szCs w:val="18"/>
              </w:rPr>
              <w:t>8</w:t>
            </w:r>
          </w:p>
        </w:tc>
        <w:tc>
          <w:tcPr>
            <w:tcW w:w="327" w:type="pct"/>
            <w:noWrap/>
            <w:vAlign w:val="center"/>
          </w:tcPr>
          <w:p>
            <w:pPr>
              <w:pStyle w:val="105"/>
              <w:jc w:val="center"/>
              <w:rPr>
                <w:sz w:val="18"/>
                <w:szCs w:val="18"/>
              </w:rPr>
            </w:pPr>
            <w:r>
              <w:rPr>
                <w:rFonts w:hint="eastAsia"/>
                <w:sz w:val="18"/>
                <w:szCs w:val="18"/>
              </w:rPr>
              <w:t>6</w:t>
            </w:r>
            <w:r>
              <w:rPr>
                <w:sz w:val="18"/>
                <w:szCs w:val="18"/>
              </w:rPr>
              <w:t>3</w:t>
            </w:r>
          </w:p>
        </w:tc>
        <w:tc>
          <w:tcPr>
            <w:tcW w:w="419" w:type="pct"/>
            <w:noWrap/>
            <w:vAlign w:val="center"/>
          </w:tcPr>
          <w:p>
            <w:pPr>
              <w:pStyle w:val="105"/>
              <w:jc w:val="center"/>
              <w:rPr>
                <w:sz w:val="18"/>
                <w:szCs w:val="18"/>
              </w:rPr>
            </w:pPr>
            <w:r>
              <w:rPr>
                <w:rFonts w:hint="eastAsia"/>
                <w:sz w:val="18"/>
                <w:szCs w:val="18"/>
              </w:rPr>
              <w:t>6</w:t>
            </w:r>
            <w:r>
              <w:rPr>
                <w:sz w:val="18"/>
                <w:szCs w:val="18"/>
              </w:rPr>
              <w:t>8</w:t>
            </w:r>
          </w:p>
        </w:tc>
        <w:tc>
          <w:tcPr>
            <w:tcW w:w="467" w:type="pct"/>
            <w:vAlign w:val="center"/>
          </w:tcPr>
          <w:p>
            <w:pPr>
              <w:pStyle w:val="105"/>
              <w:jc w:val="center"/>
              <w:rPr>
                <w:sz w:val="18"/>
                <w:szCs w:val="18"/>
              </w:rPr>
            </w:pPr>
            <w:r>
              <w:rPr>
                <w:rFonts w:hint="eastAsia"/>
                <w:sz w:val="18"/>
                <w:szCs w:val="18"/>
              </w:rPr>
              <w:t>6</w:t>
            </w:r>
            <w:r>
              <w:rPr>
                <w:sz w:val="18"/>
                <w:szCs w:val="18"/>
              </w:rPr>
              <w:t>3</w:t>
            </w:r>
          </w:p>
        </w:tc>
        <w:tc>
          <w:tcPr>
            <w:tcW w:w="1406" w:type="pct"/>
            <w:vAlign w:val="center"/>
          </w:tcPr>
          <w:p>
            <w:pPr>
              <w:pStyle w:val="105"/>
              <w:jc w:val="center"/>
              <w:rPr>
                <w:sz w:val="18"/>
                <w:szCs w:val="18"/>
              </w:rPr>
            </w:pPr>
            <w:r>
              <w:rPr>
                <w:sz w:val="18"/>
                <w:szCs w:val="18"/>
              </w:rPr>
              <w:t>不具备监测条件，取1F实测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restart"/>
            <w:vAlign w:val="center"/>
          </w:tcPr>
          <w:p>
            <w:pPr>
              <w:pStyle w:val="105"/>
              <w:jc w:val="center"/>
              <w:rPr>
                <w:sz w:val="18"/>
                <w:szCs w:val="18"/>
              </w:rPr>
            </w:pPr>
            <w:r>
              <w:rPr>
                <w:sz w:val="18"/>
                <w:szCs w:val="18"/>
              </w:rPr>
              <w:t>2</w:t>
            </w:r>
          </w:p>
        </w:tc>
        <w:tc>
          <w:tcPr>
            <w:tcW w:w="1171" w:type="pct"/>
            <w:gridSpan w:val="3"/>
            <w:vMerge w:val="restart"/>
            <w:vAlign w:val="center"/>
          </w:tcPr>
          <w:p>
            <w:pPr>
              <w:pStyle w:val="105"/>
              <w:jc w:val="center"/>
              <w:rPr>
                <w:sz w:val="18"/>
                <w:szCs w:val="18"/>
              </w:rPr>
            </w:pPr>
            <w:r>
              <w:rPr>
                <w:rFonts w:hint="eastAsia"/>
                <w:sz w:val="18"/>
                <w:szCs w:val="18"/>
              </w:rPr>
              <w:t>上张村林泉</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rFonts w:hint="eastAsia"/>
                <w:sz w:val="18"/>
                <w:szCs w:val="18"/>
              </w:rPr>
              <w:t>4</w:t>
            </w:r>
            <w:r>
              <w:rPr>
                <w:sz w:val="18"/>
                <w:szCs w:val="18"/>
              </w:rPr>
              <w:t>9</w:t>
            </w:r>
          </w:p>
        </w:tc>
        <w:tc>
          <w:tcPr>
            <w:tcW w:w="327" w:type="pct"/>
            <w:noWrap/>
            <w:vAlign w:val="center"/>
          </w:tcPr>
          <w:p>
            <w:pPr>
              <w:pStyle w:val="105"/>
              <w:jc w:val="center"/>
              <w:rPr>
                <w:sz w:val="18"/>
                <w:szCs w:val="18"/>
              </w:rPr>
            </w:pPr>
            <w:r>
              <w:rPr>
                <w:rFonts w:hint="eastAsia"/>
                <w:sz w:val="18"/>
                <w:szCs w:val="18"/>
              </w:rPr>
              <w:t>4</w:t>
            </w:r>
            <w:r>
              <w:rPr>
                <w:sz w:val="18"/>
                <w:szCs w:val="18"/>
              </w:rPr>
              <w:t>2</w:t>
            </w:r>
          </w:p>
        </w:tc>
        <w:tc>
          <w:tcPr>
            <w:tcW w:w="419" w:type="pct"/>
            <w:noWrap/>
            <w:vAlign w:val="center"/>
          </w:tcPr>
          <w:p>
            <w:pPr>
              <w:pStyle w:val="105"/>
              <w:jc w:val="center"/>
              <w:rPr>
                <w:sz w:val="18"/>
                <w:szCs w:val="18"/>
              </w:rPr>
            </w:pPr>
            <w:r>
              <w:rPr>
                <w:rFonts w:hint="eastAsia"/>
                <w:sz w:val="18"/>
                <w:szCs w:val="18"/>
              </w:rPr>
              <w:t>4</w:t>
            </w:r>
            <w:r>
              <w:rPr>
                <w:sz w:val="18"/>
                <w:szCs w:val="18"/>
              </w:rPr>
              <w:t>9</w:t>
            </w:r>
          </w:p>
        </w:tc>
        <w:tc>
          <w:tcPr>
            <w:tcW w:w="467" w:type="pct"/>
            <w:noWrap/>
            <w:vAlign w:val="center"/>
          </w:tcPr>
          <w:p>
            <w:pPr>
              <w:pStyle w:val="105"/>
              <w:jc w:val="center"/>
              <w:rPr>
                <w:sz w:val="18"/>
                <w:szCs w:val="18"/>
              </w:rPr>
            </w:pPr>
            <w:r>
              <w:rPr>
                <w:rFonts w:hint="eastAsia"/>
                <w:sz w:val="18"/>
                <w:szCs w:val="18"/>
              </w:rPr>
              <w:t>4</w:t>
            </w:r>
            <w:r>
              <w:rPr>
                <w:sz w:val="18"/>
                <w:szCs w:val="18"/>
              </w:rPr>
              <w:t>2</w:t>
            </w:r>
          </w:p>
        </w:tc>
        <w:tc>
          <w:tcPr>
            <w:tcW w:w="1406" w:type="pct"/>
            <w:vAlign w:val="center"/>
          </w:tcPr>
          <w:p>
            <w:pPr>
              <w:pStyle w:val="105"/>
              <w:jc w:val="center"/>
              <w:rPr>
                <w:sz w:val="18"/>
                <w:szCs w:val="18"/>
              </w:rPr>
            </w:pPr>
            <w:r>
              <w:rPr>
                <w:sz w:val="18"/>
                <w:szCs w:val="18"/>
              </w:rPr>
              <w:t>现状无4a类区，背景值取2类区实测值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1171" w:type="pct"/>
            <w:gridSpan w:val="3"/>
            <w:vMerge w:val="continue"/>
            <w:vAlign w:val="center"/>
          </w:tcPr>
          <w:p>
            <w:pPr>
              <w:pStyle w:val="105"/>
              <w:jc w:val="center"/>
              <w:rPr>
                <w:sz w:val="18"/>
                <w:szCs w:val="18"/>
              </w:rPr>
            </w:pP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rFonts w:hint="eastAsia"/>
                <w:sz w:val="18"/>
                <w:szCs w:val="18"/>
              </w:rPr>
              <w:t>4</w:t>
            </w:r>
            <w:r>
              <w:rPr>
                <w:sz w:val="18"/>
                <w:szCs w:val="18"/>
              </w:rPr>
              <w:t>9</w:t>
            </w:r>
          </w:p>
        </w:tc>
        <w:tc>
          <w:tcPr>
            <w:tcW w:w="327" w:type="pct"/>
            <w:noWrap/>
            <w:vAlign w:val="center"/>
          </w:tcPr>
          <w:p>
            <w:pPr>
              <w:pStyle w:val="105"/>
              <w:jc w:val="center"/>
              <w:rPr>
                <w:sz w:val="18"/>
                <w:szCs w:val="18"/>
              </w:rPr>
            </w:pPr>
            <w:r>
              <w:rPr>
                <w:rFonts w:hint="eastAsia"/>
                <w:sz w:val="18"/>
                <w:szCs w:val="18"/>
              </w:rPr>
              <w:t>4</w:t>
            </w:r>
            <w:r>
              <w:rPr>
                <w:sz w:val="18"/>
                <w:szCs w:val="18"/>
              </w:rPr>
              <w:t>2</w:t>
            </w:r>
          </w:p>
        </w:tc>
        <w:tc>
          <w:tcPr>
            <w:tcW w:w="419" w:type="pct"/>
            <w:noWrap/>
            <w:vAlign w:val="center"/>
          </w:tcPr>
          <w:p>
            <w:pPr>
              <w:pStyle w:val="105"/>
              <w:jc w:val="center"/>
              <w:rPr>
                <w:sz w:val="18"/>
                <w:szCs w:val="18"/>
              </w:rPr>
            </w:pPr>
            <w:r>
              <w:rPr>
                <w:rFonts w:hint="eastAsia"/>
                <w:sz w:val="18"/>
                <w:szCs w:val="18"/>
              </w:rPr>
              <w:t>4</w:t>
            </w:r>
            <w:r>
              <w:rPr>
                <w:sz w:val="18"/>
                <w:szCs w:val="18"/>
              </w:rPr>
              <w:t>9</w:t>
            </w:r>
          </w:p>
        </w:tc>
        <w:tc>
          <w:tcPr>
            <w:tcW w:w="467" w:type="pct"/>
            <w:noWrap/>
            <w:vAlign w:val="center"/>
          </w:tcPr>
          <w:p>
            <w:pPr>
              <w:pStyle w:val="105"/>
              <w:jc w:val="center"/>
              <w:rPr>
                <w:sz w:val="18"/>
                <w:szCs w:val="18"/>
              </w:rPr>
            </w:pPr>
            <w:r>
              <w:rPr>
                <w:rFonts w:hint="eastAsia"/>
                <w:sz w:val="18"/>
                <w:szCs w:val="18"/>
              </w:rPr>
              <w:t>4</w:t>
            </w:r>
            <w:r>
              <w:rPr>
                <w:sz w:val="18"/>
                <w:szCs w:val="18"/>
              </w:rPr>
              <w:t>2</w:t>
            </w:r>
          </w:p>
        </w:tc>
        <w:tc>
          <w:tcPr>
            <w:tcW w:w="1406" w:type="pct"/>
            <w:vAlign w:val="center"/>
          </w:tcPr>
          <w:p>
            <w:pPr>
              <w:pStyle w:val="105"/>
              <w:jc w:val="center"/>
              <w:rPr>
                <w:sz w:val="18"/>
                <w:szCs w:val="18"/>
              </w:rPr>
            </w:pPr>
            <w:r>
              <w:rPr>
                <w:sz w:val="18"/>
                <w:szCs w:val="18"/>
              </w:rPr>
              <w:t>2类区实测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restart"/>
            <w:vAlign w:val="center"/>
          </w:tcPr>
          <w:p>
            <w:pPr>
              <w:pStyle w:val="105"/>
              <w:jc w:val="center"/>
              <w:rPr>
                <w:sz w:val="18"/>
                <w:szCs w:val="18"/>
              </w:rPr>
            </w:pPr>
            <w:r>
              <w:rPr>
                <w:rFonts w:hint="eastAsia"/>
                <w:sz w:val="18"/>
                <w:szCs w:val="18"/>
              </w:rPr>
              <w:t>3</w:t>
            </w:r>
          </w:p>
        </w:tc>
        <w:tc>
          <w:tcPr>
            <w:tcW w:w="811" w:type="pct"/>
            <w:gridSpan w:val="2"/>
            <w:vMerge w:val="restart"/>
            <w:vAlign w:val="center"/>
          </w:tcPr>
          <w:p>
            <w:pPr>
              <w:pStyle w:val="105"/>
              <w:jc w:val="center"/>
              <w:rPr>
                <w:sz w:val="18"/>
                <w:szCs w:val="18"/>
              </w:rPr>
            </w:pPr>
            <w:r>
              <w:rPr>
                <w:rFonts w:hint="eastAsia"/>
                <w:sz w:val="18"/>
                <w:szCs w:val="18"/>
              </w:rPr>
              <w:t>上张村王房（高铁4b区外，即高铁两侧6</w:t>
            </w:r>
            <w:r>
              <w:rPr>
                <w:sz w:val="18"/>
                <w:szCs w:val="18"/>
              </w:rPr>
              <w:t>5</w:t>
            </w:r>
            <w:r>
              <w:rPr>
                <w:rFonts w:hint="eastAsia"/>
                <w:sz w:val="18"/>
                <w:szCs w:val="18"/>
              </w:rPr>
              <w:t>m）</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sz w:val="18"/>
                <w:szCs w:val="18"/>
              </w:rPr>
              <w:t>59</w:t>
            </w:r>
          </w:p>
        </w:tc>
        <w:tc>
          <w:tcPr>
            <w:tcW w:w="327" w:type="pct"/>
            <w:noWrap/>
            <w:vAlign w:val="center"/>
          </w:tcPr>
          <w:p>
            <w:pPr>
              <w:pStyle w:val="105"/>
              <w:jc w:val="center"/>
              <w:rPr>
                <w:sz w:val="18"/>
                <w:szCs w:val="18"/>
              </w:rPr>
            </w:pPr>
            <w:r>
              <w:rPr>
                <w:sz w:val="18"/>
                <w:szCs w:val="18"/>
              </w:rPr>
              <w:t>45</w:t>
            </w:r>
          </w:p>
        </w:tc>
        <w:tc>
          <w:tcPr>
            <w:tcW w:w="419" w:type="pct"/>
            <w:noWrap/>
            <w:vAlign w:val="center"/>
          </w:tcPr>
          <w:p>
            <w:pPr>
              <w:pStyle w:val="105"/>
              <w:jc w:val="center"/>
              <w:rPr>
                <w:sz w:val="18"/>
                <w:szCs w:val="18"/>
              </w:rPr>
            </w:pPr>
            <w:r>
              <w:rPr>
                <w:sz w:val="18"/>
                <w:szCs w:val="18"/>
              </w:rPr>
              <w:t>59</w:t>
            </w:r>
          </w:p>
        </w:tc>
        <w:tc>
          <w:tcPr>
            <w:tcW w:w="467" w:type="pct"/>
            <w:noWrap/>
            <w:vAlign w:val="center"/>
          </w:tcPr>
          <w:p>
            <w:pPr>
              <w:pStyle w:val="105"/>
              <w:jc w:val="center"/>
              <w:rPr>
                <w:sz w:val="18"/>
                <w:szCs w:val="18"/>
              </w:rPr>
            </w:pPr>
            <w:r>
              <w:rPr>
                <w:sz w:val="18"/>
                <w:szCs w:val="18"/>
              </w:rPr>
              <w:t>45</w:t>
            </w:r>
          </w:p>
        </w:tc>
        <w:tc>
          <w:tcPr>
            <w:tcW w:w="1406" w:type="pct"/>
            <w:vMerge w:val="restart"/>
            <w:vAlign w:val="center"/>
          </w:tcPr>
          <w:p>
            <w:pPr>
              <w:pStyle w:val="105"/>
              <w:jc w:val="center"/>
              <w:rPr>
                <w:sz w:val="18"/>
                <w:szCs w:val="18"/>
              </w:rPr>
            </w:pPr>
            <w:r>
              <w:rPr>
                <w:sz w:val="18"/>
                <w:szCs w:val="18"/>
              </w:rPr>
              <w:t>采用实测值（上张村王房高铁10m处）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Merge w:val="continue"/>
            <w:vAlign w:val="center"/>
          </w:tcPr>
          <w:p>
            <w:pPr>
              <w:pStyle w:val="105"/>
              <w:jc w:val="center"/>
              <w:rPr>
                <w:sz w:val="18"/>
                <w:szCs w:val="18"/>
              </w:rPr>
            </w:pPr>
          </w:p>
        </w:tc>
        <w:tc>
          <w:tcPr>
            <w:tcW w:w="360" w:type="pct"/>
            <w:vAlign w:val="center"/>
          </w:tcPr>
          <w:p>
            <w:pPr>
              <w:pStyle w:val="105"/>
              <w:jc w:val="center"/>
              <w:rPr>
                <w:sz w:val="18"/>
                <w:szCs w:val="18"/>
              </w:rPr>
            </w:pPr>
            <w:r>
              <w:rPr>
                <w:sz w:val="18"/>
                <w:szCs w:val="18"/>
              </w:rPr>
              <w:t>3F</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sz w:val="18"/>
                <w:szCs w:val="18"/>
              </w:rPr>
              <w:t>61</w:t>
            </w:r>
          </w:p>
        </w:tc>
        <w:tc>
          <w:tcPr>
            <w:tcW w:w="327" w:type="pct"/>
            <w:noWrap/>
            <w:vAlign w:val="center"/>
          </w:tcPr>
          <w:p>
            <w:pPr>
              <w:pStyle w:val="105"/>
              <w:jc w:val="center"/>
              <w:rPr>
                <w:sz w:val="18"/>
                <w:szCs w:val="18"/>
              </w:rPr>
            </w:pPr>
            <w:r>
              <w:rPr>
                <w:sz w:val="18"/>
                <w:szCs w:val="18"/>
              </w:rPr>
              <w:t>46</w:t>
            </w:r>
          </w:p>
        </w:tc>
        <w:tc>
          <w:tcPr>
            <w:tcW w:w="419" w:type="pct"/>
            <w:noWrap/>
            <w:vAlign w:val="center"/>
          </w:tcPr>
          <w:p>
            <w:pPr>
              <w:pStyle w:val="105"/>
              <w:jc w:val="center"/>
              <w:rPr>
                <w:sz w:val="18"/>
                <w:szCs w:val="18"/>
              </w:rPr>
            </w:pPr>
            <w:r>
              <w:rPr>
                <w:sz w:val="18"/>
                <w:szCs w:val="18"/>
              </w:rPr>
              <w:t>61</w:t>
            </w:r>
          </w:p>
        </w:tc>
        <w:tc>
          <w:tcPr>
            <w:tcW w:w="467" w:type="pct"/>
            <w:noWrap/>
            <w:vAlign w:val="center"/>
          </w:tcPr>
          <w:p>
            <w:pPr>
              <w:pStyle w:val="105"/>
              <w:jc w:val="center"/>
              <w:rPr>
                <w:sz w:val="18"/>
                <w:szCs w:val="18"/>
              </w:rPr>
            </w:pPr>
            <w:r>
              <w:rPr>
                <w:sz w:val="18"/>
                <w:szCs w:val="18"/>
              </w:rPr>
              <w:t>46</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Merge w:val="restart"/>
            <w:vAlign w:val="center"/>
          </w:tcPr>
          <w:p>
            <w:pPr>
              <w:pStyle w:val="105"/>
              <w:jc w:val="center"/>
              <w:rPr>
                <w:sz w:val="18"/>
                <w:szCs w:val="18"/>
              </w:rPr>
            </w:pPr>
            <w:r>
              <w:rPr>
                <w:rFonts w:hint="eastAsia"/>
                <w:sz w:val="18"/>
                <w:szCs w:val="18"/>
              </w:rPr>
              <w:t>上张村王房（临拟建项目第一排，高铁4b区外）</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rFonts w:hint="eastAsia"/>
                <w:sz w:val="18"/>
                <w:szCs w:val="18"/>
              </w:rPr>
              <w:t>5</w:t>
            </w:r>
            <w:r>
              <w:rPr>
                <w:sz w:val="18"/>
                <w:szCs w:val="18"/>
              </w:rPr>
              <w:t>9</w:t>
            </w:r>
          </w:p>
        </w:tc>
        <w:tc>
          <w:tcPr>
            <w:tcW w:w="327" w:type="pct"/>
            <w:noWrap/>
            <w:vAlign w:val="center"/>
          </w:tcPr>
          <w:p>
            <w:pPr>
              <w:pStyle w:val="105"/>
              <w:jc w:val="center"/>
              <w:rPr>
                <w:sz w:val="18"/>
                <w:szCs w:val="18"/>
              </w:rPr>
            </w:pPr>
            <w:r>
              <w:rPr>
                <w:rFonts w:hint="eastAsia"/>
                <w:sz w:val="18"/>
                <w:szCs w:val="18"/>
              </w:rPr>
              <w:t>4</w:t>
            </w:r>
            <w:r>
              <w:rPr>
                <w:sz w:val="18"/>
                <w:szCs w:val="18"/>
              </w:rPr>
              <w:t>3</w:t>
            </w:r>
          </w:p>
        </w:tc>
        <w:tc>
          <w:tcPr>
            <w:tcW w:w="419" w:type="pct"/>
            <w:noWrap/>
            <w:vAlign w:val="center"/>
          </w:tcPr>
          <w:p>
            <w:pPr>
              <w:pStyle w:val="105"/>
              <w:jc w:val="center"/>
              <w:rPr>
                <w:sz w:val="18"/>
                <w:szCs w:val="18"/>
              </w:rPr>
            </w:pPr>
            <w:r>
              <w:rPr>
                <w:rFonts w:hint="eastAsia"/>
                <w:sz w:val="18"/>
                <w:szCs w:val="18"/>
              </w:rPr>
              <w:t>5</w:t>
            </w:r>
            <w:r>
              <w:rPr>
                <w:sz w:val="18"/>
                <w:szCs w:val="18"/>
              </w:rPr>
              <w:t>9</w:t>
            </w:r>
          </w:p>
        </w:tc>
        <w:tc>
          <w:tcPr>
            <w:tcW w:w="467" w:type="pct"/>
            <w:noWrap/>
            <w:vAlign w:val="center"/>
          </w:tcPr>
          <w:p>
            <w:pPr>
              <w:pStyle w:val="105"/>
              <w:jc w:val="center"/>
              <w:rPr>
                <w:sz w:val="18"/>
                <w:szCs w:val="18"/>
              </w:rPr>
            </w:pPr>
            <w:r>
              <w:rPr>
                <w:rFonts w:hint="eastAsia"/>
                <w:sz w:val="18"/>
                <w:szCs w:val="18"/>
              </w:rPr>
              <w:t>4</w:t>
            </w:r>
            <w:r>
              <w:rPr>
                <w:sz w:val="18"/>
                <w:szCs w:val="18"/>
              </w:rPr>
              <w:t>3</w:t>
            </w:r>
          </w:p>
        </w:tc>
        <w:tc>
          <w:tcPr>
            <w:tcW w:w="1406" w:type="pct"/>
            <w:vMerge w:val="restart"/>
            <w:vAlign w:val="center"/>
          </w:tcPr>
          <w:p>
            <w:pPr>
              <w:pStyle w:val="105"/>
              <w:jc w:val="center"/>
              <w:rPr>
                <w:sz w:val="18"/>
                <w:szCs w:val="18"/>
              </w:rPr>
            </w:pPr>
            <w:r>
              <w:rPr>
                <w:sz w:val="18"/>
                <w:szCs w:val="18"/>
              </w:rPr>
              <w:t>临拟建项目第一排2户距离高铁102m，对于高铁是2类区，对于本项目是4a类，采用实测。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Merge w:val="continue"/>
            <w:vAlign w:val="center"/>
          </w:tcPr>
          <w:p>
            <w:pPr>
              <w:pStyle w:val="105"/>
              <w:jc w:val="center"/>
              <w:rPr>
                <w:sz w:val="18"/>
                <w:szCs w:val="18"/>
              </w:rPr>
            </w:pPr>
          </w:p>
        </w:tc>
        <w:tc>
          <w:tcPr>
            <w:tcW w:w="360" w:type="pct"/>
            <w:vAlign w:val="center"/>
          </w:tcPr>
          <w:p>
            <w:pPr>
              <w:pStyle w:val="105"/>
              <w:jc w:val="center"/>
              <w:rPr>
                <w:sz w:val="18"/>
                <w:szCs w:val="18"/>
              </w:rPr>
            </w:pPr>
            <w:r>
              <w:rPr>
                <w:sz w:val="18"/>
                <w:szCs w:val="18"/>
              </w:rPr>
              <w:t>3F</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rFonts w:hint="eastAsia"/>
                <w:sz w:val="18"/>
                <w:szCs w:val="18"/>
              </w:rPr>
              <w:t>5</w:t>
            </w:r>
            <w:r>
              <w:rPr>
                <w:sz w:val="18"/>
                <w:szCs w:val="18"/>
              </w:rPr>
              <w:t>8</w:t>
            </w:r>
          </w:p>
        </w:tc>
        <w:tc>
          <w:tcPr>
            <w:tcW w:w="327" w:type="pct"/>
            <w:noWrap/>
            <w:vAlign w:val="center"/>
          </w:tcPr>
          <w:p>
            <w:pPr>
              <w:pStyle w:val="105"/>
              <w:jc w:val="center"/>
              <w:rPr>
                <w:sz w:val="18"/>
                <w:szCs w:val="18"/>
              </w:rPr>
            </w:pPr>
            <w:r>
              <w:rPr>
                <w:rFonts w:hint="eastAsia"/>
                <w:sz w:val="18"/>
                <w:szCs w:val="18"/>
              </w:rPr>
              <w:t>4</w:t>
            </w:r>
            <w:r>
              <w:rPr>
                <w:sz w:val="18"/>
                <w:szCs w:val="18"/>
              </w:rPr>
              <w:t>4</w:t>
            </w:r>
          </w:p>
        </w:tc>
        <w:tc>
          <w:tcPr>
            <w:tcW w:w="419" w:type="pct"/>
            <w:noWrap/>
            <w:vAlign w:val="center"/>
          </w:tcPr>
          <w:p>
            <w:pPr>
              <w:pStyle w:val="105"/>
              <w:jc w:val="center"/>
              <w:rPr>
                <w:sz w:val="18"/>
                <w:szCs w:val="18"/>
              </w:rPr>
            </w:pPr>
            <w:r>
              <w:rPr>
                <w:rFonts w:hint="eastAsia"/>
                <w:sz w:val="18"/>
                <w:szCs w:val="18"/>
              </w:rPr>
              <w:t>5</w:t>
            </w:r>
            <w:r>
              <w:rPr>
                <w:sz w:val="18"/>
                <w:szCs w:val="18"/>
              </w:rPr>
              <w:t>8</w:t>
            </w:r>
          </w:p>
        </w:tc>
        <w:tc>
          <w:tcPr>
            <w:tcW w:w="467" w:type="pct"/>
            <w:noWrap/>
            <w:vAlign w:val="center"/>
          </w:tcPr>
          <w:p>
            <w:pPr>
              <w:pStyle w:val="105"/>
              <w:jc w:val="center"/>
              <w:rPr>
                <w:sz w:val="18"/>
                <w:szCs w:val="18"/>
              </w:rPr>
            </w:pPr>
            <w:r>
              <w:rPr>
                <w:rFonts w:hint="eastAsia"/>
                <w:sz w:val="18"/>
                <w:szCs w:val="18"/>
              </w:rPr>
              <w:t>4</w:t>
            </w:r>
            <w:r>
              <w:rPr>
                <w:sz w:val="18"/>
                <w:szCs w:val="18"/>
              </w:rPr>
              <w:t>4</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Merge w:val="restart"/>
            <w:vAlign w:val="center"/>
          </w:tcPr>
          <w:p>
            <w:pPr>
              <w:pStyle w:val="105"/>
              <w:jc w:val="center"/>
              <w:rPr>
                <w:sz w:val="18"/>
                <w:szCs w:val="18"/>
              </w:rPr>
            </w:pPr>
            <w:r>
              <w:rPr>
                <w:rFonts w:hint="eastAsia"/>
                <w:sz w:val="18"/>
                <w:szCs w:val="18"/>
              </w:rPr>
              <w:t>上张村王房（临拟建项目第二排，高铁4b区外）</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rFonts w:hint="eastAsia"/>
                <w:sz w:val="18"/>
                <w:szCs w:val="18"/>
              </w:rPr>
              <w:t>5</w:t>
            </w:r>
            <w:r>
              <w:rPr>
                <w:sz w:val="18"/>
                <w:szCs w:val="18"/>
              </w:rPr>
              <w:t>9</w:t>
            </w:r>
          </w:p>
        </w:tc>
        <w:tc>
          <w:tcPr>
            <w:tcW w:w="327" w:type="pct"/>
            <w:noWrap/>
            <w:vAlign w:val="center"/>
          </w:tcPr>
          <w:p>
            <w:pPr>
              <w:pStyle w:val="105"/>
              <w:jc w:val="center"/>
              <w:rPr>
                <w:sz w:val="18"/>
                <w:szCs w:val="18"/>
              </w:rPr>
            </w:pPr>
            <w:r>
              <w:rPr>
                <w:rFonts w:hint="eastAsia"/>
                <w:sz w:val="18"/>
                <w:szCs w:val="18"/>
              </w:rPr>
              <w:t>4</w:t>
            </w:r>
            <w:r>
              <w:rPr>
                <w:sz w:val="18"/>
                <w:szCs w:val="18"/>
              </w:rPr>
              <w:t>3</w:t>
            </w:r>
          </w:p>
        </w:tc>
        <w:tc>
          <w:tcPr>
            <w:tcW w:w="419" w:type="pct"/>
            <w:noWrap/>
            <w:vAlign w:val="center"/>
          </w:tcPr>
          <w:p>
            <w:pPr>
              <w:pStyle w:val="105"/>
              <w:jc w:val="center"/>
              <w:rPr>
                <w:sz w:val="18"/>
                <w:szCs w:val="18"/>
              </w:rPr>
            </w:pPr>
            <w:r>
              <w:rPr>
                <w:rFonts w:hint="eastAsia"/>
                <w:sz w:val="18"/>
                <w:szCs w:val="18"/>
              </w:rPr>
              <w:t>5</w:t>
            </w:r>
            <w:r>
              <w:rPr>
                <w:sz w:val="18"/>
                <w:szCs w:val="18"/>
              </w:rPr>
              <w:t>9</w:t>
            </w:r>
          </w:p>
        </w:tc>
        <w:tc>
          <w:tcPr>
            <w:tcW w:w="467" w:type="pct"/>
            <w:noWrap/>
            <w:vAlign w:val="center"/>
          </w:tcPr>
          <w:p>
            <w:pPr>
              <w:pStyle w:val="105"/>
              <w:jc w:val="center"/>
              <w:rPr>
                <w:sz w:val="18"/>
                <w:szCs w:val="18"/>
              </w:rPr>
            </w:pPr>
            <w:r>
              <w:rPr>
                <w:rFonts w:hint="eastAsia"/>
                <w:sz w:val="18"/>
                <w:szCs w:val="18"/>
              </w:rPr>
              <w:t>4</w:t>
            </w:r>
            <w:r>
              <w:rPr>
                <w:sz w:val="18"/>
                <w:szCs w:val="18"/>
              </w:rPr>
              <w:t>3</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Merge w:val="continue"/>
            <w:vAlign w:val="center"/>
          </w:tcPr>
          <w:p>
            <w:pPr>
              <w:pStyle w:val="105"/>
              <w:jc w:val="center"/>
              <w:rPr>
                <w:sz w:val="18"/>
                <w:szCs w:val="18"/>
              </w:rPr>
            </w:pPr>
          </w:p>
        </w:tc>
        <w:tc>
          <w:tcPr>
            <w:tcW w:w="360" w:type="pct"/>
            <w:vAlign w:val="center"/>
          </w:tcPr>
          <w:p>
            <w:pPr>
              <w:pStyle w:val="105"/>
              <w:jc w:val="center"/>
              <w:rPr>
                <w:sz w:val="18"/>
                <w:szCs w:val="18"/>
              </w:rPr>
            </w:pPr>
            <w:r>
              <w:rPr>
                <w:sz w:val="18"/>
                <w:szCs w:val="18"/>
              </w:rPr>
              <w:t>3F</w:t>
            </w: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rFonts w:hint="eastAsia"/>
                <w:sz w:val="18"/>
                <w:szCs w:val="18"/>
              </w:rPr>
              <w:t>5</w:t>
            </w:r>
            <w:r>
              <w:rPr>
                <w:sz w:val="18"/>
                <w:szCs w:val="18"/>
              </w:rPr>
              <w:t>8</w:t>
            </w:r>
          </w:p>
        </w:tc>
        <w:tc>
          <w:tcPr>
            <w:tcW w:w="327" w:type="pct"/>
            <w:noWrap/>
            <w:vAlign w:val="center"/>
          </w:tcPr>
          <w:p>
            <w:pPr>
              <w:pStyle w:val="105"/>
              <w:jc w:val="center"/>
              <w:rPr>
                <w:sz w:val="18"/>
                <w:szCs w:val="18"/>
              </w:rPr>
            </w:pPr>
            <w:r>
              <w:rPr>
                <w:rFonts w:hint="eastAsia"/>
                <w:sz w:val="18"/>
                <w:szCs w:val="18"/>
              </w:rPr>
              <w:t>4</w:t>
            </w:r>
            <w:r>
              <w:rPr>
                <w:sz w:val="18"/>
                <w:szCs w:val="18"/>
              </w:rPr>
              <w:t>4</w:t>
            </w:r>
          </w:p>
        </w:tc>
        <w:tc>
          <w:tcPr>
            <w:tcW w:w="419" w:type="pct"/>
            <w:noWrap/>
            <w:vAlign w:val="center"/>
          </w:tcPr>
          <w:p>
            <w:pPr>
              <w:pStyle w:val="105"/>
              <w:jc w:val="center"/>
              <w:rPr>
                <w:sz w:val="18"/>
                <w:szCs w:val="18"/>
              </w:rPr>
            </w:pPr>
            <w:r>
              <w:rPr>
                <w:rFonts w:hint="eastAsia"/>
                <w:sz w:val="18"/>
                <w:szCs w:val="18"/>
              </w:rPr>
              <w:t>5</w:t>
            </w:r>
            <w:r>
              <w:rPr>
                <w:sz w:val="18"/>
                <w:szCs w:val="18"/>
              </w:rPr>
              <w:t>8</w:t>
            </w:r>
          </w:p>
        </w:tc>
        <w:tc>
          <w:tcPr>
            <w:tcW w:w="467" w:type="pct"/>
            <w:noWrap/>
            <w:vAlign w:val="center"/>
          </w:tcPr>
          <w:p>
            <w:pPr>
              <w:pStyle w:val="105"/>
              <w:jc w:val="center"/>
              <w:rPr>
                <w:sz w:val="18"/>
                <w:szCs w:val="18"/>
              </w:rPr>
            </w:pPr>
            <w:r>
              <w:rPr>
                <w:rFonts w:hint="eastAsia"/>
                <w:sz w:val="18"/>
                <w:szCs w:val="18"/>
              </w:rPr>
              <w:t>4</w:t>
            </w:r>
            <w:r>
              <w:rPr>
                <w:sz w:val="18"/>
                <w:szCs w:val="18"/>
              </w:rPr>
              <w:t>4</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restart"/>
            <w:vAlign w:val="center"/>
          </w:tcPr>
          <w:p>
            <w:pPr>
              <w:pStyle w:val="105"/>
              <w:jc w:val="center"/>
              <w:rPr>
                <w:sz w:val="18"/>
                <w:szCs w:val="18"/>
              </w:rPr>
            </w:pPr>
            <w:r>
              <w:rPr>
                <w:rFonts w:hint="eastAsia"/>
                <w:sz w:val="18"/>
                <w:szCs w:val="18"/>
              </w:rPr>
              <w:t>5</w:t>
            </w:r>
          </w:p>
        </w:tc>
        <w:tc>
          <w:tcPr>
            <w:tcW w:w="811" w:type="pct"/>
            <w:gridSpan w:val="2"/>
            <w:vMerge w:val="restart"/>
            <w:vAlign w:val="center"/>
          </w:tcPr>
          <w:p>
            <w:pPr>
              <w:pStyle w:val="105"/>
              <w:jc w:val="center"/>
              <w:rPr>
                <w:sz w:val="18"/>
                <w:szCs w:val="18"/>
              </w:rPr>
            </w:pPr>
            <w:r>
              <w:rPr>
                <w:rFonts w:hint="eastAsia"/>
                <w:sz w:val="18"/>
                <w:szCs w:val="18"/>
              </w:rPr>
              <w:t>联华村后郑（临拟建项目第一排）</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sz w:val="18"/>
                <w:szCs w:val="18"/>
              </w:rPr>
              <w:t>4</w:t>
            </w:r>
            <w:r>
              <w:rPr>
                <w:rFonts w:hint="eastAsia"/>
                <w:sz w:val="18"/>
                <w:szCs w:val="18"/>
              </w:rPr>
              <w:t>a类</w:t>
            </w:r>
          </w:p>
        </w:tc>
        <w:tc>
          <w:tcPr>
            <w:tcW w:w="327" w:type="pct"/>
            <w:noWrap/>
            <w:vAlign w:val="center"/>
          </w:tcPr>
          <w:p>
            <w:pPr>
              <w:pStyle w:val="105"/>
              <w:jc w:val="center"/>
              <w:rPr>
                <w:sz w:val="18"/>
                <w:szCs w:val="18"/>
              </w:rPr>
            </w:pPr>
            <w:r>
              <w:rPr>
                <w:sz w:val="18"/>
                <w:szCs w:val="18"/>
              </w:rPr>
              <w:t>50</w:t>
            </w:r>
          </w:p>
        </w:tc>
        <w:tc>
          <w:tcPr>
            <w:tcW w:w="327" w:type="pct"/>
            <w:noWrap/>
            <w:vAlign w:val="center"/>
          </w:tcPr>
          <w:p>
            <w:pPr>
              <w:pStyle w:val="105"/>
              <w:jc w:val="center"/>
              <w:rPr>
                <w:sz w:val="18"/>
                <w:szCs w:val="18"/>
              </w:rPr>
            </w:pPr>
            <w:r>
              <w:rPr>
                <w:rFonts w:hint="eastAsia"/>
                <w:sz w:val="18"/>
                <w:szCs w:val="18"/>
              </w:rPr>
              <w:t>4</w:t>
            </w:r>
            <w:r>
              <w:rPr>
                <w:sz w:val="18"/>
                <w:szCs w:val="18"/>
              </w:rPr>
              <w:t>6</w:t>
            </w:r>
          </w:p>
        </w:tc>
        <w:tc>
          <w:tcPr>
            <w:tcW w:w="419" w:type="pct"/>
            <w:noWrap/>
            <w:vAlign w:val="center"/>
          </w:tcPr>
          <w:p>
            <w:pPr>
              <w:pStyle w:val="105"/>
              <w:jc w:val="center"/>
              <w:rPr>
                <w:sz w:val="18"/>
                <w:szCs w:val="18"/>
              </w:rPr>
            </w:pPr>
            <w:r>
              <w:rPr>
                <w:sz w:val="18"/>
                <w:szCs w:val="18"/>
              </w:rPr>
              <w:t>50</w:t>
            </w:r>
          </w:p>
        </w:tc>
        <w:tc>
          <w:tcPr>
            <w:tcW w:w="467" w:type="pct"/>
            <w:noWrap/>
            <w:vAlign w:val="center"/>
          </w:tcPr>
          <w:p>
            <w:pPr>
              <w:pStyle w:val="105"/>
              <w:jc w:val="center"/>
              <w:rPr>
                <w:sz w:val="18"/>
                <w:szCs w:val="18"/>
              </w:rPr>
            </w:pPr>
            <w:r>
              <w:rPr>
                <w:rFonts w:hint="eastAsia"/>
                <w:sz w:val="18"/>
                <w:szCs w:val="18"/>
              </w:rPr>
              <w:t>4</w:t>
            </w:r>
            <w:r>
              <w:rPr>
                <w:sz w:val="18"/>
                <w:szCs w:val="18"/>
              </w:rPr>
              <w:t>6</w:t>
            </w:r>
          </w:p>
        </w:tc>
        <w:tc>
          <w:tcPr>
            <w:tcW w:w="1406" w:type="pct"/>
            <w:vMerge w:val="restart"/>
            <w:vAlign w:val="center"/>
          </w:tcPr>
          <w:p>
            <w:pPr>
              <w:pStyle w:val="105"/>
              <w:jc w:val="center"/>
              <w:rPr>
                <w:sz w:val="18"/>
                <w:szCs w:val="18"/>
              </w:rPr>
            </w:pPr>
            <w:r>
              <w:rPr>
                <w:sz w:val="18"/>
                <w:szCs w:val="18"/>
              </w:rPr>
              <w:t>现状无4a类区，背景值取2类区实测值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Merge w:val="continue"/>
            <w:vAlign w:val="center"/>
          </w:tcPr>
          <w:p>
            <w:pPr>
              <w:pStyle w:val="105"/>
              <w:jc w:val="center"/>
              <w:rPr>
                <w:sz w:val="18"/>
                <w:szCs w:val="18"/>
              </w:rPr>
            </w:pPr>
          </w:p>
        </w:tc>
        <w:tc>
          <w:tcPr>
            <w:tcW w:w="360" w:type="pct"/>
            <w:vAlign w:val="center"/>
          </w:tcPr>
          <w:p>
            <w:pPr>
              <w:pStyle w:val="105"/>
              <w:jc w:val="center"/>
              <w:rPr>
                <w:sz w:val="18"/>
                <w:szCs w:val="18"/>
              </w:rPr>
            </w:pPr>
            <w:r>
              <w:rPr>
                <w:sz w:val="18"/>
                <w:szCs w:val="18"/>
              </w:rPr>
              <w:t>3F</w:t>
            </w:r>
          </w:p>
        </w:tc>
        <w:tc>
          <w:tcPr>
            <w:tcW w:w="647" w:type="pct"/>
            <w:vAlign w:val="center"/>
          </w:tcPr>
          <w:p>
            <w:pPr>
              <w:pStyle w:val="105"/>
              <w:jc w:val="center"/>
              <w:rPr>
                <w:sz w:val="18"/>
                <w:szCs w:val="18"/>
              </w:rPr>
            </w:pPr>
            <w:r>
              <w:rPr>
                <w:sz w:val="18"/>
                <w:szCs w:val="18"/>
              </w:rPr>
              <w:t>4</w:t>
            </w:r>
            <w:r>
              <w:rPr>
                <w:rFonts w:hint="eastAsia"/>
                <w:sz w:val="18"/>
                <w:szCs w:val="18"/>
              </w:rPr>
              <w:t>a</w:t>
            </w:r>
            <w:r>
              <w:rPr>
                <w:sz w:val="18"/>
                <w:szCs w:val="18"/>
              </w:rPr>
              <w:t xml:space="preserve"> </w:t>
            </w:r>
            <w:r>
              <w:rPr>
                <w:rFonts w:hint="eastAsia"/>
                <w:sz w:val="18"/>
                <w:szCs w:val="18"/>
              </w:rPr>
              <w:t>类</w:t>
            </w:r>
          </w:p>
        </w:tc>
        <w:tc>
          <w:tcPr>
            <w:tcW w:w="327" w:type="pct"/>
            <w:noWrap/>
            <w:vAlign w:val="center"/>
          </w:tcPr>
          <w:p>
            <w:pPr>
              <w:pStyle w:val="105"/>
              <w:jc w:val="center"/>
              <w:rPr>
                <w:sz w:val="18"/>
                <w:szCs w:val="18"/>
              </w:rPr>
            </w:pPr>
            <w:r>
              <w:rPr>
                <w:rFonts w:hint="eastAsia"/>
                <w:sz w:val="18"/>
                <w:szCs w:val="18"/>
              </w:rPr>
              <w:t>5</w:t>
            </w:r>
            <w:r>
              <w:rPr>
                <w:sz w:val="18"/>
                <w:szCs w:val="18"/>
              </w:rPr>
              <w:t>2</w:t>
            </w:r>
          </w:p>
        </w:tc>
        <w:tc>
          <w:tcPr>
            <w:tcW w:w="327" w:type="pct"/>
            <w:noWrap/>
            <w:vAlign w:val="center"/>
          </w:tcPr>
          <w:p>
            <w:pPr>
              <w:pStyle w:val="105"/>
              <w:jc w:val="center"/>
              <w:rPr>
                <w:sz w:val="18"/>
                <w:szCs w:val="18"/>
              </w:rPr>
            </w:pPr>
            <w:r>
              <w:rPr>
                <w:rFonts w:hint="eastAsia"/>
                <w:sz w:val="18"/>
                <w:szCs w:val="18"/>
              </w:rPr>
              <w:t>4</w:t>
            </w:r>
            <w:r>
              <w:rPr>
                <w:sz w:val="18"/>
                <w:szCs w:val="18"/>
              </w:rPr>
              <w:t>7</w:t>
            </w:r>
          </w:p>
        </w:tc>
        <w:tc>
          <w:tcPr>
            <w:tcW w:w="419" w:type="pct"/>
            <w:noWrap/>
            <w:vAlign w:val="center"/>
          </w:tcPr>
          <w:p>
            <w:pPr>
              <w:pStyle w:val="105"/>
              <w:jc w:val="center"/>
              <w:rPr>
                <w:sz w:val="18"/>
                <w:szCs w:val="18"/>
              </w:rPr>
            </w:pPr>
            <w:r>
              <w:rPr>
                <w:rFonts w:hint="eastAsia"/>
                <w:sz w:val="18"/>
                <w:szCs w:val="18"/>
              </w:rPr>
              <w:t>5</w:t>
            </w:r>
            <w:r>
              <w:rPr>
                <w:sz w:val="18"/>
                <w:szCs w:val="18"/>
              </w:rPr>
              <w:t>2</w:t>
            </w:r>
          </w:p>
        </w:tc>
        <w:tc>
          <w:tcPr>
            <w:tcW w:w="467" w:type="pct"/>
            <w:noWrap/>
            <w:vAlign w:val="center"/>
          </w:tcPr>
          <w:p>
            <w:pPr>
              <w:pStyle w:val="105"/>
              <w:jc w:val="center"/>
              <w:rPr>
                <w:sz w:val="18"/>
                <w:szCs w:val="18"/>
              </w:rPr>
            </w:pPr>
            <w:r>
              <w:rPr>
                <w:rFonts w:hint="eastAsia"/>
                <w:sz w:val="18"/>
                <w:szCs w:val="18"/>
              </w:rPr>
              <w:t>4</w:t>
            </w:r>
            <w:r>
              <w:rPr>
                <w:sz w:val="18"/>
                <w:szCs w:val="18"/>
              </w:rPr>
              <w:t>7</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Align w:val="center"/>
          </w:tcPr>
          <w:p>
            <w:pPr>
              <w:pStyle w:val="105"/>
              <w:jc w:val="center"/>
              <w:rPr>
                <w:sz w:val="18"/>
                <w:szCs w:val="18"/>
              </w:rPr>
            </w:pPr>
            <w:r>
              <w:rPr>
                <w:rFonts w:hint="eastAsia"/>
                <w:sz w:val="18"/>
                <w:szCs w:val="18"/>
              </w:rPr>
              <w:t>联华村后郑后排</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sz w:val="18"/>
                <w:szCs w:val="18"/>
              </w:rPr>
              <w:t>51</w:t>
            </w:r>
          </w:p>
        </w:tc>
        <w:tc>
          <w:tcPr>
            <w:tcW w:w="327" w:type="pct"/>
            <w:noWrap/>
            <w:vAlign w:val="center"/>
          </w:tcPr>
          <w:p>
            <w:pPr>
              <w:pStyle w:val="105"/>
              <w:jc w:val="center"/>
              <w:rPr>
                <w:sz w:val="18"/>
                <w:szCs w:val="18"/>
              </w:rPr>
            </w:pPr>
            <w:r>
              <w:rPr>
                <w:rFonts w:hint="eastAsia"/>
                <w:sz w:val="18"/>
                <w:szCs w:val="18"/>
              </w:rPr>
              <w:t>4</w:t>
            </w:r>
            <w:r>
              <w:rPr>
                <w:sz w:val="18"/>
                <w:szCs w:val="18"/>
              </w:rPr>
              <w:t>6</w:t>
            </w:r>
          </w:p>
        </w:tc>
        <w:tc>
          <w:tcPr>
            <w:tcW w:w="419" w:type="pct"/>
            <w:noWrap/>
            <w:vAlign w:val="center"/>
          </w:tcPr>
          <w:p>
            <w:pPr>
              <w:pStyle w:val="105"/>
              <w:jc w:val="center"/>
              <w:rPr>
                <w:sz w:val="18"/>
                <w:szCs w:val="18"/>
              </w:rPr>
            </w:pPr>
            <w:r>
              <w:rPr>
                <w:sz w:val="18"/>
                <w:szCs w:val="18"/>
              </w:rPr>
              <w:t>51</w:t>
            </w:r>
          </w:p>
        </w:tc>
        <w:tc>
          <w:tcPr>
            <w:tcW w:w="467" w:type="pct"/>
            <w:noWrap/>
            <w:vAlign w:val="center"/>
          </w:tcPr>
          <w:p>
            <w:pPr>
              <w:pStyle w:val="105"/>
              <w:jc w:val="center"/>
              <w:rPr>
                <w:sz w:val="18"/>
                <w:szCs w:val="18"/>
              </w:rPr>
            </w:pPr>
            <w:r>
              <w:rPr>
                <w:rFonts w:hint="eastAsia"/>
                <w:sz w:val="18"/>
                <w:szCs w:val="18"/>
              </w:rPr>
              <w:t>4</w:t>
            </w:r>
            <w:r>
              <w:rPr>
                <w:sz w:val="18"/>
                <w:szCs w:val="18"/>
              </w:rPr>
              <w:t>6</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Align w:val="center"/>
          </w:tcPr>
          <w:p>
            <w:pPr>
              <w:pStyle w:val="105"/>
              <w:jc w:val="center"/>
              <w:rPr>
                <w:sz w:val="18"/>
                <w:szCs w:val="18"/>
              </w:rPr>
            </w:pPr>
            <w:r>
              <w:rPr>
                <w:rFonts w:hint="eastAsia"/>
                <w:sz w:val="18"/>
                <w:szCs w:val="18"/>
              </w:rPr>
              <w:t>6</w:t>
            </w:r>
          </w:p>
        </w:tc>
        <w:tc>
          <w:tcPr>
            <w:tcW w:w="811" w:type="pct"/>
            <w:gridSpan w:val="2"/>
            <w:vAlign w:val="center"/>
          </w:tcPr>
          <w:p>
            <w:pPr>
              <w:pStyle w:val="105"/>
              <w:jc w:val="center"/>
              <w:rPr>
                <w:sz w:val="18"/>
                <w:szCs w:val="18"/>
              </w:rPr>
            </w:pPr>
            <w:r>
              <w:rPr>
                <w:rFonts w:hint="eastAsia"/>
                <w:sz w:val="18"/>
                <w:szCs w:val="18"/>
              </w:rPr>
              <w:t>侨丰村</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rFonts w:hint="eastAsia"/>
                <w:sz w:val="18"/>
                <w:szCs w:val="18"/>
              </w:rPr>
              <w:t>5</w:t>
            </w:r>
            <w:r>
              <w:rPr>
                <w:sz w:val="18"/>
                <w:szCs w:val="18"/>
              </w:rPr>
              <w:t>7</w:t>
            </w:r>
          </w:p>
        </w:tc>
        <w:tc>
          <w:tcPr>
            <w:tcW w:w="327" w:type="pct"/>
            <w:noWrap/>
            <w:vAlign w:val="center"/>
          </w:tcPr>
          <w:p>
            <w:pPr>
              <w:pStyle w:val="105"/>
              <w:jc w:val="center"/>
              <w:rPr>
                <w:sz w:val="18"/>
                <w:szCs w:val="18"/>
              </w:rPr>
            </w:pPr>
            <w:r>
              <w:rPr>
                <w:rFonts w:hint="eastAsia"/>
                <w:sz w:val="18"/>
                <w:szCs w:val="18"/>
              </w:rPr>
              <w:t>4</w:t>
            </w:r>
            <w:r>
              <w:rPr>
                <w:sz w:val="18"/>
                <w:szCs w:val="18"/>
              </w:rPr>
              <w:t>7</w:t>
            </w:r>
          </w:p>
        </w:tc>
        <w:tc>
          <w:tcPr>
            <w:tcW w:w="419" w:type="pct"/>
            <w:noWrap/>
            <w:vAlign w:val="center"/>
          </w:tcPr>
          <w:p>
            <w:pPr>
              <w:pStyle w:val="105"/>
              <w:jc w:val="center"/>
              <w:rPr>
                <w:sz w:val="18"/>
                <w:szCs w:val="18"/>
              </w:rPr>
            </w:pPr>
            <w:r>
              <w:rPr>
                <w:rFonts w:hint="eastAsia"/>
                <w:sz w:val="18"/>
                <w:szCs w:val="18"/>
              </w:rPr>
              <w:t>5</w:t>
            </w:r>
            <w:r>
              <w:rPr>
                <w:sz w:val="18"/>
                <w:szCs w:val="18"/>
              </w:rPr>
              <w:t>7</w:t>
            </w:r>
          </w:p>
        </w:tc>
        <w:tc>
          <w:tcPr>
            <w:tcW w:w="467" w:type="pct"/>
            <w:noWrap/>
            <w:vAlign w:val="center"/>
          </w:tcPr>
          <w:p>
            <w:pPr>
              <w:pStyle w:val="105"/>
              <w:jc w:val="center"/>
              <w:rPr>
                <w:sz w:val="18"/>
                <w:szCs w:val="18"/>
              </w:rPr>
            </w:pPr>
            <w:r>
              <w:rPr>
                <w:rFonts w:hint="eastAsia"/>
                <w:sz w:val="18"/>
                <w:szCs w:val="18"/>
              </w:rPr>
              <w:t>4</w:t>
            </w:r>
            <w:r>
              <w:rPr>
                <w:sz w:val="18"/>
                <w:szCs w:val="18"/>
              </w:rPr>
              <w:t>7</w:t>
            </w:r>
          </w:p>
        </w:tc>
        <w:tc>
          <w:tcPr>
            <w:tcW w:w="1406" w:type="pct"/>
            <w:vAlign w:val="center"/>
          </w:tcPr>
          <w:p>
            <w:pPr>
              <w:pStyle w:val="105"/>
              <w:jc w:val="center"/>
              <w:rPr>
                <w:sz w:val="18"/>
                <w:szCs w:val="18"/>
              </w:rPr>
            </w:pPr>
            <w:r>
              <w:rPr>
                <w:rFonts w:hint="eastAsia"/>
                <w:sz w:val="18"/>
                <w:szCs w:val="18"/>
              </w:rPr>
              <w:t>现状为2类，实测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restart"/>
            <w:vAlign w:val="center"/>
          </w:tcPr>
          <w:p>
            <w:pPr>
              <w:pStyle w:val="105"/>
              <w:jc w:val="center"/>
              <w:rPr>
                <w:sz w:val="18"/>
                <w:szCs w:val="18"/>
              </w:rPr>
            </w:pPr>
            <w:r>
              <w:rPr>
                <w:rFonts w:hint="eastAsia"/>
                <w:sz w:val="18"/>
                <w:szCs w:val="18"/>
              </w:rPr>
              <w:t>7</w:t>
            </w:r>
          </w:p>
        </w:tc>
        <w:tc>
          <w:tcPr>
            <w:tcW w:w="811" w:type="pct"/>
            <w:gridSpan w:val="2"/>
            <w:vAlign w:val="center"/>
          </w:tcPr>
          <w:p>
            <w:pPr>
              <w:pStyle w:val="105"/>
              <w:jc w:val="center"/>
              <w:rPr>
                <w:sz w:val="18"/>
                <w:szCs w:val="18"/>
              </w:rPr>
            </w:pPr>
            <w:r>
              <w:rPr>
                <w:rFonts w:hint="eastAsia"/>
                <w:sz w:val="18"/>
                <w:szCs w:val="18"/>
              </w:rPr>
              <w:t>联华村火烧埔（临高速第一排4</w:t>
            </w:r>
            <w:r>
              <w:rPr>
                <w:sz w:val="18"/>
                <w:szCs w:val="18"/>
              </w:rPr>
              <w:t>a</w:t>
            </w:r>
            <w:r>
              <w:rPr>
                <w:rFonts w:hint="eastAsia"/>
                <w:sz w:val="18"/>
                <w:szCs w:val="18"/>
              </w:rPr>
              <w:t>）</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rFonts w:hint="eastAsia"/>
                <w:sz w:val="18"/>
                <w:szCs w:val="18"/>
              </w:rPr>
              <w:t>5</w:t>
            </w:r>
            <w:r>
              <w:rPr>
                <w:sz w:val="18"/>
                <w:szCs w:val="18"/>
              </w:rPr>
              <w:t>9</w:t>
            </w:r>
          </w:p>
        </w:tc>
        <w:tc>
          <w:tcPr>
            <w:tcW w:w="327" w:type="pct"/>
            <w:noWrap/>
            <w:vAlign w:val="center"/>
          </w:tcPr>
          <w:p>
            <w:pPr>
              <w:pStyle w:val="105"/>
              <w:jc w:val="center"/>
              <w:rPr>
                <w:sz w:val="18"/>
                <w:szCs w:val="18"/>
              </w:rPr>
            </w:pPr>
            <w:r>
              <w:rPr>
                <w:rFonts w:hint="eastAsia"/>
                <w:sz w:val="18"/>
                <w:szCs w:val="18"/>
              </w:rPr>
              <w:t>5</w:t>
            </w:r>
            <w:r>
              <w:rPr>
                <w:sz w:val="18"/>
                <w:szCs w:val="18"/>
              </w:rPr>
              <w:t>4</w:t>
            </w:r>
          </w:p>
        </w:tc>
        <w:tc>
          <w:tcPr>
            <w:tcW w:w="419" w:type="pct"/>
            <w:noWrap/>
            <w:vAlign w:val="center"/>
          </w:tcPr>
          <w:p>
            <w:pPr>
              <w:pStyle w:val="105"/>
              <w:jc w:val="center"/>
              <w:rPr>
                <w:sz w:val="18"/>
                <w:szCs w:val="18"/>
              </w:rPr>
            </w:pPr>
            <w:r>
              <w:rPr>
                <w:rFonts w:hint="eastAsia"/>
                <w:sz w:val="18"/>
                <w:szCs w:val="18"/>
              </w:rPr>
              <w:t>5</w:t>
            </w:r>
            <w:r>
              <w:rPr>
                <w:sz w:val="18"/>
                <w:szCs w:val="18"/>
              </w:rPr>
              <w:t>9</w:t>
            </w:r>
          </w:p>
        </w:tc>
        <w:tc>
          <w:tcPr>
            <w:tcW w:w="467" w:type="pct"/>
            <w:noWrap/>
            <w:vAlign w:val="center"/>
          </w:tcPr>
          <w:p>
            <w:pPr>
              <w:pStyle w:val="105"/>
              <w:jc w:val="center"/>
              <w:rPr>
                <w:sz w:val="18"/>
                <w:szCs w:val="18"/>
              </w:rPr>
            </w:pPr>
            <w:r>
              <w:rPr>
                <w:rFonts w:hint="eastAsia"/>
                <w:sz w:val="18"/>
                <w:szCs w:val="18"/>
              </w:rPr>
              <w:t>5</w:t>
            </w:r>
            <w:r>
              <w:rPr>
                <w:sz w:val="18"/>
                <w:szCs w:val="18"/>
              </w:rPr>
              <w:t>4</w:t>
            </w:r>
          </w:p>
        </w:tc>
        <w:tc>
          <w:tcPr>
            <w:tcW w:w="1406" w:type="pct"/>
            <w:vAlign w:val="center"/>
          </w:tcPr>
          <w:p>
            <w:pPr>
              <w:pStyle w:val="105"/>
              <w:jc w:val="center"/>
              <w:rPr>
                <w:sz w:val="18"/>
                <w:szCs w:val="18"/>
              </w:rPr>
            </w:pPr>
            <w:r>
              <w:rPr>
                <w:rFonts w:hint="eastAsia"/>
                <w:sz w:val="18"/>
                <w:szCs w:val="18"/>
              </w:rPr>
              <w:t>现状为</w:t>
            </w:r>
            <w:r>
              <w:rPr>
                <w:sz w:val="18"/>
                <w:szCs w:val="18"/>
              </w:rPr>
              <w:t>4</w:t>
            </w:r>
            <w:r>
              <w:rPr>
                <w:rFonts w:hint="eastAsia"/>
                <w:sz w:val="18"/>
                <w:szCs w:val="18"/>
              </w:rPr>
              <w:t>a类，实测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Align w:val="center"/>
          </w:tcPr>
          <w:p>
            <w:pPr>
              <w:pStyle w:val="105"/>
              <w:jc w:val="center"/>
              <w:rPr>
                <w:sz w:val="18"/>
                <w:szCs w:val="18"/>
              </w:rPr>
            </w:pPr>
            <w:r>
              <w:rPr>
                <w:rFonts w:hint="eastAsia"/>
                <w:sz w:val="18"/>
                <w:szCs w:val="18"/>
              </w:rPr>
              <w:t>联华村火烧埔</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sz w:val="18"/>
                <w:szCs w:val="18"/>
              </w:rPr>
              <w:t>51</w:t>
            </w:r>
          </w:p>
        </w:tc>
        <w:tc>
          <w:tcPr>
            <w:tcW w:w="327" w:type="pct"/>
            <w:noWrap/>
            <w:vAlign w:val="center"/>
          </w:tcPr>
          <w:p>
            <w:pPr>
              <w:pStyle w:val="105"/>
              <w:jc w:val="center"/>
              <w:rPr>
                <w:sz w:val="18"/>
                <w:szCs w:val="18"/>
              </w:rPr>
            </w:pPr>
            <w:r>
              <w:rPr>
                <w:rFonts w:hint="eastAsia"/>
                <w:sz w:val="18"/>
                <w:szCs w:val="18"/>
              </w:rPr>
              <w:t>4</w:t>
            </w:r>
            <w:r>
              <w:rPr>
                <w:sz w:val="18"/>
                <w:szCs w:val="18"/>
              </w:rPr>
              <w:t>3</w:t>
            </w:r>
          </w:p>
        </w:tc>
        <w:tc>
          <w:tcPr>
            <w:tcW w:w="419" w:type="pct"/>
            <w:noWrap/>
            <w:vAlign w:val="center"/>
          </w:tcPr>
          <w:p>
            <w:pPr>
              <w:pStyle w:val="105"/>
              <w:jc w:val="center"/>
              <w:rPr>
                <w:sz w:val="18"/>
                <w:szCs w:val="18"/>
              </w:rPr>
            </w:pPr>
            <w:r>
              <w:rPr>
                <w:sz w:val="18"/>
                <w:szCs w:val="18"/>
              </w:rPr>
              <w:t>51</w:t>
            </w:r>
          </w:p>
        </w:tc>
        <w:tc>
          <w:tcPr>
            <w:tcW w:w="467" w:type="pct"/>
            <w:noWrap/>
            <w:vAlign w:val="center"/>
          </w:tcPr>
          <w:p>
            <w:pPr>
              <w:pStyle w:val="105"/>
              <w:jc w:val="center"/>
              <w:rPr>
                <w:sz w:val="18"/>
                <w:szCs w:val="18"/>
              </w:rPr>
            </w:pPr>
            <w:r>
              <w:rPr>
                <w:rFonts w:hint="eastAsia"/>
                <w:sz w:val="18"/>
                <w:szCs w:val="18"/>
              </w:rPr>
              <w:t>4</w:t>
            </w:r>
            <w:r>
              <w:rPr>
                <w:sz w:val="18"/>
                <w:szCs w:val="18"/>
              </w:rPr>
              <w:t>3</w:t>
            </w:r>
          </w:p>
        </w:tc>
        <w:tc>
          <w:tcPr>
            <w:tcW w:w="1406" w:type="pct"/>
            <w:vAlign w:val="center"/>
          </w:tcPr>
          <w:p>
            <w:pPr>
              <w:pStyle w:val="105"/>
              <w:jc w:val="center"/>
              <w:rPr>
                <w:sz w:val="18"/>
                <w:szCs w:val="18"/>
              </w:rPr>
            </w:pPr>
            <w:r>
              <w:rPr>
                <w:rFonts w:hint="eastAsia"/>
                <w:sz w:val="18"/>
                <w:szCs w:val="18"/>
              </w:rPr>
              <w:t>现状为2类，实测（后排实测）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restart"/>
            <w:vAlign w:val="center"/>
          </w:tcPr>
          <w:p>
            <w:pPr>
              <w:pStyle w:val="105"/>
              <w:jc w:val="center"/>
              <w:rPr>
                <w:sz w:val="18"/>
                <w:szCs w:val="18"/>
              </w:rPr>
            </w:pPr>
            <w:r>
              <w:rPr>
                <w:rFonts w:hint="eastAsia"/>
                <w:sz w:val="18"/>
                <w:szCs w:val="18"/>
              </w:rPr>
              <w:t>8</w:t>
            </w:r>
          </w:p>
        </w:tc>
        <w:tc>
          <w:tcPr>
            <w:tcW w:w="811" w:type="pct"/>
            <w:gridSpan w:val="2"/>
            <w:vAlign w:val="center"/>
          </w:tcPr>
          <w:p>
            <w:pPr>
              <w:pStyle w:val="105"/>
              <w:jc w:val="center"/>
              <w:rPr>
                <w:sz w:val="18"/>
                <w:szCs w:val="18"/>
              </w:rPr>
            </w:pPr>
            <w:r>
              <w:rPr>
                <w:rFonts w:hint="eastAsia"/>
                <w:sz w:val="18"/>
                <w:szCs w:val="18"/>
              </w:rPr>
              <w:t>联华村田楼（临拟建项目第一排）</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sz w:val="18"/>
                <w:szCs w:val="18"/>
              </w:rPr>
              <w:t>51</w:t>
            </w:r>
          </w:p>
        </w:tc>
        <w:tc>
          <w:tcPr>
            <w:tcW w:w="327" w:type="pct"/>
            <w:noWrap/>
            <w:vAlign w:val="center"/>
          </w:tcPr>
          <w:p>
            <w:pPr>
              <w:pStyle w:val="105"/>
              <w:jc w:val="center"/>
              <w:rPr>
                <w:sz w:val="18"/>
                <w:szCs w:val="18"/>
              </w:rPr>
            </w:pPr>
            <w:r>
              <w:rPr>
                <w:rFonts w:hint="eastAsia"/>
                <w:sz w:val="18"/>
                <w:szCs w:val="18"/>
              </w:rPr>
              <w:t>4</w:t>
            </w:r>
            <w:r>
              <w:rPr>
                <w:sz w:val="18"/>
                <w:szCs w:val="18"/>
              </w:rPr>
              <w:t>3</w:t>
            </w:r>
          </w:p>
        </w:tc>
        <w:tc>
          <w:tcPr>
            <w:tcW w:w="419" w:type="pct"/>
            <w:noWrap/>
            <w:vAlign w:val="center"/>
          </w:tcPr>
          <w:p>
            <w:pPr>
              <w:pStyle w:val="105"/>
              <w:jc w:val="center"/>
              <w:rPr>
                <w:sz w:val="18"/>
                <w:szCs w:val="18"/>
              </w:rPr>
            </w:pPr>
            <w:r>
              <w:rPr>
                <w:sz w:val="18"/>
                <w:szCs w:val="18"/>
              </w:rPr>
              <w:t>51</w:t>
            </w:r>
          </w:p>
        </w:tc>
        <w:tc>
          <w:tcPr>
            <w:tcW w:w="467" w:type="pct"/>
            <w:noWrap/>
            <w:vAlign w:val="center"/>
          </w:tcPr>
          <w:p>
            <w:pPr>
              <w:pStyle w:val="105"/>
              <w:jc w:val="center"/>
              <w:rPr>
                <w:sz w:val="18"/>
                <w:szCs w:val="18"/>
              </w:rPr>
            </w:pPr>
            <w:r>
              <w:rPr>
                <w:rFonts w:hint="eastAsia"/>
                <w:sz w:val="18"/>
                <w:szCs w:val="18"/>
              </w:rPr>
              <w:t>4</w:t>
            </w:r>
            <w:r>
              <w:rPr>
                <w:sz w:val="18"/>
                <w:szCs w:val="18"/>
              </w:rPr>
              <w:t>3</w:t>
            </w:r>
          </w:p>
        </w:tc>
        <w:tc>
          <w:tcPr>
            <w:tcW w:w="1406" w:type="pct"/>
            <w:vMerge w:val="restart"/>
            <w:vAlign w:val="center"/>
          </w:tcPr>
          <w:p>
            <w:pPr>
              <w:pStyle w:val="105"/>
              <w:jc w:val="center"/>
              <w:rPr>
                <w:sz w:val="18"/>
                <w:szCs w:val="18"/>
              </w:rPr>
            </w:pPr>
            <w:r>
              <w:rPr>
                <w:rFonts w:hint="eastAsia"/>
                <w:sz w:val="18"/>
                <w:szCs w:val="18"/>
              </w:rPr>
              <w:t>与火烧埔相邻，参照火烧埔后排实测值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Align w:val="center"/>
          </w:tcPr>
          <w:p>
            <w:pPr>
              <w:pStyle w:val="105"/>
              <w:jc w:val="center"/>
              <w:rPr>
                <w:sz w:val="18"/>
                <w:szCs w:val="18"/>
              </w:rPr>
            </w:pPr>
            <w:r>
              <w:rPr>
                <w:rFonts w:hint="eastAsia"/>
                <w:sz w:val="18"/>
                <w:szCs w:val="18"/>
              </w:rPr>
              <w:t>联华村田楼后排</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sz w:val="18"/>
                <w:szCs w:val="18"/>
              </w:rPr>
              <w:t>51</w:t>
            </w:r>
          </w:p>
        </w:tc>
        <w:tc>
          <w:tcPr>
            <w:tcW w:w="327" w:type="pct"/>
            <w:noWrap/>
            <w:vAlign w:val="center"/>
          </w:tcPr>
          <w:p>
            <w:pPr>
              <w:pStyle w:val="105"/>
              <w:jc w:val="center"/>
              <w:rPr>
                <w:sz w:val="18"/>
                <w:szCs w:val="18"/>
              </w:rPr>
            </w:pPr>
            <w:r>
              <w:rPr>
                <w:rFonts w:hint="eastAsia"/>
                <w:sz w:val="18"/>
                <w:szCs w:val="18"/>
              </w:rPr>
              <w:t>4</w:t>
            </w:r>
            <w:r>
              <w:rPr>
                <w:sz w:val="18"/>
                <w:szCs w:val="18"/>
              </w:rPr>
              <w:t>3</w:t>
            </w:r>
          </w:p>
        </w:tc>
        <w:tc>
          <w:tcPr>
            <w:tcW w:w="419" w:type="pct"/>
            <w:noWrap/>
            <w:vAlign w:val="center"/>
          </w:tcPr>
          <w:p>
            <w:pPr>
              <w:pStyle w:val="105"/>
              <w:jc w:val="center"/>
              <w:rPr>
                <w:sz w:val="18"/>
                <w:szCs w:val="18"/>
              </w:rPr>
            </w:pPr>
            <w:r>
              <w:rPr>
                <w:sz w:val="18"/>
                <w:szCs w:val="18"/>
              </w:rPr>
              <w:t>51</w:t>
            </w:r>
          </w:p>
        </w:tc>
        <w:tc>
          <w:tcPr>
            <w:tcW w:w="467" w:type="pct"/>
            <w:noWrap/>
            <w:vAlign w:val="center"/>
          </w:tcPr>
          <w:p>
            <w:pPr>
              <w:pStyle w:val="105"/>
              <w:jc w:val="center"/>
              <w:rPr>
                <w:sz w:val="18"/>
                <w:szCs w:val="18"/>
              </w:rPr>
            </w:pPr>
            <w:r>
              <w:rPr>
                <w:rFonts w:hint="eastAsia"/>
                <w:sz w:val="18"/>
                <w:szCs w:val="18"/>
              </w:rPr>
              <w:t>4</w:t>
            </w:r>
            <w:r>
              <w:rPr>
                <w:sz w:val="18"/>
                <w:szCs w:val="18"/>
              </w:rPr>
              <w:t>3</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restart"/>
            <w:vAlign w:val="center"/>
          </w:tcPr>
          <w:p>
            <w:pPr>
              <w:pStyle w:val="105"/>
              <w:jc w:val="center"/>
              <w:rPr>
                <w:sz w:val="18"/>
                <w:szCs w:val="18"/>
              </w:rPr>
            </w:pPr>
            <w:r>
              <w:rPr>
                <w:rFonts w:hint="eastAsia"/>
                <w:sz w:val="18"/>
                <w:szCs w:val="18"/>
              </w:rPr>
              <w:t>9</w:t>
            </w:r>
          </w:p>
        </w:tc>
        <w:tc>
          <w:tcPr>
            <w:tcW w:w="811" w:type="pct"/>
            <w:gridSpan w:val="2"/>
            <w:vMerge w:val="restart"/>
            <w:vAlign w:val="center"/>
          </w:tcPr>
          <w:p>
            <w:pPr>
              <w:pStyle w:val="105"/>
              <w:jc w:val="center"/>
              <w:rPr>
                <w:sz w:val="18"/>
                <w:szCs w:val="18"/>
              </w:rPr>
            </w:pPr>
            <w:r>
              <w:rPr>
                <w:rFonts w:hint="eastAsia"/>
                <w:sz w:val="18"/>
                <w:szCs w:val="18"/>
              </w:rPr>
              <w:t>联华村西山（临拟建项目第一排）</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rFonts w:hint="eastAsia"/>
                <w:sz w:val="18"/>
                <w:szCs w:val="18"/>
              </w:rPr>
              <w:t>5</w:t>
            </w:r>
            <w:r>
              <w:rPr>
                <w:sz w:val="18"/>
                <w:szCs w:val="18"/>
              </w:rPr>
              <w:t>5</w:t>
            </w:r>
          </w:p>
        </w:tc>
        <w:tc>
          <w:tcPr>
            <w:tcW w:w="327" w:type="pct"/>
            <w:noWrap/>
            <w:vAlign w:val="center"/>
          </w:tcPr>
          <w:p>
            <w:pPr>
              <w:pStyle w:val="105"/>
              <w:jc w:val="center"/>
              <w:rPr>
                <w:sz w:val="18"/>
                <w:szCs w:val="18"/>
              </w:rPr>
            </w:pPr>
            <w:r>
              <w:rPr>
                <w:rFonts w:hint="eastAsia"/>
                <w:sz w:val="18"/>
                <w:szCs w:val="18"/>
              </w:rPr>
              <w:t>4</w:t>
            </w:r>
            <w:r>
              <w:rPr>
                <w:sz w:val="18"/>
                <w:szCs w:val="18"/>
              </w:rPr>
              <w:t>8</w:t>
            </w:r>
          </w:p>
        </w:tc>
        <w:tc>
          <w:tcPr>
            <w:tcW w:w="419" w:type="pct"/>
            <w:noWrap/>
            <w:vAlign w:val="center"/>
          </w:tcPr>
          <w:p>
            <w:pPr>
              <w:pStyle w:val="105"/>
              <w:jc w:val="center"/>
              <w:rPr>
                <w:sz w:val="18"/>
                <w:szCs w:val="18"/>
              </w:rPr>
            </w:pPr>
            <w:r>
              <w:rPr>
                <w:rFonts w:hint="eastAsia"/>
                <w:sz w:val="18"/>
                <w:szCs w:val="18"/>
              </w:rPr>
              <w:t>5</w:t>
            </w:r>
            <w:r>
              <w:rPr>
                <w:sz w:val="18"/>
                <w:szCs w:val="18"/>
              </w:rPr>
              <w:t>5</w:t>
            </w:r>
          </w:p>
        </w:tc>
        <w:tc>
          <w:tcPr>
            <w:tcW w:w="467" w:type="pct"/>
            <w:noWrap/>
            <w:vAlign w:val="center"/>
          </w:tcPr>
          <w:p>
            <w:pPr>
              <w:pStyle w:val="105"/>
              <w:jc w:val="center"/>
              <w:rPr>
                <w:sz w:val="18"/>
                <w:szCs w:val="18"/>
              </w:rPr>
            </w:pPr>
            <w:r>
              <w:rPr>
                <w:rFonts w:hint="eastAsia"/>
                <w:sz w:val="18"/>
                <w:szCs w:val="18"/>
              </w:rPr>
              <w:t>4</w:t>
            </w:r>
            <w:r>
              <w:rPr>
                <w:sz w:val="18"/>
                <w:szCs w:val="18"/>
              </w:rPr>
              <w:t>8</w:t>
            </w:r>
          </w:p>
        </w:tc>
        <w:tc>
          <w:tcPr>
            <w:tcW w:w="1406" w:type="pct"/>
            <w:vMerge w:val="restart"/>
            <w:vAlign w:val="center"/>
          </w:tcPr>
          <w:p>
            <w:pPr>
              <w:pStyle w:val="105"/>
              <w:jc w:val="center"/>
              <w:rPr>
                <w:sz w:val="18"/>
                <w:szCs w:val="18"/>
              </w:rPr>
            </w:pPr>
            <w:r>
              <w:rPr>
                <w:rFonts w:hint="eastAsia"/>
                <w:sz w:val="18"/>
                <w:szCs w:val="18"/>
              </w:rPr>
              <w:t>现状无4a类区，背景值取2类区实测值，考虑到后排2类区部分建筑临枝钟路，保守采用临枝钟路一排实测数据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Merge w:val="continue"/>
            <w:vAlign w:val="center"/>
          </w:tcPr>
          <w:p>
            <w:pPr>
              <w:pStyle w:val="105"/>
              <w:jc w:val="center"/>
              <w:rPr>
                <w:sz w:val="18"/>
                <w:szCs w:val="18"/>
              </w:rPr>
            </w:pPr>
          </w:p>
        </w:tc>
        <w:tc>
          <w:tcPr>
            <w:tcW w:w="360" w:type="pct"/>
            <w:vAlign w:val="center"/>
          </w:tcPr>
          <w:p>
            <w:pPr>
              <w:pStyle w:val="105"/>
              <w:jc w:val="center"/>
              <w:rPr>
                <w:sz w:val="18"/>
                <w:szCs w:val="18"/>
              </w:rPr>
            </w:pPr>
            <w:r>
              <w:rPr>
                <w:sz w:val="18"/>
                <w:szCs w:val="18"/>
              </w:rPr>
              <w:t>3F</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rFonts w:hint="eastAsia"/>
                <w:sz w:val="18"/>
                <w:szCs w:val="18"/>
              </w:rPr>
              <w:t>5</w:t>
            </w:r>
            <w:r>
              <w:rPr>
                <w:sz w:val="18"/>
                <w:szCs w:val="18"/>
              </w:rPr>
              <w:t>3</w:t>
            </w:r>
          </w:p>
        </w:tc>
        <w:tc>
          <w:tcPr>
            <w:tcW w:w="327" w:type="pct"/>
            <w:noWrap/>
            <w:vAlign w:val="center"/>
          </w:tcPr>
          <w:p>
            <w:pPr>
              <w:pStyle w:val="105"/>
              <w:jc w:val="center"/>
              <w:rPr>
                <w:sz w:val="18"/>
                <w:szCs w:val="18"/>
              </w:rPr>
            </w:pPr>
            <w:r>
              <w:rPr>
                <w:sz w:val="18"/>
                <w:szCs w:val="18"/>
              </w:rPr>
              <w:t>46</w:t>
            </w:r>
          </w:p>
        </w:tc>
        <w:tc>
          <w:tcPr>
            <w:tcW w:w="419" w:type="pct"/>
            <w:noWrap/>
            <w:vAlign w:val="center"/>
          </w:tcPr>
          <w:p>
            <w:pPr>
              <w:pStyle w:val="105"/>
              <w:jc w:val="center"/>
              <w:rPr>
                <w:sz w:val="18"/>
                <w:szCs w:val="18"/>
              </w:rPr>
            </w:pPr>
            <w:r>
              <w:rPr>
                <w:rFonts w:hint="eastAsia"/>
                <w:sz w:val="18"/>
                <w:szCs w:val="18"/>
              </w:rPr>
              <w:t>5</w:t>
            </w:r>
            <w:r>
              <w:rPr>
                <w:sz w:val="18"/>
                <w:szCs w:val="18"/>
              </w:rPr>
              <w:t>3</w:t>
            </w:r>
          </w:p>
        </w:tc>
        <w:tc>
          <w:tcPr>
            <w:tcW w:w="467" w:type="pct"/>
            <w:noWrap/>
            <w:vAlign w:val="center"/>
          </w:tcPr>
          <w:p>
            <w:pPr>
              <w:pStyle w:val="105"/>
              <w:jc w:val="center"/>
              <w:rPr>
                <w:sz w:val="18"/>
                <w:szCs w:val="18"/>
              </w:rPr>
            </w:pPr>
            <w:r>
              <w:rPr>
                <w:sz w:val="18"/>
                <w:szCs w:val="18"/>
              </w:rPr>
              <w:t>46</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811" w:type="pct"/>
            <w:gridSpan w:val="2"/>
            <w:vAlign w:val="center"/>
          </w:tcPr>
          <w:p>
            <w:pPr>
              <w:pStyle w:val="105"/>
              <w:jc w:val="center"/>
              <w:rPr>
                <w:sz w:val="18"/>
                <w:szCs w:val="18"/>
              </w:rPr>
            </w:pPr>
            <w:r>
              <w:rPr>
                <w:rFonts w:hint="eastAsia"/>
                <w:sz w:val="18"/>
                <w:szCs w:val="18"/>
              </w:rPr>
              <w:t>联华村西山</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rFonts w:hint="eastAsia"/>
                <w:sz w:val="18"/>
                <w:szCs w:val="18"/>
              </w:rPr>
              <w:t>5</w:t>
            </w:r>
            <w:r>
              <w:rPr>
                <w:sz w:val="18"/>
                <w:szCs w:val="18"/>
              </w:rPr>
              <w:t>5</w:t>
            </w:r>
          </w:p>
        </w:tc>
        <w:tc>
          <w:tcPr>
            <w:tcW w:w="327" w:type="pct"/>
            <w:noWrap/>
            <w:vAlign w:val="center"/>
          </w:tcPr>
          <w:p>
            <w:pPr>
              <w:pStyle w:val="105"/>
              <w:jc w:val="center"/>
              <w:rPr>
                <w:sz w:val="18"/>
                <w:szCs w:val="18"/>
              </w:rPr>
            </w:pPr>
            <w:r>
              <w:rPr>
                <w:rFonts w:hint="eastAsia"/>
                <w:sz w:val="18"/>
                <w:szCs w:val="18"/>
              </w:rPr>
              <w:t>4</w:t>
            </w:r>
            <w:r>
              <w:rPr>
                <w:sz w:val="18"/>
                <w:szCs w:val="18"/>
              </w:rPr>
              <w:t>8</w:t>
            </w:r>
          </w:p>
        </w:tc>
        <w:tc>
          <w:tcPr>
            <w:tcW w:w="419" w:type="pct"/>
            <w:noWrap/>
            <w:vAlign w:val="center"/>
          </w:tcPr>
          <w:p>
            <w:pPr>
              <w:pStyle w:val="105"/>
              <w:jc w:val="center"/>
              <w:rPr>
                <w:sz w:val="18"/>
                <w:szCs w:val="18"/>
              </w:rPr>
            </w:pPr>
            <w:r>
              <w:rPr>
                <w:rFonts w:hint="eastAsia"/>
                <w:sz w:val="18"/>
                <w:szCs w:val="18"/>
              </w:rPr>
              <w:t>5</w:t>
            </w:r>
            <w:r>
              <w:rPr>
                <w:sz w:val="18"/>
                <w:szCs w:val="18"/>
              </w:rPr>
              <w:t>5</w:t>
            </w:r>
          </w:p>
        </w:tc>
        <w:tc>
          <w:tcPr>
            <w:tcW w:w="467" w:type="pct"/>
            <w:noWrap/>
            <w:vAlign w:val="center"/>
          </w:tcPr>
          <w:p>
            <w:pPr>
              <w:pStyle w:val="105"/>
              <w:jc w:val="center"/>
              <w:rPr>
                <w:sz w:val="18"/>
                <w:szCs w:val="18"/>
              </w:rPr>
            </w:pPr>
            <w:r>
              <w:rPr>
                <w:rFonts w:hint="eastAsia"/>
                <w:sz w:val="18"/>
                <w:szCs w:val="18"/>
              </w:rPr>
              <w:t>4</w:t>
            </w:r>
            <w:r>
              <w:rPr>
                <w:sz w:val="18"/>
                <w:szCs w:val="18"/>
              </w:rPr>
              <w:t>8</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Align w:val="center"/>
          </w:tcPr>
          <w:p>
            <w:pPr>
              <w:pStyle w:val="105"/>
              <w:jc w:val="center"/>
              <w:rPr>
                <w:sz w:val="18"/>
                <w:szCs w:val="18"/>
              </w:rPr>
            </w:pPr>
            <w:r>
              <w:rPr>
                <w:rFonts w:hint="eastAsia"/>
                <w:sz w:val="18"/>
                <w:szCs w:val="18"/>
              </w:rPr>
              <w:t>1</w:t>
            </w:r>
            <w:r>
              <w:rPr>
                <w:sz w:val="18"/>
                <w:szCs w:val="18"/>
              </w:rPr>
              <w:t>0</w:t>
            </w:r>
          </w:p>
        </w:tc>
        <w:tc>
          <w:tcPr>
            <w:tcW w:w="1171" w:type="pct"/>
            <w:gridSpan w:val="3"/>
            <w:vAlign w:val="center"/>
          </w:tcPr>
          <w:p>
            <w:pPr>
              <w:pStyle w:val="105"/>
              <w:jc w:val="center"/>
              <w:rPr>
                <w:sz w:val="18"/>
                <w:szCs w:val="18"/>
              </w:rPr>
            </w:pPr>
            <w:r>
              <w:rPr>
                <w:rFonts w:hint="eastAsia"/>
                <w:sz w:val="18"/>
                <w:szCs w:val="18"/>
              </w:rPr>
              <w:t>联华村（朱里）</w:t>
            </w: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rFonts w:hint="eastAsia"/>
                <w:sz w:val="18"/>
                <w:szCs w:val="18"/>
              </w:rPr>
              <w:t>5</w:t>
            </w:r>
            <w:r>
              <w:rPr>
                <w:sz w:val="18"/>
                <w:szCs w:val="18"/>
              </w:rPr>
              <w:t>5</w:t>
            </w:r>
          </w:p>
        </w:tc>
        <w:tc>
          <w:tcPr>
            <w:tcW w:w="327" w:type="pct"/>
            <w:noWrap/>
            <w:vAlign w:val="center"/>
          </w:tcPr>
          <w:p>
            <w:pPr>
              <w:pStyle w:val="105"/>
              <w:jc w:val="center"/>
              <w:rPr>
                <w:sz w:val="18"/>
                <w:szCs w:val="18"/>
              </w:rPr>
            </w:pPr>
            <w:r>
              <w:rPr>
                <w:rFonts w:hint="eastAsia"/>
                <w:sz w:val="18"/>
                <w:szCs w:val="18"/>
              </w:rPr>
              <w:t>4</w:t>
            </w:r>
            <w:r>
              <w:rPr>
                <w:sz w:val="18"/>
                <w:szCs w:val="18"/>
              </w:rPr>
              <w:t>8</w:t>
            </w:r>
          </w:p>
        </w:tc>
        <w:tc>
          <w:tcPr>
            <w:tcW w:w="419" w:type="pct"/>
            <w:noWrap/>
            <w:vAlign w:val="center"/>
          </w:tcPr>
          <w:p>
            <w:pPr>
              <w:pStyle w:val="105"/>
              <w:jc w:val="center"/>
              <w:rPr>
                <w:sz w:val="18"/>
                <w:szCs w:val="18"/>
              </w:rPr>
            </w:pPr>
            <w:r>
              <w:rPr>
                <w:rFonts w:hint="eastAsia"/>
                <w:sz w:val="18"/>
                <w:szCs w:val="18"/>
              </w:rPr>
              <w:t>5</w:t>
            </w:r>
            <w:r>
              <w:rPr>
                <w:sz w:val="18"/>
                <w:szCs w:val="18"/>
              </w:rPr>
              <w:t>5</w:t>
            </w:r>
          </w:p>
        </w:tc>
        <w:tc>
          <w:tcPr>
            <w:tcW w:w="467" w:type="pct"/>
            <w:noWrap/>
            <w:vAlign w:val="center"/>
          </w:tcPr>
          <w:p>
            <w:pPr>
              <w:pStyle w:val="105"/>
              <w:jc w:val="center"/>
              <w:rPr>
                <w:sz w:val="18"/>
                <w:szCs w:val="18"/>
              </w:rPr>
            </w:pPr>
            <w:r>
              <w:rPr>
                <w:rFonts w:hint="eastAsia"/>
                <w:sz w:val="18"/>
                <w:szCs w:val="18"/>
              </w:rPr>
              <w:t>4</w:t>
            </w:r>
            <w:r>
              <w:rPr>
                <w:sz w:val="18"/>
                <w:szCs w:val="18"/>
              </w:rPr>
              <w:t>8</w:t>
            </w:r>
          </w:p>
        </w:tc>
        <w:tc>
          <w:tcPr>
            <w:tcW w:w="1406" w:type="pct"/>
            <w:vAlign w:val="center"/>
          </w:tcPr>
          <w:p>
            <w:pPr>
              <w:pStyle w:val="105"/>
              <w:jc w:val="center"/>
              <w:rPr>
                <w:sz w:val="18"/>
                <w:szCs w:val="18"/>
              </w:rPr>
            </w:pPr>
            <w:r>
              <w:rPr>
                <w:rFonts w:hint="eastAsia"/>
                <w:sz w:val="18"/>
                <w:szCs w:val="18"/>
              </w:rPr>
              <w:t>与西山相邻，参照西山实测值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restart"/>
            <w:vAlign w:val="center"/>
          </w:tcPr>
          <w:p>
            <w:pPr>
              <w:pStyle w:val="105"/>
              <w:jc w:val="center"/>
              <w:rPr>
                <w:sz w:val="18"/>
                <w:szCs w:val="18"/>
              </w:rPr>
            </w:pPr>
            <w:r>
              <w:rPr>
                <w:rFonts w:hint="eastAsia"/>
                <w:sz w:val="18"/>
                <w:szCs w:val="18"/>
              </w:rPr>
              <w:t>1</w:t>
            </w:r>
            <w:r>
              <w:rPr>
                <w:sz w:val="18"/>
                <w:szCs w:val="18"/>
              </w:rPr>
              <w:t>1</w:t>
            </w:r>
          </w:p>
        </w:tc>
        <w:tc>
          <w:tcPr>
            <w:tcW w:w="1171" w:type="pct"/>
            <w:gridSpan w:val="3"/>
            <w:vMerge w:val="restart"/>
            <w:vAlign w:val="center"/>
          </w:tcPr>
          <w:p>
            <w:pPr>
              <w:pStyle w:val="105"/>
              <w:jc w:val="center"/>
              <w:rPr>
                <w:sz w:val="18"/>
                <w:szCs w:val="18"/>
              </w:rPr>
            </w:pPr>
            <w:r>
              <w:rPr>
                <w:rFonts w:hint="eastAsia"/>
                <w:sz w:val="18"/>
                <w:szCs w:val="18"/>
              </w:rPr>
              <w:t>联华村（木厝洋）</w:t>
            </w:r>
          </w:p>
        </w:tc>
        <w:tc>
          <w:tcPr>
            <w:tcW w:w="647" w:type="pct"/>
            <w:vAlign w:val="center"/>
          </w:tcPr>
          <w:p>
            <w:pPr>
              <w:pStyle w:val="105"/>
              <w:jc w:val="center"/>
              <w:rPr>
                <w:sz w:val="18"/>
                <w:szCs w:val="18"/>
              </w:rPr>
            </w:pPr>
            <w:r>
              <w:rPr>
                <w:rFonts w:hint="eastAsia"/>
                <w:sz w:val="18"/>
                <w:szCs w:val="18"/>
              </w:rPr>
              <w:t>4a类</w:t>
            </w:r>
          </w:p>
        </w:tc>
        <w:tc>
          <w:tcPr>
            <w:tcW w:w="327" w:type="pct"/>
            <w:noWrap/>
            <w:vAlign w:val="center"/>
          </w:tcPr>
          <w:p>
            <w:pPr>
              <w:pStyle w:val="105"/>
              <w:jc w:val="center"/>
              <w:rPr>
                <w:sz w:val="18"/>
                <w:szCs w:val="18"/>
              </w:rPr>
            </w:pPr>
            <w:r>
              <w:rPr>
                <w:rFonts w:hint="eastAsia"/>
                <w:sz w:val="18"/>
                <w:szCs w:val="18"/>
              </w:rPr>
              <w:t>5</w:t>
            </w:r>
            <w:r>
              <w:rPr>
                <w:sz w:val="18"/>
                <w:szCs w:val="18"/>
              </w:rPr>
              <w:t>5</w:t>
            </w:r>
          </w:p>
        </w:tc>
        <w:tc>
          <w:tcPr>
            <w:tcW w:w="327" w:type="pct"/>
            <w:noWrap/>
            <w:vAlign w:val="center"/>
          </w:tcPr>
          <w:p>
            <w:pPr>
              <w:pStyle w:val="105"/>
              <w:jc w:val="center"/>
              <w:rPr>
                <w:sz w:val="18"/>
                <w:szCs w:val="18"/>
              </w:rPr>
            </w:pPr>
            <w:r>
              <w:rPr>
                <w:rFonts w:hint="eastAsia"/>
                <w:sz w:val="18"/>
                <w:szCs w:val="18"/>
              </w:rPr>
              <w:t>4</w:t>
            </w:r>
            <w:r>
              <w:rPr>
                <w:sz w:val="18"/>
                <w:szCs w:val="18"/>
              </w:rPr>
              <w:t>3</w:t>
            </w:r>
          </w:p>
        </w:tc>
        <w:tc>
          <w:tcPr>
            <w:tcW w:w="419" w:type="pct"/>
            <w:noWrap/>
            <w:vAlign w:val="center"/>
          </w:tcPr>
          <w:p>
            <w:pPr>
              <w:pStyle w:val="105"/>
              <w:jc w:val="center"/>
              <w:rPr>
                <w:sz w:val="18"/>
                <w:szCs w:val="18"/>
              </w:rPr>
            </w:pPr>
            <w:r>
              <w:rPr>
                <w:rFonts w:hint="eastAsia"/>
                <w:sz w:val="18"/>
                <w:szCs w:val="18"/>
              </w:rPr>
              <w:t>5</w:t>
            </w:r>
            <w:r>
              <w:rPr>
                <w:sz w:val="18"/>
                <w:szCs w:val="18"/>
              </w:rPr>
              <w:t>5</w:t>
            </w:r>
          </w:p>
        </w:tc>
        <w:tc>
          <w:tcPr>
            <w:tcW w:w="467" w:type="pct"/>
            <w:noWrap/>
            <w:vAlign w:val="center"/>
          </w:tcPr>
          <w:p>
            <w:pPr>
              <w:pStyle w:val="105"/>
              <w:jc w:val="center"/>
              <w:rPr>
                <w:sz w:val="18"/>
                <w:szCs w:val="18"/>
              </w:rPr>
            </w:pPr>
            <w:r>
              <w:rPr>
                <w:rFonts w:hint="eastAsia"/>
                <w:sz w:val="18"/>
                <w:szCs w:val="18"/>
              </w:rPr>
              <w:t>4</w:t>
            </w:r>
            <w:r>
              <w:rPr>
                <w:sz w:val="18"/>
                <w:szCs w:val="18"/>
              </w:rPr>
              <w:t>3</w:t>
            </w:r>
          </w:p>
        </w:tc>
        <w:tc>
          <w:tcPr>
            <w:tcW w:w="1406" w:type="pct"/>
            <w:vMerge w:val="restart"/>
            <w:vAlign w:val="center"/>
          </w:tcPr>
          <w:p>
            <w:pPr>
              <w:pStyle w:val="105"/>
              <w:jc w:val="center"/>
              <w:rPr>
                <w:sz w:val="18"/>
                <w:szCs w:val="18"/>
              </w:rPr>
            </w:pPr>
            <w:r>
              <w:rPr>
                <w:sz w:val="18"/>
                <w:szCs w:val="18"/>
              </w:rPr>
              <w:t>现状无4a类区，背景值取2类区实测值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Merge w:val="continue"/>
            <w:vAlign w:val="center"/>
          </w:tcPr>
          <w:p>
            <w:pPr>
              <w:pStyle w:val="105"/>
              <w:jc w:val="center"/>
              <w:rPr>
                <w:sz w:val="18"/>
                <w:szCs w:val="18"/>
              </w:rPr>
            </w:pPr>
          </w:p>
        </w:tc>
        <w:tc>
          <w:tcPr>
            <w:tcW w:w="1171" w:type="pct"/>
            <w:gridSpan w:val="3"/>
            <w:vMerge w:val="continue"/>
            <w:vAlign w:val="center"/>
          </w:tcPr>
          <w:p>
            <w:pPr>
              <w:pStyle w:val="105"/>
              <w:jc w:val="center"/>
              <w:rPr>
                <w:sz w:val="18"/>
                <w:szCs w:val="18"/>
              </w:rPr>
            </w:pPr>
          </w:p>
        </w:tc>
        <w:tc>
          <w:tcPr>
            <w:tcW w:w="647" w:type="pct"/>
            <w:vAlign w:val="center"/>
          </w:tcPr>
          <w:p>
            <w:pPr>
              <w:pStyle w:val="105"/>
              <w:jc w:val="center"/>
              <w:rPr>
                <w:sz w:val="18"/>
                <w:szCs w:val="18"/>
              </w:rPr>
            </w:pPr>
            <w:r>
              <w:rPr>
                <w:sz w:val="18"/>
                <w:szCs w:val="18"/>
              </w:rPr>
              <w:t>2</w:t>
            </w:r>
            <w:r>
              <w:rPr>
                <w:rFonts w:hint="eastAsia"/>
                <w:sz w:val="18"/>
                <w:szCs w:val="18"/>
              </w:rPr>
              <w:t>类</w:t>
            </w:r>
          </w:p>
        </w:tc>
        <w:tc>
          <w:tcPr>
            <w:tcW w:w="327" w:type="pct"/>
            <w:noWrap/>
            <w:vAlign w:val="center"/>
          </w:tcPr>
          <w:p>
            <w:pPr>
              <w:pStyle w:val="105"/>
              <w:jc w:val="center"/>
              <w:rPr>
                <w:sz w:val="18"/>
                <w:szCs w:val="18"/>
              </w:rPr>
            </w:pPr>
            <w:r>
              <w:rPr>
                <w:rFonts w:hint="eastAsia"/>
                <w:sz w:val="18"/>
                <w:szCs w:val="18"/>
              </w:rPr>
              <w:t>5</w:t>
            </w:r>
            <w:r>
              <w:rPr>
                <w:sz w:val="18"/>
                <w:szCs w:val="18"/>
              </w:rPr>
              <w:t>5</w:t>
            </w:r>
          </w:p>
        </w:tc>
        <w:tc>
          <w:tcPr>
            <w:tcW w:w="327" w:type="pct"/>
            <w:noWrap/>
            <w:vAlign w:val="center"/>
          </w:tcPr>
          <w:p>
            <w:pPr>
              <w:pStyle w:val="105"/>
              <w:jc w:val="center"/>
              <w:rPr>
                <w:sz w:val="18"/>
                <w:szCs w:val="18"/>
              </w:rPr>
            </w:pPr>
            <w:r>
              <w:rPr>
                <w:rFonts w:hint="eastAsia"/>
                <w:sz w:val="18"/>
                <w:szCs w:val="18"/>
              </w:rPr>
              <w:t>4</w:t>
            </w:r>
            <w:r>
              <w:rPr>
                <w:sz w:val="18"/>
                <w:szCs w:val="18"/>
              </w:rPr>
              <w:t>3</w:t>
            </w:r>
          </w:p>
        </w:tc>
        <w:tc>
          <w:tcPr>
            <w:tcW w:w="419" w:type="pct"/>
            <w:noWrap/>
            <w:vAlign w:val="center"/>
          </w:tcPr>
          <w:p>
            <w:pPr>
              <w:pStyle w:val="105"/>
              <w:jc w:val="center"/>
              <w:rPr>
                <w:sz w:val="18"/>
                <w:szCs w:val="18"/>
              </w:rPr>
            </w:pPr>
            <w:r>
              <w:rPr>
                <w:rFonts w:hint="eastAsia"/>
                <w:sz w:val="18"/>
                <w:szCs w:val="18"/>
              </w:rPr>
              <w:t>5</w:t>
            </w:r>
            <w:r>
              <w:rPr>
                <w:sz w:val="18"/>
                <w:szCs w:val="18"/>
              </w:rPr>
              <w:t>5</w:t>
            </w:r>
          </w:p>
        </w:tc>
        <w:tc>
          <w:tcPr>
            <w:tcW w:w="467" w:type="pct"/>
            <w:noWrap/>
            <w:vAlign w:val="center"/>
          </w:tcPr>
          <w:p>
            <w:pPr>
              <w:pStyle w:val="105"/>
              <w:jc w:val="center"/>
              <w:rPr>
                <w:sz w:val="18"/>
                <w:szCs w:val="18"/>
              </w:rPr>
            </w:pPr>
            <w:r>
              <w:rPr>
                <w:rFonts w:hint="eastAsia"/>
                <w:sz w:val="18"/>
                <w:szCs w:val="18"/>
              </w:rPr>
              <w:t>4</w:t>
            </w:r>
            <w:r>
              <w:rPr>
                <w:sz w:val="18"/>
                <w:szCs w:val="18"/>
              </w:rPr>
              <w:t>3</w:t>
            </w:r>
          </w:p>
        </w:tc>
        <w:tc>
          <w:tcPr>
            <w:tcW w:w="1406"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236" w:type="pct"/>
            <w:vAlign w:val="center"/>
          </w:tcPr>
          <w:p>
            <w:pPr>
              <w:pStyle w:val="105"/>
              <w:jc w:val="center"/>
              <w:rPr>
                <w:sz w:val="18"/>
                <w:szCs w:val="18"/>
              </w:rPr>
            </w:pPr>
            <w:r>
              <w:rPr>
                <w:rFonts w:hint="eastAsia"/>
                <w:sz w:val="18"/>
                <w:szCs w:val="18"/>
              </w:rPr>
              <w:t>1</w:t>
            </w:r>
            <w:r>
              <w:rPr>
                <w:sz w:val="18"/>
                <w:szCs w:val="18"/>
              </w:rPr>
              <w:t>2</w:t>
            </w:r>
          </w:p>
        </w:tc>
        <w:tc>
          <w:tcPr>
            <w:tcW w:w="811" w:type="pct"/>
            <w:gridSpan w:val="2"/>
            <w:vAlign w:val="center"/>
          </w:tcPr>
          <w:p>
            <w:pPr>
              <w:pStyle w:val="105"/>
              <w:jc w:val="center"/>
              <w:rPr>
                <w:sz w:val="18"/>
                <w:szCs w:val="18"/>
              </w:rPr>
            </w:pPr>
            <w:r>
              <w:rPr>
                <w:rFonts w:hint="eastAsia"/>
                <w:sz w:val="18"/>
                <w:szCs w:val="18"/>
              </w:rPr>
              <w:t>联华村三落厝</w:t>
            </w:r>
          </w:p>
        </w:tc>
        <w:tc>
          <w:tcPr>
            <w:tcW w:w="360" w:type="pct"/>
            <w:vAlign w:val="center"/>
          </w:tcPr>
          <w:p>
            <w:pPr>
              <w:pStyle w:val="105"/>
              <w:jc w:val="center"/>
              <w:rPr>
                <w:sz w:val="18"/>
                <w:szCs w:val="18"/>
              </w:rPr>
            </w:pPr>
            <w:r>
              <w:rPr>
                <w:rFonts w:hint="eastAsia"/>
                <w:sz w:val="18"/>
                <w:szCs w:val="18"/>
              </w:rPr>
              <w:t>1</w:t>
            </w:r>
            <w:r>
              <w:rPr>
                <w:sz w:val="18"/>
                <w:szCs w:val="18"/>
              </w:rPr>
              <w:t>F</w:t>
            </w:r>
          </w:p>
        </w:tc>
        <w:tc>
          <w:tcPr>
            <w:tcW w:w="647" w:type="pct"/>
            <w:vAlign w:val="center"/>
          </w:tcPr>
          <w:p>
            <w:pPr>
              <w:pStyle w:val="105"/>
              <w:jc w:val="center"/>
              <w:rPr>
                <w:sz w:val="18"/>
                <w:szCs w:val="18"/>
              </w:rPr>
            </w:pPr>
            <w:r>
              <w:rPr>
                <w:rFonts w:hint="eastAsia"/>
                <w:sz w:val="18"/>
                <w:szCs w:val="18"/>
              </w:rPr>
              <w:t>2类</w:t>
            </w:r>
          </w:p>
        </w:tc>
        <w:tc>
          <w:tcPr>
            <w:tcW w:w="327" w:type="pct"/>
            <w:noWrap/>
            <w:vAlign w:val="center"/>
          </w:tcPr>
          <w:p>
            <w:pPr>
              <w:pStyle w:val="105"/>
              <w:jc w:val="center"/>
              <w:rPr>
                <w:sz w:val="18"/>
                <w:szCs w:val="18"/>
              </w:rPr>
            </w:pPr>
            <w:r>
              <w:rPr>
                <w:rFonts w:hint="eastAsia"/>
                <w:sz w:val="18"/>
                <w:szCs w:val="18"/>
              </w:rPr>
              <w:t>5</w:t>
            </w:r>
            <w:r>
              <w:rPr>
                <w:sz w:val="18"/>
                <w:szCs w:val="18"/>
              </w:rPr>
              <w:t>2</w:t>
            </w:r>
          </w:p>
        </w:tc>
        <w:tc>
          <w:tcPr>
            <w:tcW w:w="327" w:type="pct"/>
            <w:noWrap/>
            <w:vAlign w:val="center"/>
          </w:tcPr>
          <w:p>
            <w:pPr>
              <w:pStyle w:val="105"/>
              <w:jc w:val="center"/>
              <w:rPr>
                <w:sz w:val="18"/>
                <w:szCs w:val="18"/>
              </w:rPr>
            </w:pPr>
            <w:r>
              <w:rPr>
                <w:rFonts w:hint="eastAsia"/>
                <w:sz w:val="18"/>
                <w:szCs w:val="18"/>
              </w:rPr>
              <w:t>4</w:t>
            </w:r>
            <w:r>
              <w:rPr>
                <w:sz w:val="18"/>
                <w:szCs w:val="18"/>
              </w:rPr>
              <w:t>1</w:t>
            </w:r>
          </w:p>
        </w:tc>
        <w:tc>
          <w:tcPr>
            <w:tcW w:w="419" w:type="pct"/>
            <w:noWrap/>
            <w:vAlign w:val="center"/>
          </w:tcPr>
          <w:p>
            <w:pPr>
              <w:pStyle w:val="105"/>
              <w:jc w:val="center"/>
              <w:rPr>
                <w:sz w:val="18"/>
                <w:szCs w:val="18"/>
              </w:rPr>
            </w:pPr>
            <w:r>
              <w:rPr>
                <w:rFonts w:hint="eastAsia"/>
                <w:sz w:val="18"/>
                <w:szCs w:val="18"/>
              </w:rPr>
              <w:t>5</w:t>
            </w:r>
            <w:r>
              <w:rPr>
                <w:sz w:val="18"/>
                <w:szCs w:val="18"/>
              </w:rPr>
              <w:t>2</w:t>
            </w:r>
          </w:p>
        </w:tc>
        <w:tc>
          <w:tcPr>
            <w:tcW w:w="467" w:type="pct"/>
            <w:noWrap/>
            <w:vAlign w:val="center"/>
          </w:tcPr>
          <w:p>
            <w:pPr>
              <w:pStyle w:val="105"/>
              <w:jc w:val="center"/>
              <w:rPr>
                <w:sz w:val="18"/>
                <w:szCs w:val="18"/>
              </w:rPr>
            </w:pPr>
            <w:r>
              <w:rPr>
                <w:rFonts w:hint="eastAsia"/>
                <w:sz w:val="18"/>
                <w:szCs w:val="18"/>
              </w:rPr>
              <w:t>4</w:t>
            </w:r>
            <w:r>
              <w:rPr>
                <w:sz w:val="18"/>
                <w:szCs w:val="18"/>
              </w:rPr>
              <w:t>1</w:t>
            </w:r>
          </w:p>
        </w:tc>
        <w:tc>
          <w:tcPr>
            <w:tcW w:w="1406" w:type="pct"/>
            <w:vAlign w:val="center"/>
          </w:tcPr>
          <w:p>
            <w:pPr>
              <w:pStyle w:val="105"/>
              <w:jc w:val="center"/>
              <w:rPr>
                <w:sz w:val="18"/>
                <w:szCs w:val="18"/>
              </w:rPr>
            </w:pPr>
            <w:r>
              <w:rPr>
                <w:rFonts w:hint="eastAsia"/>
                <w:sz w:val="18"/>
                <w:szCs w:val="18"/>
              </w:rPr>
              <w:t>现状为2类，实测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5000" w:type="pct"/>
            <w:gridSpan w:val="10"/>
            <w:vAlign w:val="center"/>
          </w:tcPr>
          <w:p>
            <w:pPr>
              <w:pStyle w:val="105"/>
              <w:jc w:val="left"/>
              <w:rPr>
                <w:sz w:val="18"/>
                <w:szCs w:val="18"/>
              </w:rPr>
            </w:pPr>
            <w:r>
              <w:rPr>
                <w:rFonts w:hint="eastAsia"/>
                <w:sz w:val="18"/>
                <w:szCs w:val="18"/>
              </w:rPr>
              <w:t>注：根据</w:t>
            </w:r>
            <w:r>
              <w:rPr>
                <w:sz w:val="18"/>
                <w:szCs w:val="18"/>
              </w:rPr>
              <w:t>HJ1358—2024</w:t>
            </w:r>
            <w:r>
              <w:rPr>
                <w:rFonts w:hint="eastAsia"/>
                <w:sz w:val="18"/>
                <w:szCs w:val="18"/>
              </w:rPr>
              <w:t>，评价量为 LAeq，取两日监测值的算术平均值。</w:t>
            </w:r>
          </w:p>
        </w:tc>
      </w:tr>
    </w:tbl>
    <w:p>
      <w:pPr>
        <w:pStyle w:val="124"/>
        <w:spacing w:before="163"/>
        <w:rPr>
          <w:szCs w:val="24"/>
        </w:rPr>
      </w:pPr>
      <w:r>
        <w:rPr>
          <w:rFonts w:hint="eastAsia"/>
        </w:rPr>
        <w:t>B.</w:t>
      </w:r>
      <w:r>
        <w:t>交通噪声对沿线敏感点的影响预测</w:t>
      </w:r>
    </w:p>
    <w:p>
      <w:pPr>
        <w:ind w:firstLine="480"/>
      </w:pPr>
      <w:r>
        <w:rPr>
          <w:rFonts w:hint="eastAsia"/>
        </w:rPr>
        <w:t>敏感点环境噪声预测是根据各敏感点不同类区的预测点与线位关系，全面考虑所对应的工程路面结构、路基形式、高差、地形、地上物以及地面覆盖状况、空气吸收等声传播条件的因素修正，由交通噪声影响预测贡献值叠加对应的声环境背景值得到。</w:t>
      </w:r>
    </w:p>
    <w:p>
      <w:pPr>
        <w:ind w:firstLine="480"/>
      </w:pPr>
      <w:bookmarkStart w:id="481" w:name="_Hlk197441272"/>
      <w:r>
        <w:rPr>
          <w:rFonts w:hint="eastAsia"/>
        </w:rPr>
        <w:t>本项目各敏感建筑评价点选取预测结果最大值作为各村庄敏感目标代表值，</w:t>
      </w:r>
      <w:bookmarkEnd w:id="481"/>
      <w:r>
        <w:rPr>
          <w:rFonts w:hint="eastAsia"/>
        </w:rPr>
        <w:t>拟建公路沿线各敏感点环境噪声预测结果见</w:t>
      </w:r>
      <w:r>
        <w:rPr>
          <w:szCs w:val="20"/>
        </w:rPr>
        <w:fldChar w:fldCharType="begin"/>
      </w:r>
      <w:r>
        <w:rPr>
          <w:szCs w:val="24"/>
        </w:rPr>
        <w:instrText xml:space="preserve"> REF _Ref149557861 \r \h </w:instrText>
      </w:r>
      <w:r>
        <w:rPr>
          <w:szCs w:val="20"/>
        </w:rPr>
        <w:fldChar w:fldCharType="separate"/>
      </w:r>
      <w:r>
        <w:rPr>
          <w:rFonts w:hint="eastAsia"/>
          <w:szCs w:val="24"/>
        </w:rPr>
        <w:t>表5.4-8</w:t>
      </w:r>
      <w:r>
        <w:rPr>
          <w:szCs w:val="20"/>
        </w:rPr>
        <w:fldChar w:fldCharType="end"/>
      </w:r>
      <w:r>
        <w:rPr>
          <w:szCs w:val="20"/>
        </w:rPr>
        <w:t>。</w:t>
      </w:r>
    </w:p>
    <w:p>
      <w:pPr>
        <w:ind w:firstLine="480"/>
      </w:pPr>
      <w:r>
        <w:rPr>
          <w:rFonts w:hint="eastAsia"/>
        </w:rPr>
        <w:t>从预测结果可以看出，项目运营期沿线敏感目标受交通噪声影响不大，仅部分敏感点昼夜夜间出现部分超标，因此，针对部分超标路段及敏感目标应采取相应措施，详见本报告“环保措施章节”。</w:t>
      </w:r>
    </w:p>
    <w:p>
      <w:pPr>
        <w:ind w:firstLine="482"/>
        <w:rPr>
          <w:kern w:val="0"/>
        </w:rPr>
      </w:pPr>
      <w:r>
        <w:rPr>
          <w:rFonts w:hint="eastAsia"/>
          <w:b/>
          <w:bCs/>
          <w:kern w:val="0"/>
        </w:rPr>
        <w:t>交通噪声影响预测结果的逻辑符合性分析：</w:t>
      </w:r>
      <w:r>
        <w:rPr>
          <w:rFonts w:hint="eastAsia"/>
          <w:kern w:val="0"/>
        </w:rPr>
        <w:t>根据本项目水平交通噪声预测结果和铅垂线预测结果分析，</w:t>
      </w:r>
    </w:p>
    <w:p>
      <w:pPr>
        <w:ind w:firstLine="480"/>
      </w:pPr>
      <w:r>
        <w:rPr>
          <w:rFonts w:hint="eastAsia"/>
          <w:kern w:val="0"/>
        </w:rPr>
        <w:t>①</w:t>
      </w:r>
      <w:r>
        <w:rPr>
          <w:rFonts w:hint="eastAsia"/>
        </w:rPr>
        <w:t>4a类标准适用区内，昼间近、中、远期噪声达标距离分别为距离中心线</w:t>
      </w:r>
      <w:r>
        <w:t>11.6</w:t>
      </w:r>
      <w:r>
        <w:rPr>
          <w:rFonts w:hint="eastAsia"/>
        </w:rPr>
        <w:t>m、</w:t>
      </w:r>
      <w:r>
        <w:rPr>
          <w:rFonts w:cs="Times New Roman"/>
        </w:rPr>
        <w:t>12.5</w:t>
      </w:r>
      <w:r>
        <w:rPr>
          <w:rFonts w:hint="eastAsia"/>
        </w:rPr>
        <w:t>m和</w:t>
      </w:r>
      <w:r>
        <w:rPr>
          <w:rFonts w:cs="Times New Roman"/>
        </w:rPr>
        <w:t>12.7</w:t>
      </w:r>
      <w:r>
        <w:rPr>
          <w:rFonts w:hint="eastAsia"/>
        </w:rPr>
        <w:t>m；夜间近、中、远期噪声达标距离分别为距离中心线</w:t>
      </w:r>
      <w:r>
        <w:rPr>
          <w:rFonts w:cs="Times New Roman"/>
        </w:rPr>
        <w:t xml:space="preserve">18.3 </w:t>
      </w:r>
      <w:r>
        <w:rPr>
          <w:rFonts w:hint="eastAsia"/>
        </w:rPr>
        <w:t>m、</w:t>
      </w:r>
      <w:r>
        <w:rPr>
          <w:rFonts w:cs="Times New Roman"/>
        </w:rPr>
        <w:t>19.0</w:t>
      </w:r>
      <w:r>
        <w:rPr>
          <w:rFonts w:hint="eastAsia"/>
        </w:rPr>
        <w:t>m和</w:t>
      </w:r>
      <w:r>
        <w:rPr>
          <w:rFonts w:cs="Times New Roman"/>
        </w:rPr>
        <w:t xml:space="preserve">19.3 </w:t>
      </w:r>
      <w:r>
        <w:rPr>
          <w:rFonts w:hint="eastAsia"/>
        </w:rPr>
        <w:t>m。而本次敏感目标预测结果表明：在公路中心线两侧2</w:t>
      </w:r>
      <w:r>
        <w:t>0</w:t>
      </w:r>
      <w:r>
        <w:rPr>
          <w:rFonts w:hint="eastAsia"/>
        </w:rPr>
        <w:t>m范围内的牌边村新桥、上张村王房、联华村后郑、联华村西山第一排均出现不同程度超标；侨丰村虽然位于公路中心线两侧2</w:t>
      </w:r>
      <w:r>
        <w:t>0</w:t>
      </w:r>
      <w:r>
        <w:rPr>
          <w:rFonts w:hint="eastAsia"/>
        </w:rPr>
        <w:t>m范围内，但是由于其位于声影区，预测考虑声影区衰减后能够满足4a类标准。</w:t>
      </w:r>
    </w:p>
    <w:p>
      <w:pPr>
        <w:ind w:firstLine="480"/>
      </w:pPr>
      <w:r>
        <w:rPr>
          <w:rFonts w:hint="eastAsia"/>
        </w:rPr>
        <w:t>②2类区昼间近、中、远期噪声衰减至60dB的距离，分别为距离中心线</w:t>
      </w:r>
      <w:r>
        <w:rPr>
          <w:rFonts w:cs="Times New Roman"/>
        </w:rPr>
        <w:t>22.8</w:t>
      </w:r>
      <w:r>
        <w:rPr>
          <w:rFonts w:hint="eastAsia"/>
        </w:rPr>
        <w:t>m、</w:t>
      </w:r>
      <w:r>
        <w:rPr>
          <w:rFonts w:cs="Times New Roman"/>
        </w:rPr>
        <w:t>33.1</w:t>
      </w:r>
      <w:r>
        <w:rPr>
          <w:rFonts w:hint="eastAsia"/>
        </w:rPr>
        <w:t>m和</w:t>
      </w:r>
      <w:r>
        <w:rPr>
          <w:rFonts w:cs="Times New Roman"/>
        </w:rPr>
        <w:t>34.2</w:t>
      </w:r>
      <w:r>
        <w:rPr>
          <w:rFonts w:hint="eastAsia"/>
        </w:rPr>
        <w:t>m；夜间噪声衰减至50dB的距离，近、中、远期噪声达标距离分别为距离中心线</w:t>
      </w:r>
      <w:r>
        <w:rPr>
          <w:rFonts w:cs="Times New Roman"/>
        </w:rPr>
        <w:t xml:space="preserve">28.9 </w:t>
      </w:r>
      <w:r>
        <w:rPr>
          <w:rFonts w:hint="eastAsia"/>
        </w:rPr>
        <w:t>m、</w:t>
      </w:r>
      <w:r>
        <w:rPr>
          <w:rFonts w:cs="Times New Roman"/>
        </w:rPr>
        <w:t>30.3</w:t>
      </w:r>
      <w:r>
        <w:rPr>
          <w:rFonts w:hint="eastAsia"/>
        </w:rPr>
        <w:t>m和</w:t>
      </w:r>
      <w:r>
        <w:rPr>
          <w:rFonts w:cs="Times New Roman"/>
        </w:rPr>
        <w:t>31.0</w:t>
      </w:r>
      <w:r>
        <w:rPr>
          <w:rFonts w:hint="eastAsia"/>
        </w:rPr>
        <w:t>m。根据项目公路两侧功能区划，公路红线外两侧2类区为</w:t>
      </w:r>
      <w:r>
        <w:t>35</w:t>
      </w:r>
      <w:r>
        <w:rPr>
          <w:rFonts w:hint="eastAsia"/>
        </w:rPr>
        <w:t>m，因此在2类区内均能达到2类标准。</w:t>
      </w:r>
    </w:p>
    <w:p>
      <w:pPr>
        <w:ind w:firstLine="480"/>
      </w:pPr>
      <w:r>
        <w:rPr>
          <w:rFonts w:hint="eastAsia"/>
        </w:rPr>
        <w:t>③从</w:t>
      </w:r>
      <w:r>
        <w:rPr>
          <w:rFonts w:hint="eastAsia"/>
          <w:kern w:val="0"/>
        </w:rPr>
        <w:t>铅垂线预测结果分析，</w:t>
      </w:r>
      <w:r>
        <w:rPr>
          <w:rFonts w:hint="eastAsia"/>
        </w:rPr>
        <w:t>公路红线外</w:t>
      </w:r>
      <w:r>
        <w:t>10</w:t>
      </w:r>
      <w:r>
        <w:rPr>
          <w:rFonts w:hint="eastAsia"/>
        </w:rPr>
        <w:t>m建筑铅垂向</w:t>
      </w:r>
      <w:r>
        <w:t>3</w:t>
      </w:r>
      <w:r>
        <w:rPr>
          <w:rFonts w:hint="eastAsia"/>
        </w:rPr>
        <w:t>层预测结果最大，约大于一层和二层0</w:t>
      </w:r>
      <w:r>
        <w:t>.1</w:t>
      </w:r>
      <w:r>
        <w:rPr>
          <w:rFonts w:hint="eastAsia"/>
        </w:rPr>
        <w:t>d</w:t>
      </w:r>
      <w:r>
        <w:t>B</w:t>
      </w:r>
      <w:r>
        <w:rPr>
          <w:rFonts w:hint="eastAsia"/>
        </w:rPr>
        <w:t>，而敏感目标预测结果也基本满足此规律，公路红线外越远，不同楼层高度预测结果差值越小。</w:t>
      </w:r>
    </w:p>
    <w:p>
      <w:pPr>
        <w:ind w:firstLine="480"/>
      </w:pPr>
      <w:r>
        <w:rPr>
          <w:rFonts w:hint="eastAsia"/>
        </w:rPr>
        <w:t>综上分析，本次敏感点预测结果与</w:t>
      </w:r>
      <w:r>
        <w:rPr>
          <w:rFonts w:hint="eastAsia"/>
          <w:kern w:val="0"/>
        </w:rPr>
        <w:t>项目水平交通噪声预测等直线和铅垂线预测等直线相匹配。</w:t>
      </w:r>
    </w:p>
    <w:p>
      <w:pPr>
        <w:ind w:firstLine="480"/>
        <w:sectPr>
          <w:pgSz w:w="11906" w:h="16838"/>
          <w:pgMar w:top="1418" w:right="1418" w:bottom="1418" w:left="1418" w:header="851" w:footer="992" w:gutter="0"/>
          <w:cols w:space="425" w:num="1"/>
          <w:docGrid w:type="lines" w:linePitch="326" w:charSpace="0"/>
        </w:sectPr>
      </w:pPr>
    </w:p>
    <w:p>
      <w:pPr>
        <w:pStyle w:val="87"/>
        <w:spacing w:before="0" w:beforeLines="0"/>
        <w:ind w:left="482" w:firstLine="482"/>
      </w:pPr>
      <w:bookmarkStart w:id="482" w:name="_Ref149557861"/>
      <w:r>
        <w:rPr>
          <w:rFonts w:hint="eastAsia"/>
        </w:rPr>
        <w:t>声环境现状敏感目标噪声预测结果与达标分析表</w:t>
      </w:r>
      <w:bookmarkEnd w:id="482"/>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6"/>
        <w:gridCol w:w="426"/>
        <w:gridCol w:w="1703"/>
        <w:gridCol w:w="709"/>
        <w:gridCol w:w="566"/>
        <w:gridCol w:w="568"/>
        <w:gridCol w:w="582"/>
        <w:gridCol w:w="675"/>
        <w:gridCol w:w="675"/>
        <w:gridCol w:w="675"/>
        <w:gridCol w:w="675"/>
        <w:gridCol w:w="543"/>
        <w:gridCol w:w="515"/>
        <w:gridCol w:w="661"/>
        <w:gridCol w:w="540"/>
        <w:gridCol w:w="409"/>
        <w:gridCol w:w="473"/>
        <w:gridCol w:w="610"/>
        <w:gridCol w:w="526"/>
        <w:gridCol w:w="510"/>
        <w:gridCol w:w="459"/>
        <w:gridCol w:w="650"/>
        <w:gridCol w:w="4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序号</w:t>
            </w:r>
          </w:p>
        </w:tc>
        <w:tc>
          <w:tcPr>
            <w:tcW w:w="760" w:type="pct"/>
            <w:gridSpan w:val="2"/>
            <w:vMerge w:val="restart"/>
            <w:vAlign w:val="center"/>
          </w:tcPr>
          <w:p>
            <w:pPr>
              <w:pStyle w:val="105"/>
              <w:spacing w:before="0" w:after="0"/>
              <w:jc w:val="center"/>
              <w:rPr>
                <w:sz w:val="18"/>
                <w:szCs w:val="18"/>
              </w:rPr>
            </w:pPr>
            <w:r>
              <w:rPr>
                <w:rFonts w:hint="eastAsia"/>
                <w:sz w:val="18"/>
                <w:szCs w:val="18"/>
              </w:rPr>
              <w:t>声环境</w:t>
            </w:r>
          </w:p>
          <w:p>
            <w:pPr>
              <w:pStyle w:val="105"/>
              <w:spacing w:before="0" w:after="0"/>
              <w:jc w:val="center"/>
              <w:rPr>
                <w:sz w:val="18"/>
                <w:szCs w:val="18"/>
              </w:rPr>
            </w:pPr>
            <w:r>
              <w:rPr>
                <w:rFonts w:hint="eastAsia"/>
                <w:sz w:val="18"/>
                <w:szCs w:val="18"/>
              </w:rPr>
              <w:t>保护目标</w:t>
            </w:r>
          </w:p>
        </w:tc>
        <w:tc>
          <w:tcPr>
            <w:tcW w:w="253" w:type="pct"/>
            <w:vMerge w:val="restart"/>
            <w:vAlign w:val="center"/>
          </w:tcPr>
          <w:p>
            <w:pPr>
              <w:pStyle w:val="105"/>
              <w:spacing w:before="0" w:after="0"/>
              <w:jc w:val="center"/>
              <w:rPr>
                <w:sz w:val="18"/>
                <w:szCs w:val="18"/>
              </w:rPr>
            </w:pPr>
            <w:r>
              <w:rPr>
                <w:rFonts w:hint="eastAsia"/>
                <w:sz w:val="18"/>
                <w:szCs w:val="18"/>
              </w:rPr>
              <w:t>预测点与路线中心线距离</w:t>
            </w:r>
            <w:r>
              <w:rPr>
                <w:sz w:val="18"/>
                <w:szCs w:val="18"/>
              </w:rPr>
              <w:t>m</w:t>
            </w:r>
          </w:p>
        </w:tc>
        <w:tc>
          <w:tcPr>
            <w:tcW w:w="202" w:type="pct"/>
            <w:vMerge w:val="restart"/>
            <w:vAlign w:val="center"/>
          </w:tcPr>
          <w:p>
            <w:pPr>
              <w:pStyle w:val="105"/>
              <w:spacing w:before="0" w:after="0"/>
              <w:jc w:val="center"/>
              <w:rPr>
                <w:sz w:val="18"/>
                <w:szCs w:val="18"/>
              </w:rPr>
            </w:pPr>
            <w:r>
              <w:rPr>
                <w:rFonts w:hint="eastAsia"/>
                <w:sz w:val="18"/>
                <w:szCs w:val="18"/>
              </w:rPr>
              <w:t>预测点与路线高差</w:t>
            </w:r>
            <w:r>
              <w:rPr>
                <w:sz w:val="18"/>
                <w:szCs w:val="18"/>
              </w:rPr>
              <w:t>m</w:t>
            </w:r>
          </w:p>
        </w:tc>
        <w:tc>
          <w:tcPr>
            <w:tcW w:w="203" w:type="pct"/>
            <w:vMerge w:val="restart"/>
            <w:vAlign w:val="center"/>
          </w:tcPr>
          <w:p>
            <w:pPr>
              <w:pStyle w:val="105"/>
              <w:spacing w:before="0" w:after="0"/>
              <w:jc w:val="center"/>
              <w:rPr>
                <w:sz w:val="18"/>
                <w:szCs w:val="18"/>
              </w:rPr>
            </w:pPr>
            <w:r>
              <w:rPr>
                <w:rFonts w:hint="eastAsia"/>
                <w:sz w:val="18"/>
                <w:szCs w:val="18"/>
              </w:rPr>
              <w:t>纵坡（</w:t>
            </w:r>
            <w:r>
              <w:rPr>
                <w:sz w:val="18"/>
                <w:szCs w:val="18"/>
              </w:rPr>
              <w:t>%</w:t>
            </w:r>
            <w:r>
              <w:rPr>
                <w:rFonts w:hint="eastAsia"/>
                <w:sz w:val="18"/>
                <w:szCs w:val="18"/>
              </w:rPr>
              <w:t>）</w:t>
            </w:r>
          </w:p>
        </w:tc>
        <w:tc>
          <w:tcPr>
            <w:tcW w:w="208" w:type="pct"/>
            <w:vMerge w:val="restart"/>
            <w:vAlign w:val="center"/>
          </w:tcPr>
          <w:p>
            <w:pPr>
              <w:pStyle w:val="105"/>
              <w:spacing w:before="0" w:after="0"/>
              <w:jc w:val="center"/>
              <w:rPr>
                <w:sz w:val="18"/>
                <w:szCs w:val="18"/>
              </w:rPr>
            </w:pPr>
            <w:r>
              <w:rPr>
                <w:rFonts w:hint="eastAsia"/>
                <w:sz w:val="18"/>
                <w:szCs w:val="18"/>
              </w:rPr>
              <w:t>功能区类别</w:t>
            </w:r>
          </w:p>
        </w:tc>
        <w:tc>
          <w:tcPr>
            <w:tcW w:w="241" w:type="pct"/>
            <w:vMerge w:val="restart"/>
            <w:vAlign w:val="center"/>
          </w:tcPr>
          <w:p>
            <w:pPr>
              <w:pStyle w:val="105"/>
              <w:spacing w:before="0" w:after="0"/>
              <w:jc w:val="center"/>
              <w:rPr>
                <w:sz w:val="18"/>
                <w:szCs w:val="18"/>
              </w:rPr>
            </w:pPr>
            <w:r>
              <w:rPr>
                <w:rFonts w:hint="eastAsia"/>
                <w:sz w:val="18"/>
                <w:szCs w:val="18"/>
              </w:rPr>
              <w:t>时段</w:t>
            </w:r>
          </w:p>
        </w:tc>
        <w:tc>
          <w:tcPr>
            <w:tcW w:w="241" w:type="pct"/>
            <w:vMerge w:val="restart"/>
            <w:vAlign w:val="center"/>
          </w:tcPr>
          <w:p>
            <w:pPr>
              <w:pStyle w:val="105"/>
              <w:spacing w:before="0" w:after="0"/>
              <w:jc w:val="center"/>
              <w:rPr>
                <w:sz w:val="18"/>
                <w:szCs w:val="18"/>
              </w:rPr>
            </w:pPr>
            <w:r>
              <w:rPr>
                <w:rFonts w:hint="eastAsia"/>
                <w:sz w:val="18"/>
                <w:szCs w:val="18"/>
              </w:rPr>
              <w:t>标准限值</w:t>
            </w:r>
            <w:r>
              <w:rPr>
                <w:sz w:val="18"/>
                <w:szCs w:val="18"/>
              </w:rPr>
              <w:t>dB</w:t>
            </w:r>
            <w:r>
              <w:rPr>
                <w:rFonts w:hint="eastAsia"/>
                <w:sz w:val="18"/>
                <w:szCs w:val="18"/>
              </w:rPr>
              <w:t>（</w:t>
            </w:r>
            <w:r>
              <w:rPr>
                <w:sz w:val="18"/>
                <w:szCs w:val="18"/>
              </w:rPr>
              <w:t>A</w:t>
            </w:r>
            <w:r>
              <w:rPr>
                <w:rFonts w:hint="eastAsia"/>
                <w:sz w:val="18"/>
                <w:szCs w:val="18"/>
              </w:rPr>
              <w:t>）</w:t>
            </w:r>
          </w:p>
        </w:tc>
        <w:tc>
          <w:tcPr>
            <w:tcW w:w="241" w:type="pct"/>
            <w:vMerge w:val="restart"/>
            <w:vAlign w:val="center"/>
          </w:tcPr>
          <w:p>
            <w:pPr>
              <w:pStyle w:val="105"/>
              <w:spacing w:before="0" w:after="0"/>
              <w:jc w:val="center"/>
              <w:rPr>
                <w:sz w:val="18"/>
                <w:szCs w:val="18"/>
              </w:rPr>
            </w:pPr>
            <w:r>
              <w:rPr>
                <w:rFonts w:hint="eastAsia"/>
                <w:sz w:val="18"/>
                <w:szCs w:val="18"/>
              </w:rPr>
              <w:t>背景值</w:t>
            </w:r>
            <w:r>
              <w:rPr>
                <w:sz w:val="18"/>
                <w:szCs w:val="18"/>
              </w:rPr>
              <w:t>dB</w:t>
            </w:r>
            <w:r>
              <w:rPr>
                <w:rFonts w:hint="eastAsia"/>
                <w:sz w:val="18"/>
                <w:szCs w:val="18"/>
              </w:rPr>
              <w:t>（</w:t>
            </w:r>
            <w:r>
              <w:rPr>
                <w:sz w:val="18"/>
                <w:szCs w:val="18"/>
              </w:rPr>
              <w:t>A</w:t>
            </w:r>
            <w:r>
              <w:rPr>
                <w:rFonts w:hint="eastAsia"/>
                <w:sz w:val="18"/>
                <w:szCs w:val="18"/>
              </w:rPr>
              <w:t>）</w:t>
            </w:r>
          </w:p>
        </w:tc>
        <w:tc>
          <w:tcPr>
            <w:tcW w:w="241" w:type="pct"/>
            <w:vMerge w:val="restart"/>
            <w:vAlign w:val="center"/>
          </w:tcPr>
          <w:p>
            <w:pPr>
              <w:pStyle w:val="105"/>
              <w:spacing w:before="0" w:after="0"/>
              <w:jc w:val="center"/>
              <w:rPr>
                <w:sz w:val="18"/>
                <w:szCs w:val="18"/>
              </w:rPr>
            </w:pPr>
            <w:r>
              <w:rPr>
                <w:rFonts w:hint="eastAsia"/>
                <w:sz w:val="18"/>
                <w:szCs w:val="18"/>
              </w:rPr>
              <w:t>现状值</w:t>
            </w:r>
            <w:r>
              <w:rPr>
                <w:sz w:val="18"/>
                <w:szCs w:val="18"/>
              </w:rPr>
              <w:t>dB</w:t>
            </w:r>
            <w:r>
              <w:rPr>
                <w:rFonts w:hint="eastAsia"/>
                <w:sz w:val="18"/>
                <w:szCs w:val="18"/>
              </w:rPr>
              <w:t>（</w:t>
            </w:r>
            <w:r>
              <w:rPr>
                <w:sz w:val="18"/>
                <w:szCs w:val="18"/>
              </w:rPr>
              <w:t>A</w:t>
            </w:r>
            <w:r>
              <w:rPr>
                <w:rFonts w:hint="eastAsia"/>
                <w:sz w:val="18"/>
                <w:szCs w:val="18"/>
              </w:rPr>
              <w:t>）</w:t>
            </w:r>
          </w:p>
        </w:tc>
        <w:tc>
          <w:tcPr>
            <w:tcW w:w="807" w:type="pct"/>
            <w:gridSpan w:val="4"/>
            <w:vAlign w:val="center"/>
          </w:tcPr>
          <w:p>
            <w:pPr>
              <w:pStyle w:val="105"/>
              <w:spacing w:before="0" w:after="0"/>
              <w:jc w:val="center"/>
              <w:rPr>
                <w:sz w:val="18"/>
                <w:szCs w:val="18"/>
              </w:rPr>
            </w:pPr>
            <w:r>
              <w:rPr>
                <w:rFonts w:hint="eastAsia"/>
                <w:sz w:val="18"/>
                <w:szCs w:val="18"/>
              </w:rPr>
              <w:t>近期</w:t>
            </w:r>
            <w:r>
              <w:rPr>
                <w:sz w:val="18"/>
                <w:szCs w:val="18"/>
              </w:rPr>
              <w:t>/dB</w:t>
            </w:r>
            <w:r>
              <w:rPr>
                <w:rFonts w:hint="eastAsia"/>
                <w:sz w:val="18"/>
                <w:szCs w:val="18"/>
              </w:rPr>
              <w:t>（</w:t>
            </w:r>
            <w:r>
              <w:rPr>
                <w:sz w:val="18"/>
                <w:szCs w:val="18"/>
              </w:rPr>
              <w:t>A</w:t>
            </w:r>
            <w:r>
              <w:rPr>
                <w:rFonts w:hint="eastAsia"/>
                <w:sz w:val="18"/>
                <w:szCs w:val="18"/>
              </w:rPr>
              <w:t>）</w:t>
            </w:r>
          </w:p>
        </w:tc>
        <w:tc>
          <w:tcPr>
            <w:tcW w:w="721" w:type="pct"/>
            <w:gridSpan w:val="4"/>
            <w:vAlign w:val="center"/>
          </w:tcPr>
          <w:p>
            <w:pPr>
              <w:pStyle w:val="105"/>
              <w:spacing w:before="0" w:after="0"/>
              <w:jc w:val="center"/>
              <w:rPr>
                <w:sz w:val="18"/>
                <w:szCs w:val="18"/>
              </w:rPr>
            </w:pPr>
            <w:r>
              <w:rPr>
                <w:rFonts w:hint="eastAsia"/>
                <w:sz w:val="18"/>
                <w:szCs w:val="18"/>
              </w:rPr>
              <w:t>中期</w:t>
            </w:r>
            <w:r>
              <w:rPr>
                <w:sz w:val="18"/>
                <w:szCs w:val="18"/>
              </w:rPr>
              <w:t>/dB</w:t>
            </w:r>
            <w:r>
              <w:rPr>
                <w:rFonts w:hint="eastAsia"/>
                <w:sz w:val="18"/>
                <w:szCs w:val="18"/>
              </w:rPr>
              <w:t>（</w:t>
            </w:r>
            <w:r>
              <w:rPr>
                <w:sz w:val="18"/>
                <w:szCs w:val="18"/>
              </w:rPr>
              <w:t>A</w:t>
            </w:r>
            <w:r>
              <w:rPr>
                <w:rFonts w:hint="eastAsia"/>
                <w:sz w:val="18"/>
                <w:szCs w:val="18"/>
              </w:rPr>
              <w:t>）</w:t>
            </w:r>
          </w:p>
        </w:tc>
        <w:tc>
          <w:tcPr>
            <w:tcW w:w="730" w:type="pct"/>
            <w:gridSpan w:val="4"/>
            <w:vAlign w:val="center"/>
          </w:tcPr>
          <w:p>
            <w:pPr>
              <w:pStyle w:val="105"/>
              <w:spacing w:before="0" w:after="0"/>
              <w:jc w:val="center"/>
              <w:rPr>
                <w:sz w:val="18"/>
                <w:szCs w:val="18"/>
              </w:rPr>
            </w:pPr>
            <w:r>
              <w:rPr>
                <w:rFonts w:hint="eastAsia"/>
                <w:sz w:val="18"/>
                <w:szCs w:val="18"/>
              </w:rPr>
              <w:t>远期</w:t>
            </w:r>
            <w:r>
              <w:rPr>
                <w:sz w:val="18"/>
                <w:szCs w:val="18"/>
              </w:rPr>
              <w:t>/dB</w:t>
            </w:r>
            <w:r>
              <w:rPr>
                <w:rFonts w:hint="eastAsia"/>
                <w:sz w:val="18"/>
                <w:szCs w:val="18"/>
              </w:rPr>
              <w:t>（</w:t>
            </w:r>
            <w:r>
              <w:rPr>
                <w:sz w:val="18"/>
                <w:szCs w:val="18"/>
              </w:rPr>
              <w:t>A</w:t>
            </w:r>
            <w:r>
              <w:rPr>
                <w:rFonts w:hint="eastAsia"/>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760" w:type="pct"/>
            <w:gridSpan w:val="2"/>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Merge w:val="continue"/>
            <w:vAlign w:val="center"/>
          </w:tcPr>
          <w:p>
            <w:pPr>
              <w:pStyle w:val="105"/>
              <w:spacing w:before="0" w:after="0"/>
              <w:jc w:val="center"/>
              <w:rPr>
                <w:sz w:val="18"/>
                <w:szCs w:val="18"/>
              </w:rPr>
            </w:pPr>
          </w:p>
        </w:tc>
        <w:tc>
          <w:tcPr>
            <w:tcW w:w="241" w:type="pct"/>
            <w:vMerge w:val="continue"/>
            <w:vAlign w:val="center"/>
          </w:tcPr>
          <w:p>
            <w:pPr>
              <w:pStyle w:val="105"/>
              <w:spacing w:before="0" w:after="0"/>
              <w:jc w:val="center"/>
              <w:rPr>
                <w:sz w:val="18"/>
                <w:szCs w:val="18"/>
              </w:rPr>
            </w:pPr>
          </w:p>
        </w:tc>
        <w:tc>
          <w:tcPr>
            <w:tcW w:w="241" w:type="pct"/>
            <w:vMerge w:val="continue"/>
            <w:vAlign w:val="center"/>
          </w:tcPr>
          <w:p>
            <w:pPr>
              <w:pStyle w:val="105"/>
              <w:spacing w:before="0" w:after="0"/>
              <w:jc w:val="center"/>
              <w:rPr>
                <w:sz w:val="18"/>
                <w:szCs w:val="18"/>
              </w:rPr>
            </w:pPr>
          </w:p>
        </w:tc>
        <w:tc>
          <w:tcPr>
            <w:tcW w:w="241" w:type="pct"/>
            <w:vMerge w:val="continue"/>
            <w:vAlign w:val="center"/>
          </w:tcPr>
          <w:p>
            <w:pPr>
              <w:pStyle w:val="105"/>
              <w:spacing w:before="0" w:after="0"/>
              <w:jc w:val="center"/>
              <w:rPr>
                <w:sz w:val="18"/>
                <w:szCs w:val="18"/>
              </w:rPr>
            </w:pPr>
          </w:p>
        </w:tc>
        <w:tc>
          <w:tcPr>
            <w:tcW w:w="194" w:type="pct"/>
            <w:vAlign w:val="center"/>
          </w:tcPr>
          <w:p>
            <w:pPr>
              <w:pStyle w:val="105"/>
              <w:spacing w:before="0" w:after="0"/>
              <w:jc w:val="center"/>
              <w:rPr>
                <w:sz w:val="18"/>
                <w:szCs w:val="18"/>
              </w:rPr>
            </w:pPr>
            <w:r>
              <w:rPr>
                <w:rFonts w:hint="eastAsia"/>
                <w:sz w:val="18"/>
                <w:szCs w:val="18"/>
              </w:rPr>
              <w:t>贡献值</w:t>
            </w:r>
          </w:p>
        </w:tc>
        <w:tc>
          <w:tcPr>
            <w:tcW w:w="184" w:type="pct"/>
            <w:vAlign w:val="center"/>
          </w:tcPr>
          <w:p>
            <w:pPr>
              <w:pStyle w:val="105"/>
              <w:spacing w:before="0" w:after="0"/>
              <w:jc w:val="center"/>
              <w:rPr>
                <w:sz w:val="18"/>
                <w:szCs w:val="18"/>
              </w:rPr>
            </w:pPr>
            <w:r>
              <w:rPr>
                <w:rFonts w:hint="eastAsia"/>
                <w:sz w:val="18"/>
                <w:szCs w:val="18"/>
              </w:rPr>
              <w:t>预测值</w:t>
            </w:r>
          </w:p>
        </w:tc>
        <w:tc>
          <w:tcPr>
            <w:tcW w:w="236" w:type="pct"/>
            <w:vAlign w:val="center"/>
          </w:tcPr>
          <w:p>
            <w:pPr>
              <w:pStyle w:val="105"/>
              <w:spacing w:before="0" w:after="0"/>
              <w:jc w:val="center"/>
              <w:rPr>
                <w:sz w:val="18"/>
                <w:szCs w:val="18"/>
              </w:rPr>
            </w:pPr>
            <w:r>
              <w:rPr>
                <w:rFonts w:hint="eastAsia"/>
                <w:sz w:val="18"/>
                <w:szCs w:val="18"/>
              </w:rPr>
              <w:t>较现状增量</w:t>
            </w:r>
          </w:p>
        </w:tc>
        <w:tc>
          <w:tcPr>
            <w:tcW w:w="193" w:type="pct"/>
            <w:vAlign w:val="center"/>
          </w:tcPr>
          <w:p>
            <w:pPr>
              <w:pStyle w:val="105"/>
              <w:spacing w:before="0" w:after="0"/>
              <w:jc w:val="center"/>
              <w:rPr>
                <w:sz w:val="18"/>
                <w:szCs w:val="18"/>
              </w:rPr>
            </w:pPr>
            <w:r>
              <w:rPr>
                <w:rFonts w:hint="eastAsia"/>
                <w:sz w:val="18"/>
                <w:szCs w:val="18"/>
              </w:rPr>
              <w:t>超标量</w:t>
            </w:r>
          </w:p>
        </w:tc>
        <w:tc>
          <w:tcPr>
            <w:tcW w:w="146" w:type="pct"/>
            <w:vAlign w:val="center"/>
          </w:tcPr>
          <w:p>
            <w:pPr>
              <w:pStyle w:val="105"/>
              <w:spacing w:before="0" w:after="0"/>
              <w:jc w:val="center"/>
              <w:rPr>
                <w:sz w:val="18"/>
                <w:szCs w:val="18"/>
              </w:rPr>
            </w:pPr>
            <w:r>
              <w:rPr>
                <w:rFonts w:hint="eastAsia"/>
                <w:sz w:val="18"/>
                <w:szCs w:val="18"/>
              </w:rPr>
              <w:t>贡献值</w:t>
            </w:r>
          </w:p>
        </w:tc>
        <w:tc>
          <w:tcPr>
            <w:tcW w:w="169" w:type="pct"/>
            <w:vAlign w:val="center"/>
          </w:tcPr>
          <w:p>
            <w:pPr>
              <w:pStyle w:val="105"/>
              <w:spacing w:before="0" w:after="0"/>
              <w:jc w:val="center"/>
              <w:rPr>
                <w:sz w:val="18"/>
                <w:szCs w:val="18"/>
              </w:rPr>
            </w:pPr>
            <w:r>
              <w:rPr>
                <w:rFonts w:hint="eastAsia"/>
                <w:sz w:val="18"/>
                <w:szCs w:val="18"/>
              </w:rPr>
              <w:t>预测值</w:t>
            </w:r>
          </w:p>
        </w:tc>
        <w:tc>
          <w:tcPr>
            <w:tcW w:w="218" w:type="pct"/>
            <w:vAlign w:val="center"/>
          </w:tcPr>
          <w:p>
            <w:pPr>
              <w:pStyle w:val="105"/>
              <w:spacing w:before="0" w:after="0"/>
              <w:jc w:val="center"/>
              <w:rPr>
                <w:sz w:val="18"/>
                <w:szCs w:val="18"/>
              </w:rPr>
            </w:pPr>
            <w:r>
              <w:rPr>
                <w:rFonts w:hint="eastAsia"/>
                <w:sz w:val="18"/>
                <w:szCs w:val="18"/>
              </w:rPr>
              <w:t>较现状增量</w:t>
            </w:r>
          </w:p>
        </w:tc>
        <w:tc>
          <w:tcPr>
            <w:tcW w:w="188" w:type="pct"/>
            <w:vAlign w:val="center"/>
          </w:tcPr>
          <w:p>
            <w:pPr>
              <w:pStyle w:val="105"/>
              <w:spacing w:before="0" w:after="0"/>
              <w:jc w:val="center"/>
              <w:rPr>
                <w:sz w:val="18"/>
                <w:szCs w:val="18"/>
              </w:rPr>
            </w:pPr>
            <w:r>
              <w:rPr>
                <w:rFonts w:hint="eastAsia"/>
                <w:sz w:val="18"/>
                <w:szCs w:val="18"/>
              </w:rPr>
              <w:t>超标量</w:t>
            </w:r>
          </w:p>
        </w:tc>
        <w:tc>
          <w:tcPr>
            <w:tcW w:w="182" w:type="pct"/>
            <w:vAlign w:val="center"/>
          </w:tcPr>
          <w:p>
            <w:pPr>
              <w:pStyle w:val="105"/>
              <w:spacing w:before="0" w:after="0"/>
              <w:jc w:val="center"/>
              <w:rPr>
                <w:sz w:val="18"/>
                <w:szCs w:val="18"/>
              </w:rPr>
            </w:pPr>
            <w:r>
              <w:rPr>
                <w:rFonts w:hint="eastAsia"/>
                <w:sz w:val="18"/>
                <w:szCs w:val="18"/>
              </w:rPr>
              <w:t>贡献值</w:t>
            </w:r>
          </w:p>
        </w:tc>
        <w:tc>
          <w:tcPr>
            <w:tcW w:w="164" w:type="pct"/>
            <w:vAlign w:val="center"/>
          </w:tcPr>
          <w:p>
            <w:pPr>
              <w:pStyle w:val="105"/>
              <w:spacing w:before="0" w:after="0"/>
              <w:jc w:val="center"/>
              <w:rPr>
                <w:sz w:val="18"/>
                <w:szCs w:val="18"/>
              </w:rPr>
            </w:pPr>
            <w:r>
              <w:rPr>
                <w:rFonts w:hint="eastAsia"/>
                <w:sz w:val="18"/>
                <w:szCs w:val="18"/>
              </w:rPr>
              <w:t>预测值</w:t>
            </w:r>
          </w:p>
        </w:tc>
        <w:tc>
          <w:tcPr>
            <w:tcW w:w="232" w:type="pct"/>
            <w:vAlign w:val="center"/>
          </w:tcPr>
          <w:p>
            <w:pPr>
              <w:pStyle w:val="105"/>
              <w:spacing w:before="0" w:after="0"/>
              <w:jc w:val="center"/>
              <w:rPr>
                <w:sz w:val="18"/>
                <w:szCs w:val="18"/>
              </w:rPr>
            </w:pPr>
            <w:r>
              <w:rPr>
                <w:rFonts w:hint="eastAsia"/>
                <w:sz w:val="18"/>
                <w:szCs w:val="18"/>
              </w:rPr>
              <w:t>较现状增量</w:t>
            </w:r>
          </w:p>
        </w:tc>
        <w:tc>
          <w:tcPr>
            <w:tcW w:w="152" w:type="pct"/>
            <w:vAlign w:val="center"/>
          </w:tcPr>
          <w:p>
            <w:pPr>
              <w:pStyle w:val="105"/>
              <w:spacing w:before="0" w:after="0"/>
              <w:jc w:val="center"/>
              <w:rPr>
                <w:sz w:val="18"/>
                <w:szCs w:val="18"/>
              </w:rPr>
            </w:pPr>
            <w:r>
              <w:rPr>
                <w:rFonts w:hint="eastAsia"/>
                <w:sz w:val="18"/>
                <w:szCs w:val="18"/>
              </w:rPr>
              <w:t>超标量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sz w:val="18"/>
                <w:szCs w:val="18"/>
              </w:rPr>
              <w:t>1</w:t>
            </w:r>
          </w:p>
        </w:tc>
        <w:tc>
          <w:tcPr>
            <w:tcW w:w="152" w:type="pct"/>
            <w:vMerge w:val="restart"/>
            <w:vAlign w:val="center"/>
          </w:tcPr>
          <w:p>
            <w:pPr>
              <w:pStyle w:val="105"/>
              <w:spacing w:before="0" w:after="0"/>
              <w:jc w:val="center"/>
              <w:rPr>
                <w:sz w:val="18"/>
                <w:szCs w:val="18"/>
              </w:rPr>
            </w:pPr>
            <w:bookmarkStart w:id="483" w:name="_Hlk197435559"/>
            <w:r>
              <w:rPr>
                <w:rFonts w:hint="eastAsia"/>
                <w:sz w:val="18"/>
                <w:szCs w:val="18"/>
              </w:rPr>
              <w:t>牌边村新桥</w:t>
            </w:r>
            <w:bookmarkEnd w:id="483"/>
          </w:p>
        </w:tc>
        <w:tc>
          <w:tcPr>
            <w:tcW w:w="608" w:type="pct"/>
            <w:vMerge w:val="restart"/>
            <w:vAlign w:val="center"/>
          </w:tcPr>
          <w:p>
            <w:pPr>
              <w:pStyle w:val="105"/>
              <w:spacing w:before="0" w:after="0"/>
              <w:jc w:val="center"/>
              <w:rPr>
                <w:sz w:val="18"/>
                <w:szCs w:val="18"/>
              </w:rPr>
            </w:pPr>
            <w:r>
              <w:rPr>
                <w:rFonts w:hint="eastAsia"/>
                <w:sz w:val="18"/>
                <w:szCs w:val="18"/>
              </w:rPr>
              <w:t>临拟建公路第一排1</w:t>
            </w:r>
            <w:r>
              <w:rPr>
                <w:sz w:val="18"/>
                <w:szCs w:val="18"/>
              </w:rPr>
              <w:t>F</w:t>
            </w:r>
            <w:r>
              <w:rPr>
                <w:rFonts w:hint="eastAsia"/>
                <w:sz w:val="18"/>
                <w:szCs w:val="18"/>
              </w:rPr>
              <w:t>（G</w:t>
            </w:r>
            <w:r>
              <w:rPr>
                <w:sz w:val="18"/>
                <w:szCs w:val="18"/>
              </w:rPr>
              <w:t>324</w:t>
            </w:r>
            <w:r>
              <w:rPr>
                <w:rFonts w:hint="eastAsia"/>
                <w:sz w:val="18"/>
                <w:szCs w:val="18"/>
              </w:rPr>
              <w:t>国道后排）</w:t>
            </w:r>
          </w:p>
        </w:tc>
        <w:tc>
          <w:tcPr>
            <w:tcW w:w="253" w:type="pct"/>
            <w:vMerge w:val="restart"/>
            <w:vAlign w:val="center"/>
          </w:tcPr>
          <w:p>
            <w:pPr>
              <w:pStyle w:val="105"/>
              <w:spacing w:before="0" w:after="0"/>
              <w:jc w:val="center"/>
              <w:rPr>
                <w:sz w:val="18"/>
                <w:szCs w:val="18"/>
              </w:rPr>
            </w:pPr>
            <w:r>
              <w:rPr>
                <w:sz w:val="18"/>
                <w:szCs w:val="18"/>
              </w:rPr>
              <w:t>13</w:t>
            </w:r>
          </w:p>
        </w:tc>
        <w:tc>
          <w:tcPr>
            <w:tcW w:w="202" w:type="pct"/>
            <w:vMerge w:val="restart"/>
            <w:vAlign w:val="center"/>
          </w:tcPr>
          <w:p>
            <w:pPr>
              <w:pStyle w:val="105"/>
              <w:spacing w:before="0" w:after="0"/>
              <w:jc w:val="center"/>
              <w:rPr>
                <w:sz w:val="18"/>
                <w:szCs w:val="18"/>
              </w:rPr>
            </w:pPr>
            <w:r>
              <w:rPr>
                <w:rFonts w:hint="eastAsia"/>
                <w:sz w:val="18"/>
                <w:szCs w:val="18"/>
              </w:rPr>
              <w:t>0</w:t>
            </w:r>
            <w:r>
              <w:rPr>
                <w:sz w:val="18"/>
                <w:szCs w:val="18"/>
                <w:vertAlign w:val="superscript"/>
              </w:rPr>
              <w:t>~</w:t>
            </w:r>
            <w:r>
              <w:rPr>
                <w:sz w:val="18"/>
                <w:szCs w:val="18"/>
              </w:rPr>
              <w:t>2</w:t>
            </w:r>
          </w:p>
        </w:tc>
        <w:tc>
          <w:tcPr>
            <w:tcW w:w="203" w:type="pct"/>
            <w:vMerge w:val="restart"/>
            <w:vAlign w:val="center"/>
          </w:tcPr>
          <w:p>
            <w:pPr>
              <w:pStyle w:val="105"/>
              <w:spacing w:before="0" w:after="0"/>
              <w:jc w:val="center"/>
              <w:rPr>
                <w:sz w:val="18"/>
                <w:szCs w:val="18"/>
              </w:rPr>
            </w:pPr>
            <w:r>
              <w:rPr>
                <w:rFonts w:hint="eastAsia"/>
                <w:sz w:val="18"/>
                <w:szCs w:val="18"/>
              </w:rPr>
              <w:t>3</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sz w:val="18"/>
                <w:szCs w:val="18"/>
              </w:rPr>
            </w:pPr>
            <w:r>
              <w:rPr>
                <w:rFonts w:cs="Times New Roman"/>
                <w:sz w:val="18"/>
                <w:szCs w:val="18"/>
              </w:rPr>
              <w:t>54</w:t>
            </w:r>
          </w:p>
        </w:tc>
        <w:tc>
          <w:tcPr>
            <w:tcW w:w="241" w:type="pct"/>
            <w:vAlign w:val="center"/>
          </w:tcPr>
          <w:p>
            <w:pPr>
              <w:pStyle w:val="105"/>
              <w:spacing w:before="0" w:after="0"/>
              <w:jc w:val="center"/>
              <w:rPr>
                <w:sz w:val="18"/>
                <w:szCs w:val="18"/>
              </w:rPr>
            </w:pPr>
            <w:r>
              <w:rPr>
                <w:rFonts w:cs="Times New Roman"/>
                <w:sz w:val="18"/>
                <w:szCs w:val="18"/>
              </w:rPr>
              <w:t>54</w:t>
            </w:r>
          </w:p>
        </w:tc>
        <w:tc>
          <w:tcPr>
            <w:tcW w:w="194" w:type="pct"/>
            <w:vAlign w:val="center"/>
          </w:tcPr>
          <w:p>
            <w:pPr>
              <w:pStyle w:val="105"/>
              <w:spacing w:before="0" w:after="0"/>
              <w:jc w:val="center"/>
              <w:rPr>
                <w:sz w:val="18"/>
                <w:szCs w:val="18"/>
              </w:rPr>
            </w:pPr>
            <w:r>
              <w:rPr>
                <w:rFonts w:cs="Times New Roman"/>
                <w:sz w:val="18"/>
                <w:szCs w:val="18"/>
              </w:rPr>
              <w:t>66.4</w:t>
            </w:r>
          </w:p>
        </w:tc>
        <w:tc>
          <w:tcPr>
            <w:tcW w:w="184" w:type="pct"/>
            <w:vAlign w:val="center"/>
          </w:tcPr>
          <w:p>
            <w:pPr>
              <w:pStyle w:val="105"/>
              <w:spacing w:before="0" w:after="0"/>
              <w:jc w:val="center"/>
              <w:rPr>
                <w:sz w:val="18"/>
                <w:szCs w:val="18"/>
              </w:rPr>
            </w:pPr>
            <w:r>
              <w:rPr>
                <w:rFonts w:cs="Times New Roman"/>
                <w:sz w:val="18"/>
                <w:szCs w:val="18"/>
              </w:rPr>
              <w:t>66.6</w:t>
            </w:r>
          </w:p>
        </w:tc>
        <w:tc>
          <w:tcPr>
            <w:tcW w:w="236" w:type="pct"/>
            <w:vAlign w:val="center"/>
          </w:tcPr>
          <w:p>
            <w:pPr>
              <w:pStyle w:val="105"/>
              <w:spacing w:before="0" w:after="0"/>
              <w:jc w:val="center"/>
              <w:rPr>
                <w:sz w:val="18"/>
                <w:szCs w:val="18"/>
              </w:rPr>
            </w:pPr>
            <w:r>
              <w:rPr>
                <w:rFonts w:cs="Times New Roman"/>
                <w:sz w:val="18"/>
                <w:szCs w:val="18"/>
              </w:rPr>
              <w:t>12.6</w:t>
            </w:r>
          </w:p>
        </w:tc>
        <w:tc>
          <w:tcPr>
            <w:tcW w:w="193" w:type="pct"/>
            <w:vAlign w:val="center"/>
          </w:tcPr>
          <w:p>
            <w:pPr>
              <w:pStyle w:val="105"/>
              <w:spacing w:before="0" w:after="0"/>
              <w:jc w:val="center"/>
              <w:rPr>
                <w:sz w:val="18"/>
                <w:szCs w:val="18"/>
              </w:rPr>
            </w:pPr>
            <w:r>
              <w:rPr>
                <w:rFonts w:cs="Times New Roman"/>
                <w:sz w:val="18"/>
                <w:szCs w:val="18"/>
              </w:rPr>
              <w:t>/</w:t>
            </w:r>
          </w:p>
        </w:tc>
        <w:tc>
          <w:tcPr>
            <w:tcW w:w="146" w:type="pct"/>
            <w:vAlign w:val="center"/>
          </w:tcPr>
          <w:p>
            <w:pPr>
              <w:pStyle w:val="105"/>
              <w:spacing w:before="0" w:after="0"/>
              <w:jc w:val="center"/>
              <w:rPr>
                <w:sz w:val="18"/>
                <w:szCs w:val="18"/>
              </w:rPr>
            </w:pPr>
            <w:r>
              <w:rPr>
                <w:rFonts w:cs="Times New Roman"/>
                <w:sz w:val="18"/>
                <w:szCs w:val="18"/>
              </w:rPr>
              <w:t>68.1</w:t>
            </w:r>
          </w:p>
        </w:tc>
        <w:tc>
          <w:tcPr>
            <w:tcW w:w="169" w:type="pct"/>
            <w:vAlign w:val="center"/>
          </w:tcPr>
          <w:p>
            <w:pPr>
              <w:pStyle w:val="105"/>
              <w:spacing w:before="0" w:after="0"/>
              <w:jc w:val="center"/>
              <w:rPr>
                <w:sz w:val="18"/>
                <w:szCs w:val="18"/>
              </w:rPr>
            </w:pPr>
            <w:r>
              <w:rPr>
                <w:rFonts w:cs="Times New Roman"/>
                <w:sz w:val="18"/>
                <w:szCs w:val="18"/>
              </w:rPr>
              <w:t>68.2</w:t>
            </w:r>
          </w:p>
        </w:tc>
        <w:tc>
          <w:tcPr>
            <w:tcW w:w="218" w:type="pct"/>
            <w:vAlign w:val="center"/>
          </w:tcPr>
          <w:p>
            <w:pPr>
              <w:pStyle w:val="105"/>
              <w:spacing w:before="0" w:after="0"/>
              <w:jc w:val="center"/>
              <w:rPr>
                <w:sz w:val="18"/>
                <w:szCs w:val="18"/>
              </w:rPr>
            </w:pPr>
            <w:r>
              <w:rPr>
                <w:rFonts w:cs="Times New Roman"/>
                <w:sz w:val="18"/>
                <w:szCs w:val="18"/>
              </w:rPr>
              <w:t>14.2</w:t>
            </w:r>
          </w:p>
        </w:tc>
        <w:tc>
          <w:tcPr>
            <w:tcW w:w="188" w:type="pct"/>
            <w:vAlign w:val="center"/>
          </w:tcPr>
          <w:p>
            <w:pPr>
              <w:pStyle w:val="105"/>
              <w:spacing w:before="0" w:after="0"/>
              <w:jc w:val="center"/>
              <w:rPr>
                <w:sz w:val="18"/>
                <w:szCs w:val="18"/>
              </w:rPr>
            </w:pPr>
            <w:r>
              <w:rPr>
                <w:rFonts w:cs="Times New Roman"/>
                <w:sz w:val="18"/>
                <w:szCs w:val="18"/>
              </w:rPr>
              <w:t>/</w:t>
            </w:r>
          </w:p>
        </w:tc>
        <w:tc>
          <w:tcPr>
            <w:tcW w:w="182" w:type="pct"/>
            <w:vAlign w:val="center"/>
          </w:tcPr>
          <w:p>
            <w:pPr>
              <w:pStyle w:val="105"/>
              <w:spacing w:before="0" w:after="0"/>
              <w:jc w:val="center"/>
              <w:rPr>
                <w:sz w:val="18"/>
                <w:szCs w:val="18"/>
              </w:rPr>
            </w:pPr>
            <w:r>
              <w:rPr>
                <w:rFonts w:cs="Times New Roman"/>
                <w:sz w:val="18"/>
                <w:szCs w:val="18"/>
              </w:rPr>
              <w:t>68.3</w:t>
            </w:r>
          </w:p>
        </w:tc>
        <w:tc>
          <w:tcPr>
            <w:tcW w:w="164" w:type="pct"/>
            <w:vAlign w:val="center"/>
          </w:tcPr>
          <w:p>
            <w:pPr>
              <w:pStyle w:val="105"/>
              <w:spacing w:before="0" w:after="0"/>
              <w:jc w:val="center"/>
              <w:rPr>
                <w:sz w:val="18"/>
                <w:szCs w:val="18"/>
              </w:rPr>
            </w:pPr>
            <w:r>
              <w:rPr>
                <w:rFonts w:cs="Times New Roman"/>
                <w:sz w:val="18"/>
                <w:szCs w:val="18"/>
              </w:rPr>
              <w:t>68.5</w:t>
            </w:r>
          </w:p>
        </w:tc>
        <w:tc>
          <w:tcPr>
            <w:tcW w:w="232" w:type="pct"/>
            <w:vAlign w:val="center"/>
          </w:tcPr>
          <w:p>
            <w:pPr>
              <w:pStyle w:val="105"/>
              <w:spacing w:before="0" w:after="0"/>
              <w:jc w:val="center"/>
              <w:rPr>
                <w:sz w:val="18"/>
                <w:szCs w:val="18"/>
              </w:rPr>
            </w:pPr>
            <w:r>
              <w:rPr>
                <w:rFonts w:cs="Times New Roman"/>
                <w:sz w:val="18"/>
                <w:szCs w:val="18"/>
              </w:rPr>
              <w:t>14.5</w:t>
            </w:r>
          </w:p>
        </w:tc>
        <w:tc>
          <w:tcPr>
            <w:tcW w:w="152" w:type="pct"/>
            <w:vAlign w:val="center"/>
          </w:tcPr>
          <w:p>
            <w:pPr>
              <w:pStyle w:val="105"/>
              <w:spacing w:before="0" w:after="0"/>
              <w:jc w:val="center"/>
              <w:rPr>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sz w:val="18"/>
                <w:szCs w:val="18"/>
              </w:rPr>
            </w:pPr>
            <w:r>
              <w:rPr>
                <w:rFonts w:cs="Times New Roman"/>
                <w:sz w:val="18"/>
                <w:szCs w:val="18"/>
              </w:rPr>
              <w:t>47</w:t>
            </w:r>
          </w:p>
        </w:tc>
        <w:tc>
          <w:tcPr>
            <w:tcW w:w="241" w:type="pct"/>
            <w:vAlign w:val="center"/>
          </w:tcPr>
          <w:p>
            <w:pPr>
              <w:pStyle w:val="105"/>
              <w:spacing w:before="0" w:after="0"/>
              <w:jc w:val="center"/>
              <w:rPr>
                <w:sz w:val="18"/>
                <w:szCs w:val="18"/>
              </w:rPr>
            </w:pPr>
            <w:r>
              <w:rPr>
                <w:rFonts w:cs="Times New Roman"/>
                <w:sz w:val="18"/>
                <w:szCs w:val="18"/>
              </w:rPr>
              <w:t>47</w:t>
            </w:r>
          </w:p>
        </w:tc>
        <w:tc>
          <w:tcPr>
            <w:tcW w:w="194" w:type="pct"/>
            <w:vAlign w:val="center"/>
          </w:tcPr>
          <w:p>
            <w:pPr>
              <w:pStyle w:val="105"/>
              <w:spacing w:before="0" w:after="0"/>
              <w:jc w:val="center"/>
              <w:rPr>
                <w:sz w:val="18"/>
                <w:szCs w:val="18"/>
              </w:rPr>
            </w:pPr>
            <w:r>
              <w:rPr>
                <w:rFonts w:cs="Times New Roman"/>
                <w:sz w:val="18"/>
                <w:szCs w:val="18"/>
              </w:rPr>
              <w:t>58.8</w:t>
            </w:r>
          </w:p>
        </w:tc>
        <w:tc>
          <w:tcPr>
            <w:tcW w:w="184" w:type="pct"/>
            <w:vAlign w:val="center"/>
          </w:tcPr>
          <w:p>
            <w:pPr>
              <w:pStyle w:val="105"/>
              <w:spacing w:before="0" w:after="0"/>
              <w:jc w:val="center"/>
              <w:rPr>
                <w:sz w:val="18"/>
                <w:szCs w:val="18"/>
              </w:rPr>
            </w:pPr>
            <w:r>
              <w:rPr>
                <w:rFonts w:cs="Times New Roman"/>
                <w:sz w:val="18"/>
                <w:szCs w:val="18"/>
              </w:rPr>
              <w:t>59.1</w:t>
            </w:r>
          </w:p>
        </w:tc>
        <w:tc>
          <w:tcPr>
            <w:tcW w:w="236" w:type="pct"/>
            <w:vAlign w:val="center"/>
          </w:tcPr>
          <w:p>
            <w:pPr>
              <w:pStyle w:val="105"/>
              <w:spacing w:before="0" w:after="0"/>
              <w:jc w:val="center"/>
              <w:rPr>
                <w:sz w:val="18"/>
                <w:szCs w:val="18"/>
              </w:rPr>
            </w:pPr>
            <w:r>
              <w:rPr>
                <w:rFonts w:cs="Times New Roman"/>
                <w:sz w:val="18"/>
                <w:szCs w:val="18"/>
              </w:rPr>
              <w:t>12.1</w:t>
            </w:r>
          </w:p>
        </w:tc>
        <w:tc>
          <w:tcPr>
            <w:tcW w:w="193" w:type="pct"/>
            <w:vAlign w:val="center"/>
          </w:tcPr>
          <w:p>
            <w:pPr>
              <w:pStyle w:val="105"/>
              <w:spacing w:before="0" w:after="0"/>
              <w:jc w:val="center"/>
              <w:rPr>
                <w:sz w:val="18"/>
                <w:szCs w:val="18"/>
              </w:rPr>
            </w:pPr>
            <w:r>
              <w:rPr>
                <w:rFonts w:cs="Times New Roman"/>
                <w:sz w:val="18"/>
                <w:szCs w:val="18"/>
              </w:rPr>
              <w:t>4.1</w:t>
            </w:r>
          </w:p>
        </w:tc>
        <w:tc>
          <w:tcPr>
            <w:tcW w:w="146" w:type="pct"/>
            <w:vAlign w:val="center"/>
          </w:tcPr>
          <w:p>
            <w:pPr>
              <w:pStyle w:val="105"/>
              <w:spacing w:before="0" w:after="0"/>
              <w:jc w:val="center"/>
              <w:rPr>
                <w:sz w:val="18"/>
                <w:szCs w:val="18"/>
              </w:rPr>
            </w:pPr>
            <w:r>
              <w:rPr>
                <w:rFonts w:cs="Times New Roman"/>
                <w:sz w:val="18"/>
                <w:szCs w:val="18"/>
              </w:rPr>
              <w:t>59.3</w:t>
            </w:r>
          </w:p>
        </w:tc>
        <w:tc>
          <w:tcPr>
            <w:tcW w:w="169" w:type="pct"/>
            <w:vAlign w:val="center"/>
          </w:tcPr>
          <w:p>
            <w:pPr>
              <w:pStyle w:val="105"/>
              <w:spacing w:before="0" w:after="0"/>
              <w:jc w:val="center"/>
              <w:rPr>
                <w:sz w:val="18"/>
                <w:szCs w:val="18"/>
              </w:rPr>
            </w:pPr>
            <w:r>
              <w:rPr>
                <w:rFonts w:cs="Times New Roman"/>
                <w:sz w:val="18"/>
                <w:szCs w:val="18"/>
              </w:rPr>
              <w:t>59.5</w:t>
            </w:r>
          </w:p>
        </w:tc>
        <w:tc>
          <w:tcPr>
            <w:tcW w:w="218" w:type="pct"/>
            <w:vAlign w:val="center"/>
          </w:tcPr>
          <w:p>
            <w:pPr>
              <w:pStyle w:val="105"/>
              <w:spacing w:before="0" w:after="0"/>
              <w:jc w:val="center"/>
              <w:rPr>
                <w:sz w:val="18"/>
                <w:szCs w:val="18"/>
              </w:rPr>
            </w:pPr>
            <w:r>
              <w:rPr>
                <w:rFonts w:cs="Times New Roman"/>
                <w:sz w:val="18"/>
                <w:szCs w:val="18"/>
              </w:rPr>
              <w:t>12.5</w:t>
            </w:r>
          </w:p>
        </w:tc>
        <w:tc>
          <w:tcPr>
            <w:tcW w:w="188" w:type="pct"/>
            <w:vAlign w:val="center"/>
          </w:tcPr>
          <w:p>
            <w:pPr>
              <w:pStyle w:val="105"/>
              <w:spacing w:before="0" w:after="0"/>
              <w:jc w:val="center"/>
              <w:rPr>
                <w:sz w:val="18"/>
                <w:szCs w:val="18"/>
              </w:rPr>
            </w:pPr>
            <w:r>
              <w:rPr>
                <w:rFonts w:cs="Times New Roman"/>
                <w:sz w:val="18"/>
                <w:szCs w:val="18"/>
              </w:rPr>
              <w:t>4.5</w:t>
            </w:r>
          </w:p>
        </w:tc>
        <w:tc>
          <w:tcPr>
            <w:tcW w:w="182" w:type="pct"/>
            <w:vAlign w:val="center"/>
          </w:tcPr>
          <w:p>
            <w:pPr>
              <w:pStyle w:val="105"/>
              <w:spacing w:before="0" w:after="0"/>
              <w:jc w:val="center"/>
              <w:rPr>
                <w:sz w:val="18"/>
                <w:szCs w:val="18"/>
              </w:rPr>
            </w:pPr>
            <w:r>
              <w:rPr>
                <w:rFonts w:cs="Times New Roman"/>
                <w:sz w:val="18"/>
                <w:szCs w:val="18"/>
              </w:rPr>
              <w:t>59.5</w:t>
            </w:r>
          </w:p>
        </w:tc>
        <w:tc>
          <w:tcPr>
            <w:tcW w:w="164" w:type="pct"/>
            <w:vAlign w:val="center"/>
          </w:tcPr>
          <w:p>
            <w:pPr>
              <w:pStyle w:val="105"/>
              <w:spacing w:before="0" w:after="0"/>
              <w:jc w:val="center"/>
              <w:rPr>
                <w:sz w:val="18"/>
                <w:szCs w:val="18"/>
              </w:rPr>
            </w:pPr>
            <w:r>
              <w:rPr>
                <w:rFonts w:cs="Times New Roman"/>
                <w:sz w:val="18"/>
                <w:szCs w:val="18"/>
              </w:rPr>
              <w:t>59.8</w:t>
            </w:r>
          </w:p>
        </w:tc>
        <w:tc>
          <w:tcPr>
            <w:tcW w:w="232" w:type="pct"/>
            <w:vAlign w:val="center"/>
          </w:tcPr>
          <w:p>
            <w:pPr>
              <w:pStyle w:val="105"/>
              <w:spacing w:before="0" w:after="0"/>
              <w:jc w:val="center"/>
              <w:rPr>
                <w:sz w:val="18"/>
                <w:szCs w:val="18"/>
              </w:rPr>
            </w:pPr>
            <w:r>
              <w:rPr>
                <w:rFonts w:cs="Times New Roman"/>
                <w:sz w:val="18"/>
                <w:szCs w:val="18"/>
              </w:rPr>
              <w:t>12.8</w:t>
            </w:r>
          </w:p>
        </w:tc>
        <w:tc>
          <w:tcPr>
            <w:tcW w:w="152" w:type="pct"/>
            <w:vAlign w:val="center"/>
          </w:tcPr>
          <w:p>
            <w:pPr>
              <w:pStyle w:val="105"/>
              <w:spacing w:before="0" w:after="0"/>
              <w:jc w:val="center"/>
              <w:rPr>
                <w:sz w:val="18"/>
                <w:szCs w:val="18"/>
              </w:rPr>
            </w:pPr>
            <w:r>
              <w:rPr>
                <w:rFonts w:cs="Times New Roman"/>
                <w:sz w:val="18"/>
                <w:szCs w:val="18"/>
              </w:rPr>
              <w:t>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临拟建公路第一排</w:t>
            </w:r>
            <w:r>
              <w:rPr>
                <w:sz w:val="18"/>
                <w:szCs w:val="18"/>
              </w:rPr>
              <w:t>3F</w:t>
            </w:r>
            <w:r>
              <w:rPr>
                <w:rFonts w:hint="eastAsia"/>
                <w:sz w:val="18"/>
                <w:szCs w:val="18"/>
              </w:rPr>
              <w:t>（G</w:t>
            </w:r>
            <w:r>
              <w:rPr>
                <w:sz w:val="18"/>
                <w:szCs w:val="18"/>
              </w:rPr>
              <w:t>324</w:t>
            </w:r>
            <w:r>
              <w:rPr>
                <w:rFonts w:hint="eastAsia"/>
                <w:sz w:val="18"/>
                <w:szCs w:val="18"/>
              </w:rPr>
              <w:t>国道后排）</w:t>
            </w:r>
          </w:p>
        </w:tc>
        <w:tc>
          <w:tcPr>
            <w:tcW w:w="253" w:type="pct"/>
            <w:vMerge w:val="continue"/>
            <w:vAlign w:val="center"/>
          </w:tcPr>
          <w:p>
            <w:pPr>
              <w:pStyle w:val="105"/>
              <w:spacing w:before="0" w:after="0"/>
              <w:jc w:val="center"/>
              <w:rPr>
                <w:sz w:val="18"/>
                <w:szCs w:val="18"/>
              </w:rPr>
            </w:pPr>
          </w:p>
        </w:tc>
        <w:tc>
          <w:tcPr>
            <w:tcW w:w="202" w:type="pct"/>
            <w:vMerge w:val="restart"/>
            <w:vAlign w:val="center"/>
          </w:tcPr>
          <w:p>
            <w:pPr>
              <w:pStyle w:val="105"/>
              <w:spacing w:before="0" w:after="0"/>
              <w:jc w:val="center"/>
              <w:rPr>
                <w:sz w:val="18"/>
                <w:szCs w:val="18"/>
              </w:rPr>
            </w:pPr>
            <w:r>
              <w:rPr>
                <w:sz w:val="18"/>
                <w:szCs w:val="18"/>
              </w:rPr>
              <w:t>6~8</w:t>
            </w: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rFonts w:cs="Times New Roman"/>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53</w:t>
            </w:r>
          </w:p>
        </w:tc>
        <w:tc>
          <w:tcPr>
            <w:tcW w:w="241" w:type="pct"/>
            <w:vAlign w:val="center"/>
          </w:tcPr>
          <w:p>
            <w:pPr>
              <w:pStyle w:val="105"/>
              <w:spacing w:before="0" w:after="0"/>
              <w:jc w:val="center"/>
              <w:rPr>
                <w:rFonts w:cs="Times New Roman"/>
                <w:sz w:val="18"/>
                <w:szCs w:val="18"/>
              </w:rPr>
            </w:pPr>
            <w:r>
              <w:rPr>
                <w:rFonts w:cs="Times New Roman"/>
                <w:sz w:val="18"/>
                <w:szCs w:val="18"/>
              </w:rPr>
              <w:t>53</w:t>
            </w:r>
          </w:p>
        </w:tc>
        <w:tc>
          <w:tcPr>
            <w:tcW w:w="194" w:type="pct"/>
            <w:vAlign w:val="center"/>
          </w:tcPr>
          <w:p>
            <w:pPr>
              <w:pStyle w:val="105"/>
              <w:spacing w:before="0" w:after="0"/>
              <w:jc w:val="center"/>
              <w:rPr>
                <w:rFonts w:cs="Times New Roman"/>
                <w:sz w:val="18"/>
                <w:szCs w:val="18"/>
                <w:highlight w:val="red"/>
              </w:rPr>
            </w:pPr>
            <w:r>
              <w:rPr>
                <w:rFonts w:cs="Times New Roman"/>
                <w:sz w:val="18"/>
                <w:szCs w:val="18"/>
              </w:rPr>
              <w:t>66.5</w:t>
            </w:r>
          </w:p>
        </w:tc>
        <w:tc>
          <w:tcPr>
            <w:tcW w:w="184" w:type="pct"/>
            <w:vAlign w:val="center"/>
          </w:tcPr>
          <w:p>
            <w:pPr>
              <w:pStyle w:val="105"/>
              <w:spacing w:before="0" w:after="0"/>
              <w:jc w:val="center"/>
              <w:rPr>
                <w:rFonts w:cs="Times New Roman"/>
                <w:sz w:val="18"/>
                <w:szCs w:val="18"/>
                <w:highlight w:val="red"/>
              </w:rPr>
            </w:pPr>
            <w:r>
              <w:rPr>
                <w:rFonts w:cs="Times New Roman"/>
                <w:sz w:val="18"/>
                <w:szCs w:val="18"/>
              </w:rPr>
              <w:t>66.7</w:t>
            </w:r>
          </w:p>
        </w:tc>
        <w:tc>
          <w:tcPr>
            <w:tcW w:w="236" w:type="pct"/>
            <w:vAlign w:val="center"/>
          </w:tcPr>
          <w:p>
            <w:pPr>
              <w:pStyle w:val="105"/>
              <w:spacing w:before="0" w:after="0"/>
              <w:jc w:val="center"/>
              <w:rPr>
                <w:rFonts w:cs="Times New Roman"/>
                <w:sz w:val="18"/>
                <w:szCs w:val="18"/>
                <w:highlight w:val="red"/>
              </w:rPr>
            </w:pPr>
            <w:r>
              <w:rPr>
                <w:rFonts w:cs="Times New Roman"/>
                <w:sz w:val="18"/>
                <w:szCs w:val="18"/>
              </w:rPr>
              <w:t>13.7</w:t>
            </w:r>
          </w:p>
        </w:tc>
        <w:tc>
          <w:tcPr>
            <w:tcW w:w="193" w:type="pct"/>
            <w:vAlign w:val="center"/>
          </w:tcPr>
          <w:p>
            <w:pPr>
              <w:pStyle w:val="105"/>
              <w:spacing w:before="0" w:after="0"/>
              <w:jc w:val="center"/>
              <w:rPr>
                <w:rFonts w:cs="Times New Roman"/>
                <w:sz w:val="18"/>
                <w:szCs w:val="18"/>
                <w:highlight w:val="red"/>
              </w:rPr>
            </w:pPr>
            <w:r>
              <w:rPr>
                <w:rFonts w:cs="Times New Roman"/>
                <w:sz w:val="18"/>
                <w:szCs w:val="18"/>
              </w:rPr>
              <w:t>/</w:t>
            </w:r>
          </w:p>
        </w:tc>
        <w:tc>
          <w:tcPr>
            <w:tcW w:w="146" w:type="pct"/>
            <w:vAlign w:val="center"/>
          </w:tcPr>
          <w:p>
            <w:pPr>
              <w:pStyle w:val="105"/>
              <w:spacing w:before="0" w:after="0"/>
              <w:jc w:val="center"/>
              <w:rPr>
                <w:rFonts w:cs="Times New Roman"/>
                <w:sz w:val="18"/>
                <w:szCs w:val="18"/>
                <w:highlight w:val="red"/>
              </w:rPr>
            </w:pPr>
            <w:r>
              <w:rPr>
                <w:rFonts w:cs="Times New Roman"/>
                <w:sz w:val="18"/>
                <w:szCs w:val="18"/>
              </w:rPr>
              <w:t>68.2</w:t>
            </w:r>
          </w:p>
        </w:tc>
        <w:tc>
          <w:tcPr>
            <w:tcW w:w="169" w:type="pct"/>
            <w:vAlign w:val="center"/>
          </w:tcPr>
          <w:p>
            <w:pPr>
              <w:pStyle w:val="105"/>
              <w:spacing w:before="0" w:after="0"/>
              <w:jc w:val="center"/>
              <w:rPr>
                <w:rFonts w:cs="Times New Roman"/>
                <w:sz w:val="18"/>
                <w:szCs w:val="18"/>
                <w:highlight w:val="red"/>
              </w:rPr>
            </w:pPr>
            <w:r>
              <w:rPr>
                <w:rFonts w:cs="Times New Roman"/>
                <w:sz w:val="18"/>
                <w:szCs w:val="18"/>
              </w:rPr>
              <w:t>68.3</w:t>
            </w:r>
          </w:p>
        </w:tc>
        <w:tc>
          <w:tcPr>
            <w:tcW w:w="218" w:type="pct"/>
            <w:vAlign w:val="center"/>
          </w:tcPr>
          <w:p>
            <w:pPr>
              <w:pStyle w:val="105"/>
              <w:spacing w:before="0" w:after="0"/>
              <w:jc w:val="center"/>
              <w:rPr>
                <w:rFonts w:cs="Times New Roman"/>
                <w:sz w:val="18"/>
                <w:szCs w:val="18"/>
                <w:highlight w:val="red"/>
              </w:rPr>
            </w:pPr>
            <w:r>
              <w:rPr>
                <w:rFonts w:cs="Times New Roman"/>
                <w:sz w:val="18"/>
                <w:szCs w:val="18"/>
              </w:rPr>
              <w:t>15.3</w:t>
            </w:r>
          </w:p>
        </w:tc>
        <w:tc>
          <w:tcPr>
            <w:tcW w:w="188" w:type="pct"/>
            <w:vAlign w:val="center"/>
          </w:tcPr>
          <w:p>
            <w:pPr>
              <w:pStyle w:val="105"/>
              <w:spacing w:before="0" w:after="0"/>
              <w:jc w:val="center"/>
              <w:rPr>
                <w:rFonts w:cs="Times New Roman"/>
                <w:sz w:val="18"/>
                <w:szCs w:val="18"/>
                <w:highlight w:val="red"/>
              </w:rPr>
            </w:pPr>
            <w:r>
              <w:rPr>
                <w:rFonts w:cs="Times New Roman"/>
                <w:sz w:val="18"/>
                <w:szCs w:val="18"/>
              </w:rPr>
              <w:t>/</w:t>
            </w:r>
          </w:p>
        </w:tc>
        <w:tc>
          <w:tcPr>
            <w:tcW w:w="182" w:type="pct"/>
            <w:vAlign w:val="center"/>
          </w:tcPr>
          <w:p>
            <w:pPr>
              <w:pStyle w:val="105"/>
              <w:spacing w:before="0" w:after="0"/>
              <w:jc w:val="center"/>
              <w:rPr>
                <w:rFonts w:cs="Times New Roman"/>
                <w:sz w:val="18"/>
                <w:szCs w:val="18"/>
                <w:highlight w:val="red"/>
              </w:rPr>
            </w:pPr>
            <w:r>
              <w:rPr>
                <w:rFonts w:cs="Times New Roman"/>
                <w:sz w:val="18"/>
                <w:szCs w:val="18"/>
              </w:rPr>
              <w:t>68.4</w:t>
            </w:r>
          </w:p>
        </w:tc>
        <w:tc>
          <w:tcPr>
            <w:tcW w:w="164" w:type="pct"/>
            <w:vAlign w:val="center"/>
          </w:tcPr>
          <w:p>
            <w:pPr>
              <w:pStyle w:val="105"/>
              <w:spacing w:before="0" w:after="0"/>
              <w:jc w:val="center"/>
              <w:rPr>
                <w:rFonts w:cs="Times New Roman"/>
                <w:sz w:val="18"/>
                <w:szCs w:val="18"/>
                <w:highlight w:val="red"/>
              </w:rPr>
            </w:pPr>
            <w:r>
              <w:rPr>
                <w:rFonts w:cs="Times New Roman"/>
                <w:sz w:val="18"/>
                <w:szCs w:val="18"/>
              </w:rPr>
              <w:t>68.6</w:t>
            </w:r>
          </w:p>
        </w:tc>
        <w:tc>
          <w:tcPr>
            <w:tcW w:w="232" w:type="pct"/>
            <w:vAlign w:val="center"/>
          </w:tcPr>
          <w:p>
            <w:pPr>
              <w:pStyle w:val="105"/>
              <w:spacing w:before="0" w:after="0"/>
              <w:jc w:val="center"/>
              <w:rPr>
                <w:rFonts w:cs="Times New Roman"/>
                <w:sz w:val="18"/>
                <w:szCs w:val="18"/>
                <w:highlight w:val="red"/>
              </w:rPr>
            </w:pPr>
            <w:r>
              <w:rPr>
                <w:rFonts w:cs="Times New Roman"/>
                <w:sz w:val="18"/>
                <w:szCs w:val="18"/>
              </w:rPr>
              <w:t>15.6</w:t>
            </w:r>
          </w:p>
        </w:tc>
        <w:tc>
          <w:tcPr>
            <w:tcW w:w="152" w:type="pct"/>
            <w:vAlign w:val="center"/>
          </w:tcPr>
          <w:p>
            <w:pPr>
              <w:pStyle w:val="105"/>
              <w:spacing w:before="0" w:after="0"/>
              <w:jc w:val="center"/>
              <w:rPr>
                <w:rFonts w:cs="Times New Roman"/>
                <w:sz w:val="18"/>
                <w:szCs w:val="18"/>
                <w:highlight w:val="red"/>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47</w:t>
            </w:r>
          </w:p>
        </w:tc>
        <w:tc>
          <w:tcPr>
            <w:tcW w:w="241" w:type="pct"/>
            <w:vAlign w:val="center"/>
          </w:tcPr>
          <w:p>
            <w:pPr>
              <w:pStyle w:val="105"/>
              <w:spacing w:before="0" w:after="0"/>
              <w:jc w:val="center"/>
              <w:rPr>
                <w:rFonts w:cs="Times New Roman"/>
                <w:sz w:val="18"/>
                <w:szCs w:val="18"/>
              </w:rPr>
            </w:pPr>
            <w:r>
              <w:rPr>
                <w:rFonts w:cs="Times New Roman"/>
                <w:sz w:val="18"/>
                <w:szCs w:val="18"/>
              </w:rPr>
              <w:t>47</w:t>
            </w:r>
          </w:p>
        </w:tc>
        <w:tc>
          <w:tcPr>
            <w:tcW w:w="194" w:type="pct"/>
            <w:vAlign w:val="center"/>
          </w:tcPr>
          <w:p>
            <w:pPr>
              <w:pStyle w:val="105"/>
              <w:spacing w:before="0" w:after="0"/>
              <w:jc w:val="center"/>
              <w:rPr>
                <w:rFonts w:cs="Times New Roman"/>
                <w:sz w:val="18"/>
                <w:szCs w:val="18"/>
                <w:highlight w:val="red"/>
              </w:rPr>
            </w:pPr>
            <w:r>
              <w:rPr>
                <w:rFonts w:cs="Times New Roman"/>
                <w:sz w:val="18"/>
                <w:szCs w:val="18"/>
              </w:rPr>
              <w:t>58.9</w:t>
            </w:r>
          </w:p>
        </w:tc>
        <w:tc>
          <w:tcPr>
            <w:tcW w:w="184" w:type="pct"/>
            <w:vAlign w:val="center"/>
          </w:tcPr>
          <w:p>
            <w:pPr>
              <w:pStyle w:val="105"/>
              <w:spacing w:before="0" w:after="0"/>
              <w:jc w:val="center"/>
              <w:rPr>
                <w:rFonts w:cs="Times New Roman"/>
                <w:sz w:val="18"/>
                <w:szCs w:val="18"/>
                <w:highlight w:val="red"/>
              </w:rPr>
            </w:pPr>
            <w:r>
              <w:rPr>
                <w:rFonts w:cs="Times New Roman"/>
                <w:sz w:val="18"/>
                <w:szCs w:val="18"/>
              </w:rPr>
              <w:t>59.2</w:t>
            </w:r>
          </w:p>
        </w:tc>
        <w:tc>
          <w:tcPr>
            <w:tcW w:w="236" w:type="pct"/>
            <w:vAlign w:val="center"/>
          </w:tcPr>
          <w:p>
            <w:pPr>
              <w:pStyle w:val="105"/>
              <w:spacing w:before="0" w:after="0"/>
              <w:jc w:val="center"/>
              <w:rPr>
                <w:rFonts w:cs="Times New Roman"/>
                <w:sz w:val="18"/>
                <w:szCs w:val="18"/>
                <w:highlight w:val="red"/>
              </w:rPr>
            </w:pPr>
            <w:r>
              <w:rPr>
                <w:rFonts w:cs="Times New Roman"/>
                <w:sz w:val="18"/>
                <w:szCs w:val="18"/>
              </w:rPr>
              <w:t>12.2</w:t>
            </w:r>
          </w:p>
        </w:tc>
        <w:tc>
          <w:tcPr>
            <w:tcW w:w="193" w:type="pct"/>
            <w:vAlign w:val="center"/>
          </w:tcPr>
          <w:p>
            <w:pPr>
              <w:pStyle w:val="105"/>
              <w:spacing w:before="0" w:after="0"/>
              <w:jc w:val="center"/>
              <w:rPr>
                <w:rFonts w:cs="Times New Roman"/>
                <w:sz w:val="18"/>
                <w:szCs w:val="18"/>
                <w:highlight w:val="red"/>
              </w:rPr>
            </w:pPr>
            <w:r>
              <w:rPr>
                <w:rFonts w:cs="Times New Roman"/>
                <w:sz w:val="18"/>
                <w:szCs w:val="18"/>
              </w:rPr>
              <w:t>4.2</w:t>
            </w:r>
          </w:p>
        </w:tc>
        <w:tc>
          <w:tcPr>
            <w:tcW w:w="146" w:type="pct"/>
            <w:vAlign w:val="center"/>
          </w:tcPr>
          <w:p>
            <w:pPr>
              <w:pStyle w:val="105"/>
              <w:spacing w:before="0" w:after="0"/>
              <w:jc w:val="center"/>
              <w:rPr>
                <w:rFonts w:cs="Times New Roman"/>
                <w:sz w:val="18"/>
                <w:szCs w:val="18"/>
                <w:highlight w:val="red"/>
              </w:rPr>
            </w:pPr>
            <w:r>
              <w:rPr>
                <w:rFonts w:cs="Times New Roman"/>
                <w:sz w:val="18"/>
                <w:szCs w:val="18"/>
              </w:rPr>
              <w:t>59.4</w:t>
            </w:r>
          </w:p>
        </w:tc>
        <w:tc>
          <w:tcPr>
            <w:tcW w:w="169" w:type="pct"/>
            <w:vAlign w:val="center"/>
          </w:tcPr>
          <w:p>
            <w:pPr>
              <w:pStyle w:val="105"/>
              <w:spacing w:before="0" w:after="0"/>
              <w:jc w:val="center"/>
              <w:rPr>
                <w:rFonts w:cs="Times New Roman"/>
                <w:sz w:val="18"/>
                <w:szCs w:val="18"/>
                <w:highlight w:val="red"/>
              </w:rPr>
            </w:pPr>
            <w:r>
              <w:rPr>
                <w:rFonts w:cs="Times New Roman"/>
                <w:sz w:val="18"/>
                <w:szCs w:val="18"/>
              </w:rPr>
              <w:t>59.6</w:t>
            </w:r>
          </w:p>
        </w:tc>
        <w:tc>
          <w:tcPr>
            <w:tcW w:w="218" w:type="pct"/>
            <w:vAlign w:val="center"/>
          </w:tcPr>
          <w:p>
            <w:pPr>
              <w:pStyle w:val="105"/>
              <w:spacing w:before="0" w:after="0"/>
              <w:jc w:val="center"/>
              <w:rPr>
                <w:rFonts w:cs="Times New Roman"/>
                <w:sz w:val="18"/>
                <w:szCs w:val="18"/>
                <w:highlight w:val="red"/>
              </w:rPr>
            </w:pPr>
            <w:r>
              <w:rPr>
                <w:rFonts w:cs="Times New Roman"/>
                <w:sz w:val="18"/>
                <w:szCs w:val="18"/>
              </w:rPr>
              <w:t>12.6</w:t>
            </w:r>
          </w:p>
        </w:tc>
        <w:tc>
          <w:tcPr>
            <w:tcW w:w="188" w:type="pct"/>
            <w:vAlign w:val="center"/>
          </w:tcPr>
          <w:p>
            <w:pPr>
              <w:pStyle w:val="105"/>
              <w:spacing w:before="0" w:after="0"/>
              <w:jc w:val="center"/>
              <w:rPr>
                <w:rFonts w:cs="Times New Roman"/>
                <w:sz w:val="18"/>
                <w:szCs w:val="18"/>
                <w:highlight w:val="red"/>
              </w:rPr>
            </w:pPr>
            <w:r>
              <w:rPr>
                <w:rFonts w:cs="Times New Roman"/>
                <w:sz w:val="18"/>
                <w:szCs w:val="18"/>
              </w:rPr>
              <w:t>4.6</w:t>
            </w:r>
          </w:p>
        </w:tc>
        <w:tc>
          <w:tcPr>
            <w:tcW w:w="182" w:type="pct"/>
            <w:vAlign w:val="center"/>
          </w:tcPr>
          <w:p>
            <w:pPr>
              <w:pStyle w:val="105"/>
              <w:spacing w:before="0" w:after="0"/>
              <w:jc w:val="center"/>
              <w:rPr>
                <w:rFonts w:cs="Times New Roman"/>
                <w:sz w:val="18"/>
                <w:szCs w:val="18"/>
                <w:highlight w:val="red"/>
              </w:rPr>
            </w:pPr>
            <w:r>
              <w:rPr>
                <w:rFonts w:cs="Times New Roman"/>
                <w:sz w:val="18"/>
                <w:szCs w:val="18"/>
              </w:rPr>
              <w:t>59.6</w:t>
            </w:r>
          </w:p>
        </w:tc>
        <w:tc>
          <w:tcPr>
            <w:tcW w:w="164" w:type="pct"/>
            <w:vAlign w:val="center"/>
          </w:tcPr>
          <w:p>
            <w:pPr>
              <w:pStyle w:val="105"/>
              <w:spacing w:before="0" w:after="0"/>
              <w:jc w:val="center"/>
              <w:rPr>
                <w:rFonts w:cs="Times New Roman"/>
                <w:sz w:val="18"/>
                <w:szCs w:val="18"/>
                <w:highlight w:val="red"/>
              </w:rPr>
            </w:pPr>
            <w:r>
              <w:rPr>
                <w:rFonts w:cs="Times New Roman"/>
                <w:sz w:val="18"/>
                <w:szCs w:val="18"/>
              </w:rPr>
              <w:t>59.9</w:t>
            </w:r>
          </w:p>
        </w:tc>
        <w:tc>
          <w:tcPr>
            <w:tcW w:w="232" w:type="pct"/>
            <w:vAlign w:val="center"/>
          </w:tcPr>
          <w:p>
            <w:pPr>
              <w:pStyle w:val="105"/>
              <w:spacing w:before="0" w:after="0"/>
              <w:jc w:val="center"/>
              <w:rPr>
                <w:rFonts w:cs="Times New Roman"/>
                <w:sz w:val="18"/>
                <w:szCs w:val="18"/>
                <w:highlight w:val="red"/>
              </w:rPr>
            </w:pPr>
            <w:r>
              <w:rPr>
                <w:rFonts w:cs="Times New Roman"/>
                <w:sz w:val="18"/>
                <w:szCs w:val="18"/>
              </w:rPr>
              <w:t>12.9</w:t>
            </w:r>
          </w:p>
        </w:tc>
        <w:tc>
          <w:tcPr>
            <w:tcW w:w="152" w:type="pct"/>
            <w:vAlign w:val="center"/>
          </w:tcPr>
          <w:p>
            <w:pPr>
              <w:pStyle w:val="105"/>
              <w:spacing w:before="0" w:after="0"/>
              <w:jc w:val="center"/>
              <w:rPr>
                <w:rFonts w:cs="Times New Roman"/>
                <w:sz w:val="18"/>
                <w:szCs w:val="18"/>
                <w:highlight w:val="red"/>
              </w:rPr>
            </w:pPr>
            <w:r>
              <w:rPr>
                <w:rFonts w:cs="Times New Roman"/>
                <w:sz w:val="18"/>
                <w:szCs w:val="18"/>
              </w:rPr>
              <w:t>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拟建公路后排（G</w:t>
            </w:r>
            <w:r>
              <w:rPr>
                <w:sz w:val="18"/>
                <w:szCs w:val="18"/>
              </w:rPr>
              <w:t>324</w:t>
            </w:r>
            <w:r>
              <w:rPr>
                <w:rFonts w:hint="eastAsia"/>
                <w:sz w:val="18"/>
                <w:szCs w:val="18"/>
              </w:rPr>
              <w:t>国道后排）</w:t>
            </w:r>
          </w:p>
        </w:tc>
        <w:tc>
          <w:tcPr>
            <w:tcW w:w="253" w:type="pct"/>
            <w:vMerge w:val="restart"/>
            <w:vAlign w:val="center"/>
          </w:tcPr>
          <w:p>
            <w:pPr>
              <w:pStyle w:val="105"/>
              <w:spacing w:before="0" w:after="0"/>
              <w:jc w:val="center"/>
              <w:rPr>
                <w:sz w:val="18"/>
                <w:szCs w:val="18"/>
              </w:rPr>
            </w:pPr>
            <w:r>
              <w:rPr>
                <w:rFonts w:hint="eastAsia"/>
                <w:sz w:val="18"/>
                <w:szCs w:val="18"/>
              </w:rPr>
              <w:t>4</w:t>
            </w:r>
            <w:r>
              <w:rPr>
                <w:sz w:val="18"/>
                <w:szCs w:val="18"/>
              </w:rPr>
              <w:t>1</w:t>
            </w:r>
          </w:p>
        </w:tc>
        <w:tc>
          <w:tcPr>
            <w:tcW w:w="202" w:type="pct"/>
            <w:vMerge w:val="restart"/>
            <w:vAlign w:val="center"/>
          </w:tcPr>
          <w:p>
            <w:pPr>
              <w:pStyle w:val="105"/>
              <w:spacing w:before="0" w:after="0"/>
              <w:jc w:val="center"/>
              <w:rPr>
                <w:sz w:val="18"/>
                <w:szCs w:val="18"/>
              </w:rPr>
            </w:pPr>
            <w:r>
              <w:rPr>
                <w:rFonts w:hint="eastAsia"/>
                <w:sz w:val="18"/>
                <w:szCs w:val="18"/>
              </w:rPr>
              <w:t>0</w:t>
            </w:r>
            <w:r>
              <w:rPr>
                <w:sz w:val="18"/>
                <w:szCs w:val="18"/>
                <w:vertAlign w:val="superscript"/>
              </w:rPr>
              <w:t>~</w:t>
            </w:r>
            <w:r>
              <w:rPr>
                <w:sz w:val="18"/>
                <w:szCs w:val="18"/>
              </w:rPr>
              <w:t>2</w:t>
            </w:r>
          </w:p>
        </w:tc>
        <w:tc>
          <w:tcPr>
            <w:tcW w:w="203" w:type="pct"/>
            <w:vMerge w:val="restart"/>
            <w:vAlign w:val="center"/>
          </w:tcPr>
          <w:p>
            <w:pPr>
              <w:pStyle w:val="105"/>
              <w:spacing w:before="0" w:after="0"/>
              <w:jc w:val="center"/>
              <w:rPr>
                <w:sz w:val="18"/>
                <w:szCs w:val="18"/>
              </w:rPr>
            </w:pPr>
            <w:r>
              <w:rPr>
                <w:rFonts w:hint="eastAsia"/>
                <w:sz w:val="18"/>
                <w:szCs w:val="18"/>
              </w:rPr>
              <w:t>3</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54</w:t>
            </w:r>
          </w:p>
        </w:tc>
        <w:tc>
          <w:tcPr>
            <w:tcW w:w="241" w:type="pct"/>
            <w:vAlign w:val="center"/>
          </w:tcPr>
          <w:p>
            <w:pPr>
              <w:pStyle w:val="105"/>
              <w:spacing w:before="0" w:after="0"/>
              <w:jc w:val="center"/>
              <w:rPr>
                <w:rFonts w:cs="Times New Roman"/>
                <w:sz w:val="18"/>
                <w:szCs w:val="18"/>
              </w:rPr>
            </w:pPr>
            <w:r>
              <w:rPr>
                <w:rFonts w:cs="Times New Roman"/>
                <w:sz w:val="18"/>
                <w:szCs w:val="18"/>
              </w:rPr>
              <w:t>54</w:t>
            </w:r>
          </w:p>
        </w:tc>
        <w:tc>
          <w:tcPr>
            <w:tcW w:w="194" w:type="pct"/>
            <w:vAlign w:val="center"/>
          </w:tcPr>
          <w:p>
            <w:pPr>
              <w:pStyle w:val="105"/>
              <w:spacing w:before="0" w:after="0"/>
              <w:jc w:val="center"/>
              <w:rPr>
                <w:rFonts w:cs="Times New Roman"/>
                <w:sz w:val="18"/>
                <w:szCs w:val="18"/>
              </w:rPr>
            </w:pPr>
            <w:r>
              <w:rPr>
                <w:rFonts w:cs="Times New Roman"/>
                <w:sz w:val="18"/>
                <w:szCs w:val="18"/>
              </w:rPr>
              <w:t>49.5</w:t>
            </w:r>
          </w:p>
        </w:tc>
        <w:tc>
          <w:tcPr>
            <w:tcW w:w="184" w:type="pct"/>
            <w:vAlign w:val="center"/>
          </w:tcPr>
          <w:p>
            <w:pPr>
              <w:pStyle w:val="105"/>
              <w:spacing w:before="0" w:after="0"/>
              <w:jc w:val="center"/>
              <w:rPr>
                <w:rFonts w:cs="Times New Roman"/>
                <w:sz w:val="18"/>
                <w:szCs w:val="18"/>
              </w:rPr>
            </w:pPr>
            <w:r>
              <w:rPr>
                <w:rFonts w:cs="Times New Roman"/>
                <w:sz w:val="18"/>
                <w:szCs w:val="18"/>
              </w:rPr>
              <w:t>55.3</w:t>
            </w:r>
          </w:p>
        </w:tc>
        <w:tc>
          <w:tcPr>
            <w:tcW w:w="236" w:type="pct"/>
            <w:vAlign w:val="center"/>
          </w:tcPr>
          <w:p>
            <w:pPr>
              <w:pStyle w:val="105"/>
              <w:spacing w:before="0" w:after="0"/>
              <w:jc w:val="center"/>
              <w:rPr>
                <w:rFonts w:cs="Times New Roman"/>
                <w:sz w:val="18"/>
                <w:szCs w:val="18"/>
              </w:rPr>
            </w:pPr>
            <w:r>
              <w:rPr>
                <w:rFonts w:cs="Times New Roman"/>
                <w:sz w:val="18"/>
                <w:szCs w:val="18"/>
              </w:rPr>
              <w:t>1.3</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53.6</w:t>
            </w:r>
          </w:p>
        </w:tc>
        <w:tc>
          <w:tcPr>
            <w:tcW w:w="169" w:type="pct"/>
            <w:vAlign w:val="center"/>
          </w:tcPr>
          <w:p>
            <w:pPr>
              <w:pStyle w:val="105"/>
              <w:spacing w:before="0" w:after="0"/>
              <w:jc w:val="center"/>
              <w:rPr>
                <w:rFonts w:cs="Times New Roman"/>
                <w:sz w:val="18"/>
                <w:szCs w:val="18"/>
              </w:rPr>
            </w:pPr>
            <w:r>
              <w:rPr>
                <w:rFonts w:cs="Times New Roman"/>
                <w:sz w:val="18"/>
                <w:szCs w:val="18"/>
              </w:rPr>
              <w:t>56.8</w:t>
            </w:r>
          </w:p>
        </w:tc>
        <w:tc>
          <w:tcPr>
            <w:tcW w:w="218" w:type="pct"/>
            <w:vAlign w:val="center"/>
          </w:tcPr>
          <w:p>
            <w:pPr>
              <w:pStyle w:val="105"/>
              <w:spacing w:before="0" w:after="0"/>
              <w:jc w:val="center"/>
              <w:rPr>
                <w:rFonts w:cs="Times New Roman"/>
                <w:sz w:val="18"/>
                <w:szCs w:val="18"/>
              </w:rPr>
            </w:pPr>
            <w:r>
              <w:rPr>
                <w:rFonts w:cs="Times New Roman"/>
                <w:sz w:val="18"/>
                <w:szCs w:val="18"/>
              </w:rPr>
              <w:t>2.8</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53.8</w:t>
            </w:r>
          </w:p>
        </w:tc>
        <w:tc>
          <w:tcPr>
            <w:tcW w:w="164" w:type="pct"/>
            <w:vAlign w:val="center"/>
          </w:tcPr>
          <w:p>
            <w:pPr>
              <w:pStyle w:val="105"/>
              <w:spacing w:before="0" w:after="0"/>
              <w:jc w:val="center"/>
              <w:rPr>
                <w:rFonts w:cs="Times New Roman"/>
                <w:sz w:val="18"/>
                <w:szCs w:val="18"/>
              </w:rPr>
            </w:pPr>
            <w:r>
              <w:rPr>
                <w:rFonts w:cs="Times New Roman"/>
                <w:sz w:val="18"/>
                <w:szCs w:val="18"/>
              </w:rPr>
              <w:t>56.9</w:t>
            </w:r>
          </w:p>
        </w:tc>
        <w:tc>
          <w:tcPr>
            <w:tcW w:w="232" w:type="pct"/>
            <w:vAlign w:val="center"/>
          </w:tcPr>
          <w:p>
            <w:pPr>
              <w:pStyle w:val="105"/>
              <w:spacing w:before="0" w:after="0"/>
              <w:jc w:val="center"/>
              <w:rPr>
                <w:rFonts w:cs="Times New Roman"/>
                <w:sz w:val="18"/>
                <w:szCs w:val="18"/>
              </w:rPr>
            </w:pPr>
            <w:r>
              <w:rPr>
                <w:rFonts w:cs="Times New Roman"/>
                <w:sz w:val="18"/>
                <w:szCs w:val="18"/>
              </w:rPr>
              <w:t>2.9</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47</w:t>
            </w:r>
          </w:p>
        </w:tc>
        <w:tc>
          <w:tcPr>
            <w:tcW w:w="241" w:type="pct"/>
            <w:vAlign w:val="center"/>
          </w:tcPr>
          <w:p>
            <w:pPr>
              <w:pStyle w:val="105"/>
              <w:spacing w:before="0" w:after="0"/>
              <w:jc w:val="center"/>
              <w:rPr>
                <w:rFonts w:cs="Times New Roman"/>
                <w:sz w:val="18"/>
                <w:szCs w:val="18"/>
              </w:rPr>
            </w:pPr>
            <w:r>
              <w:rPr>
                <w:rFonts w:cs="Times New Roman"/>
                <w:sz w:val="18"/>
                <w:szCs w:val="18"/>
              </w:rPr>
              <w:t>47</w:t>
            </w:r>
          </w:p>
        </w:tc>
        <w:tc>
          <w:tcPr>
            <w:tcW w:w="194" w:type="pct"/>
            <w:vAlign w:val="center"/>
          </w:tcPr>
          <w:p>
            <w:pPr>
              <w:pStyle w:val="105"/>
              <w:spacing w:before="0" w:after="0"/>
              <w:jc w:val="center"/>
              <w:rPr>
                <w:rFonts w:cs="Times New Roman"/>
                <w:sz w:val="18"/>
                <w:szCs w:val="18"/>
              </w:rPr>
            </w:pPr>
            <w:r>
              <w:rPr>
                <w:rFonts w:cs="Times New Roman"/>
                <w:sz w:val="18"/>
                <w:szCs w:val="18"/>
              </w:rPr>
              <w:t>41.9</w:t>
            </w:r>
          </w:p>
        </w:tc>
        <w:tc>
          <w:tcPr>
            <w:tcW w:w="184" w:type="pct"/>
            <w:vAlign w:val="center"/>
          </w:tcPr>
          <w:p>
            <w:pPr>
              <w:pStyle w:val="105"/>
              <w:spacing w:before="0" w:after="0"/>
              <w:jc w:val="center"/>
              <w:rPr>
                <w:rFonts w:cs="Times New Roman"/>
                <w:sz w:val="18"/>
                <w:szCs w:val="18"/>
              </w:rPr>
            </w:pPr>
            <w:r>
              <w:rPr>
                <w:rFonts w:cs="Times New Roman"/>
                <w:sz w:val="18"/>
                <w:szCs w:val="18"/>
              </w:rPr>
              <w:t>48.2</w:t>
            </w:r>
          </w:p>
        </w:tc>
        <w:tc>
          <w:tcPr>
            <w:tcW w:w="236" w:type="pct"/>
            <w:vAlign w:val="center"/>
          </w:tcPr>
          <w:p>
            <w:pPr>
              <w:pStyle w:val="105"/>
              <w:spacing w:before="0" w:after="0"/>
              <w:jc w:val="center"/>
              <w:rPr>
                <w:rFonts w:cs="Times New Roman"/>
                <w:sz w:val="18"/>
                <w:szCs w:val="18"/>
              </w:rPr>
            </w:pPr>
            <w:r>
              <w:rPr>
                <w:rFonts w:cs="Times New Roman"/>
                <w:sz w:val="18"/>
                <w:szCs w:val="18"/>
              </w:rPr>
              <w:t>1.2</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42.3</w:t>
            </w:r>
          </w:p>
        </w:tc>
        <w:tc>
          <w:tcPr>
            <w:tcW w:w="169" w:type="pct"/>
            <w:vAlign w:val="center"/>
          </w:tcPr>
          <w:p>
            <w:pPr>
              <w:pStyle w:val="105"/>
              <w:spacing w:before="0" w:after="0"/>
              <w:jc w:val="center"/>
              <w:rPr>
                <w:rFonts w:cs="Times New Roman"/>
                <w:sz w:val="18"/>
                <w:szCs w:val="18"/>
              </w:rPr>
            </w:pPr>
            <w:r>
              <w:rPr>
                <w:rFonts w:cs="Times New Roman"/>
                <w:sz w:val="18"/>
                <w:szCs w:val="18"/>
              </w:rPr>
              <w:t>48.3</w:t>
            </w:r>
          </w:p>
        </w:tc>
        <w:tc>
          <w:tcPr>
            <w:tcW w:w="218" w:type="pct"/>
            <w:vAlign w:val="center"/>
          </w:tcPr>
          <w:p>
            <w:pPr>
              <w:pStyle w:val="105"/>
              <w:spacing w:before="0" w:after="0"/>
              <w:jc w:val="center"/>
              <w:rPr>
                <w:rFonts w:cs="Times New Roman"/>
                <w:sz w:val="18"/>
                <w:szCs w:val="18"/>
              </w:rPr>
            </w:pPr>
            <w:r>
              <w:rPr>
                <w:rFonts w:cs="Times New Roman"/>
                <w:sz w:val="18"/>
                <w:szCs w:val="18"/>
              </w:rPr>
              <w:t>1.3</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42.5</w:t>
            </w:r>
          </w:p>
        </w:tc>
        <w:tc>
          <w:tcPr>
            <w:tcW w:w="164" w:type="pct"/>
            <w:vAlign w:val="center"/>
          </w:tcPr>
          <w:p>
            <w:pPr>
              <w:pStyle w:val="105"/>
              <w:spacing w:before="0" w:after="0"/>
              <w:jc w:val="center"/>
              <w:rPr>
                <w:rFonts w:cs="Times New Roman"/>
                <w:sz w:val="18"/>
                <w:szCs w:val="18"/>
              </w:rPr>
            </w:pPr>
            <w:r>
              <w:rPr>
                <w:rFonts w:cs="Times New Roman"/>
                <w:sz w:val="18"/>
                <w:szCs w:val="18"/>
              </w:rPr>
              <w:t>48.3</w:t>
            </w:r>
          </w:p>
        </w:tc>
        <w:tc>
          <w:tcPr>
            <w:tcW w:w="232" w:type="pct"/>
            <w:vAlign w:val="center"/>
          </w:tcPr>
          <w:p>
            <w:pPr>
              <w:pStyle w:val="105"/>
              <w:spacing w:before="0" w:after="0"/>
              <w:jc w:val="center"/>
              <w:rPr>
                <w:rFonts w:cs="Times New Roman"/>
                <w:sz w:val="18"/>
                <w:szCs w:val="18"/>
              </w:rPr>
            </w:pPr>
            <w:r>
              <w:rPr>
                <w:rFonts w:cs="Times New Roman"/>
                <w:sz w:val="18"/>
                <w:szCs w:val="18"/>
              </w:rPr>
              <w:t>1.3</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临G</w:t>
            </w:r>
            <w:r>
              <w:rPr>
                <w:sz w:val="18"/>
                <w:szCs w:val="18"/>
              </w:rPr>
              <w:t>324</w:t>
            </w:r>
            <w:r>
              <w:rPr>
                <w:rFonts w:hint="eastAsia"/>
                <w:sz w:val="18"/>
                <w:szCs w:val="18"/>
              </w:rPr>
              <w:t>国道</w:t>
            </w:r>
          </w:p>
          <w:p>
            <w:pPr>
              <w:pStyle w:val="105"/>
              <w:spacing w:before="0" w:after="0"/>
              <w:jc w:val="center"/>
              <w:rPr>
                <w:sz w:val="18"/>
                <w:szCs w:val="18"/>
              </w:rPr>
            </w:pPr>
            <w:r>
              <w:rPr>
                <w:rFonts w:hint="eastAsia"/>
                <w:sz w:val="18"/>
                <w:szCs w:val="18"/>
              </w:rPr>
              <w:t>第一排</w:t>
            </w:r>
          </w:p>
        </w:tc>
        <w:tc>
          <w:tcPr>
            <w:tcW w:w="253" w:type="pct"/>
            <w:vMerge w:val="restart"/>
            <w:vAlign w:val="center"/>
          </w:tcPr>
          <w:p>
            <w:pPr>
              <w:pStyle w:val="105"/>
              <w:spacing w:before="0" w:after="0"/>
              <w:jc w:val="center"/>
              <w:rPr>
                <w:sz w:val="18"/>
                <w:szCs w:val="18"/>
              </w:rPr>
            </w:pPr>
            <w:r>
              <w:rPr>
                <w:sz w:val="18"/>
                <w:szCs w:val="18"/>
              </w:rPr>
              <w:t>57</w:t>
            </w:r>
          </w:p>
        </w:tc>
        <w:tc>
          <w:tcPr>
            <w:tcW w:w="202" w:type="pct"/>
            <w:vMerge w:val="restart"/>
            <w:vAlign w:val="center"/>
          </w:tcPr>
          <w:p>
            <w:pPr>
              <w:pStyle w:val="105"/>
              <w:spacing w:before="0" w:after="0"/>
              <w:jc w:val="center"/>
              <w:rPr>
                <w:sz w:val="18"/>
                <w:szCs w:val="18"/>
              </w:rPr>
            </w:pPr>
            <w:r>
              <w:rPr>
                <w:rFonts w:hint="eastAsia"/>
                <w:sz w:val="18"/>
                <w:szCs w:val="18"/>
              </w:rPr>
              <w:t>0</w:t>
            </w:r>
            <w:r>
              <w:rPr>
                <w:sz w:val="18"/>
                <w:szCs w:val="18"/>
                <w:vertAlign w:val="superscript"/>
              </w:rPr>
              <w:t>~</w:t>
            </w:r>
            <w:r>
              <w:rPr>
                <w:sz w:val="18"/>
                <w:szCs w:val="18"/>
              </w:rPr>
              <w:t>2</w:t>
            </w:r>
          </w:p>
        </w:tc>
        <w:tc>
          <w:tcPr>
            <w:tcW w:w="203" w:type="pct"/>
            <w:vMerge w:val="restart"/>
            <w:vAlign w:val="center"/>
          </w:tcPr>
          <w:p>
            <w:pPr>
              <w:pStyle w:val="105"/>
              <w:spacing w:before="0" w:after="0"/>
              <w:jc w:val="center"/>
              <w:rPr>
                <w:sz w:val="18"/>
                <w:szCs w:val="18"/>
              </w:rPr>
            </w:pPr>
            <w:r>
              <w:rPr>
                <w:rFonts w:hint="eastAsia"/>
                <w:sz w:val="18"/>
                <w:szCs w:val="18"/>
              </w:rPr>
              <w:t>3</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sz w:val="18"/>
                <w:szCs w:val="18"/>
              </w:rPr>
            </w:pPr>
            <w:r>
              <w:rPr>
                <w:rFonts w:cs="Times New Roman"/>
                <w:sz w:val="18"/>
                <w:szCs w:val="18"/>
              </w:rPr>
              <w:t>68</w:t>
            </w:r>
          </w:p>
        </w:tc>
        <w:tc>
          <w:tcPr>
            <w:tcW w:w="241" w:type="pct"/>
            <w:vAlign w:val="center"/>
          </w:tcPr>
          <w:p>
            <w:pPr>
              <w:pStyle w:val="105"/>
              <w:spacing w:before="0" w:after="0"/>
              <w:jc w:val="center"/>
              <w:rPr>
                <w:sz w:val="18"/>
                <w:szCs w:val="18"/>
              </w:rPr>
            </w:pPr>
            <w:r>
              <w:rPr>
                <w:rFonts w:cs="Times New Roman"/>
                <w:sz w:val="18"/>
                <w:szCs w:val="18"/>
              </w:rPr>
              <w:t>68</w:t>
            </w:r>
          </w:p>
        </w:tc>
        <w:tc>
          <w:tcPr>
            <w:tcW w:w="194" w:type="pct"/>
            <w:vAlign w:val="center"/>
          </w:tcPr>
          <w:p>
            <w:pPr>
              <w:pStyle w:val="105"/>
              <w:spacing w:before="0" w:after="0"/>
              <w:jc w:val="center"/>
              <w:rPr>
                <w:sz w:val="18"/>
                <w:szCs w:val="18"/>
                <w:highlight w:val="red"/>
              </w:rPr>
            </w:pPr>
            <w:r>
              <w:rPr>
                <w:rFonts w:cs="Times New Roman"/>
                <w:sz w:val="18"/>
                <w:szCs w:val="18"/>
              </w:rPr>
              <w:t>51.8</w:t>
            </w:r>
          </w:p>
        </w:tc>
        <w:tc>
          <w:tcPr>
            <w:tcW w:w="184" w:type="pct"/>
            <w:vAlign w:val="center"/>
          </w:tcPr>
          <w:p>
            <w:pPr>
              <w:pStyle w:val="105"/>
              <w:spacing w:before="0" w:after="0"/>
              <w:jc w:val="center"/>
              <w:rPr>
                <w:sz w:val="18"/>
                <w:szCs w:val="18"/>
                <w:highlight w:val="red"/>
              </w:rPr>
            </w:pPr>
            <w:r>
              <w:rPr>
                <w:rFonts w:cs="Times New Roman"/>
                <w:sz w:val="18"/>
                <w:szCs w:val="18"/>
              </w:rPr>
              <w:t>68.1</w:t>
            </w:r>
          </w:p>
        </w:tc>
        <w:tc>
          <w:tcPr>
            <w:tcW w:w="236" w:type="pct"/>
            <w:vAlign w:val="center"/>
          </w:tcPr>
          <w:p>
            <w:pPr>
              <w:pStyle w:val="105"/>
              <w:spacing w:before="0" w:after="0"/>
              <w:jc w:val="center"/>
              <w:rPr>
                <w:sz w:val="18"/>
                <w:szCs w:val="18"/>
                <w:highlight w:val="red"/>
              </w:rPr>
            </w:pPr>
            <w:r>
              <w:rPr>
                <w:rFonts w:cs="Times New Roman"/>
                <w:sz w:val="18"/>
                <w:szCs w:val="18"/>
              </w:rPr>
              <w:t>0.1</w:t>
            </w:r>
          </w:p>
        </w:tc>
        <w:tc>
          <w:tcPr>
            <w:tcW w:w="193" w:type="pct"/>
            <w:vAlign w:val="center"/>
          </w:tcPr>
          <w:p>
            <w:pPr>
              <w:pStyle w:val="105"/>
              <w:spacing w:before="0" w:after="0"/>
              <w:jc w:val="center"/>
              <w:rPr>
                <w:sz w:val="18"/>
                <w:szCs w:val="18"/>
                <w:highlight w:val="red"/>
              </w:rPr>
            </w:pPr>
            <w:r>
              <w:rPr>
                <w:rFonts w:cs="Times New Roman"/>
                <w:sz w:val="18"/>
                <w:szCs w:val="18"/>
              </w:rPr>
              <w:t>/</w:t>
            </w:r>
          </w:p>
        </w:tc>
        <w:tc>
          <w:tcPr>
            <w:tcW w:w="146" w:type="pct"/>
            <w:vAlign w:val="center"/>
          </w:tcPr>
          <w:p>
            <w:pPr>
              <w:pStyle w:val="105"/>
              <w:spacing w:before="0" w:after="0"/>
              <w:jc w:val="center"/>
              <w:rPr>
                <w:sz w:val="18"/>
                <w:szCs w:val="18"/>
                <w:highlight w:val="red"/>
              </w:rPr>
            </w:pPr>
            <w:r>
              <w:rPr>
                <w:rFonts w:cs="Times New Roman"/>
                <w:sz w:val="18"/>
                <w:szCs w:val="18"/>
              </w:rPr>
              <w:t>56.7</w:t>
            </w:r>
          </w:p>
        </w:tc>
        <w:tc>
          <w:tcPr>
            <w:tcW w:w="169" w:type="pct"/>
            <w:vAlign w:val="center"/>
          </w:tcPr>
          <w:p>
            <w:pPr>
              <w:pStyle w:val="105"/>
              <w:spacing w:before="0" w:after="0"/>
              <w:jc w:val="center"/>
              <w:rPr>
                <w:sz w:val="18"/>
                <w:szCs w:val="18"/>
                <w:highlight w:val="red"/>
              </w:rPr>
            </w:pPr>
            <w:r>
              <w:rPr>
                <w:rFonts w:cs="Times New Roman"/>
                <w:sz w:val="18"/>
                <w:szCs w:val="18"/>
              </w:rPr>
              <w:t>68.3</w:t>
            </w:r>
          </w:p>
        </w:tc>
        <w:tc>
          <w:tcPr>
            <w:tcW w:w="218" w:type="pct"/>
            <w:vAlign w:val="center"/>
          </w:tcPr>
          <w:p>
            <w:pPr>
              <w:pStyle w:val="105"/>
              <w:spacing w:before="0" w:after="0"/>
              <w:jc w:val="center"/>
              <w:rPr>
                <w:sz w:val="18"/>
                <w:szCs w:val="18"/>
                <w:highlight w:val="red"/>
              </w:rPr>
            </w:pPr>
            <w:r>
              <w:rPr>
                <w:rFonts w:cs="Times New Roman"/>
                <w:sz w:val="18"/>
                <w:szCs w:val="18"/>
              </w:rPr>
              <w:t>0.3</w:t>
            </w:r>
          </w:p>
        </w:tc>
        <w:tc>
          <w:tcPr>
            <w:tcW w:w="188" w:type="pct"/>
            <w:vAlign w:val="center"/>
          </w:tcPr>
          <w:p>
            <w:pPr>
              <w:pStyle w:val="105"/>
              <w:spacing w:before="0" w:after="0"/>
              <w:jc w:val="center"/>
              <w:rPr>
                <w:sz w:val="18"/>
                <w:szCs w:val="18"/>
                <w:highlight w:val="red"/>
              </w:rPr>
            </w:pPr>
            <w:r>
              <w:rPr>
                <w:rFonts w:cs="Times New Roman"/>
                <w:sz w:val="18"/>
                <w:szCs w:val="18"/>
              </w:rPr>
              <w:t>/</w:t>
            </w:r>
          </w:p>
        </w:tc>
        <w:tc>
          <w:tcPr>
            <w:tcW w:w="182" w:type="pct"/>
            <w:vAlign w:val="center"/>
          </w:tcPr>
          <w:p>
            <w:pPr>
              <w:pStyle w:val="105"/>
              <w:spacing w:before="0" w:after="0"/>
              <w:jc w:val="center"/>
              <w:rPr>
                <w:sz w:val="18"/>
                <w:szCs w:val="18"/>
                <w:highlight w:val="red"/>
              </w:rPr>
            </w:pPr>
            <w:r>
              <w:rPr>
                <w:rFonts w:cs="Times New Roman"/>
                <w:sz w:val="18"/>
                <w:szCs w:val="18"/>
              </w:rPr>
              <w:t>56.9</w:t>
            </w:r>
          </w:p>
        </w:tc>
        <w:tc>
          <w:tcPr>
            <w:tcW w:w="164" w:type="pct"/>
            <w:vAlign w:val="center"/>
          </w:tcPr>
          <w:p>
            <w:pPr>
              <w:pStyle w:val="105"/>
              <w:spacing w:before="0" w:after="0"/>
              <w:jc w:val="center"/>
              <w:rPr>
                <w:sz w:val="18"/>
                <w:szCs w:val="18"/>
                <w:highlight w:val="red"/>
              </w:rPr>
            </w:pPr>
            <w:r>
              <w:rPr>
                <w:rFonts w:cs="Times New Roman"/>
                <w:sz w:val="18"/>
                <w:szCs w:val="18"/>
              </w:rPr>
              <w:t>68.3</w:t>
            </w:r>
          </w:p>
        </w:tc>
        <w:tc>
          <w:tcPr>
            <w:tcW w:w="232" w:type="pct"/>
            <w:vAlign w:val="center"/>
          </w:tcPr>
          <w:p>
            <w:pPr>
              <w:pStyle w:val="105"/>
              <w:spacing w:before="0" w:after="0"/>
              <w:jc w:val="center"/>
              <w:rPr>
                <w:sz w:val="18"/>
                <w:szCs w:val="18"/>
                <w:highlight w:val="red"/>
              </w:rPr>
            </w:pPr>
            <w:r>
              <w:rPr>
                <w:rFonts w:cs="Times New Roman"/>
                <w:sz w:val="18"/>
                <w:szCs w:val="18"/>
              </w:rPr>
              <w:t>0.3</w:t>
            </w:r>
          </w:p>
        </w:tc>
        <w:tc>
          <w:tcPr>
            <w:tcW w:w="152" w:type="pct"/>
            <w:vAlign w:val="center"/>
          </w:tcPr>
          <w:p>
            <w:pPr>
              <w:pStyle w:val="105"/>
              <w:spacing w:before="0" w:after="0"/>
              <w:jc w:val="center"/>
              <w:rPr>
                <w:sz w:val="18"/>
                <w:szCs w:val="18"/>
                <w:highlight w:val="red"/>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sz w:val="18"/>
                <w:szCs w:val="18"/>
              </w:rPr>
            </w:pPr>
            <w:r>
              <w:rPr>
                <w:rFonts w:cs="Times New Roman"/>
                <w:sz w:val="18"/>
                <w:szCs w:val="18"/>
              </w:rPr>
              <w:t>63</w:t>
            </w:r>
          </w:p>
        </w:tc>
        <w:tc>
          <w:tcPr>
            <w:tcW w:w="241" w:type="pct"/>
            <w:vAlign w:val="center"/>
          </w:tcPr>
          <w:p>
            <w:pPr>
              <w:pStyle w:val="105"/>
              <w:spacing w:before="0" w:after="0"/>
              <w:jc w:val="center"/>
              <w:rPr>
                <w:sz w:val="18"/>
                <w:szCs w:val="18"/>
              </w:rPr>
            </w:pPr>
            <w:r>
              <w:rPr>
                <w:rFonts w:cs="Times New Roman"/>
                <w:sz w:val="18"/>
                <w:szCs w:val="18"/>
              </w:rPr>
              <w:t>63</w:t>
            </w:r>
          </w:p>
        </w:tc>
        <w:tc>
          <w:tcPr>
            <w:tcW w:w="194" w:type="pct"/>
            <w:vAlign w:val="center"/>
          </w:tcPr>
          <w:p>
            <w:pPr>
              <w:pStyle w:val="105"/>
              <w:spacing w:before="0" w:after="0"/>
              <w:jc w:val="center"/>
              <w:rPr>
                <w:sz w:val="18"/>
                <w:szCs w:val="18"/>
                <w:highlight w:val="red"/>
              </w:rPr>
            </w:pPr>
            <w:r>
              <w:rPr>
                <w:rFonts w:cs="Times New Roman"/>
                <w:sz w:val="18"/>
                <w:szCs w:val="18"/>
              </w:rPr>
              <w:t>44.2</w:t>
            </w:r>
          </w:p>
        </w:tc>
        <w:tc>
          <w:tcPr>
            <w:tcW w:w="184" w:type="pct"/>
            <w:vAlign w:val="center"/>
          </w:tcPr>
          <w:p>
            <w:pPr>
              <w:pStyle w:val="105"/>
              <w:spacing w:before="0" w:after="0"/>
              <w:jc w:val="center"/>
              <w:rPr>
                <w:sz w:val="18"/>
                <w:szCs w:val="18"/>
                <w:highlight w:val="red"/>
              </w:rPr>
            </w:pPr>
            <w:r>
              <w:rPr>
                <w:rFonts w:cs="Times New Roman"/>
                <w:sz w:val="18"/>
                <w:szCs w:val="18"/>
              </w:rPr>
              <w:t>63.1</w:t>
            </w:r>
          </w:p>
        </w:tc>
        <w:tc>
          <w:tcPr>
            <w:tcW w:w="236" w:type="pct"/>
            <w:vAlign w:val="center"/>
          </w:tcPr>
          <w:p>
            <w:pPr>
              <w:pStyle w:val="105"/>
              <w:spacing w:before="0" w:after="0"/>
              <w:jc w:val="center"/>
              <w:rPr>
                <w:sz w:val="18"/>
                <w:szCs w:val="18"/>
                <w:highlight w:val="red"/>
              </w:rPr>
            </w:pPr>
            <w:r>
              <w:rPr>
                <w:rFonts w:cs="Times New Roman"/>
                <w:sz w:val="18"/>
                <w:szCs w:val="18"/>
              </w:rPr>
              <w:t>0.1</w:t>
            </w:r>
          </w:p>
        </w:tc>
        <w:tc>
          <w:tcPr>
            <w:tcW w:w="193" w:type="pct"/>
            <w:vAlign w:val="center"/>
          </w:tcPr>
          <w:p>
            <w:pPr>
              <w:pStyle w:val="105"/>
              <w:spacing w:before="0" w:after="0"/>
              <w:jc w:val="center"/>
              <w:rPr>
                <w:sz w:val="18"/>
                <w:szCs w:val="18"/>
                <w:highlight w:val="red"/>
              </w:rPr>
            </w:pPr>
            <w:r>
              <w:rPr>
                <w:rFonts w:cs="Times New Roman"/>
                <w:sz w:val="18"/>
                <w:szCs w:val="18"/>
              </w:rPr>
              <w:t>8.1</w:t>
            </w:r>
          </w:p>
        </w:tc>
        <w:tc>
          <w:tcPr>
            <w:tcW w:w="146" w:type="pct"/>
            <w:vAlign w:val="center"/>
          </w:tcPr>
          <w:p>
            <w:pPr>
              <w:pStyle w:val="105"/>
              <w:spacing w:before="0" w:after="0"/>
              <w:jc w:val="center"/>
              <w:rPr>
                <w:sz w:val="18"/>
                <w:szCs w:val="18"/>
                <w:highlight w:val="red"/>
              </w:rPr>
            </w:pPr>
            <w:r>
              <w:rPr>
                <w:rFonts w:cs="Times New Roman"/>
                <w:sz w:val="18"/>
                <w:szCs w:val="18"/>
              </w:rPr>
              <w:t>44.7</w:t>
            </w:r>
          </w:p>
        </w:tc>
        <w:tc>
          <w:tcPr>
            <w:tcW w:w="169" w:type="pct"/>
            <w:vAlign w:val="center"/>
          </w:tcPr>
          <w:p>
            <w:pPr>
              <w:pStyle w:val="105"/>
              <w:spacing w:before="0" w:after="0"/>
              <w:jc w:val="center"/>
              <w:rPr>
                <w:sz w:val="18"/>
                <w:szCs w:val="18"/>
                <w:highlight w:val="red"/>
              </w:rPr>
            </w:pPr>
            <w:r>
              <w:rPr>
                <w:rFonts w:cs="Times New Roman"/>
                <w:sz w:val="18"/>
                <w:szCs w:val="18"/>
              </w:rPr>
              <w:t>63.1</w:t>
            </w:r>
          </w:p>
        </w:tc>
        <w:tc>
          <w:tcPr>
            <w:tcW w:w="218" w:type="pct"/>
            <w:vAlign w:val="center"/>
          </w:tcPr>
          <w:p>
            <w:pPr>
              <w:pStyle w:val="105"/>
              <w:spacing w:before="0" w:after="0"/>
              <w:jc w:val="center"/>
              <w:rPr>
                <w:sz w:val="18"/>
                <w:szCs w:val="18"/>
                <w:highlight w:val="red"/>
              </w:rPr>
            </w:pPr>
            <w:r>
              <w:rPr>
                <w:rFonts w:cs="Times New Roman"/>
                <w:sz w:val="18"/>
                <w:szCs w:val="18"/>
              </w:rPr>
              <w:t>0.1</w:t>
            </w:r>
          </w:p>
        </w:tc>
        <w:tc>
          <w:tcPr>
            <w:tcW w:w="188" w:type="pct"/>
            <w:vAlign w:val="center"/>
          </w:tcPr>
          <w:p>
            <w:pPr>
              <w:pStyle w:val="105"/>
              <w:spacing w:before="0" w:after="0"/>
              <w:jc w:val="center"/>
              <w:rPr>
                <w:sz w:val="18"/>
                <w:szCs w:val="18"/>
                <w:highlight w:val="red"/>
              </w:rPr>
            </w:pPr>
            <w:r>
              <w:rPr>
                <w:rFonts w:cs="Times New Roman"/>
                <w:sz w:val="18"/>
                <w:szCs w:val="18"/>
              </w:rPr>
              <w:t>8.1</w:t>
            </w:r>
          </w:p>
        </w:tc>
        <w:tc>
          <w:tcPr>
            <w:tcW w:w="182" w:type="pct"/>
            <w:vAlign w:val="center"/>
          </w:tcPr>
          <w:p>
            <w:pPr>
              <w:pStyle w:val="105"/>
              <w:spacing w:before="0" w:after="0"/>
              <w:jc w:val="center"/>
              <w:rPr>
                <w:sz w:val="18"/>
                <w:szCs w:val="18"/>
                <w:highlight w:val="red"/>
              </w:rPr>
            </w:pPr>
            <w:r>
              <w:rPr>
                <w:rFonts w:cs="Times New Roman"/>
                <w:sz w:val="18"/>
                <w:szCs w:val="18"/>
              </w:rPr>
              <w:t>44.9</w:t>
            </w:r>
          </w:p>
        </w:tc>
        <w:tc>
          <w:tcPr>
            <w:tcW w:w="164" w:type="pct"/>
            <w:vAlign w:val="center"/>
          </w:tcPr>
          <w:p>
            <w:pPr>
              <w:pStyle w:val="105"/>
              <w:spacing w:before="0" w:after="0"/>
              <w:jc w:val="center"/>
              <w:rPr>
                <w:sz w:val="18"/>
                <w:szCs w:val="18"/>
                <w:highlight w:val="red"/>
              </w:rPr>
            </w:pPr>
            <w:r>
              <w:rPr>
                <w:rFonts w:cs="Times New Roman"/>
                <w:sz w:val="18"/>
                <w:szCs w:val="18"/>
              </w:rPr>
              <w:t>63.1</w:t>
            </w:r>
          </w:p>
        </w:tc>
        <w:tc>
          <w:tcPr>
            <w:tcW w:w="232" w:type="pct"/>
            <w:vAlign w:val="center"/>
          </w:tcPr>
          <w:p>
            <w:pPr>
              <w:pStyle w:val="105"/>
              <w:spacing w:before="0" w:after="0"/>
              <w:jc w:val="center"/>
              <w:rPr>
                <w:sz w:val="18"/>
                <w:szCs w:val="18"/>
                <w:highlight w:val="red"/>
              </w:rPr>
            </w:pPr>
            <w:r>
              <w:rPr>
                <w:rFonts w:cs="Times New Roman"/>
                <w:sz w:val="18"/>
                <w:szCs w:val="18"/>
              </w:rPr>
              <w:t>0.1</w:t>
            </w:r>
          </w:p>
        </w:tc>
        <w:tc>
          <w:tcPr>
            <w:tcW w:w="152" w:type="pct"/>
            <w:vAlign w:val="center"/>
          </w:tcPr>
          <w:p>
            <w:pPr>
              <w:pStyle w:val="105"/>
              <w:spacing w:before="0" w:after="0"/>
              <w:jc w:val="center"/>
              <w:rPr>
                <w:sz w:val="18"/>
                <w:szCs w:val="18"/>
                <w:highlight w:val="red"/>
              </w:rPr>
            </w:pPr>
            <w:r>
              <w:rPr>
                <w:rFonts w:cs="Times New Roman"/>
                <w:sz w:val="18"/>
                <w:szCs w:val="18"/>
              </w:rPr>
              <w:t>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sz w:val="18"/>
                <w:szCs w:val="18"/>
              </w:rPr>
              <w:t>2</w:t>
            </w:r>
          </w:p>
        </w:tc>
        <w:tc>
          <w:tcPr>
            <w:tcW w:w="152" w:type="pct"/>
            <w:vMerge w:val="restart"/>
            <w:vAlign w:val="center"/>
          </w:tcPr>
          <w:p>
            <w:pPr>
              <w:pStyle w:val="105"/>
              <w:spacing w:before="0" w:after="0"/>
              <w:jc w:val="center"/>
              <w:rPr>
                <w:sz w:val="18"/>
                <w:szCs w:val="18"/>
              </w:rPr>
            </w:pPr>
            <w:r>
              <w:rPr>
                <w:rFonts w:hint="eastAsia"/>
                <w:sz w:val="18"/>
                <w:szCs w:val="18"/>
              </w:rPr>
              <w:t>上张村林泉</w:t>
            </w:r>
          </w:p>
        </w:tc>
        <w:tc>
          <w:tcPr>
            <w:tcW w:w="608" w:type="pct"/>
            <w:vMerge w:val="restart"/>
            <w:vAlign w:val="center"/>
          </w:tcPr>
          <w:p>
            <w:pPr>
              <w:pStyle w:val="105"/>
              <w:spacing w:before="0" w:after="0"/>
              <w:jc w:val="center"/>
              <w:rPr>
                <w:sz w:val="18"/>
                <w:szCs w:val="18"/>
              </w:rPr>
            </w:pPr>
            <w:r>
              <w:rPr>
                <w:rFonts w:hint="eastAsia"/>
                <w:sz w:val="18"/>
                <w:szCs w:val="18"/>
              </w:rPr>
              <w:t>临拟建公路</w:t>
            </w:r>
          </w:p>
          <w:p>
            <w:pPr>
              <w:pStyle w:val="105"/>
              <w:spacing w:before="0" w:after="0"/>
              <w:jc w:val="center"/>
              <w:rPr>
                <w:sz w:val="18"/>
                <w:szCs w:val="18"/>
              </w:rPr>
            </w:pPr>
            <w:r>
              <w:rPr>
                <w:rFonts w:hint="eastAsia"/>
                <w:sz w:val="18"/>
                <w:szCs w:val="18"/>
              </w:rPr>
              <w:t>第一排1</w:t>
            </w:r>
            <w:r>
              <w:rPr>
                <w:sz w:val="18"/>
                <w:szCs w:val="18"/>
              </w:rPr>
              <w:t>F</w:t>
            </w:r>
          </w:p>
        </w:tc>
        <w:tc>
          <w:tcPr>
            <w:tcW w:w="253" w:type="pct"/>
            <w:vMerge w:val="restart"/>
            <w:vAlign w:val="center"/>
          </w:tcPr>
          <w:p>
            <w:pPr>
              <w:pStyle w:val="105"/>
              <w:spacing w:before="0" w:after="0"/>
              <w:jc w:val="center"/>
              <w:rPr>
                <w:sz w:val="18"/>
                <w:szCs w:val="18"/>
              </w:rPr>
            </w:pPr>
            <w:r>
              <w:rPr>
                <w:rFonts w:hint="eastAsia"/>
                <w:sz w:val="18"/>
                <w:szCs w:val="18"/>
              </w:rPr>
              <w:t>4</w:t>
            </w:r>
            <w:r>
              <w:rPr>
                <w:sz w:val="18"/>
                <w:szCs w:val="18"/>
              </w:rPr>
              <w:t>0</w:t>
            </w: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3</w:t>
            </w:r>
          </w:p>
        </w:tc>
        <w:tc>
          <w:tcPr>
            <w:tcW w:w="203" w:type="pct"/>
            <w:vMerge w:val="restart"/>
            <w:vAlign w:val="center"/>
          </w:tcPr>
          <w:p>
            <w:pPr>
              <w:pStyle w:val="105"/>
              <w:spacing w:before="0" w:after="0"/>
              <w:jc w:val="center"/>
              <w:rPr>
                <w:sz w:val="18"/>
                <w:szCs w:val="18"/>
              </w:rPr>
            </w:pPr>
            <w:r>
              <w:rPr>
                <w:rFonts w:hint="eastAsia"/>
                <w:sz w:val="18"/>
                <w:szCs w:val="18"/>
              </w:rPr>
              <w:t>0</w:t>
            </w:r>
            <w:r>
              <w:rPr>
                <w:sz w:val="18"/>
                <w:szCs w:val="18"/>
              </w:rPr>
              <w:t>.3</w:t>
            </w:r>
          </w:p>
        </w:tc>
        <w:tc>
          <w:tcPr>
            <w:tcW w:w="208" w:type="pct"/>
            <w:vMerge w:val="restart"/>
            <w:vAlign w:val="center"/>
          </w:tcPr>
          <w:p>
            <w:pPr>
              <w:pStyle w:val="105"/>
              <w:spacing w:before="0" w:after="0"/>
              <w:jc w:val="center"/>
              <w:rPr>
                <w:sz w:val="18"/>
                <w:szCs w:val="18"/>
              </w:rPr>
            </w:pPr>
            <w:r>
              <w:rPr>
                <w:rFonts w:hint="eastAsia"/>
                <w:sz w:val="18"/>
                <w:szCs w:val="18"/>
              </w:rPr>
              <w:t>4a类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sz w:val="18"/>
                <w:szCs w:val="18"/>
              </w:rPr>
            </w:pPr>
            <w:r>
              <w:rPr>
                <w:rFonts w:cs="Times New Roman"/>
                <w:sz w:val="18"/>
                <w:szCs w:val="18"/>
              </w:rPr>
              <w:t>49</w:t>
            </w:r>
          </w:p>
        </w:tc>
        <w:tc>
          <w:tcPr>
            <w:tcW w:w="241" w:type="pct"/>
            <w:vAlign w:val="center"/>
          </w:tcPr>
          <w:p>
            <w:pPr>
              <w:pStyle w:val="105"/>
              <w:spacing w:before="0" w:after="0"/>
              <w:jc w:val="center"/>
              <w:rPr>
                <w:sz w:val="18"/>
                <w:szCs w:val="18"/>
              </w:rPr>
            </w:pPr>
            <w:r>
              <w:rPr>
                <w:rFonts w:cs="Times New Roman"/>
                <w:sz w:val="18"/>
                <w:szCs w:val="18"/>
              </w:rPr>
              <w:t>49</w:t>
            </w:r>
          </w:p>
        </w:tc>
        <w:tc>
          <w:tcPr>
            <w:tcW w:w="194" w:type="pct"/>
            <w:vAlign w:val="center"/>
          </w:tcPr>
          <w:p>
            <w:pPr>
              <w:pStyle w:val="105"/>
              <w:spacing w:before="0" w:after="0"/>
              <w:jc w:val="center"/>
              <w:rPr>
                <w:sz w:val="18"/>
                <w:szCs w:val="18"/>
              </w:rPr>
            </w:pPr>
            <w:r>
              <w:rPr>
                <w:rFonts w:cs="Times New Roman"/>
                <w:sz w:val="18"/>
                <w:szCs w:val="18"/>
              </w:rPr>
              <w:t>54.3</w:t>
            </w:r>
          </w:p>
        </w:tc>
        <w:tc>
          <w:tcPr>
            <w:tcW w:w="184" w:type="pct"/>
            <w:vAlign w:val="center"/>
          </w:tcPr>
          <w:p>
            <w:pPr>
              <w:pStyle w:val="105"/>
              <w:spacing w:before="0" w:after="0"/>
              <w:jc w:val="center"/>
              <w:rPr>
                <w:sz w:val="18"/>
                <w:szCs w:val="18"/>
              </w:rPr>
            </w:pPr>
            <w:r>
              <w:rPr>
                <w:rFonts w:cs="Times New Roman"/>
                <w:sz w:val="18"/>
                <w:szCs w:val="18"/>
              </w:rPr>
              <w:t>55.4</w:t>
            </w:r>
          </w:p>
        </w:tc>
        <w:tc>
          <w:tcPr>
            <w:tcW w:w="236" w:type="pct"/>
            <w:vAlign w:val="center"/>
          </w:tcPr>
          <w:p>
            <w:pPr>
              <w:pStyle w:val="105"/>
              <w:spacing w:before="0" w:after="0"/>
              <w:jc w:val="center"/>
              <w:rPr>
                <w:sz w:val="18"/>
                <w:szCs w:val="18"/>
              </w:rPr>
            </w:pPr>
            <w:r>
              <w:rPr>
                <w:rFonts w:cs="Times New Roman"/>
                <w:sz w:val="18"/>
                <w:szCs w:val="18"/>
              </w:rPr>
              <w:t xml:space="preserve">6.4 </w:t>
            </w:r>
          </w:p>
        </w:tc>
        <w:tc>
          <w:tcPr>
            <w:tcW w:w="193" w:type="pct"/>
            <w:vAlign w:val="center"/>
          </w:tcPr>
          <w:p>
            <w:pPr>
              <w:pStyle w:val="105"/>
              <w:spacing w:before="0" w:after="0"/>
              <w:jc w:val="center"/>
              <w:rPr>
                <w:sz w:val="18"/>
                <w:szCs w:val="18"/>
              </w:rPr>
            </w:pPr>
            <w:r>
              <w:rPr>
                <w:rFonts w:cs="Times New Roman"/>
                <w:sz w:val="18"/>
                <w:szCs w:val="18"/>
              </w:rPr>
              <w:t>/</w:t>
            </w:r>
          </w:p>
        </w:tc>
        <w:tc>
          <w:tcPr>
            <w:tcW w:w="146" w:type="pct"/>
            <w:vAlign w:val="center"/>
          </w:tcPr>
          <w:p>
            <w:pPr>
              <w:pStyle w:val="105"/>
              <w:spacing w:before="0" w:after="0"/>
              <w:jc w:val="center"/>
              <w:rPr>
                <w:sz w:val="18"/>
                <w:szCs w:val="18"/>
              </w:rPr>
            </w:pPr>
            <w:r>
              <w:rPr>
                <w:rFonts w:cs="Times New Roman"/>
                <w:sz w:val="18"/>
                <w:szCs w:val="18"/>
              </w:rPr>
              <w:t>58.4</w:t>
            </w:r>
          </w:p>
        </w:tc>
        <w:tc>
          <w:tcPr>
            <w:tcW w:w="169" w:type="pct"/>
            <w:vAlign w:val="center"/>
          </w:tcPr>
          <w:p>
            <w:pPr>
              <w:pStyle w:val="105"/>
              <w:spacing w:before="0" w:after="0"/>
              <w:jc w:val="center"/>
              <w:rPr>
                <w:sz w:val="18"/>
                <w:szCs w:val="18"/>
              </w:rPr>
            </w:pPr>
            <w:r>
              <w:rPr>
                <w:rFonts w:cs="Times New Roman"/>
                <w:sz w:val="18"/>
                <w:szCs w:val="18"/>
              </w:rPr>
              <w:t>58.8</w:t>
            </w:r>
          </w:p>
        </w:tc>
        <w:tc>
          <w:tcPr>
            <w:tcW w:w="218" w:type="pct"/>
            <w:vAlign w:val="center"/>
          </w:tcPr>
          <w:p>
            <w:pPr>
              <w:pStyle w:val="105"/>
              <w:spacing w:before="0" w:after="0"/>
              <w:jc w:val="center"/>
              <w:rPr>
                <w:sz w:val="18"/>
                <w:szCs w:val="18"/>
              </w:rPr>
            </w:pPr>
            <w:r>
              <w:rPr>
                <w:rFonts w:cs="Times New Roman"/>
                <w:sz w:val="18"/>
                <w:szCs w:val="18"/>
              </w:rPr>
              <w:t xml:space="preserve">9.8 </w:t>
            </w:r>
          </w:p>
        </w:tc>
        <w:tc>
          <w:tcPr>
            <w:tcW w:w="188" w:type="pct"/>
            <w:vAlign w:val="center"/>
          </w:tcPr>
          <w:p>
            <w:pPr>
              <w:pStyle w:val="105"/>
              <w:spacing w:before="0" w:after="0"/>
              <w:jc w:val="center"/>
              <w:rPr>
                <w:sz w:val="18"/>
                <w:szCs w:val="18"/>
              </w:rPr>
            </w:pPr>
            <w:r>
              <w:rPr>
                <w:rFonts w:cs="Times New Roman"/>
                <w:sz w:val="18"/>
                <w:szCs w:val="18"/>
              </w:rPr>
              <w:t>/</w:t>
            </w:r>
          </w:p>
        </w:tc>
        <w:tc>
          <w:tcPr>
            <w:tcW w:w="182" w:type="pct"/>
            <w:vAlign w:val="center"/>
          </w:tcPr>
          <w:p>
            <w:pPr>
              <w:pStyle w:val="105"/>
              <w:spacing w:before="0" w:after="0"/>
              <w:jc w:val="center"/>
              <w:rPr>
                <w:sz w:val="18"/>
                <w:szCs w:val="18"/>
              </w:rPr>
            </w:pPr>
            <w:r>
              <w:rPr>
                <w:rFonts w:cs="Times New Roman"/>
                <w:sz w:val="18"/>
                <w:szCs w:val="18"/>
              </w:rPr>
              <w:t>58.6</w:t>
            </w:r>
          </w:p>
        </w:tc>
        <w:tc>
          <w:tcPr>
            <w:tcW w:w="164" w:type="pct"/>
            <w:vAlign w:val="center"/>
          </w:tcPr>
          <w:p>
            <w:pPr>
              <w:pStyle w:val="105"/>
              <w:spacing w:before="0" w:after="0"/>
              <w:jc w:val="center"/>
              <w:rPr>
                <w:sz w:val="18"/>
                <w:szCs w:val="18"/>
              </w:rPr>
            </w:pPr>
            <w:r>
              <w:rPr>
                <w:rFonts w:cs="Times New Roman"/>
                <w:sz w:val="18"/>
                <w:szCs w:val="18"/>
              </w:rPr>
              <w:t>59.0</w:t>
            </w:r>
          </w:p>
        </w:tc>
        <w:tc>
          <w:tcPr>
            <w:tcW w:w="232" w:type="pct"/>
            <w:vAlign w:val="center"/>
          </w:tcPr>
          <w:p>
            <w:pPr>
              <w:pStyle w:val="105"/>
              <w:spacing w:before="0" w:after="0"/>
              <w:jc w:val="center"/>
              <w:rPr>
                <w:sz w:val="18"/>
                <w:szCs w:val="18"/>
              </w:rPr>
            </w:pPr>
            <w:r>
              <w:rPr>
                <w:rFonts w:cs="Times New Roman"/>
                <w:sz w:val="18"/>
                <w:szCs w:val="18"/>
              </w:rPr>
              <w:t xml:space="preserve">10.0 </w:t>
            </w:r>
          </w:p>
        </w:tc>
        <w:tc>
          <w:tcPr>
            <w:tcW w:w="152" w:type="pct"/>
            <w:vAlign w:val="center"/>
          </w:tcPr>
          <w:p>
            <w:pPr>
              <w:pStyle w:val="105"/>
              <w:spacing w:before="0" w:after="0"/>
              <w:jc w:val="center"/>
              <w:rPr>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sz w:val="18"/>
                <w:szCs w:val="18"/>
              </w:rPr>
            </w:pPr>
            <w:r>
              <w:rPr>
                <w:rFonts w:cs="Times New Roman"/>
                <w:sz w:val="18"/>
                <w:szCs w:val="18"/>
              </w:rPr>
              <w:t>42</w:t>
            </w:r>
          </w:p>
        </w:tc>
        <w:tc>
          <w:tcPr>
            <w:tcW w:w="241" w:type="pct"/>
            <w:vAlign w:val="center"/>
          </w:tcPr>
          <w:p>
            <w:pPr>
              <w:pStyle w:val="105"/>
              <w:spacing w:before="0" w:after="0"/>
              <w:jc w:val="center"/>
              <w:rPr>
                <w:sz w:val="18"/>
                <w:szCs w:val="18"/>
              </w:rPr>
            </w:pPr>
            <w:r>
              <w:rPr>
                <w:rFonts w:cs="Times New Roman"/>
                <w:sz w:val="18"/>
                <w:szCs w:val="18"/>
              </w:rPr>
              <w:t>42</w:t>
            </w:r>
          </w:p>
        </w:tc>
        <w:tc>
          <w:tcPr>
            <w:tcW w:w="194" w:type="pct"/>
            <w:vAlign w:val="center"/>
          </w:tcPr>
          <w:p>
            <w:pPr>
              <w:pStyle w:val="105"/>
              <w:spacing w:before="0" w:after="0"/>
              <w:jc w:val="center"/>
              <w:rPr>
                <w:sz w:val="18"/>
                <w:szCs w:val="18"/>
              </w:rPr>
            </w:pPr>
            <w:r>
              <w:rPr>
                <w:rFonts w:cs="Times New Roman"/>
                <w:sz w:val="18"/>
                <w:szCs w:val="18"/>
              </w:rPr>
              <w:t>46.7</w:t>
            </w:r>
          </w:p>
        </w:tc>
        <w:tc>
          <w:tcPr>
            <w:tcW w:w="184" w:type="pct"/>
            <w:vAlign w:val="center"/>
          </w:tcPr>
          <w:p>
            <w:pPr>
              <w:pStyle w:val="105"/>
              <w:spacing w:before="0" w:after="0"/>
              <w:jc w:val="center"/>
              <w:rPr>
                <w:sz w:val="18"/>
                <w:szCs w:val="18"/>
              </w:rPr>
            </w:pPr>
            <w:r>
              <w:rPr>
                <w:rFonts w:cs="Times New Roman"/>
                <w:sz w:val="18"/>
                <w:szCs w:val="18"/>
              </w:rPr>
              <w:t>48.0</w:t>
            </w:r>
          </w:p>
        </w:tc>
        <w:tc>
          <w:tcPr>
            <w:tcW w:w="236" w:type="pct"/>
            <w:vAlign w:val="center"/>
          </w:tcPr>
          <w:p>
            <w:pPr>
              <w:pStyle w:val="105"/>
              <w:spacing w:before="0" w:after="0"/>
              <w:jc w:val="center"/>
              <w:rPr>
                <w:sz w:val="18"/>
                <w:szCs w:val="18"/>
              </w:rPr>
            </w:pPr>
            <w:r>
              <w:rPr>
                <w:rFonts w:cs="Times New Roman"/>
                <w:sz w:val="18"/>
                <w:szCs w:val="18"/>
              </w:rPr>
              <w:t xml:space="preserve">6.0 </w:t>
            </w:r>
          </w:p>
        </w:tc>
        <w:tc>
          <w:tcPr>
            <w:tcW w:w="193" w:type="pct"/>
            <w:vAlign w:val="center"/>
          </w:tcPr>
          <w:p>
            <w:pPr>
              <w:pStyle w:val="105"/>
              <w:spacing w:before="0" w:after="0"/>
              <w:jc w:val="center"/>
              <w:rPr>
                <w:sz w:val="18"/>
                <w:szCs w:val="18"/>
              </w:rPr>
            </w:pPr>
            <w:r>
              <w:rPr>
                <w:rFonts w:cs="Times New Roman"/>
                <w:sz w:val="18"/>
                <w:szCs w:val="18"/>
              </w:rPr>
              <w:t>/</w:t>
            </w:r>
          </w:p>
        </w:tc>
        <w:tc>
          <w:tcPr>
            <w:tcW w:w="146" w:type="pct"/>
            <w:vAlign w:val="center"/>
          </w:tcPr>
          <w:p>
            <w:pPr>
              <w:pStyle w:val="105"/>
              <w:spacing w:before="0" w:after="0"/>
              <w:jc w:val="center"/>
              <w:rPr>
                <w:sz w:val="18"/>
                <w:szCs w:val="18"/>
              </w:rPr>
            </w:pPr>
            <w:r>
              <w:rPr>
                <w:rFonts w:cs="Times New Roman"/>
                <w:sz w:val="18"/>
                <w:szCs w:val="18"/>
              </w:rPr>
              <w:t>47.1</w:t>
            </w:r>
          </w:p>
        </w:tc>
        <w:tc>
          <w:tcPr>
            <w:tcW w:w="169" w:type="pct"/>
            <w:vAlign w:val="center"/>
          </w:tcPr>
          <w:p>
            <w:pPr>
              <w:pStyle w:val="105"/>
              <w:spacing w:before="0" w:after="0"/>
              <w:jc w:val="center"/>
              <w:rPr>
                <w:sz w:val="18"/>
                <w:szCs w:val="18"/>
              </w:rPr>
            </w:pPr>
            <w:r>
              <w:rPr>
                <w:rFonts w:cs="Times New Roman"/>
                <w:sz w:val="18"/>
                <w:szCs w:val="18"/>
              </w:rPr>
              <w:t>48.3</w:t>
            </w:r>
          </w:p>
        </w:tc>
        <w:tc>
          <w:tcPr>
            <w:tcW w:w="218" w:type="pct"/>
            <w:vAlign w:val="center"/>
          </w:tcPr>
          <w:p>
            <w:pPr>
              <w:pStyle w:val="105"/>
              <w:spacing w:before="0" w:after="0"/>
              <w:jc w:val="center"/>
              <w:rPr>
                <w:sz w:val="18"/>
                <w:szCs w:val="18"/>
              </w:rPr>
            </w:pPr>
            <w:r>
              <w:rPr>
                <w:rFonts w:cs="Times New Roman"/>
                <w:sz w:val="18"/>
                <w:szCs w:val="18"/>
              </w:rPr>
              <w:t xml:space="preserve">6.3 </w:t>
            </w:r>
          </w:p>
        </w:tc>
        <w:tc>
          <w:tcPr>
            <w:tcW w:w="188" w:type="pct"/>
            <w:vAlign w:val="center"/>
          </w:tcPr>
          <w:p>
            <w:pPr>
              <w:pStyle w:val="105"/>
              <w:spacing w:before="0" w:after="0"/>
              <w:jc w:val="center"/>
              <w:rPr>
                <w:sz w:val="18"/>
                <w:szCs w:val="18"/>
              </w:rPr>
            </w:pPr>
            <w:r>
              <w:rPr>
                <w:rFonts w:cs="Times New Roman"/>
                <w:sz w:val="18"/>
                <w:szCs w:val="18"/>
              </w:rPr>
              <w:t>/</w:t>
            </w:r>
          </w:p>
        </w:tc>
        <w:tc>
          <w:tcPr>
            <w:tcW w:w="182" w:type="pct"/>
            <w:vAlign w:val="center"/>
          </w:tcPr>
          <w:p>
            <w:pPr>
              <w:pStyle w:val="105"/>
              <w:spacing w:before="0" w:after="0"/>
              <w:jc w:val="center"/>
              <w:rPr>
                <w:sz w:val="18"/>
                <w:szCs w:val="18"/>
              </w:rPr>
            </w:pPr>
            <w:r>
              <w:rPr>
                <w:rFonts w:cs="Times New Roman"/>
                <w:sz w:val="18"/>
                <w:szCs w:val="18"/>
              </w:rPr>
              <w:t>47.4</w:t>
            </w:r>
          </w:p>
        </w:tc>
        <w:tc>
          <w:tcPr>
            <w:tcW w:w="164" w:type="pct"/>
            <w:vAlign w:val="center"/>
          </w:tcPr>
          <w:p>
            <w:pPr>
              <w:pStyle w:val="105"/>
              <w:spacing w:before="0" w:after="0"/>
              <w:jc w:val="center"/>
              <w:rPr>
                <w:sz w:val="18"/>
                <w:szCs w:val="18"/>
              </w:rPr>
            </w:pPr>
            <w:r>
              <w:rPr>
                <w:rFonts w:cs="Times New Roman"/>
                <w:sz w:val="18"/>
                <w:szCs w:val="18"/>
              </w:rPr>
              <w:t>48.5</w:t>
            </w:r>
          </w:p>
        </w:tc>
        <w:tc>
          <w:tcPr>
            <w:tcW w:w="232" w:type="pct"/>
            <w:vAlign w:val="center"/>
          </w:tcPr>
          <w:p>
            <w:pPr>
              <w:pStyle w:val="105"/>
              <w:spacing w:before="0" w:after="0"/>
              <w:jc w:val="center"/>
              <w:rPr>
                <w:sz w:val="18"/>
                <w:szCs w:val="18"/>
              </w:rPr>
            </w:pPr>
            <w:r>
              <w:rPr>
                <w:rFonts w:cs="Times New Roman"/>
                <w:sz w:val="18"/>
                <w:szCs w:val="18"/>
              </w:rPr>
              <w:t xml:space="preserve">6.5 </w:t>
            </w:r>
          </w:p>
        </w:tc>
        <w:tc>
          <w:tcPr>
            <w:tcW w:w="152" w:type="pct"/>
            <w:vAlign w:val="center"/>
          </w:tcPr>
          <w:p>
            <w:pPr>
              <w:pStyle w:val="105"/>
              <w:spacing w:before="0" w:after="0"/>
              <w:jc w:val="center"/>
              <w:rPr>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临拟建公路</w:t>
            </w:r>
          </w:p>
          <w:p>
            <w:pPr>
              <w:pStyle w:val="105"/>
              <w:spacing w:before="0" w:after="0"/>
              <w:jc w:val="center"/>
              <w:rPr>
                <w:sz w:val="18"/>
                <w:szCs w:val="18"/>
              </w:rPr>
            </w:pPr>
            <w:r>
              <w:rPr>
                <w:rFonts w:hint="eastAsia"/>
                <w:sz w:val="18"/>
                <w:szCs w:val="18"/>
              </w:rPr>
              <w:t>第一排</w:t>
            </w:r>
            <w:r>
              <w:rPr>
                <w:sz w:val="18"/>
                <w:szCs w:val="18"/>
              </w:rPr>
              <w:t>3F</w:t>
            </w:r>
          </w:p>
        </w:tc>
        <w:tc>
          <w:tcPr>
            <w:tcW w:w="253" w:type="pct"/>
            <w:vMerge w:val="continue"/>
            <w:vAlign w:val="center"/>
          </w:tcPr>
          <w:p>
            <w:pPr>
              <w:pStyle w:val="105"/>
              <w:spacing w:before="0" w:after="0"/>
              <w:jc w:val="center"/>
              <w:rPr>
                <w:sz w:val="18"/>
                <w:szCs w:val="18"/>
              </w:rPr>
            </w:pPr>
          </w:p>
        </w:tc>
        <w:tc>
          <w:tcPr>
            <w:tcW w:w="202" w:type="pct"/>
            <w:vMerge w:val="restart"/>
            <w:vAlign w:val="center"/>
          </w:tcPr>
          <w:p>
            <w:pPr>
              <w:pStyle w:val="105"/>
              <w:spacing w:before="0" w:after="0"/>
              <w:jc w:val="center"/>
              <w:rPr>
                <w:sz w:val="18"/>
                <w:szCs w:val="18"/>
              </w:rPr>
            </w:pPr>
            <w:r>
              <w:rPr>
                <w:sz w:val="18"/>
                <w:szCs w:val="18"/>
              </w:rPr>
              <w:t>3</w:t>
            </w: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rFonts w:cs="Times New Roman"/>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49</w:t>
            </w:r>
          </w:p>
        </w:tc>
        <w:tc>
          <w:tcPr>
            <w:tcW w:w="241" w:type="pct"/>
            <w:vAlign w:val="center"/>
          </w:tcPr>
          <w:p>
            <w:pPr>
              <w:pStyle w:val="105"/>
              <w:spacing w:before="0" w:after="0"/>
              <w:jc w:val="center"/>
              <w:rPr>
                <w:rFonts w:cs="Times New Roman"/>
                <w:sz w:val="18"/>
                <w:szCs w:val="18"/>
              </w:rPr>
            </w:pPr>
            <w:r>
              <w:rPr>
                <w:rFonts w:cs="Times New Roman"/>
                <w:sz w:val="18"/>
                <w:szCs w:val="18"/>
              </w:rPr>
              <w:t>49</w:t>
            </w:r>
          </w:p>
        </w:tc>
        <w:tc>
          <w:tcPr>
            <w:tcW w:w="194" w:type="pct"/>
            <w:vAlign w:val="center"/>
          </w:tcPr>
          <w:p>
            <w:pPr>
              <w:pStyle w:val="105"/>
              <w:spacing w:before="0" w:after="0"/>
              <w:jc w:val="center"/>
              <w:rPr>
                <w:rFonts w:cs="Times New Roman"/>
                <w:sz w:val="18"/>
                <w:szCs w:val="18"/>
              </w:rPr>
            </w:pPr>
            <w:r>
              <w:rPr>
                <w:rFonts w:cs="Times New Roman"/>
                <w:sz w:val="18"/>
                <w:szCs w:val="18"/>
              </w:rPr>
              <w:t>54.4</w:t>
            </w:r>
          </w:p>
        </w:tc>
        <w:tc>
          <w:tcPr>
            <w:tcW w:w="184" w:type="pct"/>
            <w:vAlign w:val="center"/>
          </w:tcPr>
          <w:p>
            <w:pPr>
              <w:pStyle w:val="105"/>
              <w:spacing w:before="0" w:after="0"/>
              <w:jc w:val="center"/>
              <w:rPr>
                <w:rFonts w:cs="Times New Roman"/>
                <w:sz w:val="18"/>
                <w:szCs w:val="18"/>
              </w:rPr>
            </w:pPr>
            <w:r>
              <w:rPr>
                <w:rFonts w:cs="Times New Roman"/>
                <w:sz w:val="18"/>
                <w:szCs w:val="18"/>
              </w:rPr>
              <w:t>55.5</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6.5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58.5</w:t>
            </w:r>
          </w:p>
        </w:tc>
        <w:tc>
          <w:tcPr>
            <w:tcW w:w="169" w:type="pct"/>
            <w:vAlign w:val="center"/>
          </w:tcPr>
          <w:p>
            <w:pPr>
              <w:pStyle w:val="105"/>
              <w:spacing w:before="0" w:after="0"/>
              <w:jc w:val="center"/>
              <w:rPr>
                <w:rFonts w:cs="Times New Roman"/>
                <w:sz w:val="18"/>
                <w:szCs w:val="18"/>
              </w:rPr>
            </w:pPr>
            <w:r>
              <w:rPr>
                <w:rFonts w:cs="Times New Roman"/>
                <w:sz w:val="18"/>
                <w:szCs w:val="18"/>
              </w:rPr>
              <w:t>58.9</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9.9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58.6</w:t>
            </w:r>
          </w:p>
        </w:tc>
        <w:tc>
          <w:tcPr>
            <w:tcW w:w="164" w:type="pct"/>
            <w:vAlign w:val="center"/>
          </w:tcPr>
          <w:p>
            <w:pPr>
              <w:pStyle w:val="105"/>
              <w:spacing w:before="0" w:after="0"/>
              <w:jc w:val="center"/>
              <w:rPr>
                <w:rFonts w:cs="Times New Roman"/>
                <w:sz w:val="18"/>
                <w:szCs w:val="18"/>
              </w:rPr>
            </w:pPr>
            <w:r>
              <w:rPr>
                <w:rFonts w:cs="Times New Roman"/>
                <w:sz w:val="18"/>
                <w:szCs w:val="18"/>
              </w:rPr>
              <w:t>59.0</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10.0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42</w:t>
            </w:r>
          </w:p>
        </w:tc>
        <w:tc>
          <w:tcPr>
            <w:tcW w:w="241" w:type="pct"/>
            <w:vAlign w:val="center"/>
          </w:tcPr>
          <w:p>
            <w:pPr>
              <w:pStyle w:val="105"/>
              <w:spacing w:before="0" w:after="0"/>
              <w:jc w:val="center"/>
              <w:rPr>
                <w:rFonts w:cs="Times New Roman"/>
                <w:sz w:val="18"/>
                <w:szCs w:val="18"/>
              </w:rPr>
            </w:pPr>
            <w:r>
              <w:rPr>
                <w:rFonts w:cs="Times New Roman"/>
                <w:sz w:val="18"/>
                <w:szCs w:val="18"/>
              </w:rPr>
              <w:t>42</w:t>
            </w:r>
          </w:p>
        </w:tc>
        <w:tc>
          <w:tcPr>
            <w:tcW w:w="194" w:type="pct"/>
            <w:vAlign w:val="center"/>
          </w:tcPr>
          <w:p>
            <w:pPr>
              <w:pStyle w:val="105"/>
              <w:spacing w:before="0" w:after="0"/>
              <w:jc w:val="center"/>
              <w:rPr>
                <w:rFonts w:cs="Times New Roman"/>
                <w:sz w:val="18"/>
                <w:szCs w:val="18"/>
              </w:rPr>
            </w:pPr>
            <w:r>
              <w:rPr>
                <w:rFonts w:cs="Times New Roman"/>
                <w:sz w:val="18"/>
                <w:szCs w:val="18"/>
              </w:rPr>
              <w:t>46.8</w:t>
            </w:r>
          </w:p>
        </w:tc>
        <w:tc>
          <w:tcPr>
            <w:tcW w:w="184" w:type="pct"/>
            <w:vAlign w:val="center"/>
          </w:tcPr>
          <w:p>
            <w:pPr>
              <w:pStyle w:val="105"/>
              <w:spacing w:before="0" w:after="0"/>
              <w:jc w:val="center"/>
              <w:rPr>
                <w:rFonts w:cs="Times New Roman"/>
                <w:sz w:val="18"/>
                <w:szCs w:val="18"/>
              </w:rPr>
            </w:pPr>
            <w:r>
              <w:rPr>
                <w:rFonts w:cs="Times New Roman"/>
                <w:sz w:val="18"/>
                <w:szCs w:val="18"/>
              </w:rPr>
              <w:t>48.0</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6.0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47.2</w:t>
            </w:r>
          </w:p>
        </w:tc>
        <w:tc>
          <w:tcPr>
            <w:tcW w:w="169" w:type="pct"/>
            <w:vAlign w:val="center"/>
          </w:tcPr>
          <w:p>
            <w:pPr>
              <w:pStyle w:val="105"/>
              <w:spacing w:before="0" w:after="0"/>
              <w:jc w:val="center"/>
              <w:rPr>
                <w:rFonts w:cs="Times New Roman"/>
                <w:sz w:val="18"/>
                <w:szCs w:val="18"/>
              </w:rPr>
            </w:pPr>
            <w:r>
              <w:rPr>
                <w:rFonts w:cs="Times New Roman"/>
                <w:sz w:val="18"/>
                <w:szCs w:val="18"/>
              </w:rPr>
              <w:t>48.4</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6.4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47.4</w:t>
            </w:r>
          </w:p>
        </w:tc>
        <w:tc>
          <w:tcPr>
            <w:tcW w:w="164" w:type="pct"/>
            <w:vAlign w:val="center"/>
          </w:tcPr>
          <w:p>
            <w:pPr>
              <w:pStyle w:val="105"/>
              <w:spacing w:before="0" w:after="0"/>
              <w:jc w:val="center"/>
              <w:rPr>
                <w:rFonts w:cs="Times New Roman"/>
                <w:sz w:val="18"/>
                <w:szCs w:val="18"/>
              </w:rPr>
            </w:pPr>
            <w:r>
              <w:rPr>
                <w:rFonts w:cs="Times New Roman"/>
                <w:sz w:val="18"/>
                <w:szCs w:val="18"/>
              </w:rPr>
              <w:t>48.5</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6.5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后排</w:t>
            </w:r>
          </w:p>
        </w:tc>
        <w:tc>
          <w:tcPr>
            <w:tcW w:w="253" w:type="pct"/>
            <w:vMerge w:val="restart"/>
            <w:vAlign w:val="center"/>
          </w:tcPr>
          <w:p>
            <w:pPr>
              <w:pStyle w:val="105"/>
              <w:spacing w:before="0" w:after="0"/>
              <w:jc w:val="center"/>
              <w:rPr>
                <w:sz w:val="18"/>
                <w:szCs w:val="18"/>
              </w:rPr>
            </w:pPr>
            <w:r>
              <w:rPr>
                <w:rFonts w:hint="eastAsia"/>
                <w:sz w:val="18"/>
                <w:szCs w:val="18"/>
              </w:rPr>
              <w:t>6</w:t>
            </w:r>
            <w:r>
              <w:rPr>
                <w:sz w:val="18"/>
                <w:szCs w:val="18"/>
              </w:rPr>
              <w:t>3</w:t>
            </w: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4</w:t>
            </w:r>
          </w:p>
        </w:tc>
        <w:tc>
          <w:tcPr>
            <w:tcW w:w="203" w:type="pct"/>
            <w:vMerge w:val="restart"/>
            <w:vAlign w:val="center"/>
          </w:tcPr>
          <w:p>
            <w:pPr>
              <w:pStyle w:val="105"/>
              <w:spacing w:before="0" w:after="0"/>
              <w:jc w:val="center"/>
              <w:rPr>
                <w:sz w:val="18"/>
                <w:szCs w:val="18"/>
              </w:rPr>
            </w:pPr>
            <w:r>
              <w:rPr>
                <w:rFonts w:hint="eastAsia"/>
                <w:sz w:val="18"/>
                <w:szCs w:val="18"/>
              </w:rPr>
              <w:t>0</w:t>
            </w:r>
            <w:r>
              <w:rPr>
                <w:sz w:val="18"/>
                <w:szCs w:val="18"/>
              </w:rPr>
              <w:t>.3</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sz w:val="18"/>
                <w:szCs w:val="18"/>
              </w:rPr>
            </w:pPr>
            <w:r>
              <w:rPr>
                <w:rFonts w:cs="Times New Roman"/>
                <w:sz w:val="18"/>
                <w:szCs w:val="18"/>
              </w:rPr>
              <w:t>49</w:t>
            </w:r>
          </w:p>
        </w:tc>
        <w:tc>
          <w:tcPr>
            <w:tcW w:w="241" w:type="pct"/>
            <w:vAlign w:val="center"/>
          </w:tcPr>
          <w:p>
            <w:pPr>
              <w:pStyle w:val="105"/>
              <w:spacing w:before="0" w:after="0"/>
              <w:jc w:val="center"/>
              <w:rPr>
                <w:sz w:val="18"/>
                <w:szCs w:val="18"/>
              </w:rPr>
            </w:pPr>
            <w:r>
              <w:rPr>
                <w:rFonts w:cs="Times New Roman"/>
                <w:sz w:val="18"/>
                <w:szCs w:val="18"/>
              </w:rPr>
              <w:t>49</w:t>
            </w:r>
          </w:p>
        </w:tc>
        <w:tc>
          <w:tcPr>
            <w:tcW w:w="194" w:type="pct"/>
            <w:vAlign w:val="center"/>
          </w:tcPr>
          <w:p>
            <w:pPr>
              <w:pStyle w:val="105"/>
              <w:spacing w:before="0" w:after="0"/>
              <w:jc w:val="center"/>
              <w:rPr>
                <w:sz w:val="18"/>
                <w:szCs w:val="18"/>
              </w:rPr>
            </w:pPr>
            <w:r>
              <w:rPr>
                <w:rFonts w:cs="Times New Roman"/>
                <w:sz w:val="18"/>
                <w:szCs w:val="18"/>
              </w:rPr>
              <w:t>51.3</w:t>
            </w:r>
          </w:p>
        </w:tc>
        <w:tc>
          <w:tcPr>
            <w:tcW w:w="184" w:type="pct"/>
            <w:vAlign w:val="center"/>
          </w:tcPr>
          <w:p>
            <w:pPr>
              <w:pStyle w:val="105"/>
              <w:spacing w:before="0" w:after="0"/>
              <w:jc w:val="center"/>
              <w:rPr>
                <w:sz w:val="18"/>
                <w:szCs w:val="18"/>
              </w:rPr>
            </w:pPr>
            <w:r>
              <w:rPr>
                <w:rFonts w:cs="Times New Roman"/>
                <w:sz w:val="18"/>
                <w:szCs w:val="18"/>
              </w:rPr>
              <w:t>53.3</w:t>
            </w:r>
          </w:p>
        </w:tc>
        <w:tc>
          <w:tcPr>
            <w:tcW w:w="236" w:type="pct"/>
            <w:vAlign w:val="center"/>
          </w:tcPr>
          <w:p>
            <w:pPr>
              <w:pStyle w:val="105"/>
              <w:spacing w:before="0" w:after="0"/>
              <w:jc w:val="center"/>
              <w:rPr>
                <w:sz w:val="18"/>
                <w:szCs w:val="18"/>
              </w:rPr>
            </w:pPr>
            <w:r>
              <w:rPr>
                <w:rFonts w:cs="Times New Roman"/>
                <w:sz w:val="18"/>
                <w:szCs w:val="18"/>
              </w:rPr>
              <w:t>4.3</w:t>
            </w:r>
          </w:p>
        </w:tc>
        <w:tc>
          <w:tcPr>
            <w:tcW w:w="193" w:type="pct"/>
            <w:vAlign w:val="center"/>
          </w:tcPr>
          <w:p>
            <w:pPr>
              <w:pStyle w:val="105"/>
              <w:spacing w:before="0" w:after="0"/>
              <w:jc w:val="center"/>
              <w:rPr>
                <w:sz w:val="18"/>
                <w:szCs w:val="18"/>
              </w:rPr>
            </w:pPr>
            <w:r>
              <w:rPr>
                <w:rFonts w:cs="Times New Roman"/>
                <w:sz w:val="18"/>
                <w:szCs w:val="18"/>
              </w:rPr>
              <w:t>/</w:t>
            </w:r>
          </w:p>
        </w:tc>
        <w:tc>
          <w:tcPr>
            <w:tcW w:w="146" w:type="pct"/>
            <w:vAlign w:val="center"/>
          </w:tcPr>
          <w:p>
            <w:pPr>
              <w:pStyle w:val="105"/>
              <w:spacing w:before="0" w:after="0"/>
              <w:jc w:val="center"/>
              <w:rPr>
                <w:sz w:val="18"/>
                <w:szCs w:val="18"/>
              </w:rPr>
            </w:pPr>
            <w:r>
              <w:rPr>
                <w:rFonts w:cs="Times New Roman"/>
                <w:sz w:val="18"/>
                <w:szCs w:val="18"/>
              </w:rPr>
              <w:t>56.3</w:t>
            </w:r>
          </w:p>
        </w:tc>
        <w:tc>
          <w:tcPr>
            <w:tcW w:w="169" w:type="pct"/>
            <w:vAlign w:val="center"/>
          </w:tcPr>
          <w:p>
            <w:pPr>
              <w:pStyle w:val="105"/>
              <w:spacing w:before="0" w:after="0"/>
              <w:jc w:val="center"/>
              <w:rPr>
                <w:sz w:val="18"/>
                <w:szCs w:val="18"/>
              </w:rPr>
            </w:pPr>
            <w:r>
              <w:rPr>
                <w:rFonts w:cs="Times New Roman"/>
                <w:sz w:val="18"/>
                <w:szCs w:val="18"/>
              </w:rPr>
              <w:t>57.1</w:t>
            </w:r>
          </w:p>
        </w:tc>
        <w:tc>
          <w:tcPr>
            <w:tcW w:w="218" w:type="pct"/>
            <w:vAlign w:val="center"/>
          </w:tcPr>
          <w:p>
            <w:pPr>
              <w:pStyle w:val="105"/>
              <w:spacing w:before="0" w:after="0"/>
              <w:jc w:val="center"/>
              <w:rPr>
                <w:sz w:val="18"/>
                <w:szCs w:val="18"/>
              </w:rPr>
            </w:pPr>
            <w:r>
              <w:rPr>
                <w:rFonts w:cs="Times New Roman"/>
                <w:sz w:val="18"/>
                <w:szCs w:val="18"/>
              </w:rPr>
              <w:t>8.1</w:t>
            </w:r>
          </w:p>
        </w:tc>
        <w:tc>
          <w:tcPr>
            <w:tcW w:w="188" w:type="pct"/>
            <w:vAlign w:val="center"/>
          </w:tcPr>
          <w:p>
            <w:pPr>
              <w:pStyle w:val="105"/>
              <w:spacing w:before="0" w:after="0"/>
              <w:jc w:val="center"/>
              <w:rPr>
                <w:sz w:val="18"/>
                <w:szCs w:val="18"/>
              </w:rPr>
            </w:pPr>
            <w:r>
              <w:rPr>
                <w:rFonts w:cs="Times New Roman"/>
                <w:sz w:val="18"/>
                <w:szCs w:val="18"/>
              </w:rPr>
              <w:t>/</w:t>
            </w:r>
          </w:p>
        </w:tc>
        <w:tc>
          <w:tcPr>
            <w:tcW w:w="182" w:type="pct"/>
            <w:vAlign w:val="center"/>
          </w:tcPr>
          <w:p>
            <w:pPr>
              <w:pStyle w:val="105"/>
              <w:spacing w:before="0" w:after="0"/>
              <w:jc w:val="center"/>
              <w:rPr>
                <w:sz w:val="18"/>
                <w:szCs w:val="18"/>
              </w:rPr>
            </w:pPr>
            <w:r>
              <w:rPr>
                <w:rFonts w:cs="Times New Roman"/>
                <w:sz w:val="18"/>
                <w:szCs w:val="18"/>
              </w:rPr>
              <w:t>56.5</w:t>
            </w:r>
          </w:p>
        </w:tc>
        <w:tc>
          <w:tcPr>
            <w:tcW w:w="164" w:type="pct"/>
            <w:vAlign w:val="center"/>
          </w:tcPr>
          <w:p>
            <w:pPr>
              <w:pStyle w:val="105"/>
              <w:spacing w:before="0" w:after="0"/>
              <w:jc w:val="center"/>
              <w:rPr>
                <w:sz w:val="18"/>
                <w:szCs w:val="18"/>
              </w:rPr>
            </w:pPr>
            <w:r>
              <w:rPr>
                <w:rFonts w:cs="Times New Roman"/>
                <w:sz w:val="18"/>
                <w:szCs w:val="18"/>
              </w:rPr>
              <w:t>57.2</w:t>
            </w:r>
          </w:p>
        </w:tc>
        <w:tc>
          <w:tcPr>
            <w:tcW w:w="232" w:type="pct"/>
            <w:vAlign w:val="center"/>
          </w:tcPr>
          <w:p>
            <w:pPr>
              <w:pStyle w:val="105"/>
              <w:spacing w:before="0" w:after="0"/>
              <w:jc w:val="center"/>
              <w:rPr>
                <w:sz w:val="18"/>
                <w:szCs w:val="18"/>
              </w:rPr>
            </w:pPr>
            <w:r>
              <w:rPr>
                <w:rFonts w:cs="Times New Roman"/>
                <w:sz w:val="18"/>
                <w:szCs w:val="18"/>
              </w:rPr>
              <w:t>8.2</w:t>
            </w:r>
          </w:p>
        </w:tc>
        <w:tc>
          <w:tcPr>
            <w:tcW w:w="152" w:type="pct"/>
            <w:vAlign w:val="center"/>
          </w:tcPr>
          <w:p>
            <w:pPr>
              <w:pStyle w:val="105"/>
              <w:spacing w:before="0" w:after="0"/>
              <w:jc w:val="center"/>
              <w:rPr>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sz w:val="18"/>
                <w:szCs w:val="18"/>
              </w:rPr>
            </w:pPr>
            <w:r>
              <w:rPr>
                <w:rFonts w:cs="Times New Roman"/>
                <w:sz w:val="18"/>
                <w:szCs w:val="18"/>
              </w:rPr>
              <w:t>42</w:t>
            </w:r>
          </w:p>
        </w:tc>
        <w:tc>
          <w:tcPr>
            <w:tcW w:w="241" w:type="pct"/>
            <w:vAlign w:val="center"/>
          </w:tcPr>
          <w:p>
            <w:pPr>
              <w:pStyle w:val="105"/>
              <w:spacing w:before="0" w:after="0"/>
              <w:jc w:val="center"/>
              <w:rPr>
                <w:sz w:val="18"/>
                <w:szCs w:val="18"/>
              </w:rPr>
            </w:pPr>
            <w:r>
              <w:rPr>
                <w:rFonts w:cs="Times New Roman"/>
                <w:sz w:val="18"/>
                <w:szCs w:val="18"/>
              </w:rPr>
              <w:t>42</w:t>
            </w:r>
          </w:p>
        </w:tc>
        <w:tc>
          <w:tcPr>
            <w:tcW w:w="194" w:type="pct"/>
            <w:vAlign w:val="center"/>
          </w:tcPr>
          <w:p>
            <w:pPr>
              <w:pStyle w:val="105"/>
              <w:spacing w:before="0" w:after="0"/>
              <w:jc w:val="center"/>
              <w:rPr>
                <w:sz w:val="18"/>
                <w:szCs w:val="18"/>
              </w:rPr>
            </w:pPr>
            <w:r>
              <w:rPr>
                <w:rFonts w:cs="Times New Roman"/>
                <w:sz w:val="18"/>
                <w:szCs w:val="18"/>
              </w:rPr>
              <w:t>43.7</w:t>
            </w:r>
          </w:p>
        </w:tc>
        <w:tc>
          <w:tcPr>
            <w:tcW w:w="184" w:type="pct"/>
            <w:vAlign w:val="center"/>
          </w:tcPr>
          <w:p>
            <w:pPr>
              <w:pStyle w:val="105"/>
              <w:spacing w:before="0" w:after="0"/>
              <w:jc w:val="center"/>
              <w:rPr>
                <w:sz w:val="18"/>
                <w:szCs w:val="18"/>
              </w:rPr>
            </w:pPr>
            <w:r>
              <w:rPr>
                <w:rFonts w:cs="Times New Roman"/>
                <w:sz w:val="18"/>
                <w:szCs w:val="18"/>
              </w:rPr>
              <w:t>45.9</w:t>
            </w:r>
          </w:p>
        </w:tc>
        <w:tc>
          <w:tcPr>
            <w:tcW w:w="236" w:type="pct"/>
            <w:vAlign w:val="center"/>
          </w:tcPr>
          <w:p>
            <w:pPr>
              <w:pStyle w:val="105"/>
              <w:spacing w:before="0" w:after="0"/>
              <w:jc w:val="center"/>
              <w:rPr>
                <w:sz w:val="18"/>
                <w:szCs w:val="18"/>
              </w:rPr>
            </w:pPr>
            <w:r>
              <w:rPr>
                <w:rFonts w:cs="Times New Roman"/>
                <w:sz w:val="18"/>
                <w:szCs w:val="18"/>
              </w:rPr>
              <w:t>3.9</w:t>
            </w:r>
          </w:p>
        </w:tc>
        <w:tc>
          <w:tcPr>
            <w:tcW w:w="193" w:type="pct"/>
            <w:vAlign w:val="center"/>
          </w:tcPr>
          <w:p>
            <w:pPr>
              <w:pStyle w:val="105"/>
              <w:spacing w:before="0" w:after="0"/>
              <w:jc w:val="center"/>
              <w:rPr>
                <w:sz w:val="18"/>
                <w:szCs w:val="18"/>
              </w:rPr>
            </w:pPr>
            <w:r>
              <w:rPr>
                <w:rFonts w:cs="Times New Roman"/>
                <w:sz w:val="18"/>
                <w:szCs w:val="18"/>
              </w:rPr>
              <w:t>/</w:t>
            </w:r>
          </w:p>
        </w:tc>
        <w:tc>
          <w:tcPr>
            <w:tcW w:w="146" w:type="pct"/>
            <w:vAlign w:val="center"/>
          </w:tcPr>
          <w:p>
            <w:pPr>
              <w:pStyle w:val="105"/>
              <w:spacing w:before="0" w:after="0"/>
              <w:jc w:val="center"/>
              <w:rPr>
                <w:sz w:val="18"/>
                <w:szCs w:val="18"/>
              </w:rPr>
            </w:pPr>
            <w:r>
              <w:rPr>
                <w:rFonts w:cs="Times New Roman"/>
                <w:sz w:val="18"/>
                <w:szCs w:val="18"/>
              </w:rPr>
              <w:t>44.1</w:t>
            </w:r>
          </w:p>
        </w:tc>
        <w:tc>
          <w:tcPr>
            <w:tcW w:w="169" w:type="pct"/>
            <w:vAlign w:val="center"/>
          </w:tcPr>
          <w:p>
            <w:pPr>
              <w:pStyle w:val="105"/>
              <w:spacing w:before="0" w:after="0"/>
              <w:jc w:val="center"/>
              <w:rPr>
                <w:sz w:val="18"/>
                <w:szCs w:val="18"/>
              </w:rPr>
            </w:pPr>
            <w:r>
              <w:rPr>
                <w:rFonts w:cs="Times New Roman"/>
                <w:sz w:val="18"/>
                <w:szCs w:val="18"/>
              </w:rPr>
              <w:t>46.2</w:t>
            </w:r>
          </w:p>
        </w:tc>
        <w:tc>
          <w:tcPr>
            <w:tcW w:w="218" w:type="pct"/>
            <w:vAlign w:val="center"/>
          </w:tcPr>
          <w:p>
            <w:pPr>
              <w:pStyle w:val="105"/>
              <w:spacing w:before="0" w:after="0"/>
              <w:jc w:val="center"/>
              <w:rPr>
                <w:sz w:val="18"/>
                <w:szCs w:val="18"/>
              </w:rPr>
            </w:pPr>
            <w:r>
              <w:rPr>
                <w:rFonts w:cs="Times New Roman"/>
                <w:sz w:val="18"/>
                <w:szCs w:val="18"/>
              </w:rPr>
              <w:t>4.2</w:t>
            </w:r>
          </w:p>
        </w:tc>
        <w:tc>
          <w:tcPr>
            <w:tcW w:w="188" w:type="pct"/>
            <w:vAlign w:val="center"/>
          </w:tcPr>
          <w:p>
            <w:pPr>
              <w:pStyle w:val="105"/>
              <w:spacing w:before="0" w:after="0"/>
              <w:jc w:val="center"/>
              <w:rPr>
                <w:sz w:val="18"/>
                <w:szCs w:val="18"/>
              </w:rPr>
            </w:pPr>
            <w:r>
              <w:rPr>
                <w:rFonts w:cs="Times New Roman"/>
                <w:sz w:val="18"/>
                <w:szCs w:val="18"/>
              </w:rPr>
              <w:t>/</w:t>
            </w:r>
          </w:p>
        </w:tc>
        <w:tc>
          <w:tcPr>
            <w:tcW w:w="182" w:type="pct"/>
            <w:vAlign w:val="center"/>
          </w:tcPr>
          <w:p>
            <w:pPr>
              <w:pStyle w:val="105"/>
              <w:spacing w:before="0" w:after="0"/>
              <w:jc w:val="center"/>
              <w:rPr>
                <w:sz w:val="18"/>
                <w:szCs w:val="18"/>
              </w:rPr>
            </w:pPr>
            <w:r>
              <w:rPr>
                <w:rFonts w:cs="Times New Roman"/>
                <w:sz w:val="18"/>
                <w:szCs w:val="18"/>
              </w:rPr>
              <w:t>44.3</w:t>
            </w:r>
          </w:p>
        </w:tc>
        <w:tc>
          <w:tcPr>
            <w:tcW w:w="164" w:type="pct"/>
            <w:vAlign w:val="center"/>
          </w:tcPr>
          <w:p>
            <w:pPr>
              <w:pStyle w:val="105"/>
              <w:spacing w:before="0" w:after="0"/>
              <w:jc w:val="center"/>
              <w:rPr>
                <w:sz w:val="18"/>
                <w:szCs w:val="18"/>
              </w:rPr>
            </w:pPr>
            <w:r>
              <w:rPr>
                <w:rFonts w:cs="Times New Roman"/>
                <w:sz w:val="18"/>
                <w:szCs w:val="18"/>
              </w:rPr>
              <w:t>46.3</w:t>
            </w:r>
          </w:p>
        </w:tc>
        <w:tc>
          <w:tcPr>
            <w:tcW w:w="232" w:type="pct"/>
            <w:vAlign w:val="center"/>
          </w:tcPr>
          <w:p>
            <w:pPr>
              <w:pStyle w:val="105"/>
              <w:spacing w:before="0" w:after="0"/>
              <w:jc w:val="center"/>
              <w:rPr>
                <w:sz w:val="18"/>
                <w:szCs w:val="18"/>
              </w:rPr>
            </w:pPr>
            <w:r>
              <w:rPr>
                <w:rFonts w:cs="Times New Roman"/>
                <w:sz w:val="18"/>
                <w:szCs w:val="18"/>
              </w:rPr>
              <w:t>4.3</w:t>
            </w:r>
          </w:p>
        </w:tc>
        <w:tc>
          <w:tcPr>
            <w:tcW w:w="152" w:type="pct"/>
            <w:vAlign w:val="center"/>
          </w:tcPr>
          <w:p>
            <w:pPr>
              <w:pStyle w:val="105"/>
              <w:spacing w:before="0" w:after="0"/>
              <w:jc w:val="center"/>
              <w:rPr>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3</w:t>
            </w:r>
          </w:p>
        </w:tc>
        <w:tc>
          <w:tcPr>
            <w:tcW w:w="152" w:type="pct"/>
            <w:vMerge w:val="restart"/>
            <w:vAlign w:val="center"/>
          </w:tcPr>
          <w:p>
            <w:pPr>
              <w:pStyle w:val="105"/>
              <w:spacing w:before="0" w:after="0"/>
              <w:jc w:val="center"/>
              <w:rPr>
                <w:sz w:val="18"/>
                <w:szCs w:val="18"/>
              </w:rPr>
            </w:pPr>
            <w:bookmarkStart w:id="484" w:name="_Hlk197435572"/>
            <w:r>
              <w:rPr>
                <w:rFonts w:hint="eastAsia"/>
                <w:sz w:val="18"/>
                <w:szCs w:val="18"/>
              </w:rPr>
              <w:t>上张村王房</w:t>
            </w:r>
            <w:bookmarkEnd w:id="484"/>
          </w:p>
        </w:tc>
        <w:tc>
          <w:tcPr>
            <w:tcW w:w="608" w:type="pct"/>
            <w:vMerge w:val="restart"/>
            <w:vAlign w:val="center"/>
          </w:tcPr>
          <w:p>
            <w:pPr>
              <w:pStyle w:val="105"/>
              <w:spacing w:before="0" w:after="0"/>
              <w:jc w:val="center"/>
              <w:rPr>
                <w:sz w:val="18"/>
                <w:szCs w:val="18"/>
              </w:rPr>
            </w:pPr>
            <w:r>
              <w:rPr>
                <w:rFonts w:hint="eastAsia"/>
                <w:sz w:val="18"/>
                <w:szCs w:val="18"/>
              </w:rPr>
              <w:t>临高铁6</w:t>
            </w:r>
            <w:r>
              <w:rPr>
                <w:sz w:val="18"/>
                <w:szCs w:val="18"/>
              </w:rPr>
              <w:t>5</w:t>
            </w:r>
            <w:r>
              <w:rPr>
                <w:rFonts w:hint="eastAsia"/>
                <w:sz w:val="18"/>
                <w:szCs w:val="18"/>
              </w:rPr>
              <w:t>m范围内（高铁4b类）1</w:t>
            </w:r>
            <w:r>
              <w:rPr>
                <w:sz w:val="18"/>
                <w:szCs w:val="18"/>
              </w:rPr>
              <w:t>F</w:t>
            </w:r>
          </w:p>
        </w:tc>
        <w:tc>
          <w:tcPr>
            <w:tcW w:w="253" w:type="pct"/>
            <w:vMerge w:val="restart"/>
            <w:vAlign w:val="center"/>
          </w:tcPr>
          <w:p>
            <w:pPr>
              <w:pStyle w:val="105"/>
              <w:spacing w:before="0" w:after="0"/>
              <w:jc w:val="center"/>
              <w:rPr>
                <w:sz w:val="18"/>
                <w:szCs w:val="18"/>
              </w:rPr>
            </w:pPr>
            <w:r>
              <w:rPr>
                <w:rFonts w:hint="eastAsia"/>
                <w:sz w:val="18"/>
                <w:szCs w:val="18"/>
              </w:rPr>
              <w:t>4</w:t>
            </w:r>
            <w:r>
              <w:rPr>
                <w:sz w:val="18"/>
                <w:szCs w:val="18"/>
              </w:rPr>
              <w:t>9</w:t>
            </w: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1</w:t>
            </w:r>
          </w:p>
        </w:tc>
        <w:tc>
          <w:tcPr>
            <w:tcW w:w="203" w:type="pct"/>
            <w:vMerge w:val="restart"/>
            <w:vAlign w:val="center"/>
          </w:tcPr>
          <w:p>
            <w:pPr>
              <w:pStyle w:val="105"/>
              <w:spacing w:before="0" w:after="0"/>
              <w:jc w:val="center"/>
              <w:rPr>
                <w:sz w:val="18"/>
                <w:szCs w:val="18"/>
              </w:rPr>
            </w:pPr>
            <w:r>
              <w:rPr>
                <w:rFonts w:hint="eastAsia"/>
                <w:sz w:val="18"/>
                <w:szCs w:val="18"/>
              </w:rPr>
              <w:t>0</w:t>
            </w:r>
            <w:r>
              <w:rPr>
                <w:sz w:val="18"/>
                <w:szCs w:val="18"/>
              </w:rPr>
              <w:t>.3~1.2</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b类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59</w:t>
            </w:r>
          </w:p>
        </w:tc>
        <w:tc>
          <w:tcPr>
            <w:tcW w:w="241" w:type="pct"/>
            <w:vAlign w:val="center"/>
          </w:tcPr>
          <w:p>
            <w:pPr>
              <w:pStyle w:val="105"/>
              <w:spacing w:before="0" w:after="0"/>
              <w:jc w:val="center"/>
              <w:rPr>
                <w:rFonts w:cs="Times New Roman"/>
                <w:sz w:val="18"/>
                <w:szCs w:val="18"/>
              </w:rPr>
            </w:pPr>
            <w:r>
              <w:rPr>
                <w:rFonts w:cs="Times New Roman"/>
                <w:sz w:val="18"/>
                <w:szCs w:val="18"/>
              </w:rPr>
              <w:t>59</w:t>
            </w:r>
          </w:p>
        </w:tc>
        <w:tc>
          <w:tcPr>
            <w:tcW w:w="194" w:type="pct"/>
            <w:vAlign w:val="center"/>
          </w:tcPr>
          <w:p>
            <w:pPr>
              <w:pStyle w:val="105"/>
              <w:spacing w:before="0" w:after="0"/>
              <w:jc w:val="center"/>
              <w:rPr>
                <w:rFonts w:cs="Times New Roman"/>
                <w:sz w:val="18"/>
                <w:szCs w:val="18"/>
              </w:rPr>
            </w:pPr>
            <w:r>
              <w:rPr>
                <w:rFonts w:cs="Times New Roman"/>
                <w:sz w:val="18"/>
                <w:szCs w:val="18"/>
              </w:rPr>
              <w:t>53.0</w:t>
            </w:r>
          </w:p>
        </w:tc>
        <w:tc>
          <w:tcPr>
            <w:tcW w:w="184" w:type="pct"/>
            <w:vAlign w:val="center"/>
          </w:tcPr>
          <w:p>
            <w:pPr>
              <w:pStyle w:val="105"/>
              <w:spacing w:before="0" w:after="0"/>
              <w:jc w:val="center"/>
              <w:rPr>
                <w:rFonts w:cs="Times New Roman"/>
                <w:sz w:val="18"/>
                <w:szCs w:val="18"/>
              </w:rPr>
            </w:pPr>
            <w:r>
              <w:rPr>
                <w:rFonts w:cs="Times New Roman"/>
                <w:sz w:val="18"/>
                <w:szCs w:val="18"/>
              </w:rPr>
              <w:t>60.0</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1.0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57.5</w:t>
            </w:r>
          </w:p>
        </w:tc>
        <w:tc>
          <w:tcPr>
            <w:tcW w:w="169" w:type="pct"/>
            <w:vAlign w:val="center"/>
          </w:tcPr>
          <w:p>
            <w:pPr>
              <w:pStyle w:val="105"/>
              <w:spacing w:before="0" w:after="0"/>
              <w:jc w:val="center"/>
              <w:rPr>
                <w:rFonts w:cs="Times New Roman"/>
                <w:sz w:val="18"/>
                <w:szCs w:val="18"/>
              </w:rPr>
            </w:pPr>
            <w:r>
              <w:rPr>
                <w:rFonts w:cs="Times New Roman"/>
                <w:sz w:val="18"/>
                <w:szCs w:val="18"/>
              </w:rPr>
              <w:t>61.3</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2.3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57.7</w:t>
            </w:r>
          </w:p>
        </w:tc>
        <w:tc>
          <w:tcPr>
            <w:tcW w:w="164" w:type="pct"/>
            <w:vAlign w:val="center"/>
          </w:tcPr>
          <w:p>
            <w:pPr>
              <w:pStyle w:val="105"/>
              <w:spacing w:before="0" w:after="0"/>
              <w:jc w:val="center"/>
              <w:rPr>
                <w:rFonts w:cs="Times New Roman"/>
                <w:sz w:val="18"/>
                <w:szCs w:val="18"/>
              </w:rPr>
            </w:pPr>
            <w:r>
              <w:rPr>
                <w:rFonts w:cs="Times New Roman"/>
                <w:sz w:val="18"/>
                <w:szCs w:val="18"/>
              </w:rPr>
              <w:t>61.4</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2.4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45</w:t>
            </w:r>
          </w:p>
        </w:tc>
        <w:tc>
          <w:tcPr>
            <w:tcW w:w="241" w:type="pct"/>
            <w:vAlign w:val="center"/>
          </w:tcPr>
          <w:p>
            <w:pPr>
              <w:pStyle w:val="105"/>
              <w:spacing w:before="0" w:after="0"/>
              <w:jc w:val="center"/>
              <w:rPr>
                <w:rFonts w:cs="Times New Roman"/>
                <w:sz w:val="18"/>
                <w:szCs w:val="18"/>
              </w:rPr>
            </w:pPr>
            <w:r>
              <w:rPr>
                <w:rFonts w:cs="Times New Roman"/>
                <w:sz w:val="18"/>
                <w:szCs w:val="18"/>
              </w:rPr>
              <w:t>45</w:t>
            </w:r>
          </w:p>
        </w:tc>
        <w:tc>
          <w:tcPr>
            <w:tcW w:w="194" w:type="pct"/>
            <w:vAlign w:val="center"/>
          </w:tcPr>
          <w:p>
            <w:pPr>
              <w:pStyle w:val="105"/>
              <w:spacing w:before="0" w:after="0"/>
              <w:jc w:val="center"/>
              <w:rPr>
                <w:rFonts w:cs="Times New Roman"/>
                <w:sz w:val="18"/>
                <w:szCs w:val="18"/>
              </w:rPr>
            </w:pPr>
            <w:r>
              <w:rPr>
                <w:rFonts w:cs="Times New Roman"/>
                <w:sz w:val="18"/>
                <w:szCs w:val="18"/>
              </w:rPr>
              <w:t>45.4</w:t>
            </w:r>
          </w:p>
        </w:tc>
        <w:tc>
          <w:tcPr>
            <w:tcW w:w="184" w:type="pct"/>
            <w:vAlign w:val="center"/>
          </w:tcPr>
          <w:p>
            <w:pPr>
              <w:pStyle w:val="105"/>
              <w:spacing w:before="0" w:after="0"/>
              <w:jc w:val="center"/>
              <w:rPr>
                <w:rFonts w:cs="Times New Roman"/>
                <w:sz w:val="18"/>
                <w:szCs w:val="18"/>
              </w:rPr>
            </w:pPr>
            <w:r>
              <w:rPr>
                <w:rFonts w:cs="Times New Roman"/>
                <w:sz w:val="18"/>
                <w:szCs w:val="18"/>
              </w:rPr>
              <w:t>48.2</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3.2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45.9</w:t>
            </w:r>
          </w:p>
        </w:tc>
        <w:tc>
          <w:tcPr>
            <w:tcW w:w="169" w:type="pct"/>
            <w:vAlign w:val="center"/>
          </w:tcPr>
          <w:p>
            <w:pPr>
              <w:pStyle w:val="105"/>
              <w:spacing w:before="0" w:after="0"/>
              <w:jc w:val="center"/>
              <w:rPr>
                <w:rFonts w:cs="Times New Roman"/>
                <w:sz w:val="18"/>
                <w:szCs w:val="18"/>
              </w:rPr>
            </w:pPr>
            <w:r>
              <w:rPr>
                <w:rFonts w:cs="Times New Roman"/>
                <w:sz w:val="18"/>
                <w:szCs w:val="18"/>
              </w:rPr>
              <w:t>48.5</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3.5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46.1</w:t>
            </w:r>
          </w:p>
        </w:tc>
        <w:tc>
          <w:tcPr>
            <w:tcW w:w="164" w:type="pct"/>
            <w:vAlign w:val="center"/>
          </w:tcPr>
          <w:p>
            <w:pPr>
              <w:pStyle w:val="105"/>
              <w:spacing w:before="0" w:after="0"/>
              <w:jc w:val="center"/>
              <w:rPr>
                <w:rFonts w:cs="Times New Roman"/>
                <w:sz w:val="18"/>
                <w:szCs w:val="18"/>
              </w:rPr>
            </w:pPr>
            <w:r>
              <w:rPr>
                <w:rFonts w:cs="Times New Roman"/>
                <w:sz w:val="18"/>
                <w:szCs w:val="18"/>
              </w:rPr>
              <w:t>48.6</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3.6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临高铁6</w:t>
            </w:r>
            <w:r>
              <w:rPr>
                <w:sz w:val="18"/>
                <w:szCs w:val="18"/>
              </w:rPr>
              <w:t>5</w:t>
            </w:r>
            <w:r>
              <w:rPr>
                <w:rFonts w:hint="eastAsia"/>
                <w:sz w:val="18"/>
                <w:szCs w:val="18"/>
              </w:rPr>
              <w:t>m范围内（高铁4b类）</w:t>
            </w:r>
            <w:r>
              <w:rPr>
                <w:sz w:val="18"/>
                <w:szCs w:val="18"/>
              </w:rPr>
              <w:t>3F</w:t>
            </w:r>
          </w:p>
        </w:tc>
        <w:tc>
          <w:tcPr>
            <w:tcW w:w="253" w:type="pct"/>
            <w:vMerge w:val="continue"/>
            <w:vAlign w:val="center"/>
          </w:tcPr>
          <w:p>
            <w:pPr>
              <w:pStyle w:val="105"/>
              <w:spacing w:before="0" w:after="0"/>
              <w:jc w:val="center"/>
              <w:rPr>
                <w:sz w:val="18"/>
                <w:szCs w:val="18"/>
              </w:rPr>
            </w:pP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7</w:t>
            </w: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rFonts w:cs="Times New Roman"/>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61</w:t>
            </w:r>
          </w:p>
        </w:tc>
        <w:tc>
          <w:tcPr>
            <w:tcW w:w="241" w:type="pct"/>
            <w:vAlign w:val="center"/>
          </w:tcPr>
          <w:p>
            <w:pPr>
              <w:pStyle w:val="105"/>
              <w:spacing w:before="0" w:after="0"/>
              <w:jc w:val="center"/>
              <w:rPr>
                <w:rFonts w:cs="Times New Roman"/>
                <w:sz w:val="18"/>
                <w:szCs w:val="18"/>
              </w:rPr>
            </w:pPr>
            <w:r>
              <w:rPr>
                <w:rFonts w:cs="Times New Roman"/>
                <w:sz w:val="18"/>
                <w:szCs w:val="18"/>
              </w:rPr>
              <w:t>61</w:t>
            </w:r>
          </w:p>
        </w:tc>
        <w:tc>
          <w:tcPr>
            <w:tcW w:w="194" w:type="pct"/>
            <w:vAlign w:val="center"/>
          </w:tcPr>
          <w:p>
            <w:pPr>
              <w:pStyle w:val="105"/>
              <w:spacing w:before="0" w:after="0"/>
              <w:jc w:val="center"/>
              <w:rPr>
                <w:rFonts w:cs="Times New Roman"/>
                <w:sz w:val="18"/>
                <w:szCs w:val="18"/>
              </w:rPr>
            </w:pPr>
            <w:r>
              <w:rPr>
                <w:rFonts w:cs="Times New Roman"/>
                <w:sz w:val="18"/>
                <w:szCs w:val="18"/>
              </w:rPr>
              <w:t>53.0</w:t>
            </w:r>
          </w:p>
        </w:tc>
        <w:tc>
          <w:tcPr>
            <w:tcW w:w="184" w:type="pct"/>
            <w:vAlign w:val="center"/>
          </w:tcPr>
          <w:p>
            <w:pPr>
              <w:pStyle w:val="105"/>
              <w:spacing w:before="0" w:after="0"/>
              <w:jc w:val="center"/>
              <w:rPr>
                <w:rFonts w:cs="Times New Roman"/>
                <w:sz w:val="18"/>
                <w:szCs w:val="18"/>
              </w:rPr>
            </w:pPr>
            <w:r>
              <w:rPr>
                <w:rFonts w:cs="Times New Roman"/>
                <w:sz w:val="18"/>
                <w:szCs w:val="18"/>
              </w:rPr>
              <w:t>61.6</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0.6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57.5</w:t>
            </w:r>
          </w:p>
        </w:tc>
        <w:tc>
          <w:tcPr>
            <w:tcW w:w="169" w:type="pct"/>
            <w:vAlign w:val="center"/>
          </w:tcPr>
          <w:p>
            <w:pPr>
              <w:pStyle w:val="105"/>
              <w:spacing w:before="0" w:after="0"/>
              <w:jc w:val="center"/>
              <w:rPr>
                <w:rFonts w:cs="Times New Roman"/>
                <w:sz w:val="18"/>
                <w:szCs w:val="18"/>
              </w:rPr>
            </w:pPr>
            <w:r>
              <w:rPr>
                <w:rFonts w:cs="Times New Roman"/>
                <w:sz w:val="18"/>
                <w:szCs w:val="18"/>
              </w:rPr>
              <w:t>62.6</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1.6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57.7</w:t>
            </w:r>
          </w:p>
        </w:tc>
        <w:tc>
          <w:tcPr>
            <w:tcW w:w="164" w:type="pct"/>
            <w:vAlign w:val="center"/>
          </w:tcPr>
          <w:p>
            <w:pPr>
              <w:pStyle w:val="105"/>
              <w:spacing w:before="0" w:after="0"/>
              <w:jc w:val="center"/>
              <w:rPr>
                <w:rFonts w:cs="Times New Roman"/>
                <w:sz w:val="18"/>
                <w:szCs w:val="18"/>
              </w:rPr>
            </w:pPr>
            <w:r>
              <w:rPr>
                <w:rFonts w:cs="Times New Roman"/>
                <w:sz w:val="18"/>
                <w:szCs w:val="18"/>
              </w:rPr>
              <w:t>62.7</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1.7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rFonts w:cs="Times New Roman"/>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46</w:t>
            </w:r>
          </w:p>
        </w:tc>
        <w:tc>
          <w:tcPr>
            <w:tcW w:w="241" w:type="pct"/>
            <w:vAlign w:val="center"/>
          </w:tcPr>
          <w:p>
            <w:pPr>
              <w:pStyle w:val="105"/>
              <w:spacing w:before="0" w:after="0"/>
              <w:jc w:val="center"/>
              <w:rPr>
                <w:rFonts w:cs="Times New Roman"/>
                <w:sz w:val="18"/>
                <w:szCs w:val="18"/>
              </w:rPr>
            </w:pPr>
            <w:r>
              <w:rPr>
                <w:rFonts w:cs="Times New Roman"/>
                <w:sz w:val="18"/>
                <w:szCs w:val="18"/>
              </w:rPr>
              <w:t>46</w:t>
            </w:r>
          </w:p>
        </w:tc>
        <w:tc>
          <w:tcPr>
            <w:tcW w:w="194" w:type="pct"/>
            <w:vAlign w:val="center"/>
          </w:tcPr>
          <w:p>
            <w:pPr>
              <w:pStyle w:val="105"/>
              <w:spacing w:before="0" w:after="0"/>
              <w:jc w:val="center"/>
              <w:rPr>
                <w:rFonts w:cs="Times New Roman"/>
                <w:sz w:val="18"/>
                <w:szCs w:val="18"/>
              </w:rPr>
            </w:pPr>
            <w:r>
              <w:rPr>
                <w:rFonts w:cs="Times New Roman"/>
                <w:sz w:val="18"/>
                <w:szCs w:val="18"/>
              </w:rPr>
              <w:t>45.4</w:t>
            </w:r>
          </w:p>
        </w:tc>
        <w:tc>
          <w:tcPr>
            <w:tcW w:w="184" w:type="pct"/>
            <w:vAlign w:val="center"/>
          </w:tcPr>
          <w:p>
            <w:pPr>
              <w:pStyle w:val="105"/>
              <w:spacing w:before="0" w:after="0"/>
              <w:jc w:val="center"/>
              <w:rPr>
                <w:rFonts w:cs="Times New Roman"/>
                <w:sz w:val="18"/>
                <w:szCs w:val="18"/>
              </w:rPr>
            </w:pPr>
            <w:r>
              <w:rPr>
                <w:rFonts w:cs="Times New Roman"/>
                <w:sz w:val="18"/>
                <w:szCs w:val="18"/>
              </w:rPr>
              <w:t>48.7</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2.7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45.9</w:t>
            </w:r>
          </w:p>
        </w:tc>
        <w:tc>
          <w:tcPr>
            <w:tcW w:w="169" w:type="pct"/>
            <w:vAlign w:val="center"/>
          </w:tcPr>
          <w:p>
            <w:pPr>
              <w:pStyle w:val="105"/>
              <w:spacing w:before="0" w:after="0"/>
              <w:jc w:val="center"/>
              <w:rPr>
                <w:rFonts w:cs="Times New Roman"/>
                <w:sz w:val="18"/>
                <w:szCs w:val="18"/>
              </w:rPr>
            </w:pPr>
            <w:r>
              <w:rPr>
                <w:rFonts w:cs="Times New Roman"/>
                <w:sz w:val="18"/>
                <w:szCs w:val="18"/>
              </w:rPr>
              <w:t>48.9</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2.9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46.1</w:t>
            </w:r>
          </w:p>
        </w:tc>
        <w:tc>
          <w:tcPr>
            <w:tcW w:w="164" w:type="pct"/>
            <w:vAlign w:val="center"/>
          </w:tcPr>
          <w:p>
            <w:pPr>
              <w:pStyle w:val="105"/>
              <w:spacing w:before="0" w:after="0"/>
              <w:jc w:val="center"/>
              <w:rPr>
                <w:rFonts w:cs="Times New Roman"/>
                <w:sz w:val="18"/>
                <w:szCs w:val="18"/>
              </w:rPr>
            </w:pPr>
            <w:r>
              <w:rPr>
                <w:rFonts w:cs="Times New Roman"/>
                <w:sz w:val="18"/>
                <w:szCs w:val="18"/>
              </w:rPr>
              <w:t>49.0</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3.0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临拟建公路第一排（高铁6</w:t>
            </w:r>
            <w:r>
              <w:rPr>
                <w:sz w:val="18"/>
                <w:szCs w:val="18"/>
              </w:rPr>
              <w:t>5</w:t>
            </w:r>
            <w:r>
              <w:rPr>
                <w:rFonts w:hint="eastAsia"/>
                <w:sz w:val="18"/>
                <w:szCs w:val="18"/>
              </w:rPr>
              <w:t>m外）1</w:t>
            </w:r>
            <w:r>
              <w:rPr>
                <w:sz w:val="18"/>
                <w:szCs w:val="18"/>
              </w:rPr>
              <w:t>F</w:t>
            </w:r>
          </w:p>
        </w:tc>
        <w:tc>
          <w:tcPr>
            <w:tcW w:w="253" w:type="pct"/>
            <w:vMerge w:val="restart"/>
            <w:vAlign w:val="center"/>
          </w:tcPr>
          <w:p>
            <w:pPr>
              <w:pStyle w:val="105"/>
              <w:spacing w:before="0" w:after="0"/>
              <w:jc w:val="center"/>
              <w:rPr>
                <w:sz w:val="18"/>
                <w:szCs w:val="18"/>
              </w:rPr>
            </w:pPr>
            <w:r>
              <w:rPr>
                <w:rFonts w:hint="eastAsia"/>
                <w:sz w:val="18"/>
                <w:szCs w:val="18"/>
              </w:rPr>
              <w:t>1</w:t>
            </w:r>
            <w:r>
              <w:rPr>
                <w:sz w:val="18"/>
                <w:szCs w:val="18"/>
              </w:rPr>
              <w:t>4</w:t>
            </w:r>
          </w:p>
        </w:tc>
        <w:tc>
          <w:tcPr>
            <w:tcW w:w="202" w:type="pct"/>
            <w:vMerge w:val="restart"/>
            <w:vAlign w:val="center"/>
          </w:tcPr>
          <w:p>
            <w:pPr>
              <w:pStyle w:val="105"/>
              <w:spacing w:before="0" w:after="0"/>
              <w:jc w:val="center"/>
              <w:rPr>
                <w:sz w:val="18"/>
                <w:szCs w:val="18"/>
              </w:rPr>
            </w:pPr>
            <w:r>
              <w:rPr>
                <w:sz w:val="18"/>
                <w:szCs w:val="18"/>
              </w:rPr>
              <w:t>0</w:t>
            </w:r>
          </w:p>
        </w:tc>
        <w:tc>
          <w:tcPr>
            <w:tcW w:w="203" w:type="pct"/>
            <w:vMerge w:val="restart"/>
            <w:vAlign w:val="center"/>
          </w:tcPr>
          <w:p>
            <w:pPr>
              <w:pStyle w:val="105"/>
              <w:spacing w:before="0" w:after="0"/>
              <w:jc w:val="center"/>
              <w:rPr>
                <w:sz w:val="18"/>
                <w:szCs w:val="18"/>
              </w:rPr>
            </w:pPr>
            <w:r>
              <w:rPr>
                <w:rFonts w:hint="eastAsia"/>
                <w:sz w:val="18"/>
                <w:szCs w:val="18"/>
              </w:rPr>
              <w:t>0</w:t>
            </w:r>
            <w:r>
              <w:rPr>
                <w:sz w:val="18"/>
                <w:szCs w:val="18"/>
              </w:rPr>
              <w:t>.3~1.2</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59</w:t>
            </w:r>
          </w:p>
        </w:tc>
        <w:tc>
          <w:tcPr>
            <w:tcW w:w="241" w:type="pct"/>
            <w:vAlign w:val="center"/>
          </w:tcPr>
          <w:p>
            <w:pPr>
              <w:pStyle w:val="105"/>
              <w:spacing w:before="0" w:after="0"/>
              <w:jc w:val="center"/>
              <w:rPr>
                <w:rFonts w:cs="Times New Roman"/>
                <w:sz w:val="18"/>
                <w:szCs w:val="18"/>
              </w:rPr>
            </w:pPr>
            <w:r>
              <w:rPr>
                <w:rFonts w:cs="Times New Roman"/>
                <w:sz w:val="18"/>
                <w:szCs w:val="18"/>
              </w:rPr>
              <w:t>59</w:t>
            </w:r>
          </w:p>
        </w:tc>
        <w:tc>
          <w:tcPr>
            <w:tcW w:w="194" w:type="pct"/>
            <w:vAlign w:val="center"/>
          </w:tcPr>
          <w:p>
            <w:pPr>
              <w:pStyle w:val="105"/>
              <w:spacing w:before="0" w:after="0"/>
              <w:jc w:val="center"/>
              <w:rPr>
                <w:rFonts w:cs="Times New Roman"/>
                <w:sz w:val="18"/>
                <w:szCs w:val="18"/>
              </w:rPr>
            </w:pPr>
            <w:r>
              <w:rPr>
                <w:rFonts w:cs="Times New Roman"/>
                <w:sz w:val="18"/>
                <w:szCs w:val="18"/>
              </w:rPr>
              <w:t>65.9</w:t>
            </w:r>
          </w:p>
        </w:tc>
        <w:tc>
          <w:tcPr>
            <w:tcW w:w="184" w:type="pct"/>
            <w:vAlign w:val="center"/>
          </w:tcPr>
          <w:p>
            <w:pPr>
              <w:pStyle w:val="105"/>
              <w:spacing w:before="0" w:after="0"/>
              <w:jc w:val="center"/>
              <w:rPr>
                <w:rFonts w:cs="Times New Roman"/>
                <w:sz w:val="18"/>
                <w:szCs w:val="18"/>
              </w:rPr>
            </w:pPr>
            <w:r>
              <w:rPr>
                <w:rFonts w:cs="Times New Roman"/>
                <w:sz w:val="18"/>
                <w:szCs w:val="18"/>
              </w:rPr>
              <w:t>66.7</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7.7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67.7</w:t>
            </w:r>
          </w:p>
        </w:tc>
        <w:tc>
          <w:tcPr>
            <w:tcW w:w="169" w:type="pct"/>
            <w:vAlign w:val="center"/>
          </w:tcPr>
          <w:p>
            <w:pPr>
              <w:pStyle w:val="105"/>
              <w:spacing w:before="0" w:after="0"/>
              <w:jc w:val="center"/>
              <w:rPr>
                <w:rFonts w:cs="Times New Roman"/>
                <w:sz w:val="18"/>
                <w:szCs w:val="18"/>
              </w:rPr>
            </w:pPr>
            <w:r>
              <w:rPr>
                <w:rFonts w:cs="Times New Roman"/>
                <w:sz w:val="18"/>
                <w:szCs w:val="18"/>
              </w:rPr>
              <w:t>68.3</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9.3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68.0</w:t>
            </w:r>
          </w:p>
        </w:tc>
        <w:tc>
          <w:tcPr>
            <w:tcW w:w="164" w:type="pct"/>
            <w:vAlign w:val="center"/>
          </w:tcPr>
          <w:p>
            <w:pPr>
              <w:pStyle w:val="105"/>
              <w:spacing w:before="0" w:after="0"/>
              <w:jc w:val="center"/>
              <w:rPr>
                <w:rFonts w:cs="Times New Roman"/>
                <w:sz w:val="18"/>
                <w:szCs w:val="18"/>
              </w:rPr>
            </w:pPr>
            <w:r>
              <w:rPr>
                <w:rFonts w:cs="Times New Roman"/>
                <w:sz w:val="18"/>
                <w:szCs w:val="18"/>
              </w:rPr>
              <w:t>68.5</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9.5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194" w:type="pct"/>
            <w:vAlign w:val="center"/>
          </w:tcPr>
          <w:p>
            <w:pPr>
              <w:pStyle w:val="105"/>
              <w:spacing w:before="0" w:after="0"/>
              <w:jc w:val="center"/>
              <w:rPr>
                <w:rFonts w:cs="Times New Roman"/>
                <w:sz w:val="18"/>
                <w:szCs w:val="18"/>
              </w:rPr>
            </w:pPr>
            <w:r>
              <w:rPr>
                <w:rFonts w:cs="Times New Roman"/>
                <w:sz w:val="18"/>
                <w:szCs w:val="18"/>
              </w:rPr>
              <w:t>58.3</w:t>
            </w:r>
          </w:p>
        </w:tc>
        <w:tc>
          <w:tcPr>
            <w:tcW w:w="184" w:type="pct"/>
            <w:vAlign w:val="center"/>
          </w:tcPr>
          <w:p>
            <w:pPr>
              <w:pStyle w:val="105"/>
              <w:spacing w:before="0" w:after="0"/>
              <w:jc w:val="center"/>
              <w:rPr>
                <w:rFonts w:cs="Times New Roman"/>
                <w:sz w:val="18"/>
                <w:szCs w:val="18"/>
              </w:rPr>
            </w:pPr>
            <w:r>
              <w:rPr>
                <w:rFonts w:cs="Times New Roman"/>
                <w:sz w:val="18"/>
                <w:szCs w:val="18"/>
              </w:rPr>
              <w:t>58.5</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15.5 </w:t>
            </w:r>
          </w:p>
        </w:tc>
        <w:tc>
          <w:tcPr>
            <w:tcW w:w="193" w:type="pct"/>
            <w:vAlign w:val="center"/>
          </w:tcPr>
          <w:p>
            <w:pPr>
              <w:pStyle w:val="105"/>
              <w:spacing w:before="0" w:after="0"/>
              <w:jc w:val="center"/>
              <w:rPr>
                <w:rFonts w:cs="Times New Roman"/>
                <w:sz w:val="18"/>
                <w:szCs w:val="18"/>
              </w:rPr>
            </w:pPr>
            <w:r>
              <w:rPr>
                <w:rFonts w:cs="Times New Roman"/>
                <w:sz w:val="18"/>
                <w:szCs w:val="18"/>
              </w:rPr>
              <w:t xml:space="preserve">3.5 </w:t>
            </w:r>
          </w:p>
        </w:tc>
        <w:tc>
          <w:tcPr>
            <w:tcW w:w="146" w:type="pct"/>
            <w:vAlign w:val="center"/>
          </w:tcPr>
          <w:p>
            <w:pPr>
              <w:pStyle w:val="105"/>
              <w:spacing w:before="0" w:after="0"/>
              <w:jc w:val="center"/>
              <w:rPr>
                <w:rFonts w:cs="Times New Roman"/>
                <w:sz w:val="18"/>
                <w:szCs w:val="18"/>
              </w:rPr>
            </w:pPr>
            <w:r>
              <w:rPr>
                <w:rFonts w:cs="Times New Roman"/>
                <w:sz w:val="18"/>
                <w:szCs w:val="18"/>
              </w:rPr>
              <w:t>58.8</w:t>
            </w:r>
          </w:p>
        </w:tc>
        <w:tc>
          <w:tcPr>
            <w:tcW w:w="169" w:type="pct"/>
            <w:vAlign w:val="center"/>
          </w:tcPr>
          <w:p>
            <w:pPr>
              <w:pStyle w:val="105"/>
              <w:spacing w:before="0" w:after="0"/>
              <w:jc w:val="center"/>
              <w:rPr>
                <w:rFonts w:cs="Times New Roman"/>
                <w:sz w:val="18"/>
                <w:szCs w:val="18"/>
              </w:rPr>
            </w:pPr>
            <w:r>
              <w:rPr>
                <w:rFonts w:cs="Times New Roman"/>
                <w:sz w:val="18"/>
                <w:szCs w:val="18"/>
              </w:rPr>
              <w:t>58.9</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15.9 </w:t>
            </w:r>
          </w:p>
        </w:tc>
        <w:tc>
          <w:tcPr>
            <w:tcW w:w="188" w:type="pct"/>
            <w:vAlign w:val="center"/>
          </w:tcPr>
          <w:p>
            <w:pPr>
              <w:pStyle w:val="105"/>
              <w:spacing w:before="0" w:after="0"/>
              <w:jc w:val="center"/>
              <w:rPr>
                <w:rFonts w:cs="Times New Roman"/>
                <w:sz w:val="18"/>
                <w:szCs w:val="18"/>
              </w:rPr>
            </w:pPr>
            <w:r>
              <w:rPr>
                <w:rFonts w:cs="Times New Roman"/>
                <w:sz w:val="18"/>
                <w:szCs w:val="18"/>
              </w:rPr>
              <w:t xml:space="preserve">3.9 </w:t>
            </w:r>
          </w:p>
        </w:tc>
        <w:tc>
          <w:tcPr>
            <w:tcW w:w="182" w:type="pct"/>
            <w:vAlign w:val="center"/>
          </w:tcPr>
          <w:p>
            <w:pPr>
              <w:pStyle w:val="105"/>
              <w:spacing w:before="0" w:after="0"/>
              <w:jc w:val="center"/>
              <w:rPr>
                <w:rFonts w:cs="Times New Roman"/>
                <w:sz w:val="18"/>
                <w:szCs w:val="18"/>
              </w:rPr>
            </w:pPr>
            <w:r>
              <w:rPr>
                <w:rFonts w:cs="Times New Roman"/>
                <w:sz w:val="18"/>
                <w:szCs w:val="18"/>
              </w:rPr>
              <w:t>59.0</w:t>
            </w:r>
          </w:p>
        </w:tc>
        <w:tc>
          <w:tcPr>
            <w:tcW w:w="164" w:type="pct"/>
            <w:vAlign w:val="center"/>
          </w:tcPr>
          <w:p>
            <w:pPr>
              <w:pStyle w:val="105"/>
              <w:spacing w:before="0" w:after="0"/>
              <w:jc w:val="center"/>
              <w:rPr>
                <w:rFonts w:cs="Times New Roman"/>
                <w:sz w:val="18"/>
                <w:szCs w:val="18"/>
              </w:rPr>
            </w:pPr>
            <w:r>
              <w:rPr>
                <w:rFonts w:cs="Times New Roman"/>
                <w:sz w:val="18"/>
                <w:szCs w:val="18"/>
              </w:rPr>
              <w:t>59.1</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16.1 </w:t>
            </w:r>
          </w:p>
        </w:tc>
        <w:tc>
          <w:tcPr>
            <w:tcW w:w="152" w:type="pct"/>
            <w:vAlign w:val="center"/>
          </w:tcPr>
          <w:p>
            <w:pPr>
              <w:pStyle w:val="105"/>
              <w:spacing w:before="0" w:after="0"/>
              <w:jc w:val="center"/>
              <w:rPr>
                <w:rFonts w:cs="Times New Roman"/>
                <w:sz w:val="18"/>
                <w:szCs w:val="18"/>
              </w:rPr>
            </w:pPr>
            <w:r>
              <w:rPr>
                <w:rFonts w:cs="Times New Roman"/>
                <w:sz w:val="18"/>
                <w:szCs w:val="18"/>
              </w:rPr>
              <w:t xml:space="preserve">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临拟建公路第一排（高铁6</w:t>
            </w:r>
            <w:r>
              <w:rPr>
                <w:sz w:val="18"/>
                <w:szCs w:val="18"/>
              </w:rPr>
              <w:t>5</w:t>
            </w:r>
            <w:r>
              <w:rPr>
                <w:rFonts w:hint="eastAsia"/>
                <w:sz w:val="18"/>
                <w:szCs w:val="18"/>
              </w:rPr>
              <w:t>m外）</w:t>
            </w:r>
            <w:r>
              <w:rPr>
                <w:sz w:val="18"/>
                <w:szCs w:val="18"/>
              </w:rPr>
              <w:t>3F</w:t>
            </w:r>
          </w:p>
        </w:tc>
        <w:tc>
          <w:tcPr>
            <w:tcW w:w="253" w:type="pct"/>
            <w:vMerge w:val="continue"/>
            <w:vAlign w:val="center"/>
          </w:tcPr>
          <w:p>
            <w:pPr>
              <w:pStyle w:val="105"/>
              <w:spacing w:before="0" w:after="0"/>
              <w:jc w:val="center"/>
              <w:rPr>
                <w:sz w:val="18"/>
                <w:szCs w:val="18"/>
              </w:rPr>
            </w:pP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6</w:t>
            </w: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rFonts w:cs="Times New Roman"/>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58</w:t>
            </w:r>
          </w:p>
        </w:tc>
        <w:tc>
          <w:tcPr>
            <w:tcW w:w="241" w:type="pct"/>
            <w:vAlign w:val="center"/>
          </w:tcPr>
          <w:p>
            <w:pPr>
              <w:pStyle w:val="105"/>
              <w:spacing w:before="0" w:after="0"/>
              <w:jc w:val="center"/>
              <w:rPr>
                <w:rFonts w:cs="Times New Roman"/>
                <w:sz w:val="18"/>
                <w:szCs w:val="18"/>
              </w:rPr>
            </w:pPr>
            <w:r>
              <w:rPr>
                <w:rFonts w:cs="Times New Roman"/>
                <w:sz w:val="18"/>
                <w:szCs w:val="18"/>
              </w:rPr>
              <w:t>58</w:t>
            </w:r>
          </w:p>
        </w:tc>
        <w:tc>
          <w:tcPr>
            <w:tcW w:w="194" w:type="pct"/>
            <w:vAlign w:val="center"/>
          </w:tcPr>
          <w:p>
            <w:pPr>
              <w:pStyle w:val="105"/>
              <w:spacing w:before="0" w:after="0"/>
              <w:jc w:val="center"/>
              <w:rPr>
                <w:rFonts w:cs="Times New Roman"/>
                <w:sz w:val="18"/>
                <w:szCs w:val="18"/>
              </w:rPr>
            </w:pPr>
            <w:r>
              <w:rPr>
                <w:rFonts w:cs="Times New Roman"/>
                <w:sz w:val="18"/>
                <w:szCs w:val="18"/>
              </w:rPr>
              <w:t>65.9</w:t>
            </w:r>
          </w:p>
        </w:tc>
        <w:tc>
          <w:tcPr>
            <w:tcW w:w="184" w:type="pct"/>
            <w:vAlign w:val="center"/>
          </w:tcPr>
          <w:p>
            <w:pPr>
              <w:pStyle w:val="105"/>
              <w:spacing w:before="0" w:after="0"/>
              <w:jc w:val="center"/>
              <w:rPr>
                <w:rFonts w:cs="Times New Roman"/>
                <w:sz w:val="18"/>
                <w:szCs w:val="18"/>
              </w:rPr>
            </w:pPr>
            <w:r>
              <w:rPr>
                <w:rFonts w:cs="Times New Roman"/>
                <w:sz w:val="18"/>
                <w:szCs w:val="18"/>
              </w:rPr>
              <w:t>66.6</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8.6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67.7</w:t>
            </w:r>
          </w:p>
        </w:tc>
        <w:tc>
          <w:tcPr>
            <w:tcW w:w="169" w:type="pct"/>
            <w:vAlign w:val="center"/>
          </w:tcPr>
          <w:p>
            <w:pPr>
              <w:pStyle w:val="105"/>
              <w:spacing w:before="0" w:after="0"/>
              <w:jc w:val="center"/>
              <w:rPr>
                <w:rFonts w:cs="Times New Roman"/>
                <w:sz w:val="18"/>
                <w:szCs w:val="18"/>
              </w:rPr>
            </w:pPr>
            <w:r>
              <w:rPr>
                <w:rFonts w:cs="Times New Roman"/>
                <w:sz w:val="18"/>
                <w:szCs w:val="18"/>
              </w:rPr>
              <w:t>68.2</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10.2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68.0</w:t>
            </w:r>
          </w:p>
        </w:tc>
        <w:tc>
          <w:tcPr>
            <w:tcW w:w="164" w:type="pct"/>
            <w:vAlign w:val="center"/>
          </w:tcPr>
          <w:p>
            <w:pPr>
              <w:pStyle w:val="105"/>
              <w:spacing w:before="0" w:after="0"/>
              <w:jc w:val="center"/>
              <w:rPr>
                <w:rFonts w:cs="Times New Roman"/>
                <w:sz w:val="18"/>
                <w:szCs w:val="18"/>
              </w:rPr>
            </w:pPr>
            <w:r>
              <w:rPr>
                <w:rFonts w:cs="Times New Roman"/>
                <w:sz w:val="18"/>
                <w:szCs w:val="18"/>
              </w:rPr>
              <w:t>68.4</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10.4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44</w:t>
            </w:r>
          </w:p>
        </w:tc>
        <w:tc>
          <w:tcPr>
            <w:tcW w:w="241" w:type="pct"/>
            <w:vAlign w:val="center"/>
          </w:tcPr>
          <w:p>
            <w:pPr>
              <w:pStyle w:val="105"/>
              <w:spacing w:before="0" w:after="0"/>
              <w:jc w:val="center"/>
              <w:rPr>
                <w:rFonts w:cs="Times New Roman"/>
                <w:sz w:val="18"/>
                <w:szCs w:val="18"/>
              </w:rPr>
            </w:pPr>
            <w:r>
              <w:rPr>
                <w:rFonts w:cs="Times New Roman"/>
                <w:sz w:val="18"/>
                <w:szCs w:val="18"/>
              </w:rPr>
              <w:t>44</w:t>
            </w:r>
          </w:p>
        </w:tc>
        <w:tc>
          <w:tcPr>
            <w:tcW w:w="194" w:type="pct"/>
            <w:vAlign w:val="center"/>
          </w:tcPr>
          <w:p>
            <w:pPr>
              <w:pStyle w:val="105"/>
              <w:spacing w:before="0" w:after="0"/>
              <w:jc w:val="center"/>
              <w:rPr>
                <w:rFonts w:cs="Times New Roman"/>
                <w:sz w:val="18"/>
                <w:szCs w:val="18"/>
              </w:rPr>
            </w:pPr>
            <w:r>
              <w:rPr>
                <w:rFonts w:cs="Times New Roman"/>
                <w:sz w:val="18"/>
                <w:szCs w:val="18"/>
              </w:rPr>
              <w:t>58.3</w:t>
            </w:r>
          </w:p>
        </w:tc>
        <w:tc>
          <w:tcPr>
            <w:tcW w:w="184" w:type="pct"/>
            <w:vAlign w:val="center"/>
          </w:tcPr>
          <w:p>
            <w:pPr>
              <w:pStyle w:val="105"/>
              <w:spacing w:before="0" w:after="0"/>
              <w:jc w:val="center"/>
              <w:rPr>
                <w:rFonts w:cs="Times New Roman"/>
                <w:sz w:val="18"/>
                <w:szCs w:val="18"/>
              </w:rPr>
            </w:pPr>
            <w:r>
              <w:rPr>
                <w:rFonts w:cs="Times New Roman"/>
                <w:sz w:val="18"/>
                <w:szCs w:val="18"/>
              </w:rPr>
              <w:t>58.5</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14.5 </w:t>
            </w:r>
          </w:p>
        </w:tc>
        <w:tc>
          <w:tcPr>
            <w:tcW w:w="193" w:type="pct"/>
            <w:vAlign w:val="center"/>
          </w:tcPr>
          <w:p>
            <w:pPr>
              <w:pStyle w:val="105"/>
              <w:spacing w:before="0" w:after="0"/>
              <w:jc w:val="center"/>
              <w:rPr>
                <w:rFonts w:cs="Times New Roman"/>
                <w:sz w:val="18"/>
                <w:szCs w:val="18"/>
              </w:rPr>
            </w:pPr>
            <w:r>
              <w:rPr>
                <w:rFonts w:cs="Times New Roman"/>
                <w:sz w:val="18"/>
                <w:szCs w:val="18"/>
              </w:rPr>
              <w:t xml:space="preserve">3.5 </w:t>
            </w:r>
          </w:p>
        </w:tc>
        <w:tc>
          <w:tcPr>
            <w:tcW w:w="146" w:type="pct"/>
            <w:vAlign w:val="center"/>
          </w:tcPr>
          <w:p>
            <w:pPr>
              <w:pStyle w:val="105"/>
              <w:spacing w:before="0" w:after="0"/>
              <w:jc w:val="center"/>
              <w:rPr>
                <w:rFonts w:cs="Times New Roman"/>
                <w:sz w:val="18"/>
                <w:szCs w:val="18"/>
              </w:rPr>
            </w:pPr>
            <w:r>
              <w:rPr>
                <w:rFonts w:cs="Times New Roman"/>
                <w:sz w:val="18"/>
                <w:szCs w:val="18"/>
              </w:rPr>
              <w:t>58.8</w:t>
            </w:r>
          </w:p>
        </w:tc>
        <w:tc>
          <w:tcPr>
            <w:tcW w:w="169" w:type="pct"/>
            <w:vAlign w:val="center"/>
          </w:tcPr>
          <w:p>
            <w:pPr>
              <w:pStyle w:val="105"/>
              <w:spacing w:before="0" w:after="0"/>
              <w:jc w:val="center"/>
              <w:rPr>
                <w:rFonts w:cs="Times New Roman"/>
                <w:sz w:val="18"/>
                <w:szCs w:val="18"/>
              </w:rPr>
            </w:pPr>
            <w:r>
              <w:rPr>
                <w:rFonts w:cs="Times New Roman"/>
                <w:sz w:val="18"/>
                <w:szCs w:val="18"/>
              </w:rPr>
              <w:t>58.9</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14.9 </w:t>
            </w:r>
          </w:p>
        </w:tc>
        <w:tc>
          <w:tcPr>
            <w:tcW w:w="188" w:type="pct"/>
            <w:vAlign w:val="center"/>
          </w:tcPr>
          <w:p>
            <w:pPr>
              <w:pStyle w:val="105"/>
              <w:spacing w:before="0" w:after="0"/>
              <w:jc w:val="center"/>
              <w:rPr>
                <w:rFonts w:cs="Times New Roman"/>
                <w:sz w:val="18"/>
                <w:szCs w:val="18"/>
              </w:rPr>
            </w:pPr>
            <w:r>
              <w:rPr>
                <w:rFonts w:cs="Times New Roman"/>
                <w:sz w:val="18"/>
                <w:szCs w:val="18"/>
              </w:rPr>
              <w:t xml:space="preserve">3.9 </w:t>
            </w:r>
          </w:p>
        </w:tc>
        <w:tc>
          <w:tcPr>
            <w:tcW w:w="182" w:type="pct"/>
            <w:vAlign w:val="center"/>
          </w:tcPr>
          <w:p>
            <w:pPr>
              <w:pStyle w:val="105"/>
              <w:spacing w:before="0" w:after="0"/>
              <w:jc w:val="center"/>
              <w:rPr>
                <w:rFonts w:cs="Times New Roman"/>
                <w:sz w:val="18"/>
                <w:szCs w:val="18"/>
              </w:rPr>
            </w:pPr>
            <w:r>
              <w:rPr>
                <w:rFonts w:cs="Times New Roman"/>
                <w:sz w:val="18"/>
                <w:szCs w:val="18"/>
              </w:rPr>
              <w:t>59.0</w:t>
            </w:r>
          </w:p>
        </w:tc>
        <w:tc>
          <w:tcPr>
            <w:tcW w:w="164" w:type="pct"/>
            <w:vAlign w:val="center"/>
          </w:tcPr>
          <w:p>
            <w:pPr>
              <w:pStyle w:val="105"/>
              <w:spacing w:before="0" w:after="0"/>
              <w:jc w:val="center"/>
              <w:rPr>
                <w:rFonts w:cs="Times New Roman"/>
                <w:sz w:val="18"/>
                <w:szCs w:val="18"/>
              </w:rPr>
            </w:pPr>
            <w:r>
              <w:rPr>
                <w:rFonts w:cs="Times New Roman"/>
                <w:sz w:val="18"/>
                <w:szCs w:val="18"/>
              </w:rPr>
              <w:t>59.2</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15.2 </w:t>
            </w:r>
          </w:p>
        </w:tc>
        <w:tc>
          <w:tcPr>
            <w:tcW w:w="152" w:type="pct"/>
            <w:vAlign w:val="center"/>
          </w:tcPr>
          <w:p>
            <w:pPr>
              <w:pStyle w:val="105"/>
              <w:spacing w:before="0" w:after="0"/>
              <w:jc w:val="center"/>
              <w:rPr>
                <w:rFonts w:cs="Times New Roman"/>
                <w:sz w:val="18"/>
                <w:szCs w:val="18"/>
              </w:rPr>
            </w:pPr>
            <w:r>
              <w:rPr>
                <w:rFonts w:cs="Times New Roman"/>
                <w:sz w:val="18"/>
                <w:szCs w:val="18"/>
              </w:rPr>
              <w:t xml:space="preserve">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后排（高铁6</w:t>
            </w:r>
            <w:r>
              <w:rPr>
                <w:sz w:val="18"/>
                <w:szCs w:val="18"/>
              </w:rPr>
              <w:t>5</w:t>
            </w:r>
            <w:r>
              <w:rPr>
                <w:rFonts w:hint="eastAsia"/>
                <w:sz w:val="18"/>
                <w:szCs w:val="18"/>
              </w:rPr>
              <w:t>m外）1</w:t>
            </w:r>
            <w:r>
              <w:rPr>
                <w:sz w:val="18"/>
                <w:szCs w:val="18"/>
              </w:rPr>
              <w:t>F</w:t>
            </w:r>
          </w:p>
        </w:tc>
        <w:tc>
          <w:tcPr>
            <w:tcW w:w="253" w:type="pct"/>
            <w:vMerge w:val="restart"/>
            <w:vAlign w:val="center"/>
          </w:tcPr>
          <w:p>
            <w:pPr>
              <w:pStyle w:val="105"/>
              <w:spacing w:before="0" w:after="0"/>
              <w:jc w:val="center"/>
              <w:rPr>
                <w:sz w:val="18"/>
                <w:szCs w:val="18"/>
              </w:rPr>
            </w:pPr>
            <w:r>
              <w:rPr>
                <w:sz w:val="18"/>
                <w:szCs w:val="18"/>
              </w:rPr>
              <w:t>63</w:t>
            </w: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1</w:t>
            </w:r>
          </w:p>
        </w:tc>
        <w:tc>
          <w:tcPr>
            <w:tcW w:w="203" w:type="pct"/>
            <w:vMerge w:val="restart"/>
            <w:vAlign w:val="center"/>
          </w:tcPr>
          <w:p>
            <w:pPr>
              <w:pStyle w:val="105"/>
              <w:spacing w:before="0" w:after="0"/>
              <w:jc w:val="center"/>
              <w:rPr>
                <w:sz w:val="18"/>
                <w:szCs w:val="18"/>
              </w:rPr>
            </w:pPr>
            <w:r>
              <w:rPr>
                <w:rFonts w:hint="eastAsia"/>
                <w:sz w:val="18"/>
                <w:szCs w:val="18"/>
              </w:rPr>
              <w:t>0</w:t>
            </w:r>
            <w:r>
              <w:rPr>
                <w:sz w:val="18"/>
                <w:szCs w:val="18"/>
              </w:rPr>
              <w:t>.3~1.2</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59</w:t>
            </w:r>
          </w:p>
        </w:tc>
        <w:tc>
          <w:tcPr>
            <w:tcW w:w="241" w:type="pct"/>
            <w:vAlign w:val="center"/>
          </w:tcPr>
          <w:p>
            <w:pPr>
              <w:pStyle w:val="105"/>
              <w:spacing w:before="0" w:after="0"/>
              <w:jc w:val="center"/>
              <w:rPr>
                <w:rFonts w:cs="Times New Roman"/>
                <w:sz w:val="18"/>
                <w:szCs w:val="18"/>
              </w:rPr>
            </w:pPr>
            <w:r>
              <w:rPr>
                <w:rFonts w:cs="Times New Roman"/>
                <w:sz w:val="18"/>
                <w:szCs w:val="18"/>
              </w:rPr>
              <w:t>59</w:t>
            </w:r>
          </w:p>
        </w:tc>
        <w:tc>
          <w:tcPr>
            <w:tcW w:w="194" w:type="pct"/>
            <w:vAlign w:val="center"/>
          </w:tcPr>
          <w:p>
            <w:pPr>
              <w:pStyle w:val="105"/>
              <w:spacing w:before="0" w:after="0"/>
              <w:jc w:val="center"/>
              <w:rPr>
                <w:rFonts w:cs="Times New Roman"/>
                <w:sz w:val="18"/>
                <w:szCs w:val="18"/>
              </w:rPr>
            </w:pPr>
            <w:r>
              <w:rPr>
                <w:rFonts w:cs="Times New Roman"/>
                <w:sz w:val="18"/>
                <w:szCs w:val="18"/>
              </w:rPr>
              <w:t>51.0</w:t>
            </w:r>
          </w:p>
        </w:tc>
        <w:tc>
          <w:tcPr>
            <w:tcW w:w="184" w:type="pct"/>
            <w:vAlign w:val="center"/>
          </w:tcPr>
          <w:p>
            <w:pPr>
              <w:pStyle w:val="105"/>
              <w:spacing w:before="0" w:after="0"/>
              <w:jc w:val="center"/>
              <w:rPr>
                <w:rFonts w:cs="Times New Roman"/>
                <w:sz w:val="18"/>
                <w:szCs w:val="18"/>
              </w:rPr>
            </w:pPr>
            <w:r>
              <w:rPr>
                <w:rFonts w:cs="Times New Roman"/>
                <w:sz w:val="18"/>
                <w:szCs w:val="18"/>
              </w:rPr>
              <w:t>59.6</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0.6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52.6</w:t>
            </w:r>
          </w:p>
        </w:tc>
        <w:tc>
          <w:tcPr>
            <w:tcW w:w="169" w:type="pct"/>
            <w:vAlign w:val="center"/>
          </w:tcPr>
          <w:p>
            <w:pPr>
              <w:pStyle w:val="105"/>
              <w:spacing w:before="0" w:after="0"/>
              <w:jc w:val="center"/>
              <w:rPr>
                <w:rFonts w:cs="Times New Roman"/>
                <w:sz w:val="18"/>
                <w:szCs w:val="18"/>
              </w:rPr>
            </w:pPr>
            <w:r>
              <w:rPr>
                <w:rFonts w:cs="Times New Roman"/>
                <w:sz w:val="18"/>
                <w:szCs w:val="18"/>
              </w:rPr>
              <w:t>59.9</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0.9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53.0</w:t>
            </w:r>
          </w:p>
        </w:tc>
        <w:tc>
          <w:tcPr>
            <w:tcW w:w="164" w:type="pct"/>
            <w:vAlign w:val="center"/>
          </w:tcPr>
          <w:p>
            <w:pPr>
              <w:pStyle w:val="105"/>
              <w:spacing w:before="0" w:after="0"/>
              <w:jc w:val="center"/>
              <w:rPr>
                <w:rFonts w:cs="Times New Roman"/>
                <w:sz w:val="18"/>
                <w:szCs w:val="18"/>
              </w:rPr>
            </w:pPr>
            <w:r>
              <w:rPr>
                <w:rFonts w:cs="Times New Roman"/>
                <w:sz w:val="18"/>
                <w:szCs w:val="18"/>
              </w:rPr>
              <w:t>60.0</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1.0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194" w:type="pct"/>
            <w:vAlign w:val="center"/>
          </w:tcPr>
          <w:p>
            <w:pPr>
              <w:pStyle w:val="105"/>
              <w:spacing w:before="0" w:after="0"/>
              <w:jc w:val="center"/>
              <w:rPr>
                <w:rFonts w:cs="Times New Roman"/>
                <w:sz w:val="18"/>
                <w:szCs w:val="18"/>
              </w:rPr>
            </w:pPr>
            <w:r>
              <w:rPr>
                <w:rFonts w:cs="Times New Roman"/>
                <w:sz w:val="18"/>
                <w:szCs w:val="18"/>
              </w:rPr>
              <w:t>43.4</w:t>
            </w:r>
          </w:p>
        </w:tc>
        <w:tc>
          <w:tcPr>
            <w:tcW w:w="184" w:type="pct"/>
            <w:vAlign w:val="center"/>
          </w:tcPr>
          <w:p>
            <w:pPr>
              <w:pStyle w:val="105"/>
              <w:spacing w:before="0" w:after="0"/>
              <w:jc w:val="center"/>
              <w:rPr>
                <w:rFonts w:cs="Times New Roman"/>
                <w:sz w:val="18"/>
                <w:szCs w:val="18"/>
              </w:rPr>
            </w:pPr>
            <w:r>
              <w:rPr>
                <w:rFonts w:cs="Times New Roman"/>
                <w:sz w:val="18"/>
                <w:szCs w:val="18"/>
              </w:rPr>
              <w:t>46.2</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3.2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43.9</w:t>
            </w:r>
          </w:p>
        </w:tc>
        <w:tc>
          <w:tcPr>
            <w:tcW w:w="169" w:type="pct"/>
            <w:vAlign w:val="center"/>
          </w:tcPr>
          <w:p>
            <w:pPr>
              <w:pStyle w:val="105"/>
              <w:spacing w:before="0" w:after="0"/>
              <w:jc w:val="center"/>
              <w:rPr>
                <w:rFonts w:cs="Times New Roman"/>
                <w:sz w:val="18"/>
                <w:szCs w:val="18"/>
              </w:rPr>
            </w:pPr>
            <w:r>
              <w:rPr>
                <w:rFonts w:cs="Times New Roman"/>
                <w:sz w:val="18"/>
                <w:szCs w:val="18"/>
              </w:rPr>
              <w:t>46.5</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3.5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44.1</w:t>
            </w:r>
          </w:p>
        </w:tc>
        <w:tc>
          <w:tcPr>
            <w:tcW w:w="164" w:type="pct"/>
            <w:vAlign w:val="center"/>
          </w:tcPr>
          <w:p>
            <w:pPr>
              <w:pStyle w:val="105"/>
              <w:spacing w:before="0" w:after="0"/>
              <w:jc w:val="center"/>
              <w:rPr>
                <w:rFonts w:cs="Times New Roman"/>
                <w:sz w:val="18"/>
                <w:szCs w:val="18"/>
              </w:rPr>
            </w:pPr>
            <w:r>
              <w:rPr>
                <w:rFonts w:cs="Times New Roman"/>
                <w:sz w:val="18"/>
                <w:szCs w:val="18"/>
              </w:rPr>
              <w:t>46.6</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3.6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后排（高铁6</w:t>
            </w:r>
            <w:r>
              <w:rPr>
                <w:sz w:val="18"/>
                <w:szCs w:val="18"/>
              </w:rPr>
              <w:t>5</w:t>
            </w:r>
            <w:r>
              <w:rPr>
                <w:rFonts w:hint="eastAsia"/>
                <w:sz w:val="18"/>
                <w:szCs w:val="18"/>
              </w:rPr>
              <w:t>m外）</w:t>
            </w:r>
            <w:r>
              <w:rPr>
                <w:sz w:val="18"/>
                <w:szCs w:val="18"/>
              </w:rPr>
              <w:t>3F</w:t>
            </w:r>
          </w:p>
        </w:tc>
        <w:tc>
          <w:tcPr>
            <w:tcW w:w="253" w:type="pct"/>
            <w:vMerge w:val="continue"/>
            <w:vAlign w:val="center"/>
          </w:tcPr>
          <w:p>
            <w:pPr>
              <w:pStyle w:val="105"/>
              <w:spacing w:before="0" w:after="0"/>
              <w:jc w:val="center"/>
              <w:rPr>
                <w:sz w:val="18"/>
                <w:szCs w:val="18"/>
              </w:rPr>
            </w:pP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7</w:t>
            </w: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rFonts w:cs="Times New Roman"/>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58</w:t>
            </w:r>
          </w:p>
        </w:tc>
        <w:tc>
          <w:tcPr>
            <w:tcW w:w="241" w:type="pct"/>
            <w:vAlign w:val="center"/>
          </w:tcPr>
          <w:p>
            <w:pPr>
              <w:pStyle w:val="105"/>
              <w:spacing w:before="0" w:after="0"/>
              <w:jc w:val="center"/>
              <w:rPr>
                <w:rFonts w:cs="Times New Roman"/>
                <w:sz w:val="18"/>
                <w:szCs w:val="18"/>
              </w:rPr>
            </w:pPr>
            <w:r>
              <w:rPr>
                <w:rFonts w:cs="Times New Roman"/>
                <w:sz w:val="18"/>
                <w:szCs w:val="18"/>
              </w:rPr>
              <w:t>58</w:t>
            </w:r>
          </w:p>
        </w:tc>
        <w:tc>
          <w:tcPr>
            <w:tcW w:w="194" w:type="pct"/>
            <w:vAlign w:val="center"/>
          </w:tcPr>
          <w:p>
            <w:pPr>
              <w:pStyle w:val="105"/>
              <w:spacing w:before="0" w:after="0"/>
              <w:jc w:val="center"/>
              <w:rPr>
                <w:rFonts w:cs="Times New Roman"/>
                <w:sz w:val="18"/>
                <w:szCs w:val="18"/>
              </w:rPr>
            </w:pPr>
            <w:r>
              <w:rPr>
                <w:rFonts w:cs="Times New Roman"/>
                <w:sz w:val="18"/>
                <w:szCs w:val="18"/>
              </w:rPr>
              <w:t>51.0</w:t>
            </w:r>
          </w:p>
        </w:tc>
        <w:tc>
          <w:tcPr>
            <w:tcW w:w="184" w:type="pct"/>
            <w:vAlign w:val="center"/>
          </w:tcPr>
          <w:p>
            <w:pPr>
              <w:pStyle w:val="105"/>
              <w:spacing w:before="0" w:after="0"/>
              <w:jc w:val="center"/>
              <w:rPr>
                <w:rFonts w:cs="Times New Roman"/>
                <w:sz w:val="18"/>
                <w:szCs w:val="18"/>
              </w:rPr>
            </w:pPr>
            <w:r>
              <w:rPr>
                <w:rFonts w:cs="Times New Roman"/>
                <w:sz w:val="18"/>
                <w:szCs w:val="18"/>
              </w:rPr>
              <w:t>58.8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0.8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52.6</w:t>
            </w:r>
          </w:p>
        </w:tc>
        <w:tc>
          <w:tcPr>
            <w:tcW w:w="169" w:type="pct"/>
            <w:vAlign w:val="center"/>
          </w:tcPr>
          <w:p>
            <w:pPr>
              <w:pStyle w:val="105"/>
              <w:spacing w:before="0" w:after="0"/>
              <w:jc w:val="center"/>
              <w:rPr>
                <w:rFonts w:cs="Times New Roman"/>
                <w:sz w:val="18"/>
                <w:szCs w:val="18"/>
              </w:rPr>
            </w:pPr>
            <w:r>
              <w:rPr>
                <w:rFonts w:cs="Times New Roman"/>
                <w:sz w:val="18"/>
                <w:szCs w:val="18"/>
              </w:rPr>
              <w:t>59.1</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1.1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53.0</w:t>
            </w:r>
          </w:p>
        </w:tc>
        <w:tc>
          <w:tcPr>
            <w:tcW w:w="164" w:type="pct"/>
            <w:vAlign w:val="center"/>
          </w:tcPr>
          <w:p>
            <w:pPr>
              <w:pStyle w:val="105"/>
              <w:spacing w:before="0" w:after="0"/>
              <w:jc w:val="center"/>
              <w:rPr>
                <w:rFonts w:cs="Times New Roman"/>
                <w:sz w:val="18"/>
                <w:szCs w:val="18"/>
              </w:rPr>
            </w:pPr>
            <w:r>
              <w:rPr>
                <w:rFonts w:cs="Times New Roman"/>
                <w:sz w:val="18"/>
                <w:szCs w:val="18"/>
              </w:rPr>
              <w:t>59.2</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1.2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rFonts w:cs="Times New Roman"/>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44</w:t>
            </w:r>
          </w:p>
        </w:tc>
        <w:tc>
          <w:tcPr>
            <w:tcW w:w="241" w:type="pct"/>
            <w:vAlign w:val="center"/>
          </w:tcPr>
          <w:p>
            <w:pPr>
              <w:pStyle w:val="105"/>
              <w:spacing w:before="0" w:after="0"/>
              <w:jc w:val="center"/>
              <w:rPr>
                <w:rFonts w:cs="Times New Roman"/>
                <w:sz w:val="18"/>
                <w:szCs w:val="18"/>
              </w:rPr>
            </w:pPr>
            <w:r>
              <w:rPr>
                <w:rFonts w:cs="Times New Roman"/>
                <w:sz w:val="18"/>
                <w:szCs w:val="18"/>
              </w:rPr>
              <w:t>44</w:t>
            </w:r>
          </w:p>
        </w:tc>
        <w:tc>
          <w:tcPr>
            <w:tcW w:w="194" w:type="pct"/>
            <w:vAlign w:val="center"/>
          </w:tcPr>
          <w:p>
            <w:pPr>
              <w:pStyle w:val="105"/>
              <w:spacing w:before="0" w:after="0"/>
              <w:jc w:val="center"/>
              <w:rPr>
                <w:rFonts w:cs="Times New Roman"/>
                <w:sz w:val="18"/>
                <w:szCs w:val="18"/>
              </w:rPr>
            </w:pPr>
            <w:r>
              <w:rPr>
                <w:rFonts w:cs="Times New Roman"/>
                <w:sz w:val="18"/>
                <w:szCs w:val="18"/>
              </w:rPr>
              <w:t>43.4</w:t>
            </w:r>
          </w:p>
        </w:tc>
        <w:tc>
          <w:tcPr>
            <w:tcW w:w="184" w:type="pct"/>
            <w:vAlign w:val="center"/>
          </w:tcPr>
          <w:p>
            <w:pPr>
              <w:pStyle w:val="105"/>
              <w:spacing w:before="0" w:after="0"/>
              <w:jc w:val="center"/>
              <w:rPr>
                <w:rFonts w:cs="Times New Roman"/>
                <w:sz w:val="18"/>
                <w:szCs w:val="18"/>
              </w:rPr>
            </w:pPr>
            <w:r>
              <w:rPr>
                <w:rFonts w:cs="Times New Roman"/>
                <w:sz w:val="18"/>
                <w:szCs w:val="18"/>
              </w:rPr>
              <w:t>46.7</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2.7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43.9</w:t>
            </w:r>
          </w:p>
        </w:tc>
        <w:tc>
          <w:tcPr>
            <w:tcW w:w="169" w:type="pct"/>
            <w:vAlign w:val="center"/>
          </w:tcPr>
          <w:p>
            <w:pPr>
              <w:pStyle w:val="105"/>
              <w:spacing w:before="0" w:after="0"/>
              <w:jc w:val="center"/>
              <w:rPr>
                <w:rFonts w:cs="Times New Roman"/>
                <w:sz w:val="18"/>
                <w:szCs w:val="18"/>
              </w:rPr>
            </w:pPr>
            <w:r>
              <w:rPr>
                <w:rFonts w:cs="Times New Roman"/>
                <w:sz w:val="18"/>
                <w:szCs w:val="18"/>
              </w:rPr>
              <w:t>47.0</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3.0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44.1</w:t>
            </w:r>
          </w:p>
        </w:tc>
        <w:tc>
          <w:tcPr>
            <w:tcW w:w="164" w:type="pct"/>
            <w:vAlign w:val="center"/>
          </w:tcPr>
          <w:p>
            <w:pPr>
              <w:pStyle w:val="105"/>
              <w:spacing w:before="0" w:after="0"/>
              <w:jc w:val="center"/>
              <w:rPr>
                <w:rFonts w:cs="Times New Roman"/>
                <w:sz w:val="18"/>
                <w:szCs w:val="18"/>
              </w:rPr>
            </w:pPr>
            <w:r>
              <w:rPr>
                <w:rFonts w:cs="Times New Roman"/>
                <w:sz w:val="18"/>
                <w:szCs w:val="18"/>
              </w:rPr>
              <w:t>47.1</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3.1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4</w:t>
            </w:r>
          </w:p>
        </w:tc>
        <w:tc>
          <w:tcPr>
            <w:tcW w:w="152" w:type="pct"/>
            <w:vMerge w:val="restart"/>
            <w:vAlign w:val="center"/>
          </w:tcPr>
          <w:p>
            <w:pPr>
              <w:pStyle w:val="105"/>
              <w:spacing w:before="0" w:after="0"/>
              <w:jc w:val="center"/>
              <w:rPr>
                <w:sz w:val="18"/>
                <w:szCs w:val="18"/>
              </w:rPr>
            </w:pPr>
            <w:bookmarkStart w:id="485" w:name="_Hlk197435582"/>
            <w:r>
              <w:rPr>
                <w:rFonts w:hint="eastAsia"/>
                <w:sz w:val="18"/>
                <w:szCs w:val="18"/>
              </w:rPr>
              <w:t>联华村后郑</w:t>
            </w:r>
            <w:bookmarkEnd w:id="485"/>
          </w:p>
        </w:tc>
        <w:tc>
          <w:tcPr>
            <w:tcW w:w="608" w:type="pct"/>
            <w:vMerge w:val="restart"/>
            <w:vAlign w:val="center"/>
          </w:tcPr>
          <w:p>
            <w:pPr>
              <w:pStyle w:val="105"/>
              <w:spacing w:before="0" w:after="0"/>
              <w:jc w:val="center"/>
              <w:rPr>
                <w:sz w:val="18"/>
                <w:szCs w:val="18"/>
              </w:rPr>
            </w:pPr>
            <w:r>
              <w:rPr>
                <w:rFonts w:hint="eastAsia"/>
                <w:sz w:val="18"/>
                <w:szCs w:val="18"/>
              </w:rPr>
              <w:t>临拟建公路第一排1</w:t>
            </w:r>
            <w:r>
              <w:rPr>
                <w:sz w:val="18"/>
                <w:szCs w:val="18"/>
              </w:rPr>
              <w:t>F</w:t>
            </w:r>
          </w:p>
        </w:tc>
        <w:tc>
          <w:tcPr>
            <w:tcW w:w="253" w:type="pct"/>
            <w:vMerge w:val="restart"/>
            <w:vAlign w:val="center"/>
          </w:tcPr>
          <w:p>
            <w:pPr>
              <w:pStyle w:val="105"/>
              <w:spacing w:before="0" w:after="0"/>
              <w:jc w:val="center"/>
              <w:rPr>
                <w:sz w:val="18"/>
                <w:szCs w:val="18"/>
              </w:rPr>
            </w:pPr>
            <w:r>
              <w:rPr>
                <w:rFonts w:hint="eastAsia"/>
                <w:sz w:val="18"/>
                <w:szCs w:val="18"/>
              </w:rPr>
              <w:t>1</w:t>
            </w:r>
            <w:r>
              <w:rPr>
                <w:sz w:val="18"/>
                <w:szCs w:val="18"/>
              </w:rPr>
              <w:t>1</w:t>
            </w:r>
          </w:p>
        </w:tc>
        <w:tc>
          <w:tcPr>
            <w:tcW w:w="202" w:type="pct"/>
            <w:vMerge w:val="restart"/>
            <w:vAlign w:val="center"/>
          </w:tcPr>
          <w:p>
            <w:pPr>
              <w:pStyle w:val="105"/>
              <w:spacing w:before="0" w:after="0"/>
              <w:jc w:val="center"/>
              <w:rPr>
                <w:sz w:val="18"/>
                <w:szCs w:val="18"/>
              </w:rPr>
            </w:pPr>
            <w:r>
              <w:rPr>
                <w:rFonts w:hint="eastAsia"/>
                <w:sz w:val="18"/>
                <w:szCs w:val="18"/>
              </w:rPr>
              <w:t>0</w:t>
            </w:r>
          </w:p>
        </w:tc>
        <w:tc>
          <w:tcPr>
            <w:tcW w:w="203" w:type="pct"/>
            <w:vMerge w:val="restart"/>
            <w:vAlign w:val="center"/>
          </w:tcPr>
          <w:p>
            <w:pPr>
              <w:pStyle w:val="105"/>
              <w:spacing w:before="0" w:after="0"/>
              <w:jc w:val="center"/>
              <w:rPr>
                <w:sz w:val="18"/>
                <w:szCs w:val="18"/>
              </w:rPr>
            </w:pPr>
            <w:r>
              <w:rPr>
                <w:rFonts w:hint="eastAsia"/>
                <w:sz w:val="18"/>
                <w:szCs w:val="18"/>
              </w:rPr>
              <w:t>1</w:t>
            </w:r>
            <w:r>
              <w:rPr>
                <w:sz w:val="18"/>
                <w:szCs w:val="18"/>
              </w:rPr>
              <w:t>.2</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50</w:t>
            </w:r>
          </w:p>
        </w:tc>
        <w:tc>
          <w:tcPr>
            <w:tcW w:w="194" w:type="pct"/>
            <w:vAlign w:val="center"/>
          </w:tcPr>
          <w:p>
            <w:pPr>
              <w:pStyle w:val="105"/>
              <w:spacing w:before="0" w:after="0"/>
              <w:jc w:val="center"/>
              <w:rPr>
                <w:rFonts w:cs="Times New Roman"/>
                <w:sz w:val="18"/>
                <w:szCs w:val="18"/>
              </w:rPr>
            </w:pPr>
            <w:r>
              <w:rPr>
                <w:rFonts w:cs="Times New Roman"/>
                <w:sz w:val="18"/>
                <w:szCs w:val="18"/>
              </w:rPr>
              <w:t>67.7</w:t>
            </w:r>
          </w:p>
        </w:tc>
        <w:tc>
          <w:tcPr>
            <w:tcW w:w="184" w:type="pct"/>
            <w:vAlign w:val="center"/>
          </w:tcPr>
          <w:p>
            <w:pPr>
              <w:pStyle w:val="105"/>
              <w:spacing w:before="0" w:after="0"/>
              <w:jc w:val="center"/>
              <w:rPr>
                <w:rFonts w:cs="Times New Roman"/>
                <w:sz w:val="18"/>
                <w:szCs w:val="18"/>
              </w:rPr>
            </w:pPr>
            <w:r>
              <w:rPr>
                <w:rFonts w:cs="Times New Roman"/>
                <w:sz w:val="18"/>
                <w:szCs w:val="18"/>
              </w:rPr>
              <w:t>67.8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17.8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69.0</w:t>
            </w:r>
          </w:p>
        </w:tc>
        <w:tc>
          <w:tcPr>
            <w:tcW w:w="169" w:type="pct"/>
            <w:vAlign w:val="center"/>
          </w:tcPr>
          <w:p>
            <w:pPr>
              <w:pStyle w:val="105"/>
              <w:spacing w:before="0" w:after="0"/>
              <w:jc w:val="center"/>
              <w:rPr>
                <w:rFonts w:cs="Times New Roman"/>
                <w:sz w:val="18"/>
                <w:szCs w:val="18"/>
              </w:rPr>
            </w:pPr>
            <w:r>
              <w:rPr>
                <w:rFonts w:cs="Times New Roman"/>
                <w:sz w:val="18"/>
                <w:szCs w:val="18"/>
              </w:rPr>
              <w:t>69.0</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19.0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69.2</w:t>
            </w:r>
          </w:p>
        </w:tc>
        <w:tc>
          <w:tcPr>
            <w:tcW w:w="164" w:type="pct"/>
            <w:vAlign w:val="center"/>
          </w:tcPr>
          <w:p>
            <w:pPr>
              <w:pStyle w:val="105"/>
              <w:spacing w:before="0" w:after="0"/>
              <w:jc w:val="center"/>
              <w:rPr>
                <w:rFonts w:cs="Times New Roman"/>
                <w:sz w:val="18"/>
                <w:szCs w:val="18"/>
              </w:rPr>
            </w:pPr>
            <w:r>
              <w:rPr>
                <w:rFonts w:cs="Times New Roman"/>
                <w:sz w:val="18"/>
                <w:szCs w:val="18"/>
              </w:rPr>
              <w:t>69.3</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19.3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46</w:t>
            </w:r>
          </w:p>
        </w:tc>
        <w:tc>
          <w:tcPr>
            <w:tcW w:w="241" w:type="pct"/>
            <w:vAlign w:val="center"/>
          </w:tcPr>
          <w:p>
            <w:pPr>
              <w:pStyle w:val="105"/>
              <w:spacing w:before="0" w:after="0"/>
              <w:jc w:val="center"/>
              <w:rPr>
                <w:rFonts w:cs="Times New Roman"/>
                <w:sz w:val="18"/>
                <w:szCs w:val="18"/>
              </w:rPr>
            </w:pPr>
            <w:r>
              <w:rPr>
                <w:rFonts w:cs="Times New Roman"/>
                <w:sz w:val="18"/>
                <w:szCs w:val="18"/>
              </w:rPr>
              <w:t>46</w:t>
            </w:r>
          </w:p>
        </w:tc>
        <w:tc>
          <w:tcPr>
            <w:tcW w:w="194" w:type="pct"/>
            <w:vAlign w:val="center"/>
          </w:tcPr>
          <w:p>
            <w:pPr>
              <w:pStyle w:val="105"/>
              <w:spacing w:before="0" w:after="0"/>
              <w:jc w:val="center"/>
              <w:rPr>
                <w:rFonts w:cs="Times New Roman"/>
                <w:sz w:val="18"/>
                <w:szCs w:val="18"/>
              </w:rPr>
            </w:pPr>
            <w:r>
              <w:rPr>
                <w:rFonts w:cs="Times New Roman"/>
                <w:sz w:val="18"/>
                <w:szCs w:val="18"/>
              </w:rPr>
              <w:t>60.1</w:t>
            </w:r>
          </w:p>
        </w:tc>
        <w:tc>
          <w:tcPr>
            <w:tcW w:w="184" w:type="pct"/>
            <w:vAlign w:val="center"/>
          </w:tcPr>
          <w:p>
            <w:pPr>
              <w:pStyle w:val="105"/>
              <w:spacing w:before="0" w:after="0"/>
              <w:jc w:val="center"/>
              <w:rPr>
                <w:rFonts w:cs="Times New Roman"/>
                <w:sz w:val="18"/>
                <w:szCs w:val="18"/>
              </w:rPr>
            </w:pPr>
            <w:r>
              <w:rPr>
                <w:rFonts w:cs="Times New Roman"/>
                <w:sz w:val="18"/>
                <w:szCs w:val="18"/>
              </w:rPr>
              <w:t>60.3</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14.3 </w:t>
            </w:r>
          </w:p>
        </w:tc>
        <w:tc>
          <w:tcPr>
            <w:tcW w:w="193" w:type="pct"/>
            <w:vAlign w:val="center"/>
          </w:tcPr>
          <w:p>
            <w:pPr>
              <w:pStyle w:val="105"/>
              <w:spacing w:before="0" w:after="0"/>
              <w:jc w:val="center"/>
              <w:rPr>
                <w:rFonts w:cs="Times New Roman"/>
                <w:sz w:val="18"/>
                <w:szCs w:val="18"/>
              </w:rPr>
            </w:pPr>
            <w:r>
              <w:rPr>
                <w:rFonts w:cs="Times New Roman"/>
                <w:sz w:val="18"/>
                <w:szCs w:val="18"/>
              </w:rPr>
              <w:t xml:space="preserve">5.3 </w:t>
            </w:r>
          </w:p>
        </w:tc>
        <w:tc>
          <w:tcPr>
            <w:tcW w:w="146" w:type="pct"/>
            <w:vAlign w:val="center"/>
          </w:tcPr>
          <w:p>
            <w:pPr>
              <w:pStyle w:val="105"/>
              <w:spacing w:before="0" w:after="0"/>
              <w:jc w:val="center"/>
              <w:rPr>
                <w:rFonts w:cs="Times New Roman"/>
                <w:sz w:val="18"/>
                <w:szCs w:val="18"/>
              </w:rPr>
            </w:pPr>
            <w:r>
              <w:rPr>
                <w:rFonts w:cs="Times New Roman"/>
                <w:sz w:val="18"/>
                <w:szCs w:val="18"/>
              </w:rPr>
              <w:t>60.6</w:t>
            </w:r>
          </w:p>
        </w:tc>
        <w:tc>
          <w:tcPr>
            <w:tcW w:w="169" w:type="pct"/>
            <w:vAlign w:val="center"/>
          </w:tcPr>
          <w:p>
            <w:pPr>
              <w:pStyle w:val="105"/>
              <w:spacing w:before="0" w:after="0"/>
              <w:jc w:val="center"/>
              <w:rPr>
                <w:rFonts w:cs="Times New Roman"/>
                <w:sz w:val="18"/>
                <w:szCs w:val="18"/>
              </w:rPr>
            </w:pPr>
            <w:r>
              <w:rPr>
                <w:rFonts w:cs="Times New Roman"/>
                <w:sz w:val="18"/>
                <w:szCs w:val="18"/>
              </w:rPr>
              <w:t>60.7</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14.7 </w:t>
            </w:r>
          </w:p>
        </w:tc>
        <w:tc>
          <w:tcPr>
            <w:tcW w:w="188" w:type="pct"/>
            <w:vAlign w:val="center"/>
          </w:tcPr>
          <w:p>
            <w:pPr>
              <w:pStyle w:val="105"/>
              <w:spacing w:before="0" w:after="0"/>
              <w:jc w:val="center"/>
              <w:rPr>
                <w:rFonts w:cs="Times New Roman"/>
                <w:sz w:val="18"/>
                <w:szCs w:val="18"/>
              </w:rPr>
            </w:pPr>
            <w:r>
              <w:rPr>
                <w:rFonts w:cs="Times New Roman"/>
                <w:sz w:val="18"/>
                <w:szCs w:val="18"/>
              </w:rPr>
              <w:t xml:space="preserve">5.7 </w:t>
            </w:r>
          </w:p>
        </w:tc>
        <w:tc>
          <w:tcPr>
            <w:tcW w:w="182" w:type="pct"/>
            <w:vAlign w:val="center"/>
          </w:tcPr>
          <w:p>
            <w:pPr>
              <w:pStyle w:val="105"/>
              <w:spacing w:before="0" w:after="0"/>
              <w:jc w:val="center"/>
              <w:rPr>
                <w:rFonts w:cs="Times New Roman"/>
                <w:sz w:val="18"/>
                <w:szCs w:val="18"/>
              </w:rPr>
            </w:pPr>
            <w:r>
              <w:rPr>
                <w:rFonts w:cs="Times New Roman"/>
                <w:sz w:val="18"/>
                <w:szCs w:val="18"/>
              </w:rPr>
              <w:t>60.8</w:t>
            </w:r>
          </w:p>
        </w:tc>
        <w:tc>
          <w:tcPr>
            <w:tcW w:w="164" w:type="pct"/>
            <w:vAlign w:val="center"/>
          </w:tcPr>
          <w:p>
            <w:pPr>
              <w:pStyle w:val="105"/>
              <w:spacing w:before="0" w:after="0"/>
              <w:jc w:val="center"/>
              <w:rPr>
                <w:rFonts w:cs="Times New Roman"/>
                <w:sz w:val="18"/>
                <w:szCs w:val="18"/>
              </w:rPr>
            </w:pPr>
            <w:r>
              <w:rPr>
                <w:rFonts w:cs="Times New Roman"/>
                <w:sz w:val="18"/>
                <w:szCs w:val="18"/>
              </w:rPr>
              <w:t>60.9</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14.9 </w:t>
            </w:r>
          </w:p>
        </w:tc>
        <w:tc>
          <w:tcPr>
            <w:tcW w:w="152" w:type="pct"/>
            <w:vAlign w:val="center"/>
          </w:tcPr>
          <w:p>
            <w:pPr>
              <w:pStyle w:val="105"/>
              <w:spacing w:before="0" w:after="0"/>
              <w:jc w:val="center"/>
              <w:rPr>
                <w:rFonts w:cs="Times New Roman"/>
                <w:sz w:val="18"/>
                <w:szCs w:val="18"/>
              </w:rPr>
            </w:pPr>
            <w:r>
              <w:rPr>
                <w:rFonts w:cs="Times New Roman"/>
                <w:sz w:val="18"/>
                <w:szCs w:val="18"/>
              </w:rPr>
              <w:t xml:space="preserve">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临拟建公路第一排</w:t>
            </w:r>
            <w:r>
              <w:rPr>
                <w:sz w:val="18"/>
                <w:szCs w:val="18"/>
              </w:rPr>
              <w:t>3F</w:t>
            </w:r>
          </w:p>
        </w:tc>
        <w:tc>
          <w:tcPr>
            <w:tcW w:w="253" w:type="pct"/>
            <w:vMerge w:val="continue"/>
            <w:vAlign w:val="center"/>
          </w:tcPr>
          <w:p>
            <w:pPr>
              <w:pStyle w:val="105"/>
              <w:spacing w:before="0" w:after="0"/>
              <w:jc w:val="center"/>
              <w:rPr>
                <w:sz w:val="18"/>
                <w:szCs w:val="18"/>
              </w:rPr>
            </w:pPr>
          </w:p>
        </w:tc>
        <w:tc>
          <w:tcPr>
            <w:tcW w:w="202" w:type="pct"/>
            <w:vMerge w:val="restart"/>
            <w:vAlign w:val="center"/>
          </w:tcPr>
          <w:p>
            <w:pPr>
              <w:pStyle w:val="105"/>
              <w:spacing w:before="0" w:after="0"/>
              <w:jc w:val="center"/>
              <w:rPr>
                <w:sz w:val="18"/>
                <w:szCs w:val="18"/>
              </w:rPr>
            </w:pPr>
            <w:r>
              <w:rPr>
                <w:rFonts w:hint="eastAsia"/>
                <w:sz w:val="18"/>
                <w:szCs w:val="18"/>
              </w:rPr>
              <w:t>3</w:t>
            </w: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rFonts w:cs="Times New Roman"/>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52</w:t>
            </w:r>
          </w:p>
        </w:tc>
        <w:tc>
          <w:tcPr>
            <w:tcW w:w="241" w:type="pct"/>
            <w:vAlign w:val="center"/>
          </w:tcPr>
          <w:p>
            <w:pPr>
              <w:pStyle w:val="105"/>
              <w:spacing w:before="0" w:after="0"/>
              <w:jc w:val="center"/>
              <w:rPr>
                <w:rFonts w:cs="Times New Roman"/>
                <w:sz w:val="18"/>
                <w:szCs w:val="18"/>
              </w:rPr>
            </w:pPr>
            <w:r>
              <w:rPr>
                <w:rFonts w:cs="Times New Roman"/>
                <w:sz w:val="18"/>
                <w:szCs w:val="18"/>
              </w:rPr>
              <w:t>52</w:t>
            </w:r>
          </w:p>
        </w:tc>
        <w:tc>
          <w:tcPr>
            <w:tcW w:w="194" w:type="pct"/>
            <w:vAlign w:val="center"/>
          </w:tcPr>
          <w:p>
            <w:pPr>
              <w:pStyle w:val="105"/>
              <w:spacing w:before="0" w:after="0"/>
              <w:jc w:val="center"/>
              <w:rPr>
                <w:rFonts w:cs="Times New Roman"/>
                <w:sz w:val="18"/>
                <w:szCs w:val="18"/>
              </w:rPr>
            </w:pPr>
            <w:r>
              <w:rPr>
                <w:rFonts w:cs="Times New Roman"/>
                <w:sz w:val="18"/>
                <w:szCs w:val="18"/>
              </w:rPr>
              <w:t>67.7</w:t>
            </w:r>
          </w:p>
        </w:tc>
        <w:tc>
          <w:tcPr>
            <w:tcW w:w="184" w:type="pct"/>
            <w:vAlign w:val="center"/>
          </w:tcPr>
          <w:p>
            <w:pPr>
              <w:pStyle w:val="105"/>
              <w:spacing w:before="0" w:after="0"/>
              <w:jc w:val="center"/>
              <w:rPr>
                <w:rFonts w:cs="Times New Roman"/>
                <w:sz w:val="18"/>
                <w:szCs w:val="18"/>
              </w:rPr>
            </w:pPr>
            <w:r>
              <w:rPr>
                <w:rFonts w:cs="Times New Roman"/>
                <w:sz w:val="18"/>
                <w:szCs w:val="18"/>
              </w:rPr>
              <w:t>67.8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15.8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69.0</w:t>
            </w:r>
          </w:p>
        </w:tc>
        <w:tc>
          <w:tcPr>
            <w:tcW w:w="169" w:type="pct"/>
            <w:vAlign w:val="center"/>
          </w:tcPr>
          <w:p>
            <w:pPr>
              <w:pStyle w:val="105"/>
              <w:spacing w:before="0" w:after="0"/>
              <w:jc w:val="center"/>
              <w:rPr>
                <w:rFonts w:cs="Times New Roman"/>
                <w:sz w:val="18"/>
                <w:szCs w:val="18"/>
              </w:rPr>
            </w:pPr>
            <w:r>
              <w:rPr>
                <w:rFonts w:cs="Times New Roman"/>
                <w:sz w:val="18"/>
                <w:szCs w:val="18"/>
              </w:rPr>
              <w:t>69.1</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17.1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69.2</w:t>
            </w:r>
          </w:p>
        </w:tc>
        <w:tc>
          <w:tcPr>
            <w:tcW w:w="164" w:type="pct"/>
            <w:vAlign w:val="center"/>
          </w:tcPr>
          <w:p>
            <w:pPr>
              <w:pStyle w:val="105"/>
              <w:spacing w:before="0" w:after="0"/>
              <w:jc w:val="center"/>
              <w:rPr>
                <w:rFonts w:cs="Times New Roman"/>
                <w:sz w:val="18"/>
                <w:szCs w:val="18"/>
              </w:rPr>
            </w:pPr>
            <w:r>
              <w:rPr>
                <w:rFonts w:cs="Times New Roman"/>
                <w:sz w:val="18"/>
                <w:szCs w:val="18"/>
              </w:rPr>
              <w:t>69.3</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17.3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47</w:t>
            </w:r>
          </w:p>
        </w:tc>
        <w:tc>
          <w:tcPr>
            <w:tcW w:w="241" w:type="pct"/>
            <w:vAlign w:val="center"/>
          </w:tcPr>
          <w:p>
            <w:pPr>
              <w:pStyle w:val="105"/>
              <w:spacing w:before="0" w:after="0"/>
              <w:jc w:val="center"/>
              <w:rPr>
                <w:rFonts w:cs="Times New Roman"/>
                <w:sz w:val="18"/>
                <w:szCs w:val="18"/>
              </w:rPr>
            </w:pPr>
            <w:r>
              <w:rPr>
                <w:rFonts w:cs="Times New Roman"/>
                <w:sz w:val="18"/>
                <w:szCs w:val="18"/>
              </w:rPr>
              <w:t>47</w:t>
            </w:r>
          </w:p>
        </w:tc>
        <w:tc>
          <w:tcPr>
            <w:tcW w:w="194" w:type="pct"/>
            <w:vAlign w:val="center"/>
          </w:tcPr>
          <w:p>
            <w:pPr>
              <w:pStyle w:val="105"/>
              <w:spacing w:before="0" w:after="0"/>
              <w:jc w:val="center"/>
              <w:rPr>
                <w:rFonts w:cs="Times New Roman"/>
                <w:sz w:val="18"/>
                <w:szCs w:val="18"/>
              </w:rPr>
            </w:pPr>
            <w:r>
              <w:rPr>
                <w:rFonts w:cs="Times New Roman"/>
                <w:sz w:val="18"/>
                <w:szCs w:val="18"/>
              </w:rPr>
              <w:t>60.1</w:t>
            </w:r>
          </w:p>
        </w:tc>
        <w:tc>
          <w:tcPr>
            <w:tcW w:w="184" w:type="pct"/>
            <w:vAlign w:val="center"/>
          </w:tcPr>
          <w:p>
            <w:pPr>
              <w:pStyle w:val="105"/>
              <w:spacing w:before="0" w:after="0"/>
              <w:jc w:val="center"/>
              <w:rPr>
                <w:rFonts w:cs="Times New Roman"/>
                <w:sz w:val="18"/>
                <w:szCs w:val="18"/>
              </w:rPr>
            </w:pPr>
            <w:r>
              <w:rPr>
                <w:rFonts w:cs="Times New Roman"/>
                <w:sz w:val="18"/>
                <w:szCs w:val="18"/>
              </w:rPr>
              <w:t>60.3</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13.3 </w:t>
            </w:r>
          </w:p>
        </w:tc>
        <w:tc>
          <w:tcPr>
            <w:tcW w:w="193" w:type="pct"/>
            <w:vAlign w:val="center"/>
          </w:tcPr>
          <w:p>
            <w:pPr>
              <w:pStyle w:val="105"/>
              <w:spacing w:before="0" w:after="0"/>
              <w:jc w:val="center"/>
              <w:rPr>
                <w:rFonts w:cs="Times New Roman"/>
                <w:sz w:val="18"/>
                <w:szCs w:val="18"/>
              </w:rPr>
            </w:pPr>
            <w:r>
              <w:rPr>
                <w:rFonts w:cs="Times New Roman"/>
                <w:sz w:val="18"/>
                <w:szCs w:val="18"/>
              </w:rPr>
              <w:t xml:space="preserve">5.3 </w:t>
            </w:r>
          </w:p>
        </w:tc>
        <w:tc>
          <w:tcPr>
            <w:tcW w:w="146" w:type="pct"/>
            <w:vAlign w:val="center"/>
          </w:tcPr>
          <w:p>
            <w:pPr>
              <w:pStyle w:val="105"/>
              <w:spacing w:before="0" w:after="0"/>
              <w:jc w:val="center"/>
              <w:rPr>
                <w:rFonts w:cs="Times New Roman"/>
                <w:sz w:val="18"/>
                <w:szCs w:val="18"/>
              </w:rPr>
            </w:pPr>
            <w:r>
              <w:rPr>
                <w:rFonts w:cs="Times New Roman"/>
                <w:sz w:val="18"/>
                <w:szCs w:val="18"/>
              </w:rPr>
              <w:t>60.6</w:t>
            </w:r>
          </w:p>
        </w:tc>
        <w:tc>
          <w:tcPr>
            <w:tcW w:w="169" w:type="pct"/>
            <w:vAlign w:val="center"/>
          </w:tcPr>
          <w:p>
            <w:pPr>
              <w:pStyle w:val="105"/>
              <w:spacing w:before="0" w:after="0"/>
              <w:jc w:val="center"/>
              <w:rPr>
                <w:rFonts w:cs="Times New Roman"/>
                <w:sz w:val="18"/>
                <w:szCs w:val="18"/>
              </w:rPr>
            </w:pPr>
            <w:r>
              <w:rPr>
                <w:rFonts w:cs="Times New Roman"/>
                <w:sz w:val="18"/>
                <w:szCs w:val="18"/>
              </w:rPr>
              <w:t>60.8</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13.8 </w:t>
            </w:r>
          </w:p>
        </w:tc>
        <w:tc>
          <w:tcPr>
            <w:tcW w:w="188" w:type="pct"/>
            <w:vAlign w:val="center"/>
          </w:tcPr>
          <w:p>
            <w:pPr>
              <w:pStyle w:val="105"/>
              <w:spacing w:before="0" w:after="0"/>
              <w:jc w:val="center"/>
              <w:rPr>
                <w:rFonts w:cs="Times New Roman"/>
                <w:sz w:val="18"/>
                <w:szCs w:val="18"/>
              </w:rPr>
            </w:pPr>
            <w:r>
              <w:rPr>
                <w:rFonts w:cs="Times New Roman"/>
                <w:sz w:val="18"/>
                <w:szCs w:val="18"/>
              </w:rPr>
              <w:t xml:space="preserve">5.8 </w:t>
            </w:r>
          </w:p>
        </w:tc>
        <w:tc>
          <w:tcPr>
            <w:tcW w:w="182" w:type="pct"/>
            <w:vAlign w:val="center"/>
          </w:tcPr>
          <w:p>
            <w:pPr>
              <w:pStyle w:val="105"/>
              <w:spacing w:before="0" w:after="0"/>
              <w:jc w:val="center"/>
              <w:rPr>
                <w:rFonts w:cs="Times New Roman"/>
                <w:sz w:val="18"/>
                <w:szCs w:val="18"/>
              </w:rPr>
            </w:pPr>
            <w:r>
              <w:rPr>
                <w:rFonts w:cs="Times New Roman"/>
                <w:sz w:val="18"/>
                <w:szCs w:val="18"/>
              </w:rPr>
              <w:t>60.8</w:t>
            </w:r>
          </w:p>
        </w:tc>
        <w:tc>
          <w:tcPr>
            <w:tcW w:w="164" w:type="pct"/>
            <w:vAlign w:val="center"/>
          </w:tcPr>
          <w:p>
            <w:pPr>
              <w:pStyle w:val="105"/>
              <w:spacing w:before="0" w:after="0"/>
              <w:jc w:val="center"/>
              <w:rPr>
                <w:rFonts w:cs="Times New Roman"/>
                <w:sz w:val="18"/>
                <w:szCs w:val="18"/>
              </w:rPr>
            </w:pPr>
            <w:r>
              <w:rPr>
                <w:rFonts w:cs="Times New Roman"/>
                <w:sz w:val="18"/>
                <w:szCs w:val="18"/>
              </w:rPr>
              <w:t>61.0</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14.0 </w:t>
            </w:r>
          </w:p>
        </w:tc>
        <w:tc>
          <w:tcPr>
            <w:tcW w:w="152" w:type="pct"/>
            <w:vAlign w:val="center"/>
          </w:tcPr>
          <w:p>
            <w:pPr>
              <w:pStyle w:val="105"/>
              <w:spacing w:before="0" w:after="0"/>
              <w:jc w:val="center"/>
              <w:rPr>
                <w:rFonts w:cs="Times New Roman"/>
                <w:sz w:val="18"/>
                <w:szCs w:val="18"/>
              </w:rPr>
            </w:pPr>
            <w:r>
              <w:rPr>
                <w:rFonts w:cs="Times New Roman"/>
                <w:sz w:val="18"/>
                <w:szCs w:val="18"/>
              </w:rPr>
              <w:t xml:space="preserve">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后排</w:t>
            </w:r>
          </w:p>
        </w:tc>
        <w:tc>
          <w:tcPr>
            <w:tcW w:w="253" w:type="pct"/>
            <w:vMerge w:val="restart"/>
            <w:vAlign w:val="center"/>
          </w:tcPr>
          <w:p>
            <w:pPr>
              <w:pStyle w:val="105"/>
              <w:spacing w:before="0" w:after="0"/>
              <w:jc w:val="center"/>
              <w:rPr>
                <w:sz w:val="18"/>
                <w:szCs w:val="18"/>
              </w:rPr>
            </w:pPr>
            <w:r>
              <w:rPr>
                <w:sz w:val="18"/>
                <w:szCs w:val="18"/>
              </w:rPr>
              <w:t>63</w:t>
            </w:r>
          </w:p>
        </w:tc>
        <w:tc>
          <w:tcPr>
            <w:tcW w:w="202" w:type="pct"/>
            <w:vMerge w:val="restart"/>
            <w:vAlign w:val="center"/>
          </w:tcPr>
          <w:p>
            <w:pPr>
              <w:pStyle w:val="105"/>
              <w:spacing w:before="0" w:after="0"/>
              <w:jc w:val="center"/>
              <w:rPr>
                <w:sz w:val="18"/>
                <w:szCs w:val="18"/>
              </w:rPr>
            </w:pPr>
            <w:r>
              <w:rPr>
                <w:rFonts w:hint="eastAsia"/>
                <w:sz w:val="18"/>
                <w:szCs w:val="18"/>
              </w:rPr>
              <w:t>0</w:t>
            </w:r>
          </w:p>
        </w:tc>
        <w:tc>
          <w:tcPr>
            <w:tcW w:w="203" w:type="pct"/>
            <w:vMerge w:val="restart"/>
            <w:vAlign w:val="center"/>
          </w:tcPr>
          <w:p>
            <w:pPr>
              <w:pStyle w:val="105"/>
              <w:spacing w:before="0" w:after="0"/>
              <w:jc w:val="center"/>
              <w:rPr>
                <w:sz w:val="18"/>
                <w:szCs w:val="18"/>
              </w:rPr>
            </w:pPr>
            <w:r>
              <w:rPr>
                <w:rFonts w:hint="eastAsia"/>
                <w:sz w:val="18"/>
                <w:szCs w:val="18"/>
              </w:rPr>
              <w:t>1</w:t>
            </w:r>
            <w:r>
              <w:rPr>
                <w:sz w:val="18"/>
                <w:szCs w:val="18"/>
              </w:rPr>
              <w:t>.2~1.885</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194" w:type="pct"/>
            <w:vAlign w:val="center"/>
          </w:tcPr>
          <w:p>
            <w:pPr>
              <w:pStyle w:val="105"/>
              <w:spacing w:before="0" w:after="0"/>
              <w:jc w:val="center"/>
              <w:rPr>
                <w:rFonts w:cs="Times New Roman"/>
                <w:sz w:val="18"/>
                <w:szCs w:val="18"/>
              </w:rPr>
            </w:pPr>
            <w:r>
              <w:rPr>
                <w:rFonts w:cs="Times New Roman"/>
                <w:sz w:val="18"/>
                <w:szCs w:val="18"/>
              </w:rPr>
              <w:t>52.1</w:t>
            </w:r>
          </w:p>
        </w:tc>
        <w:tc>
          <w:tcPr>
            <w:tcW w:w="184" w:type="pct"/>
            <w:vAlign w:val="center"/>
          </w:tcPr>
          <w:p>
            <w:pPr>
              <w:pStyle w:val="105"/>
              <w:spacing w:before="0" w:after="0"/>
              <w:jc w:val="center"/>
              <w:rPr>
                <w:rFonts w:cs="Times New Roman"/>
                <w:sz w:val="18"/>
                <w:szCs w:val="18"/>
              </w:rPr>
            </w:pPr>
            <w:r>
              <w:rPr>
                <w:rFonts w:cs="Times New Roman"/>
                <w:sz w:val="18"/>
                <w:szCs w:val="18"/>
              </w:rPr>
              <w:t>54.6</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3.6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57.2</w:t>
            </w:r>
          </w:p>
        </w:tc>
        <w:tc>
          <w:tcPr>
            <w:tcW w:w="169" w:type="pct"/>
            <w:vAlign w:val="center"/>
          </w:tcPr>
          <w:p>
            <w:pPr>
              <w:pStyle w:val="105"/>
              <w:spacing w:before="0" w:after="0"/>
              <w:jc w:val="center"/>
              <w:rPr>
                <w:rFonts w:cs="Times New Roman"/>
                <w:sz w:val="18"/>
                <w:szCs w:val="18"/>
              </w:rPr>
            </w:pPr>
            <w:r>
              <w:rPr>
                <w:rFonts w:cs="Times New Roman"/>
                <w:sz w:val="18"/>
                <w:szCs w:val="18"/>
              </w:rPr>
              <w:t>58.1</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7.1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57.4</w:t>
            </w:r>
          </w:p>
        </w:tc>
        <w:tc>
          <w:tcPr>
            <w:tcW w:w="164" w:type="pct"/>
            <w:vAlign w:val="center"/>
          </w:tcPr>
          <w:p>
            <w:pPr>
              <w:pStyle w:val="105"/>
              <w:spacing w:before="0" w:after="0"/>
              <w:jc w:val="center"/>
              <w:rPr>
                <w:rFonts w:cs="Times New Roman"/>
                <w:sz w:val="18"/>
                <w:szCs w:val="18"/>
              </w:rPr>
            </w:pPr>
            <w:r>
              <w:rPr>
                <w:rFonts w:cs="Times New Roman"/>
                <w:sz w:val="18"/>
                <w:szCs w:val="18"/>
              </w:rPr>
              <w:t>58.3</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7.3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46</w:t>
            </w:r>
          </w:p>
        </w:tc>
        <w:tc>
          <w:tcPr>
            <w:tcW w:w="241" w:type="pct"/>
            <w:vAlign w:val="center"/>
          </w:tcPr>
          <w:p>
            <w:pPr>
              <w:pStyle w:val="105"/>
              <w:spacing w:before="0" w:after="0"/>
              <w:jc w:val="center"/>
              <w:rPr>
                <w:rFonts w:cs="Times New Roman"/>
                <w:sz w:val="18"/>
                <w:szCs w:val="18"/>
              </w:rPr>
            </w:pPr>
            <w:r>
              <w:rPr>
                <w:rFonts w:cs="Times New Roman"/>
                <w:sz w:val="18"/>
                <w:szCs w:val="18"/>
              </w:rPr>
              <w:t>46</w:t>
            </w:r>
          </w:p>
        </w:tc>
        <w:tc>
          <w:tcPr>
            <w:tcW w:w="194" w:type="pct"/>
            <w:vAlign w:val="center"/>
          </w:tcPr>
          <w:p>
            <w:pPr>
              <w:pStyle w:val="105"/>
              <w:spacing w:before="0" w:after="0"/>
              <w:jc w:val="center"/>
              <w:rPr>
                <w:rFonts w:cs="Times New Roman"/>
                <w:sz w:val="18"/>
                <w:szCs w:val="18"/>
              </w:rPr>
            </w:pPr>
            <w:r>
              <w:rPr>
                <w:rFonts w:cs="Times New Roman"/>
                <w:sz w:val="18"/>
                <w:szCs w:val="18"/>
              </w:rPr>
              <w:t>44.5</w:t>
            </w:r>
          </w:p>
        </w:tc>
        <w:tc>
          <w:tcPr>
            <w:tcW w:w="184" w:type="pct"/>
            <w:vAlign w:val="center"/>
          </w:tcPr>
          <w:p>
            <w:pPr>
              <w:pStyle w:val="105"/>
              <w:spacing w:before="0" w:after="0"/>
              <w:jc w:val="center"/>
              <w:rPr>
                <w:rFonts w:cs="Times New Roman"/>
                <w:sz w:val="18"/>
                <w:szCs w:val="18"/>
              </w:rPr>
            </w:pPr>
            <w:r>
              <w:rPr>
                <w:rFonts w:cs="Times New Roman"/>
                <w:sz w:val="18"/>
                <w:szCs w:val="18"/>
              </w:rPr>
              <w:t>48.3</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2.3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44.9</w:t>
            </w:r>
          </w:p>
        </w:tc>
        <w:tc>
          <w:tcPr>
            <w:tcW w:w="169" w:type="pct"/>
            <w:vAlign w:val="center"/>
          </w:tcPr>
          <w:p>
            <w:pPr>
              <w:pStyle w:val="105"/>
              <w:spacing w:before="0" w:after="0"/>
              <w:jc w:val="center"/>
              <w:rPr>
                <w:rFonts w:cs="Times New Roman"/>
                <w:sz w:val="18"/>
                <w:szCs w:val="18"/>
              </w:rPr>
            </w:pPr>
            <w:r>
              <w:rPr>
                <w:rFonts w:cs="Times New Roman"/>
                <w:sz w:val="18"/>
                <w:szCs w:val="18"/>
              </w:rPr>
              <w:t>48.5</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2.5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45.2</w:t>
            </w:r>
          </w:p>
        </w:tc>
        <w:tc>
          <w:tcPr>
            <w:tcW w:w="164" w:type="pct"/>
            <w:vAlign w:val="center"/>
          </w:tcPr>
          <w:p>
            <w:pPr>
              <w:pStyle w:val="105"/>
              <w:spacing w:before="0" w:after="0"/>
              <w:jc w:val="center"/>
              <w:rPr>
                <w:rFonts w:cs="Times New Roman"/>
                <w:sz w:val="18"/>
                <w:szCs w:val="18"/>
              </w:rPr>
            </w:pPr>
            <w:r>
              <w:rPr>
                <w:rFonts w:cs="Times New Roman"/>
                <w:sz w:val="18"/>
                <w:szCs w:val="18"/>
              </w:rPr>
              <w:t>48.6</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2.6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5</w:t>
            </w:r>
          </w:p>
        </w:tc>
        <w:tc>
          <w:tcPr>
            <w:tcW w:w="760" w:type="pct"/>
            <w:gridSpan w:val="2"/>
            <w:vMerge w:val="restart"/>
            <w:vAlign w:val="center"/>
          </w:tcPr>
          <w:p>
            <w:pPr>
              <w:pStyle w:val="105"/>
              <w:spacing w:before="0" w:after="0"/>
              <w:jc w:val="center"/>
              <w:rPr>
                <w:sz w:val="18"/>
                <w:szCs w:val="18"/>
              </w:rPr>
            </w:pPr>
            <w:bookmarkStart w:id="486" w:name="_Hlk197435613"/>
            <w:r>
              <w:rPr>
                <w:rFonts w:hint="eastAsia"/>
                <w:sz w:val="18"/>
                <w:szCs w:val="18"/>
              </w:rPr>
              <w:t>侨丰村</w:t>
            </w:r>
            <w:bookmarkEnd w:id="486"/>
          </w:p>
        </w:tc>
        <w:tc>
          <w:tcPr>
            <w:tcW w:w="253" w:type="pct"/>
            <w:vMerge w:val="restart"/>
            <w:vAlign w:val="center"/>
          </w:tcPr>
          <w:p>
            <w:pPr>
              <w:pStyle w:val="105"/>
              <w:spacing w:before="0" w:after="0"/>
              <w:jc w:val="center"/>
              <w:rPr>
                <w:sz w:val="18"/>
                <w:szCs w:val="18"/>
              </w:rPr>
            </w:pPr>
            <w:r>
              <w:rPr>
                <w:sz w:val="18"/>
                <w:szCs w:val="18"/>
              </w:rPr>
              <w:t>9</w:t>
            </w: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10</w:t>
            </w:r>
          </w:p>
        </w:tc>
        <w:tc>
          <w:tcPr>
            <w:tcW w:w="203" w:type="pct"/>
            <w:vMerge w:val="restart"/>
            <w:vAlign w:val="center"/>
          </w:tcPr>
          <w:p>
            <w:pPr>
              <w:pStyle w:val="105"/>
              <w:spacing w:before="0" w:after="0"/>
              <w:jc w:val="center"/>
              <w:rPr>
                <w:sz w:val="18"/>
                <w:szCs w:val="18"/>
              </w:rPr>
            </w:pPr>
            <w:r>
              <w:rPr>
                <w:rFonts w:hint="eastAsia"/>
                <w:sz w:val="18"/>
                <w:szCs w:val="18"/>
              </w:rPr>
              <w:t>3</w:t>
            </w:r>
            <w:r>
              <w:rPr>
                <w:sz w:val="18"/>
                <w:szCs w:val="18"/>
              </w:rPr>
              <w:t>.5</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57</w:t>
            </w:r>
          </w:p>
        </w:tc>
        <w:tc>
          <w:tcPr>
            <w:tcW w:w="241" w:type="pct"/>
            <w:vAlign w:val="center"/>
          </w:tcPr>
          <w:p>
            <w:pPr>
              <w:pStyle w:val="105"/>
              <w:spacing w:before="0" w:after="0"/>
              <w:jc w:val="center"/>
              <w:rPr>
                <w:rFonts w:cs="Times New Roman"/>
                <w:sz w:val="18"/>
                <w:szCs w:val="18"/>
              </w:rPr>
            </w:pPr>
            <w:r>
              <w:rPr>
                <w:rFonts w:cs="Times New Roman"/>
                <w:sz w:val="18"/>
                <w:szCs w:val="18"/>
              </w:rPr>
              <w:t>57</w:t>
            </w:r>
          </w:p>
        </w:tc>
        <w:tc>
          <w:tcPr>
            <w:tcW w:w="194" w:type="pct"/>
            <w:vAlign w:val="center"/>
          </w:tcPr>
          <w:p>
            <w:pPr>
              <w:pStyle w:val="105"/>
              <w:spacing w:before="0" w:after="0"/>
              <w:jc w:val="center"/>
              <w:rPr>
                <w:rFonts w:cs="Times New Roman"/>
                <w:sz w:val="18"/>
                <w:szCs w:val="18"/>
              </w:rPr>
            </w:pPr>
            <w:r>
              <w:rPr>
                <w:rFonts w:cs="Times New Roman"/>
                <w:sz w:val="18"/>
                <w:szCs w:val="18"/>
              </w:rPr>
              <w:t>45.9</w:t>
            </w:r>
          </w:p>
        </w:tc>
        <w:tc>
          <w:tcPr>
            <w:tcW w:w="184" w:type="pct"/>
            <w:vAlign w:val="center"/>
          </w:tcPr>
          <w:p>
            <w:pPr>
              <w:pStyle w:val="105"/>
              <w:spacing w:before="0" w:after="0"/>
              <w:jc w:val="center"/>
              <w:rPr>
                <w:rFonts w:cs="Times New Roman"/>
                <w:sz w:val="18"/>
                <w:szCs w:val="18"/>
              </w:rPr>
            </w:pPr>
            <w:r>
              <w:rPr>
                <w:rFonts w:cs="Times New Roman"/>
                <w:sz w:val="18"/>
                <w:szCs w:val="18"/>
              </w:rPr>
              <w:t>57.3</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0.3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47.5</w:t>
            </w:r>
          </w:p>
        </w:tc>
        <w:tc>
          <w:tcPr>
            <w:tcW w:w="169" w:type="pct"/>
            <w:vAlign w:val="center"/>
          </w:tcPr>
          <w:p>
            <w:pPr>
              <w:pStyle w:val="105"/>
              <w:spacing w:before="0" w:after="0"/>
              <w:jc w:val="center"/>
              <w:rPr>
                <w:rFonts w:cs="Times New Roman"/>
                <w:sz w:val="18"/>
                <w:szCs w:val="18"/>
              </w:rPr>
            </w:pPr>
            <w:r>
              <w:rPr>
                <w:rFonts w:cs="Times New Roman"/>
                <w:sz w:val="18"/>
                <w:szCs w:val="18"/>
              </w:rPr>
              <w:t>57.5</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0.5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47.7</w:t>
            </w:r>
          </w:p>
        </w:tc>
        <w:tc>
          <w:tcPr>
            <w:tcW w:w="164" w:type="pct"/>
            <w:vAlign w:val="center"/>
          </w:tcPr>
          <w:p>
            <w:pPr>
              <w:pStyle w:val="105"/>
              <w:spacing w:before="0" w:after="0"/>
              <w:jc w:val="center"/>
              <w:rPr>
                <w:rFonts w:cs="Times New Roman"/>
                <w:sz w:val="18"/>
                <w:szCs w:val="18"/>
              </w:rPr>
            </w:pPr>
            <w:r>
              <w:rPr>
                <w:rFonts w:cs="Times New Roman"/>
                <w:sz w:val="18"/>
                <w:szCs w:val="18"/>
              </w:rPr>
              <w:t>57.5</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0.5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760" w:type="pct"/>
            <w:gridSpan w:val="2"/>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47</w:t>
            </w:r>
          </w:p>
        </w:tc>
        <w:tc>
          <w:tcPr>
            <w:tcW w:w="241" w:type="pct"/>
            <w:vAlign w:val="center"/>
          </w:tcPr>
          <w:p>
            <w:pPr>
              <w:pStyle w:val="105"/>
              <w:spacing w:before="0" w:after="0"/>
              <w:jc w:val="center"/>
              <w:rPr>
                <w:rFonts w:cs="Times New Roman"/>
                <w:sz w:val="18"/>
                <w:szCs w:val="18"/>
              </w:rPr>
            </w:pPr>
            <w:r>
              <w:rPr>
                <w:rFonts w:cs="Times New Roman"/>
                <w:sz w:val="18"/>
                <w:szCs w:val="18"/>
              </w:rPr>
              <w:t>47</w:t>
            </w:r>
          </w:p>
        </w:tc>
        <w:tc>
          <w:tcPr>
            <w:tcW w:w="194" w:type="pct"/>
            <w:vAlign w:val="center"/>
          </w:tcPr>
          <w:p>
            <w:pPr>
              <w:pStyle w:val="105"/>
              <w:spacing w:before="0" w:after="0"/>
              <w:jc w:val="center"/>
              <w:rPr>
                <w:rFonts w:cs="Times New Roman"/>
                <w:sz w:val="18"/>
                <w:szCs w:val="18"/>
              </w:rPr>
            </w:pPr>
            <w:r>
              <w:rPr>
                <w:rFonts w:cs="Times New Roman"/>
                <w:sz w:val="18"/>
                <w:szCs w:val="18"/>
              </w:rPr>
              <w:t>38.5</w:t>
            </w:r>
          </w:p>
        </w:tc>
        <w:tc>
          <w:tcPr>
            <w:tcW w:w="184" w:type="pct"/>
            <w:vAlign w:val="center"/>
          </w:tcPr>
          <w:p>
            <w:pPr>
              <w:pStyle w:val="105"/>
              <w:spacing w:before="0" w:after="0"/>
              <w:jc w:val="center"/>
              <w:rPr>
                <w:rFonts w:cs="Times New Roman"/>
                <w:sz w:val="18"/>
                <w:szCs w:val="18"/>
              </w:rPr>
            </w:pPr>
            <w:r>
              <w:rPr>
                <w:rFonts w:cs="Times New Roman"/>
                <w:sz w:val="18"/>
                <w:szCs w:val="18"/>
              </w:rPr>
              <w:t>47.6</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0.6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38.8</w:t>
            </w:r>
          </w:p>
        </w:tc>
        <w:tc>
          <w:tcPr>
            <w:tcW w:w="169" w:type="pct"/>
            <w:vAlign w:val="center"/>
          </w:tcPr>
          <w:p>
            <w:pPr>
              <w:pStyle w:val="105"/>
              <w:spacing w:before="0" w:after="0"/>
              <w:jc w:val="center"/>
              <w:rPr>
                <w:rFonts w:cs="Times New Roman"/>
                <w:sz w:val="18"/>
                <w:szCs w:val="18"/>
              </w:rPr>
            </w:pPr>
            <w:r>
              <w:rPr>
                <w:rFonts w:cs="Times New Roman"/>
                <w:sz w:val="18"/>
                <w:szCs w:val="18"/>
              </w:rPr>
              <w:t>47.6</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0.6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38.9</w:t>
            </w:r>
          </w:p>
        </w:tc>
        <w:tc>
          <w:tcPr>
            <w:tcW w:w="164" w:type="pct"/>
            <w:vAlign w:val="center"/>
          </w:tcPr>
          <w:p>
            <w:pPr>
              <w:pStyle w:val="105"/>
              <w:spacing w:before="0" w:after="0"/>
              <w:jc w:val="center"/>
              <w:rPr>
                <w:rFonts w:cs="Times New Roman"/>
                <w:sz w:val="18"/>
                <w:szCs w:val="18"/>
              </w:rPr>
            </w:pPr>
            <w:r>
              <w:rPr>
                <w:rFonts w:cs="Times New Roman"/>
                <w:sz w:val="18"/>
                <w:szCs w:val="18"/>
              </w:rPr>
              <w:t>47.6</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0.6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6</w:t>
            </w:r>
          </w:p>
        </w:tc>
        <w:tc>
          <w:tcPr>
            <w:tcW w:w="760" w:type="pct"/>
            <w:gridSpan w:val="2"/>
            <w:vMerge w:val="restart"/>
            <w:vAlign w:val="center"/>
          </w:tcPr>
          <w:p>
            <w:pPr>
              <w:pStyle w:val="105"/>
              <w:spacing w:before="0" w:after="0"/>
              <w:jc w:val="center"/>
              <w:rPr>
                <w:sz w:val="18"/>
                <w:szCs w:val="18"/>
              </w:rPr>
            </w:pPr>
            <w:r>
              <w:rPr>
                <w:rFonts w:hint="eastAsia"/>
                <w:sz w:val="18"/>
                <w:szCs w:val="18"/>
              </w:rPr>
              <w:t>联华村火烧埔</w:t>
            </w:r>
          </w:p>
        </w:tc>
        <w:tc>
          <w:tcPr>
            <w:tcW w:w="253" w:type="pct"/>
            <w:vMerge w:val="restart"/>
            <w:vAlign w:val="center"/>
          </w:tcPr>
          <w:p>
            <w:pPr>
              <w:pStyle w:val="105"/>
              <w:spacing w:before="0" w:after="0"/>
              <w:jc w:val="center"/>
              <w:rPr>
                <w:sz w:val="18"/>
                <w:szCs w:val="18"/>
              </w:rPr>
            </w:pPr>
            <w:r>
              <w:rPr>
                <w:rFonts w:hint="eastAsia"/>
                <w:sz w:val="18"/>
                <w:szCs w:val="18"/>
              </w:rPr>
              <w:t>1</w:t>
            </w:r>
            <w:r>
              <w:rPr>
                <w:sz w:val="18"/>
                <w:szCs w:val="18"/>
              </w:rPr>
              <w:t>04</w:t>
            </w: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4~-10</w:t>
            </w:r>
          </w:p>
        </w:tc>
        <w:tc>
          <w:tcPr>
            <w:tcW w:w="203" w:type="pct"/>
            <w:vMerge w:val="restart"/>
            <w:vAlign w:val="center"/>
          </w:tcPr>
          <w:p>
            <w:pPr>
              <w:pStyle w:val="105"/>
              <w:spacing w:before="0" w:after="0"/>
              <w:jc w:val="center"/>
              <w:rPr>
                <w:sz w:val="18"/>
                <w:szCs w:val="18"/>
              </w:rPr>
            </w:pPr>
            <w:r>
              <w:rPr>
                <w:rFonts w:hint="eastAsia"/>
                <w:sz w:val="18"/>
                <w:szCs w:val="18"/>
              </w:rPr>
              <w:t>3</w:t>
            </w:r>
            <w:r>
              <w:rPr>
                <w:sz w:val="18"/>
                <w:szCs w:val="18"/>
              </w:rPr>
              <w:t>.5</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194" w:type="pct"/>
            <w:vAlign w:val="center"/>
          </w:tcPr>
          <w:p>
            <w:pPr>
              <w:pStyle w:val="105"/>
              <w:spacing w:before="0" w:after="0"/>
              <w:jc w:val="center"/>
              <w:rPr>
                <w:rFonts w:cs="Times New Roman"/>
                <w:sz w:val="18"/>
                <w:szCs w:val="18"/>
              </w:rPr>
            </w:pPr>
            <w:r>
              <w:rPr>
                <w:rFonts w:cs="Times New Roman"/>
                <w:sz w:val="18"/>
                <w:szCs w:val="18"/>
              </w:rPr>
              <w:t>49.5</w:t>
            </w:r>
          </w:p>
        </w:tc>
        <w:tc>
          <w:tcPr>
            <w:tcW w:w="184" w:type="pct"/>
            <w:vAlign w:val="center"/>
          </w:tcPr>
          <w:p>
            <w:pPr>
              <w:pStyle w:val="105"/>
              <w:spacing w:before="0" w:after="0"/>
              <w:jc w:val="center"/>
              <w:rPr>
                <w:rFonts w:cs="Times New Roman"/>
                <w:sz w:val="18"/>
                <w:szCs w:val="18"/>
              </w:rPr>
            </w:pPr>
            <w:r>
              <w:rPr>
                <w:rFonts w:cs="Times New Roman"/>
                <w:sz w:val="18"/>
                <w:szCs w:val="18"/>
              </w:rPr>
              <w:t>53.3</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2.3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55.7</w:t>
            </w:r>
          </w:p>
        </w:tc>
        <w:tc>
          <w:tcPr>
            <w:tcW w:w="169" w:type="pct"/>
            <w:vAlign w:val="center"/>
          </w:tcPr>
          <w:p>
            <w:pPr>
              <w:pStyle w:val="105"/>
              <w:spacing w:before="0" w:after="0"/>
              <w:jc w:val="center"/>
              <w:rPr>
                <w:rFonts w:cs="Times New Roman"/>
                <w:sz w:val="18"/>
                <w:szCs w:val="18"/>
              </w:rPr>
            </w:pPr>
            <w:r>
              <w:rPr>
                <w:rFonts w:cs="Times New Roman"/>
                <w:sz w:val="18"/>
                <w:szCs w:val="18"/>
              </w:rPr>
              <w:t>57.0</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6.0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56.0</w:t>
            </w:r>
          </w:p>
        </w:tc>
        <w:tc>
          <w:tcPr>
            <w:tcW w:w="164" w:type="pct"/>
            <w:vAlign w:val="center"/>
          </w:tcPr>
          <w:p>
            <w:pPr>
              <w:pStyle w:val="105"/>
              <w:spacing w:before="0" w:after="0"/>
              <w:jc w:val="center"/>
              <w:rPr>
                <w:rFonts w:cs="Times New Roman"/>
                <w:sz w:val="18"/>
                <w:szCs w:val="18"/>
              </w:rPr>
            </w:pPr>
            <w:r>
              <w:rPr>
                <w:rFonts w:cs="Times New Roman"/>
                <w:sz w:val="18"/>
                <w:szCs w:val="18"/>
              </w:rPr>
              <w:t>57.2</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6.2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760" w:type="pct"/>
            <w:gridSpan w:val="2"/>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194" w:type="pct"/>
            <w:vAlign w:val="center"/>
          </w:tcPr>
          <w:p>
            <w:pPr>
              <w:pStyle w:val="105"/>
              <w:spacing w:before="0" w:after="0"/>
              <w:jc w:val="center"/>
              <w:rPr>
                <w:rFonts w:cs="Times New Roman"/>
                <w:sz w:val="18"/>
                <w:szCs w:val="18"/>
              </w:rPr>
            </w:pPr>
            <w:r>
              <w:rPr>
                <w:rFonts w:cs="Times New Roman"/>
                <w:sz w:val="18"/>
                <w:szCs w:val="18"/>
              </w:rPr>
              <w:t>41.9</w:t>
            </w:r>
          </w:p>
        </w:tc>
        <w:tc>
          <w:tcPr>
            <w:tcW w:w="184" w:type="pct"/>
            <w:vAlign w:val="center"/>
          </w:tcPr>
          <w:p>
            <w:pPr>
              <w:pStyle w:val="105"/>
              <w:spacing w:before="0" w:after="0"/>
              <w:jc w:val="center"/>
              <w:rPr>
                <w:rFonts w:cs="Times New Roman"/>
                <w:sz w:val="18"/>
                <w:szCs w:val="18"/>
              </w:rPr>
            </w:pPr>
            <w:r>
              <w:rPr>
                <w:rFonts w:cs="Times New Roman"/>
                <w:sz w:val="18"/>
                <w:szCs w:val="18"/>
              </w:rPr>
              <w:t>45.5</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2.5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42.4</w:t>
            </w:r>
          </w:p>
        </w:tc>
        <w:tc>
          <w:tcPr>
            <w:tcW w:w="169" w:type="pct"/>
            <w:vAlign w:val="center"/>
          </w:tcPr>
          <w:p>
            <w:pPr>
              <w:pStyle w:val="105"/>
              <w:spacing w:before="0" w:after="0"/>
              <w:jc w:val="center"/>
              <w:rPr>
                <w:rFonts w:cs="Times New Roman"/>
                <w:sz w:val="18"/>
                <w:szCs w:val="18"/>
              </w:rPr>
            </w:pPr>
            <w:r>
              <w:rPr>
                <w:rFonts w:cs="Times New Roman"/>
                <w:sz w:val="18"/>
                <w:szCs w:val="18"/>
              </w:rPr>
              <w:t>45.7</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2.7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42.7</w:t>
            </w:r>
          </w:p>
        </w:tc>
        <w:tc>
          <w:tcPr>
            <w:tcW w:w="164" w:type="pct"/>
            <w:vAlign w:val="center"/>
          </w:tcPr>
          <w:p>
            <w:pPr>
              <w:pStyle w:val="105"/>
              <w:spacing w:before="0" w:after="0"/>
              <w:jc w:val="center"/>
              <w:rPr>
                <w:rFonts w:cs="Times New Roman"/>
                <w:sz w:val="18"/>
                <w:szCs w:val="18"/>
              </w:rPr>
            </w:pPr>
            <w:r>
              <w:rPr>
                <w:rFonts w:cs="Times New Roman"/>
                <w:sz w:val="18"/>
                <w:szCs w:val="18"/>
              </w:rPr>
              <w:t>45.9</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2.9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7</w:t>
            </w:r>
          </w:p>
        </w:tc>
        <w:tc>
          <w:tcPr>
            <w:tcW w:w="760" w:type="pct"/>
            <w:gridSpan w:val="2"/>
            <w:vMerge w:val="restart"/>
            <w:vAlign w:val="center"/>
          </w:tcPr>
          <w:p>
            <w:pPr>
              <w:pStyle w:val="105"/>
              <w:spacing w:before="0" w:after="0"/>
              <w:jc w:val="center"/>
              <w:rPr>
                <w:sz w:val="18"/>
                <w:szCs w:val="18"/>
              </w:rPr>
            </w:pPr>
            <w:r>
              <w:rPr>
                <w:rFonts w:hint="eastAsia"/>
                <w:sz w:val="18"/>
                <w:szCs w:val="18"/>
              </w:rPr>
              <w:t>联华村火烧埔（临高速第一排）</w:t>
            </w:r>
          </w:p>
        </w:tc>
        <w:tc>
          <w:tcPr>
            <w:tcW w:w="253" w:type="pct"/>
            <w:vMerge w:val="restart"/>
            <w:vAlign w:val="center"/>
          </w:tcPr>
          <w:p>
            <w:pPr>
              <w:pStyle w:val="105"/>
              <w:spacing w:before="0" w:after="0"/>
              <w:jc w:val="center"/>
              <w:rPr>
                <w:sz w:val="18"/>
                <w:szCs w:val="18"/>
              </w:rPr>
            </w:pPr>
            <w:r>
              <w:rPr>
                <w:rFonts w:hint="eastAsia"/>
                <w:sz w:val="18"/>
                <w:szCs w:val="18"/>
              </w:rPr>
              <w:t>1</w:t>
            </w:r>
            <w:r>
              <w:rPr>
                <w:sz w:val="18"/>
                <w:szCs w:val="18"/>
              </w:rPr>
              <w:t>61</w:t>
            </w:r>
          </w:p>
        </w:tc>
        <w:tc>
          <w:tcPr>
            <w:tcW w:w="202" w:type="pct"/>
            <w:vMerge w:val="restart"/>
            <w:vAlign w:val="center"/>
          </w:tcPr>
          <w:p>
            <w:pPr>
              <w:pStyle w:val="105"/>
              <w:spacing w:before="0" w:after="0"/>
              <w:jc w:val="center"/>
              <w:rPr>
                <w:sz w:val="18"/>
                <w:szCs w:val="18"/>
              </w:rPr>
            </w:pPr>
            <w:r>
              <w:rPr>
                <w:sz w:val="18"/>
                <w:szCs w:val="18"/>
              </w:rPr>
              <w:t>-10</w:t>
            </w:r>
          </w:p>
        </w:tc>
        <w:tc>
          <w:tcPr>
            <w:tcW w:w="203" w:type="pct"/>
            <w:vMerge w:val="restart"/>
            <w:vAlign w:val="center"/>
          </w:tcPr>
          <w:p>
            <w:pPr>
              <w:pStyle w:val="105"/>
              <w:spacing w:before="0" w:after="0"/>
              <w:jc w:val="center"/>
              <w:rPr>
                <w:sz w:val="18"/>
                <w:szCs w:val="18"/>
              </w:rPr>
            </w:pPr>
            <w:r>
              <w:rPr>
                <w:rFonts w:hint="eastAsia"/>
                <w:sz w:val="18"/>
                <w:szCs w:val="18"/>
              </w:rPr>
              <w:t>3</w:t>
            </w:r>
            <w:r>
              <w:rPr>
                <w:sz w:val="18"/>
                <w:szCs w:val="18"/>
              </w:rPr>
              <w:t>.5</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59</w:t>
            </w:r>
          </w:p>
        </w:tc>
        <w:tc>
          <w:tcPr>
            <w:tcW w:w="241" w:type="pct"/>
            <w:vAlign w:val="center"/>
          </w:tcPr>
          <w:p>
            <w:pPr>
              <w:pStyle w:val="105"/>
              <w:spacing w:before="0" w:after="0"/>
              <w:jc w:val="center"/>
              <w:rPr>
                <w:rFonts w:cs="Times New Roman"/>
                <w:sz w:val="18"/>
                <w:szCs w:val="18"/>
              </w:rPr>
            </w:pPr>
            <w:r>
              <w:rPr>
                <w:rFonts w:cs="Times New Roman"/>
                <w:sz w:val="18"/>
                <w:szCs w:val="18"/>
              </w:rPr>
              <w:t>59</w:t>
            </w:r>
          </w:p>
        </w:tc>
        <w:tc>
          <w:tcPr>
            <w:tcW w:w="194" w:type="pct"/>
            <w:vAlign w:val="center"/>
          </w:tcPr>
          <w:p>
            <w:pPr>
              <w:pStyle w:val="105"/>
              <w:spacing w:before="0" w:after="0"/>
              <w:jc w:val="center"/>
              <w:rPr>
                <w:rFonts w:cs="Times New Roman"/>
                <w:sz w:val="18"/>
                <w:szCs w:val="18"/>
              </w:rPr>
            </w:pPr>
            <w:r>
              <w:rPr>
                <w:rFonts w:cs="Times New Roman"/>
                <w:sz w:val="18"/>
                <w:szCs w:val="18"/>
              </w:rPr>
              <w:t>43.8</w:t>
            </w:r>
          </w:p>
        </w:tc>
        <w:tc>
          <w:tcPr>
            <w:tcW w:w="184" w:type="pct"/>
            <w:vAlign w:val="center"/>
          </w:tcPr>
          <w:p>
            <w:pPr>
              <w:pStyle w:val="105"/>
              <w:spacing w:before="0" w:after="0"/>
              <w:jc w:val="center"/>
              <w:rPr>
                <w:rFonts w:cs="Times New Roman"/>
                <w:sz w:val="18"/>
                <w:szCs w:val="18"/>
              </w:rPr>
            </w:pPr>
            <w:r>
              <w:rPr>
                <w:rFonts w:cs="Times New Roman"/>
                <w:sz w:val="18"/>
                <w:szCs w:val="18"/>
              </w:rPr>
              <w:t>59.1</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0.1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50.9</w:t>
            </w:r>
          </w:p>
        </w:tc>
        <w:tc>
          <w:tcPr>
            <w:tcW w:w="169" w:type="pct"/>
            <w:vAlign w:val="center"/>
          </w:tcPr>
          <w:p>
            <w:pPr>
              <w:pStyle w:val="105"/>
              <w:spacing w:before="0" w:after="0"/>
              <w:jc w:val="center"/>
              <w:rPr>
                <w:rFonts w:cs="Times New Roman"/>
                <w:sz w:val="18"/>
                <w:szCs w:val="18"/>
              </w:rPr>
            </w:pPr>
            <w:r>
              <w:rPr>
                <w:rFonts w:cs="Times New Roman"/>
                <w:sz w:val="18"/>
                <w:szCs w:val="18"/>
              </w:rPr>
              <w:t>59.6</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0.6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51.1</w:t>
            </w:r>
          </w:p>
        </w:tc>
        <w:tc>
          <w:tcPr>
            <w:tcW w:w="164" w:type="pct"/>
            <w:vAlign w:val="center"/>
          </w:tcPr>
          <w:p>
            <w:pPr>
              <w:pStyle w:val="105"/>
              <w:spacing w:before="0" w:after="0"/>
              <w:jc w:val="center"/>
              <w:rPr>
                <w:rFonts w:cs="Times New Roman"/>
                <w:sz w:val="18"/>
                <w:szCs w:val="18"/>
              </w:rPr>
            </w:pPr>
            <w:r>
              <w:rPr>
                <w:rFonts w:cs="Times New Roman"/>
                <w:sz w:val="18"/>
                <w:szCs w:val="18"/>
              </w:rPr>
              <w:t>59.7</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0.7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760" w:type="pct"/>
            <w:gridSpan w:val="2"/>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54</w:t>
            </w:r>
          </w:p>
        </w:tc>
        <w:tc>
          <w:tcPr>
            <w:tcW w:w="241" w:type="pct"/>
            <w:vAlign w:val="center"/>
          </w:tcPr>
          <w:p>
            <w:pPr>
              <w:pStyle w:val="105"/>
              <w:spacing w:before="0" w:after="0"/>
              <w:jc w:val="center"/>
              <w:rPr>
                <w:rFonts w:cs="Times New Roman"/>
                <w:sz w:val="18"/>
                <w:szCs w:val="18"/>
              </w:rPr>
            </w:pPr>
            <w:r>
              <w:rPr>
                <w:rFonts w:cs="Times New Roman"/>
                <w:sz w:val="18"/>
                <w:szCs w:val="18"/>
              </w:rPr>
              <w:t>54</w:t>
            </w:r>
          </w:p>
        </w:tc>
        <w:tc>
          <w:tcPr>
            <w:tcW w:w="194" w:type="pct"/>
            <w:vAlign w:val="center"/>
          </w:tcPr>
          <w:p>
            <w:pPr>
              <w:pStyle w:val="105"/>
              <w:spacing w:before="0" w:after="0"/>
              <w:jc w:val="center"/>
              <w:rPr>
                <w:rFonts w:cs="Times New Roman"/>
                <w:sz w:val="18"/>
                <w:szCs w:val="18"/>
              </w:rPr>
            </w:pPr>
            <w:r>
              <w:rPr>
                <w:rFonts w:cs="Times New Roman"/>
                <w:sz w:val="18"/>
                <w:szCs w:val="18"/>
              </w:rPr>
              <w:t>36.2</w:t>
            </w:r>
          </w:p>
        </w:tc>
        <w:tc>
          <w:tcPr>
            <w:tcW w:w="184" w:type="pct"/>
            <w:vAlign w:val="center"/>
          </w:tcPr>
          <w:p>
            <w:pPr>
              <w:pStyle w:val="105"/>
              <w:spacing w:before="0" w:after="0"/>
              <w:jc w:val="center"/>
              <w:rPr>
                <w:rFonts w:cs="Times New Roman"/>
                <w:sz w:val="18"/>
                <w:szCs w:val="18"/>
              </w:rPr>
            </w:pPr>
            <w:r>
              <w:rPr>
                <w:rFonts w:cs="Times New Roman"/>
                <w:sz w:val="18"/>
                <w:szCs w:val="18"/>
              </w:rPr>
              <w:t>54.1</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0.1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36.7</w:t>
            </w:r>
          </w:p>
        </w:tc>
        <w:tc>
          <w:tcPr>
            <w:tcW w:w="169" w:type="pct"/>
            <w:vAlign w:val="center"/>
          </w:tcPr>
          <w:p>
            <w:pPr>
              <w:pStyle w:val="105"/>
              <w:spacing w:before="0" w:after="0"/>
              <w:jc w:val="center"/>
              <w:rPr>
                <w:rFonts w:cs="Times New Roman"/>
                <w:sz w:val="18"/>
                <w:szCs w:val="18"/>
              </w:rPr>
            </w:pPr>
            <w:r>
              <w:rPr>
                <w:rFonts w:cs="Times New Roman"/>
                <w:sz w:val="18"/>
                <w:szCs w:val="18"/>
              </w:rPr>
              <w:t>54.1</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0.1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36.9</w:t>
            </w:r>
          </w:p>
        </w:tc>
        <w:tc>
          <w:tcPr>
            <w:tcW w:w="164" w:type="pct"/>
            <w:vAlign w:val="center"/>
          </w:tcPr>
          <w:p>
            <w:pPr>
              <w:pStyle w:val="105"/>
              <w:spacing w:before="0" w:after="0"/>
              <w:jc w:val="center"/>
              <w:rPr>
                <w:rFonts w:cs="Times New Roman"/>
                <w:sz w:val="18"/>
                <w:szCs w:val="18"/>
              </w:rPr>
            </w:pPr>
            <w:r>
              <w:rPr>
                <w:rFonts w:cs="Times New Roman"/>
                <w:sz w:val="18"/>
                <w:szCs w:val="18"/>
              </w:rPr>
              <w:t>54.1</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0.1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8</w:t>
            </w:r>
          </w:p>
        </w:tc>
        <w:tc>
          <w:tcPr>
            <w:tcW w:w="152" w:type="pct"/>
            <w:vMerge w:val="restart"/>
            <w:vAlign w:val="center"/>
          </w:tcPr>
          <w:p>
            <w:pPr>
              <w:pStyle w:val="105"/>
              <w:spacing w:before="0" w:after="0"/>
              <w:jc w:val="center"/>
              <w:rPr>
                <w:sz w:val="18"/>
                <w:szCs w:val="18"/>
              </w:rPr>
            </w:pPr>
            <w:r>
              <w:rPr>
                <w:rFonts w:hint="eastAsia"/>
                <w:sz w:val="18"/>
                <w:szCs w:val="18"/>
              </w:rPr>
              <w:t>联华村田楼</w:t>
            </w:r>
          </w:p>
        </w:tc>
        <w:tc>
          <w:tcPr>
            <w:tcW w:w="608" w:type="pct"/>
            <w:vMerge w:val="restart"/>
            <w:vAlign w:val="center"/>
          </w:tcPr>
          <w:p>
            <w:pPr>
              <w:pStyle w:val="105"/>
              <w:spacing w:before="0" w:after="0"/>
              <w:jc w:val="center"/>
              <w:rPr>
                <w:sz w:val="18"/>
                <w:szCs w:val="18"/>
              </w:rPr>
            </w:pPr>
            <w:r>
              <w:rPr>
                <w:rFonts w:hint="eastAsia"/>
                <w:sz w:val="18"/>
                <w:szCs w:val="18"/>
              </w:rPr>
              <w:t>临拟建公路第一排1</w:t>
            </w:r>
            <w:r>
              <w:rPr>
                <w:sz w:val="18"/>
                <w:szCs w:val="18"/>
              </w:rPr>
              <w:t>F</w:t>
            </w:r>
          </w:p>
        </w:tc>
        <w:tc>
          <w:tcPr>
            <w:tcW w:w="253" w:type="pct"/>
            <w:vMerge w:val="restart"/>
            <w:vAlign w:val="center"/>
          </w:tcPr>
          <w:p>
            <w:pPr>
              <w:pStyle w:val="105"/>
              <w:spacing w:before="0" w:after="0"/>
              <w:jc w:val="center"/>
              <w:rPr>
                <w:sz w:val="18"/>
                <w:szCs w:val="18"/>
              </w:rPr>
            </w:pPr>
            <w:r>
              <w:rPr>
                <w:rFonts w:hint="eastAsia"/>
                <w:sz w:val="18"/>
                <w:szCs w:val="18"/>
              </w:rPr>
              <w:t>3</w:t>
            </w:r>
            <w:r>
              <w:rPr>
                <w:sz w:val="18"/>
                <w:szCs w:val="18"/>
              </w:rPr>
              <w:t>0</w:t>
            </w:r>
          </w:p>
        </w:tc>
        <w:tc>
          <w:tcPr>
            <w:tcW w:w="202" w:type="pct"/>
            <w:vMerge w:val="restart"/>
            <w:vAlign w:val="center"/>
          </w:tcPr>
          <w:p>
            <w:pPr>
              <w:pStyle w:val="105"/>
              <w:spacing w:before="0" w:after="0"/>
              <w:jc w:val="center"/>
              <w:rPr>
                <w:sz w:val="18"/>
                <w:szCs w:val="18"/>
              </w:rPr>
            </w:pPr>
            <w:r>
              <w:rPr>
                <w:sz w:val="18"/>
                <w:szCs w:val="18"/>
              </w:rPr>
              <w:t>0~-2</w:t>
            </w:r>
          </w:p>
        </w:tc>
        <w:tc>
          <w:tcPr>
            <w:tcW w:w="203" w:type="pct"/>
            <w:vMerge w:val="restart"/>
            <w:vAlign w:val="center"/>
          </w:tcPr>
          <w:p>
            <w:pPr>
              <w:pStyle w:val="105"/>
              <w:spacing w:before="0" w:after="0"/>
              <w:jc w:val="center"/>
              <w:rPr>
                <w:sz w:val="18"/>
                <w:szCs w:val="18"/>
              </w:rPr>
            </w:pPr>
            <w:r>
              <w:rPr>
                <w:rFonts w:hint="eastAsia"/>
                <w:sz w:val="18"/>
                <w:szCs w:val="18"/>
              </w:rPr>
              <w:t>0</w:t>
            </w:r>
            <w:r>
              <w:rPr>
                <w:sz w:val="18"/>
                <w:szCs w:val="18"/>
              </w:rPr>
              <w:t>.7</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194" w:type="pct"/>
            <w:vAlign w:val="center"/>
          </w:tcPr>
          <w:p>
            <w:pPr>
              <w:pStyle w:val="105"/>
              <w:spacing w:before="0" w:after="0"/>
              <w:jc w:val="center"/>
              <w:rPr>
                <w:rFonts w:cs="Times New Roman"/>
                <w:sz w:val="18"/>
                <w:szCs w:val="18"/>
              </w:rPr>
            </w:pPr>
            <w:r>
              <w:rPr>
                <w:rFonts w:cs="Times New Roman"/>
                <w:sz w:val="18"/>
                <w:szCs w:val="18"/>
              </w:rPr>
              <w:t>57.6</w:t>
            </w:r>
          </w:p>
        </w:tc>
        <w:tc>
          <w:tcPr>
            <w:tcW w:w="184" w:type="pct"/>
            <w:vAlign w:val="center"/>
          </w:tcPr>
          <w:p>
            <w:pPr>
              <w:pStyle w:val="105"/>
              <w:spacing w:before="0" w:after="0"/>
              <w:jc w:val="center"/>
              <w:rPr>
                <w:rFonts w:cs="Times New Roman"/>
                <w:sz w:val="18"/>
                <w:szCs w:val="18"/>
              </w:rPr>
            </w:pPr>
            <w:r>
              <w:rPr>
                <w:rFonts w:cs="Times New Roman"/>
                <w:sz w:val="18"/>
                <w:szCs w:val="18"/>
              </w:rPr>
              <w:t>58.5</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7.5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61.1</w:t>
            </w:r>
          </w:p>
        </w:tc>
        <w:tc>
          <w:tcPr>
            <w:tcW w:w="169" w:type="pct"/>
            <w:vAlign w:val="center"/>
          </w:tcPr>
          <w:p>
            <w:pPr>
              <w:pStyle w:val="105"/>
              <w:spacing w:before="0" w:after="0"/>
              <w:jc w:val="center"/>
              <w:rPr>
                <w:rFonts w:cs="Times New Roman"/>
                <w:sz w:val="18"/>
                <w:szCs w:val="18"/>
              </w:rPr>
            </w:pPr>
            <w:r>
              <w:rPr>
                <w:rFonts w:cs="Times New Roman"/>
                <w:sz w:val="18"/>
                <w:szCs w:val="18"/>
              </w:rPr>
              <w:t>61.5</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10.5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61.3</w:t>
            </w:r>
          </w:p>
        </w:tc>
        <w:tc>
          <w:tcPr>
            <w:tcW w:w="164" w:type="pct"/>
            <w:vAlign w:val="center"/>
          </w:tcPr>
          <w:p>
            <w:pPr>
              <w:pStyle w:val="105"/>
              <w:spacing w:before="0" w:after="0"/>
              <w:jc w:val="center"/>
              <w:rPr>
                <w:rFonts w:cs="Times New Roman"/>
                <w:sz w:val="18"/>
                <w:szCs w:val="18"/>
              </w:rPr>
            </w:pPr>
            <w:r>
              <w:rPr>
                <w:rFonts w:cs="Times New Roman"/>
                <w:sz w:val="18"/>
                <w:szCs w:val="18"/>
              </w:rPr>
              <w:t>61.7</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10.7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194" w:type="pct"/>
            <w:vAlign w:val="center"/>
          </w:tcPr>
          <w:p>
            <w:pPr>
              <w:pStyle w:val="105"/>
              <w:spacing w:before="0" w:after="0"/>
              <w:jc w:val="center"/>
              <w:rPr>
                <w:rFonts w:cs="Times New Roman"/>
                <w:sz w:val="18"/>
                <w:szCs w:val="18"/>
              </w:rPr>
            </w:pPr>
            <w:r>
              <w:rPr>
                <w:rFonts w:cs="Times New Roman"/>
                <w:sz w:val="18"/>
                <w:szCs w:val="18"/>
              </w:rPr>
              <w:t>50.0</w:t>
            </w:r>
          </w:p>
        </w:tc>
        <w:tc>
          <w:tcPr>
            <w:tcW w:w="184" w:type="pct"/>
            <w:vAlign w:val="center"/>
          </w:tcPr>
          <w:p>
            <w:pPr>
              <w:pStyle w:val="105"/>
              <w:spacing w:before="0" w:after="0"/>
              <w:jc w:val="center"/>
              <w:rPr>
                <w:rFonts w:cs="Times New Roman"/>
                <w:sz w:val="18"/>
                <w:szCs w:val="18"/>
              </w:rPr>
            </w:pPr>
            <w:r>
              <w:rPr>
                <w:rFonts w:cs="Times New Roman"/>
                <w:sz w:val="18"/>
                <w:szCs w:val="18"/>
              </w:rPr>
              <w:t>50.8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7.8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50.5</w:t>
            </w:r>
          </w:p>
        </w:tc>
        <w:tc>
          <w:tcPr>
            <w:tcW w:w="169" w:type="pct"/>
            <w:vAlign w:val="center"/>
          </w:tcPr>
          <w:p>
            <w:pPr>
              <w:pStyle w:val="105"/>
              <w:spacing w:before="0" w:after="0"/>
              <w:jc w:val="center"/>
              <w:rPr>
                <w:rFonts w:cs="Times New Roman"/>
                <w:sz w:val="18"/>
                <w:szCs w:val="18"/>
              </w:rPr>
            </w:pPr>
            <w:r>
              <w:rPr>
                <w:rFonts w:cs="Times New Roman"/>
                <w:sz w:val="18"/>
                <w:szCs w:val="18"/>
              </w:rPr>
              <w:t>51.2</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8.2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50.7</w:t>
            </w:r>
          </w:p>
        </w:tc>
        <w:tc>
          <w:tcPr>
            <w:tcW w:w="164" w:type="pct"/>
            <w:vAlign w:val="center"/>
          </w:tcPr>
          <w:p>
            <w:pPr>
              <w:pStyle w:val="105"/>
              <w:spacing w:before="0" w:after="0"/>
              <w:jc w:val="center"/>
              <w:rPr>
                <w:rFonts w:cs="Times New Roman"/>
                <w:sz w:val="18"/>
                <w:szCs w:val="18"/>
              </w:rPr>
            </w:pPr>
            <w:r>
              <w:rPr>
                <w:rFonts w:cs="Times New Roman"/>
                <w:sz w:val="18"/>
                <w:szCs w:val="18"/>
              </w:rPr>
              <w:t>51.4</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8.4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临拟建公路第一排</w:t>
            </w:r>
            <w:r>
              <w:rPr>
                <w:sz w:val="18"/>
                <w:szCs w:val="18"/>
              </w:rPr>
              <w:t>3F</w:t>
            </w:r>
          </w:p>
        </w:tc>
        <w:tc>
          <w:tcPr>
            <w:tcW w:w="253" w:type="pct"/>
            <w:vMerge w:val="continue"/>
            <w:vAlign w:val="center"/>
          </w:tcPr>
          <w:p>
            <w:pPr>
              <w:pStyle w:val="105"/>
              <w:spacing w:before="0" w:after="0"/>
              <w:jc w:val="center"/>
              <w:rPr>
                <w:sz w:val="18"/>
                <w:szCs w:val="18"/>
              </w:rPr>
            </w:pPr>
          </w:p>
        </w:tc>
        <w:tc>
          <w:tcPr>
            <w:tcW w:w="202" w:type="pct"/>
            <w:vMerge w:val="restart"/>
            <w:vAlign w:val="center"/>
          </w:tcPr>
          <w:p>
            <w:pPr>
              <w:pStyle w:val="105"/>
              <w:spacing w:before="0" w:after="0"/>
              <w:jc w:val="center"/>
              <w:rPr>
                <w:sz w:val="18"/>
                <w:szCs w:val="18"/>
              </w:rPr>
            </w:pPr>
            <w:r>
              <w:rPr>
                <w:rFonts w:hint="eastAsia"/>
                <w:sz w:val="18"/>
                <w:szCs w:val="18"/>
              </w:rPr>
              <w:t>6</w:t>
            </w: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rFonts w:cs="Times New Roman"/>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194" w:type="pct"/>
            <w:vAlign w:val="center"/>
          </w:tcPr>
          <w:p>
            <w:pPr>
              <w:pStyle w:val="105"/>
              <w:spacing w:before="0" w:after="0"/>
              <w:jc w:val="center"/>
              <w:rPr>
                <w:rFonts w:cs="Times New Roman"/>
                <w:sz w:val="18"/>
                <w:szCs w:val="18"/>
              </w:rPr>
            </w:pPr>
            <w:r>
              <w:rPr>
                <w:rFonts w:cs="Times New Roman"/>
                <w:sz w:val="18"/>
                <w:szCs w:val="18"/>
              </w:rPr>
              <w:t>57.6</w:t>
            </w:r>
          </w:p>
        </w:tc>
        <w:tc>
          <w:tcPr>
            <w:tcW w:w="184" w:type="pct"/>
            <w:vAlign w:val="center"/>
          </w:tcPr>
          <w:p>
            <w:pPr>
              <w:pStyle w:val="105"/>
              <w:spacing w:before="0" w:after="0"/>
              <w:jc w:val="center"/>
              <w:rPr>
                <w:rFonts w:cs="Times New Roman"/>
                <w:sz w:val="18"/>
                <w:szCs w:val="18"/>
              </w:rPr>
            </w:pPr>
            <w:r>
              <w:rPr>
                <w:rFonts w:cs="Times New Roman"/>
                <w:sz w:val="18"/>
                <w:szCs w:val="18"/>
              </w:rPr>
              <w:t>58.5</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7.5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61.1</w:t>
            </w:r>
          </w:p>
        </w:tc>
        <w:tc>
          <w:tcPr>
            <w:tcW w:w="169" w:type="pct"/>
            <w:vAlign w:val="center"/>
          </w:tcPr>
          <w:p>
            <w:pPr>
              <w:pStyle w:val="105"/>
              <w:spacing w:before="0" w:after="0"/>
              <w:jc w:val="center"/>
              <w:rPr>
                <w:rFonts w:cs="Times New Roman"/>
                <w:sz w:val="18"/>
                <w:szCs w:val="18"/>
              </w:rPr>
            </w:pPr>
            <w:r>
              <w:rPr>
                <w:rFonts w:cs="Times New Roman"/>
                <w:sz w:val="18"/>
                <w:szCs w:val="18"/>
              </w:rPr>
              <w:t>61.5</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10.5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61.3</w:t>
            </w:r>
          </w:p>
        </w:tc>
        <w:tc>
          <w:tcPr>
            <w:tcW w:w="164" w:type="pct"/>
            <w:vAlign w:val="center"/>
          </w:tcPr>
          <w:p>
            <w:pPr>
              <w:pStyle w:val="105"/>
              <w:spacing w:before="0" w:after="0"/>
              <w:jc w:val="center"/>
              <w:rPr>
                <w:rFonts w:cs="Times New Roman"/>
                <w:sz w:val="18"/>
                <w:szCs w:val="18"/>
              </w:rPr>
            </w:pPr>
            <w:r>
              <w:rPr>
                <w:rFonts w:cs="Times New Roman"/>
                <w:sz w:val="18"/>
                <w:szCs w:val="18"/>
              </w:rPr>
              <w:t>61.7</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10.7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194" w:type="pct"/>
            <w:vAlign w:val="center"/>
          </w:tcPr>
          <w:p>
            <w:pPr>
              <w:pStyle w:val="105"/>
              <w:spacing w:before="0" w:after="0"/>
              <w:jc w:val="center"/>
              <w:rPr>
                <w:rFonts w:cs="Times New Roman"/>
                <w:sz w:val="18"/>
                <w:szCs w:val="18"/>
              </w:rPr>
            </w:pPr>
            <w:r>
              <w:rPr>
                <w:rFonts w:cs="Times New Roman"/>
                <w:sz w:val="18"/>
                <w:szCs w:val="18"/>
              </w:rPr>
              <w:t>50.0</w:t>
            </w:r>
          </w:p>
        </w:tc>
        <w:tc>
          <w:tcPr>
            <w:tcW w:w="184" w:type="pct"/>
            <w:vAlign w:val="center"/>
          </w:tcPr>
          <w:p>
            <w:pPr>
              <w:pStyle w:val="105"/>
              <w:spacing w:before="0" w:after="0"/>
              <w:jc w:val="center"/>
              <w:rPr>
                <w:rFonts w:cs="Times New Roman"/>
                <w:sz w:val="18"/>
                <w:szCs w:val="18"/>
              </w:rPr>
            </w:pPr>
            <w:r>
              <w:rPr>
                <w:rFonts w:cs="Times New Roman"/>
                <w:sz w:val="18"/>
                <w:szCs w:val="18"/>
              </w:rPr>
              <w:t>50.8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7.8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50.5</w:t>
            </w:r>
          </w:p>
        </w:tc>
        <w:tc>
          <w:tcPr>
            <w:tcW w:w="169" w:type="pct"/>
            <w:vAlign w:val="center"/>
          </w:tcPr>
          <w:p>
            <w:pPr>
              <w:pStyle w:val="105"/>
              <w:spacing w:before="0" w:after="0"/>
              <w:jc w:val="center"/>
              <w:rPr>
                <w:rFonts w:cs="Times New Roman"/>
                <w:sz w:val="18"/>
                <w:szCs w:val="18"/>
              </w:rPr>
            </w:pPr>
            <w:r>
              <w:rPr>
                <w:rFonts w:cs="Times New Roman"/>
                <w:sz w:val="18"/>
                <w:szCs w:val="18"/>
              </w:rPr>
              <w:t>51.2</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8.2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50.7</w:t>
            </w:r>
          </w:p>
        </w:tc>
        <w:tc>
          <w:tcPr>
            <w:tcW w:w="164" w:type="pct"/>
            <w:vAlign w:val="center"/>
          </w:tcPr>
          <w:p>
            <w:pPr>
              <w:pStyle w:val="105"/>
              <w:spacing w:before="0" w:after="0"/>
              <w:jc w:val="center"/>
              <w:rPr>
                <w:rFonts w:cs="Times New Roman"/>
                <w:sz w:val="18"/>
                <w:szCs w:val="18"/>
              </w:rPr>
            </w:pPr>
            <w:r>
              <w:rPr>
                <w:rFonts w:cs="Times New Roman"/>
                <w:sz w:val="18"/>
                <w:szCs w:val="18"/>
              </w:rPr>
              <w:t>51.4</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8.4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后排</w:t>
            </w:r>
          </w:p>
        </w:tc>
        <w:tc>
          <w:tcPr>
            <w:tcW w:w="253" w:type="pct"/>
            <w:vMerge w:val="restart"/>
            <w:vAlign w:val="center"/>
          </w:tcPr>
          <w:p>
            <w:pPr>
              <w:pStyle w:val="105"/>
              <w:spacing w:before="0" w:after="0"/>
              <w:jc w:val="center"/>
              <w:rPr>
                <w:sz w:val="18"/>
                <w:szCs w:val="18"/>
              </w:rPr>
            </w:pPr>
            <w:r>
              <w:rPr>
                <w:rFonts w:hint="eastAsia"/>
                <w:sz w:val="18"/>
                <w:szCs w:val="18"/>
              </w:rPr>
              <w:t>4</w:t>
            </w:r>
            <w:r>
              <w:rPr>
                <w:sz w:val="18"/>
                <w:szCs w:val="18"/>
              </w:rPr>
              <w:t>6</w:t>
            </w:r>
          </w:p>
        </w:tc>
        <w:tc>
          <w:tcPr>
            <w:tcW w:w="202" w:type="pct"/>
            <w:vMerge w:val="restart"/>
            <w:vAlign w:val="center"/>
          </w:tcPr>
          <w:p>
            <w:pPr>
              <w:pStyle w:val="105"/>
              <w:spacing w:before="0" w:after="0"/>
              <w:jc w:val="center"/>
              <w:rPr>
                <w:sz w:val="18"/>
                <w:szCs w:val="18"/>
              </w:rPr>
            </w:pPr>
            <w:r>
              <w:rPr>
                <w:sz w:val="18"/>
                <w:szCs w:val="18"/>
              </w:rPr>
              <w:t>0~-2</w:t>
            </w:r>
          </w:p>
        </w:tc>
        <w:tc>
          <w:tcPr>
            <w:tcW w:w="203" w:type="pct"/>
            <w:vMerge w:val="restart"/>
            <w:vAlign w:val="center"/>
          </w:tcPr>
          <w:p>
            <w:pPr>
              <w:pStyle w:val="105"/>
              <w:spacing w:before="0" w:after="0"/>
              <w:jc w:val="center"/>
              <w:rPr>
                <w:sz w:val="18"/>
                <w:szCs w:val="18"/>
              </w:rPr>
            </w:pPr>
            <w:r>
              <w:rPr>
                <w:rFonts w:hint="eastAsia"/>
                <w:sz w:val="18"/>
                <w:szCs w:val="18"/>
              </w:rPr>
              <w:t>0</w:t>
            </w:r>
            <w:r>
              <w:rPr>
                <w:sz w:val="18"/>
                <w:szCs w:val="18"/>
              </w:rPr>
              <w:t>.7</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241" w:type="pct"/>
            <w:vAlign w:val="center"/>
          </w:tcPr>
          <w:p>
            <w:pPr>
              <w:pStyle w:val="105"/>
              <w:spacing w:before="0" w:after="0"/>
              <w:jc w:val="center"/>
              <w:rPr>
                <w:rFonts w:cs="Times New Roman"/>
                <w:sz w:val="18"/>
                <w:szCs w:val="18"/>
              </w:rPr>
            </w:pPr>
            <w:r>
              <w:rPr>
                <w:rFonts w:cs="Times New Roman"/>
                <w:sz w:val="18"/>
                <w:szCs w:val="18"/>
              </w:rPr>
              <w:t>51</w:t>
            </w:r>
          </w:p>
        </w:tc>
        <w:tc>
          <w:tcPr>
            <w:tcW w:w="194" w:type="pct"/>
            <w:vAlign w:val="center"/>
          </w:tcPr>
          <w:p>
            <w:pPr>
              <w:pStyle w:val="105"/>
              <w:spacing w:before="0" w:after="0"/>
              <w:jc w:val="center"/>
              <w:rPr>
                <w:rFonts w:cs="Times New Roman"/>
                <w:sz w:val="18"/>
                <w:szCs w:val="18"/>
              </w:rPr>
            </w:pPr>
            <w:r>
              <w:rPr>
                <w:rFonts w:cs="Times New Roman"/>
                <w:sz w:val="18"/>
                <w:szCs w:val="18"/>
              </w:rPr>
              <w:t>53.7</w:t>
            </w:r>
          </w:p>
        </w:tc>
        <w:tc>
          <w:tcPr>
            <w:tcW w:w="184" w:type="pct"/>
            <w:vAlign w:val="center"/>
          </w:tcPr>
          <w:p>
            <w:pPr>
              <w:pStyle w:val="105"/>
              <w:spacing w:before="0" w:after="0"/>
              <w:jc w:val="center"/>
              <w:rPr>
                <w:rFonts w:cs="Times New Roman"/>
                <w:sz w:val="18"/>
                <w:szCs w:val="18"/>
              </w:rPr>
            </w:pPr>
            <w:r>
              <w:rPr>
                <w:rFonts w:cs="Times New Roman"/>
                <w:sz w:val="18"/>
                <w:szCs w:val="18"/>
              </w:rPr>
              <w:t>55.6</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4.6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58.1</w:t>
            </w:r>
          </w:p>
        </w:tc>
        <w:tc>
          <w:tcPr>
            <w:tcW w:w="169" w:type="pct"/>
            <w:vAlign w:val="center"/>
          </w:tcPr>
          <w:p>
            <w:pPr>
              <w:pStyle w:val="105"/>
              <w:spacing w:before="0" w:after="0"/>
              <w:jc w:val="center"/>
              <w:rPr>
                <w:rFonts w:cs="Times New Roman"/>
                <w:sz w:val="18"/>
                <w:szCs w:val="18"/>
              </w:rPr>
            </w:pPr>
            <w:r>
              <w:rPr>
                <w:rFonts w:cs="Times New Roman"/>
                <w:sz w:val="18"/>
                <w:szCs w:val="18"/>
              </w:rPr>
              <w:t>58.9</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7.9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58.3</w:t>
            </w:r>
          </w:p>
        </w:tc>
        <w:tc>
          <w:tcPr>
            <w:tcW w:w="164" w:type="pct"/>
            <w:vAlign w:val="center"/>
          </w:tcPr>
          <w:p>
            <w:pPr>
              <w:pStyle w:val="105"/>
              <w:spacing w:before="0" w:after="0"/>
              <w:jc w:val="center"/>
              <w:rPr>
                <w:rFonts w:cs="Times New Roman"/>
                <w:sz w:val="18"/>
                <w:szCs w:val="18"/>
              </w:rPr>
            </w:pPr>
            <w:r>
              <w:rPr>
                <w:rFonts w:cs="Times New Roman"/>
                <w:sz w:val="18"/>
                <w:szCs w:val="18"/>
              </w:rPr>
              <w:t>59.1</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8.1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194" w:type="pct"/>
            <w:vAlign w:val="center"/>
          </w:tcPr>
          <w:p>
            <w:pPr>
              <w:pStyle w:val="105"/>
              <w:spacing w:before="0" w:after="0"/>
              <w:jc w:val="center"/>
              <w:rPr>
                <w:rFonts w:cs="Times New Roman"/>
                <w:sz w:val="18"/>
                <w:szCs w:val="18"/>
              </w:rPr>
            </w:pPr>
            <w:r>
              <w:rPr>
                <w:rFonts w:cs="Times New Roman"/>
                <w:sz w:val="18"/>
                <w:szCs w:val="18"/>
              </w:rPr>
              <w:t>46.1</w:t>
            </w:r>
          </w:p>
        </w:tc>
        <w:tc>
          <w:tcPr>
            <w:tcW w:w="184" w:type="pct"/>
            <w:vAlign w:val="center"/>
          </w:tcPr>
          <w:p>
            <w:pPr>
              <w:pStyle w:val="105"/>
              <w:spacing w:before="0" w:after="0"/>
              <w:jc w:val="center"/>
              <w:rPr>
                <w:rFonts w:cs="Times New Roman"/>
                <w:sz w:val="18"/>
                <w:szCs w:val="18"/>
              </w:rPr>
            </w:pPr>
            <w:r>
              <w:rPr>
                <w:rFonts w:cs="Times New Roman"/>
                <w:sz w:val="18"/>
                <w:szCs w:val="18"/>
              </w:rPr>
              <w:t>47.8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4.8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46.6</w:t>
            </w:r>
          </w:p>
        </w:tc>
        <w:tc>
          <w:tcPr>
            <w:tcW w:w="169" w:type="pct"/>
            <w:vAlign w:val="center"/>
          </w:tcPr>
          <w:p>
            <w:pPr>
              <w:pStyle w:val="105"/>
              <w:spacing w:before="0" w:after="0"/>
              <w:jc w:val="center"/>
              <w:rPr>
                <w:rFonts w:cs="Times New Roman"/>
                <w:sz w:val="18"/>
                <w:szCs w:val="18"/>
              </w:rPr>
            </w:pPr>
            <w:r>
              <w:rPr>
                <w:rFonts w:cs="Times New Roman"/>
                <w:sz w:val="18"/>
                <w:szCs w:val="18"/>
              </w:rPr>
              <w:t>48.1</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5.1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46.8</w:t>
            </w:r>
          </w:p>
        </w:tc>
        <w:tc>
          <w:tcPr>
            <w:tcW w:w="164" w:type="pct"/>
            <w:vAlign w:val="center"/>
          </w:tcPr>
          <w:p>
            <w:pPr>
              <w:pStyle w:val="105"/>
              <w:spacing w:before="0" w:after="0"/>
              <w:jc w:val="center"/>
              <w:rPr>
                <w:rFonts w:cs="Times New Roman"/>
                <w:sz w:val="18"/>
                <w:szCs w:val="18"/>
              </w:rPr>
            </w:pPr>
            <w:r>
              <w:rPr>
                <w:rFonts w:cs="Times New Roman"/>
                <w:sz w:val="18"/>
                <w:szCs w:val="18"/>
              </w:rPr>
              <w:t>48.3</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5.3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9</w:t>
            </w:r>
          </w:p>
        </w:tc>
        <w:tc>
          <w:tcPr>
            <w:tcW w:w="152" w:type="pct"/>
            <w:vMerge w:val="restart"/>
            <w:vAlign w:val="center"/>
          </w:tcPr>
          <w:p>
            <w:pPr>
              <w:pStyle w:val="105"/>
              <w:spacing w:before="0" w:after="0"/>
              <w:jc w:val="center"/>
              <w:rPr>
                <w:sz w:val="18"/>
                <w:szCs w:val="18"/>
              </w:rPr>
            </w:pPr>
            <w:bookmarkStart w:id="487" w:name="_Hlk197435590"/>
            <w:r>
              <w:rPr>
                <w:rFonts w:hint="eastAsia"/>
                <w:sz w:val="18"/>
                <w:szCs w:val="18"/>
              </w:rPr>
              <w:t>联华村西山</w:t>
            </w:r>
            <w:bookmarkEnd w:id="487"/>
          </w:p>
        </w:tc>
        <w:tc>
          <w:tcPr>
            <w:tcW w:w="608" w:type="pct"/>
            <w:vMerge w:val="restart"/>
            <w:vAlign w:val="center"/>
          </w:tcPr>
          <w:p>
            <w:pPr>
              <w:pStyle w:val="105"/>
              <w:spacing w:before="0" w:after="0"/>
              <w:jc w:val="center"/>
              <w:rPr>
                <w:sz w:val="18"/>
                <w:szCs w:val="18"/>
              </w:rPr>
            </w:pPr>
            <w:r>
              <w:rPr>
                <w:rFonts w:hint="eastAsia"/>
                <w:sz w:val="18"/>
                <w:szCs w:val="18"/>
              </w:rPr>
              <w:t>临拟建公路第一排1</w:t>
            </w:r>
            <w:r>
              <w:rPr>
                <w:sz w:val="18"/>
                <w:szCs w:val="18"/>
              </w:rPr>
              <w:t>F</w:t>
            </w:r>
          </w:p>
        </w:tc>
        <w:tc>
          <w:tcPr>
            <w:tcW w:w="253" w:type="pct"/>
            <w:vMerge w:val="restart"/>
            <w:vAlign w:val="center"/>
          </w:tcPr>
          <w:p>
            <w:pPr>
              <w:pStyle w:val="105"/>
              <w:spacing w:before="0" w:after="0"/>
              <w:jc w:val="center"/>
              <w:rPr>
                <w:sz w:val="18"/>
                <w:szCs w:val="18"/>
              </w:rPr>
            </w:pPr>
            <w:r>
              <w:rPr>
                <w:rFonts w:hint="eastAsia"/>
                <w:sz w:val="18"/>
                <w:szCs w:val="18"/>
              </w:rPr>
              <w:t>1</w:t>
            </w:r>
            <w:r>
              <w:rPr>
                <w:sz w:val="18"/>
                <w:szCs w:val="18"/>
              </w:rPr>
              <w:t>0</w:t>
            </w:r>
          </w:p>
        </w:tc>
        <w:tc>
          <w:tcPr>
            <w:tcW w:w="202" w:type="pct"/>
            <w:vMerge w:val="restart"/>
            <w:vAlign w:val="center"/>
          </w:tcPr>
          <w:p>
            <w:pPr>
              <w:pStyle w:val="105"/>
              <w:spacing w:before="0" w:after="0"/>
              <w:jc w:val="center"/>
              <w:rPr>
                <w:sz w:val="18"/>
                <w:szCs w:val="18"/>
              </w:rPr>
            </w:pPr>
            <w:r>
              <w:rPr>
                <w:rFonts w:hint="eastAsia"/>
                <w:sz w:val="18"/>
                <w:szCs w:val="18"/>
              </w:rPr>
              <w:t>0</w:t>
            </w:r>
          </w:p>
        </w:tc>
        <w:tc>
          <w:tcPr>
            <w:tcW w:w="203" w:type="pct"/>
            <w:vMerge w:val="restart"/>
            <w:vAlign w:val="center"/>
          </w:tcPr>
          <w:p>
            <w:pPr>
              <w:pStyle w:val="105"/>
              <w:spacing w:before="0" w:after="0"/>
              <w:jc w:val="center"/>
              <w:rPr>
                <w:sz w:val="18"/>
                <w:szCs w:val="18"/>
              </w:rPr>
            </w:pPr>
            <w:r>
              <w:rPr>
                <w:rFonts w:hint="eastAsia"/>
                <w:sz w:val="18"/>
                <w:szCs w:val="18"/>
              </w:rPr>
              <w:t>1</w:t>
            </w:r>
            <w:r>
              <w:rPr>
                <w:sz w:val="18"/>
                <w:szCs w:val="18"/>
              </w:rPr>
              <w:t>.55</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194" w:type="pct"/>
            <w:vAlign w:val="center"/>
          </w:tcPr>
          <w:p>
            <w:pPr>
              <w:pStyle w:val="105"/>
              <w:spacing w:before="0" w:after="0"/>
              <w:jc w:val="center"/>
              <w:rPr>
                <w:rFonts w:cs="Times New Roman"/>
                <w:sz w:val="18"/>
                <w:szCs w:val="18"/>
              </w:rPr>
            </w:pPr>
            <w:r>
              <w:rPr>
                <w:rFonts w:cs="Times New Roman"/>
                <w:sz w:val="18"/>
                <w:szCs w:val="18"/>
              </w:rPr>
              <w:t>68.2</w:t>
            </w:r>
          </w:p>
        </w:tc>
        <w:tc>
          <w:tcPr>
            <w:tcW w:w="184" w:type="pct"/>
            <w:vAlign w:val="center"/>
          </w:tcPr>
          <w:p>
            <w:pPr>
              <w:pStyle w:val="105"/>
              <w:spacing w:before="0" w:after="0"/>
              <w:jc w:val="center"/>
              <w:rPr>
                <w:rFonts w:cs="Times New Roman"/>
                <w:sz w:val="18"/>
                <w:szCs w:val="18"/>
              </w:rPr>
            </w:pPr>
            <w:r>
              <w:rPr>
                <w:rFonts w:cs="Times New Roman"/>
                <w:sz w:val="18"/>
                <w:szCs w:val="18"/>
              </w:rPr>
              <w:t>68.4</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13.4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69.3</w:t>
            </w:r>
          </w:p>
        </w:tc>
        <w:tc>
          <w:tcPr>
            <w:tcW w:w="169" w:type="pct"/>
            <w:vAlign w:val="center"/>
          </w:tcPr>
          <w:p>
            <w:pPr>
              <w:pStyle w:val="105"/>
              <w:spacing w:before="0" w:after="0"/>
              <w:jc w:val="center"/>
              <w:rPr>
                <w:rFonts w:cs="Times New Roman"/>
                <w:sz w:val="18"/>
                <w:szCs w:val="18"/>
              </w:rPr>
            </w:pPr>
            <w:r>
              <w:rPr>
                <w:rFonts w:cs="Times New Roman"/>
                <w:sz w:val="18"/>
                <w:szCs w:val="18"/>
              </w:rPr>
              <w:t>69.4</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14.4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69.5</w:t>
            </w:r>
          </w:p>
        </w:tc>
        <w:tc>
          <w:tcPr>
            <w:tcW w:w="164" w:type="pct"/>
            <w:vAlign w:val="center"/>
          </w:tcPr>
          <w:p>
            <w:pPr>
              <w:pStyle w:val="105"/>
              <w:spacing w:before="0" w:after="0"/>
              <w:jc w:val="center"/>
              <w:rPr>
                <w:rFonts w:cs="Times New Roman"/>
                <w:sz w:val="18"/>
                <w:szCs w:val="18"/>
              </w:rPr>
            </w:pPr>
            <w:r>
              <w:rPr>
                <w:rFonts w:cs="Times New Roman"/>
                <w:sz w:val="18"/>
                <w:szCs w:val="18"/>
              </w:rPr>
              <w:t>69.7</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14.7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48</w:t>
            </w:r>
          </w:p>
        </w:tc>
        <w:tc>
          <w:tcPr>
            <w:tcW w:w="241" w:type="pct"/>
            <w:vAlign w:val="center"/>
          </w:tcPr>
          <w:p>
            <w:pPr>
              <w:pStyle w:val="105"/>
              <w:spacing w:before="0" w:after="0"/>
              <w:jc w:val="center"/>
              <w:rPr>
                <w:rFonts w:cs="Times New Roman"/>
                <w:sz w:val="18"/>
                <w:szCs w:val="18"/>
              </w:rPr>
            </w:pPr>
            <w:r>
              <w:rPr>
                <w:rFonts w:cs="Times New Roman"/>
                <w:sz w:val="18"/>
                <w:szCs w:val="18"/>
              </w:rPr>
              <w:t>48</w:t>
            </w:r>
          </w:p>
        </w:tc>
        <w:tc>
          <w:tcPr>
            <w:tcW w:w="194" w:type="pct"/>
            <w:vAlign w:val="center"/>
          </w:tcPr>
          <w:p>
            <w:pPr>
              <w:pStyle w:val="105"/>
              <w:spacing w:before="0" w:after="0"/>
              <w:jc w:val="center"/>
              <w:rPr>
                <w:rFonts w:cs="Times New Roman"/>
                <w:sz w:val="18"/>
                <w:szCs w:val="18"/>
              </w:rPr>
            </w:pPr>
            <w:r>
              <w:rPr>
                <w:rFonts w:cs="Times New Roman"/>
                <w:sz w:val="18"/>
                <w:szCs w:val="18"/>
              </w:rPr>
              <w:t>60.6</w:t>
            </w:r>
          </w:p>
        </w:tc>
        <w:tc>
          <w:tcPr>
            <w:tcW w:w="184" w:type="pct"/>
            <w:vAlign w:val="center"/>
          </w:tcPr>
          <w:p>
            <w:pPr>
              <w:pStyle w:val="105"/>
              <w:spacing w:before="0" w:after="0"/>
              <w:jc w:val="center"/>
              <w:rPr>
                <w:rFonts w:cs="Times New Roman"/>
                <w:sz w:val="18"/>
                <w:szCs w:val="18"/>
              </w:rPr>
            </w:pPr>
            <w:r>
              <w:rPr>
                <w:rFonts w:cs="Times New Roman"/>
                <w:sz w:val="18"/>
                <w:szCs w:val="18"/>
              </w:rPr>
              <w:t>60.8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12.8 </w:t>
            </w:r>
          </w:p>
        </w:tc>
        <w:tc>
          <w:tcPr>
            <w:tcW w:w="193" w:type="pct"/>
            <w:vAlign w:val="center"/>
          </w:tcPr>
          <w:p>
            <w:pPr>
              <w:pStyle w:val="105"/>
              <w:spacing w:before="0" w:after="0"/>
              <w:jc w:val="center"/>
              <w:rPr>
                <w:rFonts w:cs="Times New Roman"/>
                <w:sz w:val="18"/>
                <w:szCs w:val="18"/>
              </w:rPr>
            </w:pPr>
            <w:r>
              <w:rPr>
                <w:rFonts w:cs="Times New Roman"/>
                <w:sz w:val="18"/>
                <w:szCs w:val="18"/>
              </w:rPr>
              <w:t xml:space="preserve">5.8 </w:t>
            </w:r>
          </w:p>
        </w:tc>
        <w:tc>
          <w:tcPr>
            <w:tcW w:w="146" w:type="pct"/>
            <w:vAlign w:val="center"/>
          </w:tcPr>
          <w:p>
            <w:pPr>
              <w:pStyle w:val="105"/>
              <w:spacing w:before="0" w:after="0"/>
              <w:jc w:val="center"/>
              <w:rPr>
                <w:rFonts w:cs="Times New Roman"/>
                <w:sz w:val="18"/>
                <w:szCs w:val="18"/>
              </w:rPr>
            </w:pPr>
            <w:r>
              <w:rPr>
                <w:rFonts w:cs="Times New Roman"/>
                <w:sz w:val="18"/>
                <w:szCs w:val="18"/>
              </w:rPr>
              <w:t>61.0</w:t>
            </w:r>
          </w:p>
        </w:tc>
        <w:tc>
          <w:tcPr>
            <w:tcW w:w="169" w:type="pct"/>
            <w:vAlign w:val="center"/>
          </w:tcPr>
          <w:p>
            <w:pPr>
              <w:pStyle w:val="105"/>
              <w:spacing w:before="0" w:after="0"/>
              <w:jc w:val="center"/>
              <w:rPr>
                <w:rFonts w:cs="Times New Roman"/>
                <w:sz w:val="18"/>
                <w:szCs w:val="18"/>
              </w:rPr>
            </w:pPr>
            <w:r>
              <w:rPr>
                <w:rFonts w:cs="Times New Roman"/>
                <w:sz w:val="18"/>
                <w:szCs w:val="18"/>
              </w:rPr>
              <w:t>61.3</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13.3 </w:t>
            </w:r>
          </w:p>
        </w:tc>
        <w:tc>
          <w:tcPr>
            <w:tcW w:w="188" w:type="pct"/>
            <w:vAlign w:val="center"/>
          </w:tcPr>
          <w:p>
            <w:pPr>
              <w:pStyle w:val="105"/>
              <w:spacing w:before="0" w:after="0"/>
              <w:jc w:val="center"/>
              <w:rPr>
                <w:rFonts w:cs="Times New Roman"/>
                <w:sz w:val="18"/>
                <w:szCs w:val="18"/>
              </w:rPr>
            </w:pPr>
            <w:r>
              <w:rPr>
                <w:rFonts w:cs="Times New Roman"/>
                <w:sz w:val="18"/>
                <w:szCs w:val="18"/>
              </w:rPr>
              <w:t xml:space="preserve">6.3 </w:t>
            </w:r>
          </w:p>
        </w:tc>
        <w:tc>
          <w:tcPr>
            <w:tcW w:w="182" w:type="pct"/>
            <w:vAlign w:val="center"/>
          </w:tcPr>
          <w:p>
            <w:pPr>
              <w:pStyle w:val="105"/>
              <w:spacing w:before="0" w:after="0"/>
              <w:jc w:val="center"/>
              <w:rPr>
                <w:rFonts w:cs="Times New Roman"/>
                <w:sz w:val="18"/>
                <w:szCs w:val="18"/>
              </w:rPr>
            </w:pPr>
            <w:r>
              <w:rPr>
                <w:rFonts w:cs="Times New Roman"/>
                <w:sz w:val="18"/>
                <w:szCs w:val="18"/>
              </w:rPr>
              <w:t>61.3</w:t>
            </w:r>
          </w:p>
        </w:tc>
        <w:tc>
          <w:tcPr>
            <w:tcW w:w="164" w:type="pct"/>
            <w:vAlign w:val="center"/>
          </w:tcPr>
          <w:p>
            <w:pPr>
              <w:pStyle w:val="105"/>
              <w:spacing w:before="0" w:after="0"/>
              <w:jc w:val="center"/>
              <w:rPr>
                <w:rFonts w:cs="Times New Roman"/>
                <w:sz w:val="18"/>
                <w:szCs w:val="18"/>
              </w:rPr>
            </w:pPr>
            <w:r>
              <w:rPr>
                <w:rFonts w:cs="Times New Roman"/>
                <w:sz w:val="18"/>
                <w:szCs w:val="18"/>
              </w:rPr>
              <w:t>61.5</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13.5 </w:t>
            </w:r>
          </w:p>
        </w:tc>
        <w:tc>
          <w:tcPr>
            <w:tcW w:w="152" w:type="pct"/>
            <w:vAlign w:val="center"/>
          </w:tcPr>
          <w:p>
            <w:pPr>
              <w:pStyle w:val="105"/>
              <w:spacing w:before="0" w:after="0"/>
              <w:jc w:val="center"/>
              <w:rPr>
                <w:rFonts w:cs="Times New Roman"/>
                <w:sz w:val="18"/>
                <w:szCs w:val="18"/>
              </w:rPr>
            </w:pPr>
            <w:r>
              <w:rPr>
                <w:rFonts w:cs="Times New Roman"/>
                <w:sz w:val="18"/>
                <w:szCs w:val="18"/>
              </w:rPr>
              <w:t xml:space="preserve">6.5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临拟建公路第一排</w:t>
            </w:r>
            <w:r>
              <w:rPr>
                <w:sz w:val="18"/>
                <w:szCs w:val="18"/>
              </w:rPr>
              <w:t>3F</w:t>
            </w:r>
          </w:p>
        </w:tc>
        <w:tc>
          <w:tcPr>
            <w:tcW w:w="253" w:type="pct"/>
            <w:vMerge w:val="continue"/>
            <w:vAlign w:val="center"/>
          </w:tcPr>
          <w:p>
            <w:pPr>
              <w:pStyle w:val="105"/>
              <w:spacing w:before="0" w:after="0"/>
              <w:jc w:val="center"/>
              <w:rPr>
                <w:sz w:val="18"/>
                <w:szCs w:val="18"/>
              </w:rPr>
            </w:pPr>
          </w:p>
        </w:tc>
        <w:tc>
          <w:tcPr>
            <w:tcW w:w="202" w:type="pct"/>
            <w:vMerge w:val="restart"/>
            <w:vAlign w:val="center"/>
          </w:tcPr>
          <w:p>
            <w:pPr>
              <w:pStyle w:val="105"/>
              <w:spacing w:before="0" w:after="0"/>
              <w:jc w:val="center"/>
              <w:rPr>
                <w:sz w:val="18"/>
                <w:szCs w:val="18"/>
              </w:rPr>
            </w:pPr>
            <w:r>
              <w:rPr>
                <w:rFonts w:hint="eastAsia"/>
                <w:sz w:val="18"/>
                <w:szCs w:val="18"/>
              </w:rPr>
              <w:t>6</w:t>
            </w: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rFonts w:cs="Times New Roman"/>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53</w:t>
            </w:r>
          </w:p>
        </w:tc>
        <w:tc>
          <w:tcPr>
            <w:tcW w:w="241" w:type="pct"/>
            <w:vAlign w:val="center"/>
          </w:tcPr>
          <w:p>
            <w:pPr>
              <w:pStyle w:val="105"/>
              <w:spacing w:before="0" w:after="0"/>
              <w:jc w:val="center"/>
              <w:rPr>
                <w:rFonts w:cs="Times New Roman"/>
                <w:sz w:val="18"/>
                <w:szCs w:val="18"/>
              </w:rPr>
            </w:pPr>
            <w:r>
              <w:rPr>
                <w:rFonts w:cs="Times New Roman"/>
                <w:sz w:val="18"/>
                <w:szCs w:val="18"/>
              </w:rPr>
              <w:t>53</w:t>
            </w:r>
          </w:p>
        </w:tc>
        <w:tc>
          <w:tcPr>
            <w:tcW w:w="194" w:type="pct"/>
            <w:vAlign w:val="center"/>
          </w:tcPr>
          <w:p>
            <w:pPr>
              <w:pStyle w:val="105"/>
              <w:spacing w:before="0" w:after="0"/>
              <w:jc w:val="center"/>
              <w:rPr>
                <w:rFonts w:cs="Times New Roman"/>
                <w:sz w:val="18"/>
                <w:szCs w:val="18"/>
              </w:rPr>
            </w:pPr>
            <w:r>
              <w:rPr>
                <w:rFonts w:cs="Times New Roman"/>
                <w:sz w:val="18"/>
                <w:szCs w:val="18"/>
              </w:rPr>
              <w:t>68.3</w:t>
            </w:r>
          </w:p>
        </w:tc>
        <w:tc>
          <w:tcPr>
            <w:tcW w:w="184" w:type="pct"/>
            <w:vAlign w:val="center"/>
          </w:tcPr>
          <w:p>
            <w:pPr>
              <w:pStyle w:val="105"/>
              <w:spacing w:before="0" w:after="0"/>
              <w:jc w:val="center"/>
              <w:rPr>
                <w:rFonts w:cs="Times New Roman"/>
                <w:sz w:val="18"/>
                <w:szCs w:val="18"/>
              </w:rPr>
            </w:pPr>
            <w:r>
              <w:rPr>
                <w:rFonts w:cs="Times New Roman"/>
                <w:sz w:val="18"/>
                <w:szCs w:val="18"/>
              </w:rPr>
              <w:t>68.4</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15.4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69.4</w:t>
            </w:r>
          </w:p>
        </w:tc>
        <w:tc>
          <w:tcPr>
            <w:tcW w:w="169" w:type="pct"/>
            <w:vAlign w:val="center"/>
          </w:tcPr>
          <w:p>
            <w:pPr>
              <w:pStyle w:val="105"/>
              <w:spacing w:before="0" w:after="0"/>
              <w:jc w:val="center"/>
              <w:rPr>
                <w:rFonts w:cs="Times New Roman"/>
                <w:sz w:val="18"/>
                <w:szCs w:val="18"/>
              </w:rPr>
            </w:pPr>
            <w:r>
              <w:rPr>
                <w:rFonts w:cs="Times New Roman"/>
                <w:sz w:val="18"/>
                <w:szCs w:val="18"/>
              </w:rPr>
              <w:t>69.5</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16.5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69.6</w:t>
            </w:r>
          </w:p>
        </w:tc>
        <w:tc>
          <w:tcPr>
            <w:tcW w:w="164" w:type="pct"/>
            <w:vAlign w:val="center"/>
          </w:tcPr>
          <w:p>
            <w:pPr>
              <w:pStyle w:val="105"/>
              <w:spacing w:before="0" w:after="0"/>
              <w:jc w:val="center"/>
              <w:rPr>
                <w:rFonts w:cs="Times New Roman"/>
                <w:sz w:val="18"/>
                <w:szCs w:val="18"/>
              </w:rPr>
            </w:pPr>
            <w:r>
              <w:rPr>
                <w:rFonts w:cs="Times New Roman"/>
                <w:sz w:val="18"/>
                <w:szCs w:val="18"/>
              </w:rPr>
              <w:t>69.7</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16.7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46</w:t>
            </w:r>
          </w:p>
        </w:tc>
        <w:tc>
          <w:tcPr>
            <w:tcW w:w="241" w:type="pct"/>
            <w:vAlign w:val="center"/>
          </w:tcPr>
          <w:p>
            <w:pPr>
              <w:pStyle w:val="105"/>
              <w:spacing w:before="0" w:after="0"/>
              <w:jc w:val="center"/>
              <w:rPr>
                <w:rFonts w:cs="Times New Roman"/>
                <w:sz w:val="18"/>
                <w:szCs w:val="18"/>
              </w:rPr>
            </w:pPr>
            <w:r>
              <w:rPr>
                <w:rFonts w:cs="Times New Roman"/>
                <w:sz w:val="18"/>
                <w:szCs w:val="18"/>
              </w:rPr>
              <w:t>46</w:t>
            </w:r>
          </w:p>
        </w:tc>
        <w:tc>
          <w:tcPr>
            <w:tcW w:w="194" w:type="pct"/>
            <w:vAlign w:val="center"/>
          </w:tcPr>
          <w:p>
            <w:pPr>
              <w:pStyle w:val="105"/>
              <w:spacing w:before="0" w:after="0"/>
              <w:jc w:val="center"/>
              <w:rPr>
                <w:rFonts w:cs="Times New Roman"/>
                <w:sz w:val="18"/>
                <w:szCs w:val="18"/>
              </w:rPr>
            </w:pPr>
            <w:r>
              <w:rPr>
                <w:rFonts w:cs="Times New Roman"/>
                <w:sz w:val="18"/>
                <w:szCs w:val="18"/>
              </w:rPr>
              <w:t>60.7</w:t>
            </w:r>
          </w:p>
        </w:tc>
        <w:tc>
          <w:tcPr>
            <w:tcW w:w="184" w:type="pct"/>
            <w:vAlign w:val="center"/>
          </w:tcPr>
          <w:p>
            <w:pPr>
              <w:pStyle w:val="105"/>
              <w:spacing w:before="0" w:after="0"/>
              <w:jc w:val="center"/>
              <w:rPr>
                <w:rFonts w:cs="Times New Roman"/>
                <w:sz w:val="18"/>
                <w:szCs w:val="18"/>
              </w:rPr>
            </w:pPr>
            <w:r>
              <w:rPr>
                <w:rFonts w:cs="Times New Roman"/>
                <w:sz w:val="18"/>
                <w:szCs w:val="18"/>
              </w:rPr>
              <w:t>60.8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14.8 </w:t>
            </w:r>
          </w:p>
        </w:tc>
        <w:tc>
          <w:tcPr>
            <w:tcW w:w="193" w:type="pct"/>
            <w:vAlign w:val="center"/>
          </w:tcPr>
          <w:p>
            <w:pPr>
              <w:pStyle w:val="105"/>
              <w:spacing w:before="0" w:after="0"/>
              <w:jc w:val="center"/>
              <w:rPr>
                <w:rFonts w:cs="Times New Roman"/>
                <w:sz w:val="18"/>
                <w:szCs w:val="18"/>
              </w:rPr>
            </w:pPr>
            <w:r>
              <w:rPr>
                <w:rFonts w:cs="Times New Roman"/>
                <w:sz w:val="18"/>
                <w:szCs w:val="18"/>
              </w:rPr>
              <w:t xml:space="preserve">5.8 </w:t>
            </w:r>
          </w:p>
        </w:tc>
        <w:tc>
          <w:tcPr>
            <w:tcW w:w="146" w:type="pct"/>
            <w:vAlign w:val="center"/>
          </w:tcPr>
          <w:p>
            <w:pPr>
              <w:pStyle w:val="105"/>
              <w:spacing w:before="0" w:after="0"/>
              <w:jc w:val="center"/>
              <w:rPr>
                <w:rFonts w:cs="Times New Roman"/>
                <w:sz w:val="18"/>
                <w:szCs w:val="18"/>
              </w:rPr>
            </w:pPr>
            <w:r>
              <w:rPr>
                <w:rFonts w:cs="Times New Roman"/>
                <w:sz w:val="18"/>
                <w:szCs w:val="18"/>
              </w:rPr>
              <w:t>61.1</w:t>
            </w:r>
          </w:p>
        </w:tc>
        <w:tc>
          <w:tcPr>
            <w:tcW w:w="169" w:type="pct"/>
            <w:vAlign w:val="center"/>
          </w:tcPr>
          <w:p>
            <w:pPr>
              <w:pStyle w:val="105"/>
              <w:spacing w:before="0" w:after="0"/>
              <w:jc w:val="center"/>
              <w:rPr>
                <w:rFonts w:cs="Times New Roman"/>
                <w:sz w:val="18"/>
                <w:szCs w:val="18"/>
              </w:rPr>
            </w:pPr>
            <w:r>
              <w:rPr>
                <w:rFonts w:cs="Times New Roman"/>
                <w:sz w:val="18"/>
                <w:szCs w:val="18"/>
              </w:rPr>
              <w:t>61.3</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15.3 </w:t>
            </w:r>
          </w:p>
        </w:tc>
        <w:tc>
          <w:tcPr>
            <w:tcW w:w="188" w:type="pct"/>
            <w:vAlign w:val="center"/>
          </w:tcPr>
          <w:p>
            <w:pPr>
              <w:pStyle w:val="105"/>
              <w:spacing w:before="0" w:after="0"/>
              <w:jc w:val="center"/>
              <w:rPr>
                <w:rFonts w:cs="Times New Roman"/>
                <w:sz w:val="18"/>
                <w:szCs w:val="18"/>
              </w:rPr>
            </w:pPr>
            <w:r>
              <w:rPr>
                <w:rFonts w:cs="Times New Roman"/>
                <w:sz w:val="18"/>
                <w:szCs w:val="18"/>
              </w:rPr>
              <w:t xml:space="preserve">6.3 </w:t>
            </w:r>
          </w:p>
        </w:tc>
        <w:tc>
          <w:tcPr>
            <w:tcW w:w="182" w:type="pct"/>
            <w:vAlign w:val="center"/>
          </w:tcPr>
          <w:p>
            <w:pPr>
              <w:pStyle w:val="105"/>
              <w:spacing w:before="0" w:after="0"/>
              <w:jc w:val="center"/>
              <w:rPr>
                <w:rFonts w:cs="Times New Roman"/>
                <w:sz w:val="18"/>
                <w:szCs w:val="18"/>
              </w:rPr>
            </w:pPr>
            <w:r>
              <w:rPr>
                <w:rFonts w:cs="Times New Roman"/>
                <w:sz w:val="18"/>
                <w:szCs w:val="18"/>
              </w:rPr>
              <w:t>61.4</w:t>
            </w:r>
          </w:p>
        </w:tc>
        <w:tc>
          <w:tcPr>
            <w:tcW w:w="164" w:type="pct"/>
            <w:vAlign w:val="center"/>
          </w:tcPr>
          <w:p>
            <w:pPr>
              <w:pStyle w:val="105"/>
              <w:spacing w:before="0" w:after="0"/>
              <w:jc w:val="center"/>
              <w:rPr>
                <w:rFonts w:cs="Times New Roman"/>
                <w:sz w:val="18"/>
                <w:szCs w:val="18"/>
              </w:rPr>
            </w:pPr>
            <w:r>
              <w:rPr>
                <w:rFonts w:cs="Times New Roman"/>
                <w:sz w:val="18"/>
                <w:szCs w:val="18"/>
              </w:rPr>
              <w:t>61.5</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15.5 </w:t>
            </w:r>
          </w:p>
        </w:tc>
        <w:tc>
          <w:tcPr>
            <w:tcW w:w="152" w:type="pct"/>
            <w:vAlign w:val="center"/>
          </w:tcPr>
          <w:p>
            <w:pPr>
              <w:pStyle w:val="105"/>
              <w:spacing w:before="0" w:after="0"/>
              <w:jc w:val="center"/>
              <w:rPr>
                <w:rFonts w:cs="Times New Roman"/>
                <w:sz w:val="18"/>
                <w:szCs w:val="18"/>
              </w:rPr>
            </w:pPr>
            <w:r>
              <w:rPr>
                <w:rFonts w:cs="Times New Roman"/>
                <w:sz w:val="18"/>
                <w:szCs w:val="18"/>
              </w:rPr>
              <w:t xml:space="preserve">6.5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后排</w:t>
            </w:r>
          </w:p>
        </w:tc>
        <w:tc>
          <w:tcPr>
            <w:tcW w:w="253" w:type="pct"/>
            <w:vMerge w:val="restart"/>
            <w:vAlign w:val="center"/>
          </w:tcPr>
          <w:p>
            <w:pPr>
              <w:pStyle w:val="105"/>
              <w:spacing w:before="0" w:after="0"/>
              <w:jc w:val="center"/>
              <w:rPr>
                <w:sz w:val="18"/>
                <w:szCs w:val="18"/>
              </w:rPr>
            </w:pPr>
            <w:r>
              <w:rPr>
                <w:sz w:val="18"/>
                <w:szCs w:val="18"/>
              </w:rPr>
              <w:t>48</w:t>
            </w:r>
          </w:p>
        </w:tc>
        <w:tc>
          <w:tcPr>
            <w:tcW w:w="202" w:type="pct"/>
            <w:vMerge w:val="restart"/>
            <w:vAlign w:val="center"/>
          </w:tcPr>
          <w:p>
            <w:pPr>
              <w:pStyle w:val="105"/>
              <w:spacing w:before="0" w:after="0"/>
              <w:jc w:val="center"/>
              <w:rPr>
                <w:sz w:val="18"/>
                <w:szCs w:val="18"/>
              </w:rPr>
            </w:pPr>
            <w:r>
              <w:rPr>
                <w:rFonts w:hint="eastAsia"/>
                <w:sz w:val="18"/>
                <w:szCs w:val="18"/>
              </w:rPr>
              <w:t>0</w:t>
            </w:r>
          </w:p>
        </w:tc>
        <w:tc>
          <w:tcPr>
            <w:tcW w:w="203" w:type="pct"/>
            <w:vMerge w:val="restart"/>
            <w:vAlign w:val="center"/>
          </w:tcPr>
          <w:p>
            <w:pPr>
              <w:pStyle w:val="105"/>
              <w:spacing w:before="0" w:after="0"/>
              <w:jc w:val="center"/>
              <w:rPr>
                <w:sz w:val="18"/>
                <w:szCs w:val="18"/>
              </w:rPr>
            </w:pPr>
            <w:r>
              <w:rPr>
                <w:rFonts w:hint="eastAsia"/>
                <w:sz w:val="18"/>
                <w:szCs w:val="18"/>
              </w:rPr>
              <w:t>1</w:t>
            </w:r>
            <w:r>
              <w:rPr>
                <w:sz w:val="18"/>
                <w:szCs w:val="18"/>
              </w:rPr>
              <w:t>.55</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194" w:type="pct"/>
            <w:vAlign w:val="center"/>
          </w:tcPr>
          <w:p>
            <w:pPr>
              <w:pStyle w:val="105"/>
              <w:spacing w:before="0" w:after="0"/>
              <w:jc w:val="center"/>
              <w:rPr>
                <w:rFonts w:cs="Times New Roman"/>
                <w:sz w:val="18"/>
                <w:szCs w:val="18"/>
              </w:rPr>
            </w:pPr>
            <w:r>
              <w:rPr>
                <w:rFonts w:cs="Times New Roman"/>
                <w:sz w:val="18"/>
                <w:szCs w:val="18"/>
              </w:rPr>
              <w:t>52.0</w:t>
            </w:r>
          </w:p>
        </w:tc>
        <w:tc>
          <w:tcPr>
            <w:tcW w:w="184" w:type="pct"/>
            <w:vAlign w:val="center"/>
          </w:tcPr>
          <w:p>
            <w:pPr>
              <w:pStyle w:val="105"/>
              <w:spacing w:before="0" w:after="0"/>
              <w:jc w:val="center"/>
              <w:rPr>
                <w:rFonts w:cs="Times New Roman"/>
                <w:sz w:val="18"/>
                <w:szCs w:val="18"/>
              </w:rPr>
            </w:pPr>
            <w:r>
              <w:rPr>
                <w:rFonts w:cs="Times New Roman"/>
                <w:sz w:val="18"/>
                <w:szCs w:val="18"/>
              </w:rPr>
              <w:t>56.8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1.8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56.3</w:t>
            </w:r>
          </w:p>
        </w:tc>
        <w:tc>
          <w:tcPr>
            <w:tcW w:w="169" w:type="pct"/>
            <w:vAlign w:val="center"/>
          </w:tcPr>
          <w:p>
            <w:pPr>
              <w:pStyle w:val="105"/>
              <w:spacing w:before="0" w:after="0"/>
              <w:jc w:val="center"/>
              <w:rPr>
                <w:rFonts w:cs="Times New Roman"/>
                <w:sz w:val="18"/>
                <w:szCs w:val="18"/>
              </w:rPr>
            </w:pPr>
            <w:r>
              <w:rPr>
                <w:rFonts w:cs="Times New Roman"/>
                <w:sz w:val="18"/>
                <w:szCs w:val="18"/>
              </w:rPr>
              <w:t>58.7</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3.7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56.5</w:t>
            </w:r>
          </w:p>
        </w:tc>
        <w:tc>
          <w:tcPr>
            <w:tcW w:w="164" w:type="pct"/>
            <w:vAlign w:val="center"/>
          </w:tcPr>
          <w:p>
            <w:pPr>
              <w:pStyle w:val="105"/>
              <w:spacing w:before="0" w:after="0"/>
              <w:jc w:val="center"/>
              <w:rPr>
                <w:rFonts w:cs="Times New Roman"/>
                <w:sz w:val="18"/>
                <w:szCs w:val="18"/>
              </w:rPr>
            </w:pPr>
            <w:r>
              <w:rPr>
                <w:rFonts w:cs="Times New Roman"/>
                <w:sz w:val="18"/>
                <w:szCs w:val="18"/>
              </w:rPr>
              <w:t>58.8</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3.8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48</w:t>
            </w:r>
          </w:p>
        </w:tc>
        <w:tc>
          <w:tcPr>
            <w:tcW w:w="241" w:type="pct"/>
            <w:vAlign w:val="center"/>
          </w:tcPr>
          <w:p>
            <w:pPr>
              <w:pStyle w:val="105"/>
              <w:spacing w:before="0" w:after="0"/>
              <w:jc w:val="center"/>
              <w:rPr>
                <w:rFonts w:cs="Times New Roman"/>
                <w:sz w:val="18"/>
                <w:szCs w:val="18"/>
              </w:rPr>
            </w:pPr>
            <w:r>
              <w:rPr>
                <w:rFonts w:cs="Times New Roman"/>
                <w:sz w:val="18"/>
                <w:szCs w:val="18"/>
              </w:rPr>
              <w:t>48</w:t>
            </w:r>
          </w:p>
        </w:tc>
        <w:tc>
          <w:tcPr>
            <w:tcW w:w="194" w:type="pct"/>
            <w:vAlign w:val="center"/>
          </w:tcPr>
          <w:p>
            <w:pPr>
              <w:pStyle w:val="105"/>
              <w:spacing w:before="0" w:after="0"/>
              <w:jc w:val="center"/>
              <w:rPr>
                <w:rFonts w:cs="Times New Roman"/>
                <w:sz w:val="18"/>
                <w:szCs w:val="18"/>
              </w:rPr>
            </w:pPr>
            <w:r>
              <w:rPr>
                <w:rFonts w:cs="Times New Roman"/>
                <w:sz w:val="18"/>
                <w:szCs w:val="18"/>
              </w:rPr>
              <w:t>44.4</w:t>
            </w:r>
          </w:p>
        </w:tc>
        <w:tc>
          <w:tcPr>
            <w:tcW w:w="184" w:type="pct"/>
            <w:vAlign w:val="center"/>
          </w:tcPr>
          <w:p>
            <w:pPr>
              <w:pStyle w:val="105"/>
              <w:spacing w:before="0" w:after="0"/>
              <w:jc w:val="center"/>
              <w:rPr>
                <w:rFonts w:cs="Times New Roman"/>
                <w:sz w:val="18"/>
                <w:szCs w:val="18"/>
              </w:rPr>
            </w:pPr>
            <w:r>
              <w:rPr>
                <w:rFonts w:cs="Times New Roman"/>
                <w:sz w:val="18"/>
                <w:szCs w:val="18"/>
              </w:rPr>
              <w:t>49.6</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1.6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44.8</w:t>
            </w:r>
          </w:p>
        </w:tc>
        <w:tc>
          <w:tcPr>
            <w:tcW w:w="169" w:type="pct"/>
            <w:vAlign w:val="center"/>
          </w:tcPr>
          <w:p>
            <w:pPr>
              <w:pStyle w:val="105"/>
              <w:spacing w:before="0" w:after="0"/>
              <w:jc w:val="center"/>
              <w:rPr>
                <w:rFonts w:cs="Times New Roman"/>
                <w:sz w:val="18"/>
                <w:szCs w:val="18"/>
              </w:rPr>
            </w:pPr>
            <w:r>
              <w:rPr>
                <w:rFonts w:cs="Times New Roman"/>
                <w:sz w:val="18"/>
                <w:szCs w:val="18"/>
              </w:rPr>
              <w:t>49.7</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1.7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45.1</w:t>
            </w:r>
          </w:p>
        </w:tc>
        <w:tc>
          <w:tcPr>
            <w:tcW w:w="164" w:type="pct"/>
            <w:vAlign w:val="center"/>
          </w:tcPr>
          <w:p>
            <w:pPr>
              <w:pStyle w:val="105"/>
              <w:spacing w:before="0" w:after="0"/>
              <w:jc w:val="center"/>
              <w:rPr>
                <w:rFonts w:cs="Times New Roman"/>
                <w:sz w:val="18"/>
                <w:szCs w:val="18"/>
              </w:rPr>
            </w:pPr>
            <w:r>
              <w:rPr>
                <w:rFonts w:cs="Times New Roman"/>
                <w:sz w:val="18"/>
                <w:szCs w:val="18"/>
              </w:rPr>
              <w:t>49.8</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1.8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1</w:t>
            </w:r>
            <w:r>
              <w:rPr>
                <w:sz w:val="18"/>
                <w:szCs w:val="18"/>
              </w:rPr>
              <w:t>0</w:t>
            </w:r>
          </w:p>
        </w:tc>
        <w:tc>
          <w:tcPr>
            <w:tcW w:w="760" w:type="pct"/>
            <w:gridSpan w:val="2"/>
            <w:vMerge w:val="restart"/>
            <w:vAlign w:val="center"/>
          </w:tcPr>
          <w:p>
            <w:pPr>
              <w:pStyle w:val="105"/>
              <w:spacing w:before="0" w:after="0"/>
              <w:jc w:val="center"/>
              <w:rPr>
                <w:sz w:val="18"/>
                <w:szCs w:val="18"/>
              </w:rPr>
            </w:pPr>
            <w:r>
              <w:rPr>
                <w:rFonts w:hint="eastAsia"/>
                <w:sz w:val="18"/>
                <w:szCs w:val="18"/>
              </w:rPr>
              <w:t>联华村朱里</w:t>
            </w:r>
          </w:p>
        </w:tc>
        <w:tc>
          <w:tcPr>
            <w:tcW w:w="253" w:type="pct"/>
            <w:vMerge w:val="restart"/>
            <w:vAlign w:val="center"/>
          </w:tcPr>
          <w:p>
            <w:pPr>
              <w:pStyle w:val="105"/>
              <w:spacing w:before="0" w:after="0"/>
              <w:jc w:val="center"/>
              <w:rPr>
                <w:sz w:val="18"/>
                <w:szCs w:val="18"/>
              </w:rPr>
            </w:pPr>
            <w:r>
              <w:rPr>
                <w:rFonts w:hint="eastAsia"/>
                <w:sz w:val="18"/>
                <w:szCs w:val="18"/>
              </w:rPr>
              <w:t>7</w:t>
            </w:r>
            <w:r>
              <w:rPr>
                <w:sz w:val="18"/>
                <w:szCs w:val="18"/>
              </w:rPr>
              <w:t>4</w:t>
            </w:r>
          </w:p>
        </w:tc>
        <w:tc>
          <w:tcPr>
            <w:tcW w:w="202" w:type="pct"/>
            <w:vMerge w:val="restart"/>
            <w:vAlign w:val="center"/>
          </w:tcPr>
          <w:p>
            <w:pPr>
              <w:pStyle w:val="105"/>
              <w:spacing w:before="0" w:after="0"/>
              <w:jc w:val="center"/>
              <w:rPr>
                <w:sz w:val="18"/>
                <w:szCs w:val="18"/>
              </w:rPr>
            </w:pPr>
            <w:r>
              <w:rPr>
                <w:rFonts w:hint="eastAsia"/>
                <w:sz w:val="18"/>
                <w:szCs w:val="18"/>
              </w:rPr>
              <w:t>0</w:t>
            </w:r>
          </w:p>
        </w:tc>
        <w:tc>
          <w:tcPr>
            <w:tcW w:w="203" w:type="pct"/>
            <w:vMerge w:val="restart"/>
            <w:vAlign w:val="center"/>
          </w:tcPr>
          <w:p>
            <w:pPr>
              <w:pStyle w:val="105"/>
              <w:spacing w:before="0" w:after="0"/>
              <w:jc w:val="center"/>
              <w:rPr>
                <w:sz w:val="18"/>
                <w:szCs w:val="18"/>
              </w:rPr>
            </w:pPr>
            <w:r>
              <w:rPr>
                <w:rFonts w:hint="eastAsia"/>
                <w:sz w:val="18"/>
                <w:szCs w:val="18"/>
              </w:rPr>
              <w:t>1</w:t>
            </w:r>
            <w:r>
              <w:rPr>
                <w:sz w:val="18"/>
                <w:szCs w:val="18"/>
              </w:rPr>
              <w:t>.55</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194" w:type="pct"/>
            <w:vAlign w:val="center"/>
          </w:tcPr>
          <w:p>
            <w:pPr>
              <w:pStyle w:val="105"/>
              <w:spacing w:before="0" w:after="0"/>
              <w:jc w:val="center"/>
              <w:rPr>
                <w:rFonts w:cs="Times New Roman"/>
                <w:sz w:val="18"/>
                <w:szCs w:val="18"/>
              </w:rPr>
            </w:pPr>
            <w:r>
              <w:rPr>
                <w:rFonts w:cs="Times New Roman"/>
                <w:sz w:val="18"/>
                <w:szCs w:val="18"/>
              </w:rPr>
              <w:t>50.6</w:t>
            </w:r>
          </w:p>
        </w:tc>
        <w:tc>
          <w:tcPr>
            <w:tcW w:w="184" w:type="pct"/>
            <w:vAlign w:val="center"/>
          </w:tcPr>
          <w:p>
            <w:pPr>
              <w:pStyle w:val="105"/>
              <w:spacing w:before="0" w:after="0"/>
              <w:jc w:val="center"/>
              <w:rPr>
                <w:rFonts w:cs="Times New Roman"/>
                <w:sz w:val="18"/>
                <w:szCs w:val="18"/>
              </w:rPr>
            </w:pPr>
            <w:r>
              <w:rPr>
                <w:rFonts w:cs="Times New Roman"/>
                <w:sz w:val="18"/>
                <w:szCs w:val="18"/>
              </w:rPr>
              <w:t>56.4</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1.4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56.0</w:t>
            </w:r>
          </w:p>
        </w:tc>
        <w:tc>
          <w:tcPr>
            <w:tcW w:w="169" w:type="pct"/>
            <w:vAlign w:val="center"/>
          </w:tcPr>
          <w:p>
            <w:pPr>
              <w:pStyle w:val="105"/>
              <w:spacing w:before="0" w:after="0"/>
              <w:jc w:val="center"/>
              <w:rPr>
                <w:rFonts w:cs="Times New Roman"/>
                <w:sz w:val="18"/>
                <w:szCs w:val="18"/>
              </w:rPr>
            </w:pPr>
            <w:r>
              <w:rPr>
                <w:rFonts w:cs="Times New Roman"/>
                <w:sz w:val="18"/>
                <w:szCs w:val="18"/>
              </w:rPr>
              <w:t>58.6</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3.6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56.3</w:t>
            </w:r>
          </w:p>
        </w:tc>
        <w:tc>
          <w:tcPr>
            <w:tcW w:w="164" w:type="pct"/>
            <w:vAlign w:val="center"/>
          </w:tcPr>
          <w:p>
            <w:pPr>
              <w:pStyle w:val="105"/>
              <w:spacing w:before="0" w:after="0"/>
              <w:jc w:val="center"/>
              <w:rPr>
                <w:rFonts w:cs="Times New Roman"/>
                <w:sz w:val="18"/>
                <w:szCs w:val="18"/>
              </w:rPr>
            </w:pPr>
            <w:r>
              <w:rPr>
                <w:rFonts w:cs="Times New Roman"/>
                <w:sz w:val="18"/>
                <w:szCs w:val="18"/>
              </w:rPr>
              <w:t>58.7</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3.7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57" w:hRule="atLeast"/>
          <w:tblHeader/>
          <w:jc w:val="center"/>
        </w:trPr>
        <w:tc>
          <w:tcPr>
            <w:tcW w:w="152" w:type="pct"/>
            <w:vMerge w:val="continue"/>
            <w:vAlign w:val="center"/>
          </w:tcPr>
          <w:p>
            <w:pPr>
              <w:pStyle w:val="105"/>
              <w:spacing w:before="0" w:after="0"/>
              <w:jc w:val="center"/>
              <w:rPr>
                <w:sz w:val="18"/>
                <w:szCs w:val="18"/>
              </w:rPr>
            </w:pPr>
          </w:p>
        </w:tc>
        <w:tc>
          <w:tcPr>
            <w:tcW w:w="760" w:type="pct"/>
            <w:gridSpan w:val="2"/>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48</w:t>
            </w:r>
          </w:p>
        </w:tc>
        <w:tc>
          <w:tcPr>
            <w:tcW w:w="241" w:type="pct"/>
            <w:vAlign w:val="center"/>
          </w:tcPr>
          <w:p>
            <w:pPr>
              <w:pStyle w:val="105"/>
              <w:spacing w:before="0" w:after="0"/>
              <w:jc w:val="center"/>
              <w:rPr>
                <w:rFonts w:cs="Times New Roman"/>
                <w:sz w:val="18"/>
                <w:szCs w:val="18"/>
              </w:rPr>
            </w:pPr>
            <w:r>
              <w:rPr>
                <w:rFonts w:cs="Times New Roman"/>
                <w:sz w:val="18"/>
                <w:szCs w:val="18"/>
              </w:rPr>
              <w:t>48</w:t>
            </w:r>
          </w:p>
        </w:tc>
        <w:tc>
          <w:tcPr>
            <w:tcW w:w="194" w:type="pct"/>
            <w:vAlign w:val="center"/>
          </w:tcPr>
          <w:p>
            <w:pPr>
              <w:pStyle w:val="105"/>
              <w:spacing w:before="0" w:after="0"/>
              <w:jc w:val="center"/>
              <w:rPr>
                <w:rFonts w:cs="Times New Roman"/>
                <w:sz w:val="18"/>
                <w:szCs w:val="18"/>
              </w:rPr>
            </w:pPr>
            <w:r>
              <w:rPr>
                <w:rFonts w:cs="Times New Roman"/>
                <w:sz w:val="18"/>
                <w:szCs w:val="18"/>
              </w:rPr>
              <w:t>43.0</w:t>
            </w:r>
          </w:p>
        </w:tc>
        <w:tc>
          <w:tcPr>
            <w:tcW w:w="184" w:type="pct"/>
            <w:vAlign w:val="center"/>
          </w:tcPr>
          <w:p>
            <w:pPr>
              <w:pStyle w:val="105"/>
              <w:spacing w:before="0" w:after="0"/>
              <w:jc w:val="center"/>
              <w:rPr>
                <w:rFonts w:cs="Times New Roman"/>
                <w:sz w:val="18"/>
                <w:szCs w:val="18"/>
              </w:rPr>
            </w:pPr>
            <w:r>
              <w:rPr>
                <w:rFonts w:cs="Times New Roman"/>
                <w:sz w:val="18"/>
                <w:szCs w:val="18"/>
              </w:rPr>
              <w:t>49.2</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1.2 </w:t>
            </w:r>
          </w:p>
        </w:tc>
        <w:tc>
          <w:tcPr>
            <w:tcW w:w="193" w:type="pct"/>
            <w:vAlign w:val="center"/>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43.5</w:t>
            </w:r>
          </w:p>
        </w:tc>
        <w:tc>
          <w:tcPr>
            <w:tcW w:w="169" w:type="pct"/>
            <w:vAlign w:val="center"/>
          </w:tcPr>
          <w:p>
            <w:pPr>
              <w:pStyle w:val="105"/>
              <w:spacing w:before="0" w:after="0"/>
              <w:jc w:val="center"/>
              <w:rPr>
                <w:rFonts w:cs="Times New Roman"/>
                <w:sz w:val="18"/>
                <w:szCs w:val="18"/>
              </w:rPr>
            </w:pPr>
            <w:r>
              <w:rPr>
                <w:rFonts w:cs="Times New Roman"/>
                <w:sz w:val="18"/>
                <w:szCs w:val="18"/>
              </w:rPr>
              <w:t>49.3</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1.3 </w:t>
            </w:r>
          </w:p>
        </w:tc>
        <w:tc>
          <w:tcPr>
            <w:tcW w:w="188" w:type="pct"/>
            <w:vAlign w:val="center"/>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43.7</w:t>
            </w:r>
          </w:p>
        </w:tc>
        <w:tc>
          <w:tcPr>
            <w:tcW w:w="164" w:type="pct"/>
            <w:vAlign w:val="center"/>
          </w:tcPr>
          <w:p>
            <w:pPr>
              <w:pStyle w:val="105"/>
              <w:spacing w:before="0" w:after="0"/>
              <w:jc w:val="center"/>
              <w:rPr>
                <w:rFonts w:cs="Times New Roman"/>
                <w:sz w:val="18"/>
                <w:szCs w:val="18"/>
              </w:rPr>
            </w:pPr>
            <w:r>
              <w:rPr>
                <w:rFonts w:cs="Times New Roman"/>
                <w:sz w:val="18"/>
                <w:szCs w:val="18"/>
              </w:rPr>
              <w:t>49.4</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1.4 </w:t>
            </w:r>
          </w:p>
        </w:tc>
        <w:tc>
          <w:tcPr>
            <w:tcW w:w="152" w:type="pct"/>
            <w:vAlign w:val="center"/>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1</w:t>
            </w:r>
            <w:r>
              <w:rPr>
                <w:sz w:val="18"/>
                <w:szCs w:val="18"/>
              </w:rPr>
              <w:t>1</w:t>
            </w:r>
          </w:p>
        </w:tc>
        <w:tc>
          <w:tcPr>
            <w:tcW w:w="152" w:type="pct"/>
            <w:vMerge w:val="restart"/>
            <w:vAlign w:val="center"/>
          </w:tcPr>
          <w:p>
            <w:pPr>
              <w:pStyle w:val="105"/>
              <w:spacing w:before="0" w:after="0"/>
              <w:jc w:val="center"/>
              <w:rPr>
                <w:sz w:val="18"/>
                <w:szCs w:val="18"/>
              </w:rPr>
            </w:pPr>
            <w:r>
              <w:rPr>
                <w:rFonts w:hint="eastAsia"/>
                <w:sz w:val="18"/>
                <w:szCs w:val="18"/>
              </w:rPr>
              <w:t>联华村木厝洋</w:t>
            </w:r>
          </w:p>
        </w:tc>
        <w:tc>
          <w:tcPr>
            <w:tcW w:w="608" w:type="pct"/>
            <w:vMerge w:val="restart"/>
            <w:vAlign w:val="center"/>
          </w:tcPr>
          <w:p>
            <w:pPr>
              <w:pStyle w:val="105"/>
              <w:spacing w:before="0" w:after="0"/>
              <w:jc w:val="center"/>
              <w:rPr>
                <w:sz w:val="18"/>
                <w:szCs w:val="18"/>
              </w:rPr>
            </w:pPr>
            <w:r>
              <w:rPr>
                <w:rFonts w:hint="eastAsia"/>
                <w:sz w:val="18"/>
                <w:szCs w:val="18"/>
              </w:rPr>
              <w:t>临拟建公路第一排1</w:t>
            </w:r>
            <w:r>
              <w:rPr>
                <w:sz w:val="18"/>
                <w:szCs w:val="18"/>
              </w:rPr>
              <w:t>F</w:t>
            </w:r>
          </w:p>
        </w:tc>
        <w:tc>
          <w:tcPr>
            <w:tcW w:w="253" w:type="pct"/>
            <w:vMerge w:val="restart"/>
            <w:vAlign w:val="center"/>
          </w:tcPr>
          <w:p>
            <w:pPr>
              <w:pStyle w:val="105"/>
              <w:spacing w:before="0" w:after="0"/>
              <w:jc w:val="center"/>
              <w:rPr>
                <w:sz w:val="18"/>
                <w:szCs w:val="18"/>
              </w:rPr>
            </w:pPr>
            <w:r>
              <w:rPr>
                <w:sz w:val="18"/>
                <w:szCs w:val="18"/>
              </w:rPr>
              <w:t>20</w:t>
            </w:r>
          </w:p>
        </w:tc>
        <w:tc>
          <w:tcPr>
            <w:tcW w:w="202" w:type="pct"/>
            <w:vMerge w:val="restart"/>
            <w:vAlign w:val="center"/>
          </w:tcPr>
          <w:p>
            <w:pPr>
              <w:pStyle w:val="105"/>
              <w:spacing w:before="0" w:after="0"/>
              <w:jc w:val="center"/>
              <w:rPr>
                <w:sz w:val="18"/>
                <w:szCs w:val="18"/>
              </w:rPr>
            </w:pPr>
            <w:r>
              <w:rPr>
                <w:rFonts w:hint="eastAsia"/>
                <w:sz w:val="18"/>
                <w:szCs w:val="18"/>
              </w:rPr>
              <w:t>0</w:t>
            </w:r>
          </w:p>
        </w:tc>
        <w:tc>
          <w:tcPr>
            <w:tcW w:w="203" w:type="pct"/>
            <w:vMerge w:val="restart"/>
            <w:vAlign w:val="center"/>
          </w:tcPr>
          <w:p>
            <w:pPr>
              <w:pStyle w:val="105"/>
              <w:spacing w:before="0" w:after="0"/>
              <w:jc w:val="center"/>
              <w:rPr>
                <w:sz w:val="18"/>
                <w:szCs w:val="18"/>
              </w:rPr>
            </w:pPr>
            <w:r>
              <w:rPr>
                <w:rFonts w:hint="eastAsia"/>
                <w:sz w:val="18"/>
                <w:szCs w:val="18"/>
              </w:rPr>
              <w:t>1</w:t>
            </w:r>
            <w:r>
              <w:rPr>
                <w:sz w:val="18"/>
                <w:szCs w:val="18"/>
              </w:rPr>
              <w:t>.55</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194" w:type="pct"/>
            <w:vAlign w:val="center"/>
          </w:tcPr>
          <w:p>
            <w:pPr>
              <w:pStyle w:val="105"/>
              <w:spacing w:before="0" w:after="0"/>
              <w:jc w:val="center"/>
              <w:rPr>
                <w:rFonts w:cs="Times New Roman"/>
                <w:sz w:val="18"/>
                <w:szCs w:val="18"/>
              </w:rPr>
            </w:pPr>
            <w:r>
              <w:rPr>
                <w:rFonts w:cs="Times New Roman"/>
                <w:sz w:val="18"/>
                <w:szCs w:val="18"/>
              </w:rPr>
              <w:t>61.5</w:t>
            </w:r>
          </w:p>
        </w:tc>
        <w:tc>
          <w:tcPr>
            <w:tcW w:w="184" w:type="pct"/>
            <w:vAlign w:val="center"/>
          </w:tcPr>
          <w:p>
            <w:pPr>
              <w:pStyle w:val="105"/>
              <w:spacing w:before="0" w:after="0"/>
              <w:jc w:val="center"/>
              <w:rPr>
                <w:rFonts w:cs="Times New Roman"/>
                <w:sz w:val="18"/>
                <w:szCs w:val="18"/>
              </w:rPr>
            </w:pPr>
            <w:r>
              <w:rPr>
                <w:rFonts w:cs="Times New Roman"/>
                <w:sz w:val="18"/>
                <w:szCs w:val="18"/>
              </w:rPr>
              <w:t>62.4</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7.4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64.1</w:t>
            </w:r>
          </w:p>
        </w:tc>
        <w:tc>
          <w:tcPr>
            <w:tcW w:w="169" w:type="pct"/>
            <w:vAlign w:val="center"/>
          </w:tcPr>
          <w:p>
            <w:pPr>
              <w:pStyle w:val="105"/>
              <w:spacing w:before="0" w:after="0"/>
              <w:jc w:val="center"/>
              <w:rPr>
                <w:rFonts w:cs="Times New Roman"/>
                <w:sz w:val="18"/>
                <w:szCs w:val="18"/>
              </w:rPr>
            </w:pPr>
            <w:r>
              <w:rPr>
                <w:rFonts w:cs="Times New Roman"/>
                <w:sz w:val="18"/>
                <w:szCs w:val="18"/>
              </w:rPr>
              <w:t>64.6</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9.6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64.3</w:t>
            </w:r>
          </w:p>
        </w:tc>
        <w:tc>
          <w:tcPr>
            <w:tcW w:w="164" w:type="pct"/>
            <w:vAlign w:val="center"/>
          </w:tcPr>
          <w:p>
            <w:pPr>
              <w:pStyle w:val="105"/>
              <w:spacing w:before="0" w:after="0"/>
              <w:jc w:val="center"/>
              <w:rPr>
                <w:rFonts w:cs="Times New Roman"/>
                <w:sz w:val="18"/>
                <w:szCs w:val="18"/>
              </w:rPr>
            </w:pPr>
            <w:r>
              <w:rPr>
                <w:rFonts w:cs="Times New Roman"/>
                <w:sz w:val="18"/>
                <w:szCs w:val="18"/>
              </w:rPr>
              <w:t>64.8</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9.8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194" w:type="pct"/>
            <w:vAlign w:val="center"/>
          </w:tcPr>
          <w:p>
            <w:pPr>
              <w:pStyle w:val="105"/>
              <w:spacing w:before="0" w:after="0"/>
              <w:jc w:val="center"/>
              <w:rPr>
                <w:rFonts w:cs="Times New Roman"/>
                <w:sz w:val="18"/>
                <w:szCs w:val="18"/>
              </w:rPr>
            </w:pPr>
            <w:r>
              <w:rPr>
                <w:rFonts w:cs="Times New Roman"/>
                <w:sz w:val="18"/>
                <w:szCs w:val="18"/>
              </w:rPr>
              <w:t>53.9</w:t>
            </w:r>
          </w:p>
        </w:tc>
        <w:tc>
          <w:tcPr>
            <w:tcW w:w="184" w:type="pct"/>
            <w:vAlign w:val="center"/>
          </w:tcPr>
          <w:p>
            <w:pPr>
              <w:pStyle w:val="105"/>
              <w:spacing w:before="0" w:after="0"/>
              <w:jc w:val="center"/>
              <w:rPr>
                <w:rFonts w:cs="Times New Roman"/>
                <w:sz w:val="18"/>
                <w:szCs w:val="18"/>
              </w:rPr>
            </w:pPr>
            <w:r>
              <w:rPr>
                <w:rFonts w:cs="Times New Roman"/>
                <w:sz w:val="18"/>
                <w:szCs w:val="18"/>
              </w:rPr>
              <w:t>54.3</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11.3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54.4</w:t>
            </w:r>
          </w:p>
        </w:tc>
        <w:tc>
          <w:tcPr>
            <w:tcW w:w="169" w:type="pct"/>
            <w:vAlign w:val="center"/>
          </w:tcPr>
          <w:p>
            <w:pPr>
              <w:pStyle w:val="105"/>
              <w:spacing w:before="0" w:after="0"/>
              <w:jc w:val="center"/>
              <w:rPr>
                <w:rFonts w:cs="Times New Roman"/>
                <w:sz w:val="18"/>
                <w:szCs w:val="18"/>
              </w:rPr>
            </w:pPr>
            <w:r>
              <w:rPr>
                <w:rFonts w:cs="Times New Roman"/>
                <w:sz w:val="18"/>
                <w:szCs w:val="18"/>
              </w:rPr>
              <w:t>54.7</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11.7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54.6</w:t>
            </w:r>
          </w:p>
        </w:tc>
        <w:tc>
          <w:tcPr>
            <w:tcW w:w="164" w:type="pct"/>
            <w:vAlign w:val="center"/>
          </w:tcPr>
          <w:p>
            <w:pPr>
              <w:pStyle w:val="105"/>
              <w:spacing w:before="0" w:after="0"/>
              <w:jc w:val="center"/>
              <w:rPr>
                <w:rFonts w:cs="Times New Roman"/>
                <w:sz w:val="18"/>
                <w:szCs w:val="18"/>
              </w:rPr>
            </w:pPr>
            <w:r>
              <w:rPr>
                <w:rFonts w:cs="Times New Roman"/>
                <w:sz w:val="18"/>
                <w:szCs w:val="18"/>
              </w:rPr>
              <w:t>54.9</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11.9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临拟建公路第一排</w:t>
            </w:r>
            <w:r>
              <w:rPr>
                <w:sz w:val="18"/>
                <w:szCs w:val="18"/>
              </w:rPr>
              <w:t>3F</w:t>
            </w:r>
          </w:p>
        </w:tc>
        <w:tc>
          <w:tcPr>
            <w:tcW w:w="253" w:type="pct"/>
            <w:vMerge w:val="continue"/>
            <w:vAlign w:val="center"/>
          </w:tcPr>
          <w:p>
            <w:pPr>
              <w:pStyle w:val="105"/>
              <w:spacing w:before="0" w:after="0"/>
              <w:jc w:val="center"/>
              <w:rPr>
                <w:sz w:val="18"/>
                <w:szCs w:val="18"/>
              </w:rPr>
            </w:pPr>
          </w:p>
        </w:tc>
        <w:tc>
          <w:tcPr>
            <w:tcW w:w="202" w:type="pct"/>
            <w:vMerge w:val="restart"/>
            <w:vAlign w:val="center"/>
          </w:tcPr>
          <w:p>
            <w:pPr>
              <w:pStyle w:val="105"/>
              <w:spacing w:before="0" w:after="0"/>
              <w:jc w:val="center"/>
              <w:rPr>
                <w:sz w:val="18"/>
                <w:szCs w:val="18"/>
              </w:rPr>
            </w:pPr>
            <w:r>
              <w:rPr>
                <w:rFonts w:hint="eastAsia"/>
                <w:sz w:val="18"/>
                <w:szCs w:val="18"/>
              </w:rPr>
              <w:t>6</w:t>
            </w: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rFonts w:cs="Times New Roman"/>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194" w:type="pct"/>
            <w:vAlign w:val="center"/>
          </w:tcPr>
          <w:p>
            <w:pPr>
              <w:pStyle w:val="105"/>
              <w:spacing w:before="0" w:after="0"/>
              <w:jc w:val="center"/>
              <w:rPr>
                <w:rFonts w:cs="Times New Roman"/>
                <w:sz w:val="18"/>
                <w:szCs w:val="18"/>
              </w:rPr>
            </w:pPr>
            <w:r>
              <w:rPr>
                <w:rFonts w:cs="Times New Roman"/>
                <w:sz w:val="18"/>
                <w:szCs w:val="18"/>
              </w:rPr>
              <w:t>53.1</w:t>
            </w:r>
          </w:p>
        </w:tc>
        <w:tc>
          <w:tcPr>
            <w:tcW w:w="184" w:type="pct"/>
            <w:vAlign w:val="center"/>
          </w:tcPr>
          <w:p>
            <w:pPr>
              <w:pStyle w:val="105"/>
              <w:spacing w:before="0" w:after="0"/>
              <w:jc w:val="center"/>
              <w:rPr>
                <w:rFonts w:cs="Times New Roman"/>
                <w:sz w:val="18"/>
                <w:szCs w:val="18"/>
              </w:rPr>
            </w:pPr>
            <w:r>
              <w:rPr>
                <w:rFonts w:cs="Times New Roman"/>
                <w:sz w:val="18"/>
                <w:szCs w:val="18"/>
              </w:rPr>
              <w:t>57.2</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2.2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57.7</w:t>
            </w:r>
          </w:p>
        </w:tc>
        <w:tc>
          <w:tcPr>
            <w:tcW w:w="169" w:type="pct"/>
            <w:vAlign w:val="center"/>
          </w:tcPr>
          <w:p>
            <w:pPr>
              <w:pStyle w:val="105"/>
              <w:spacing w:before="0" w:after="0"/>
              <w:jc w:val="center"/>
              <w:rPr>
                <w:rFonts w:cs="Times New Roman"/>
                <w:sz w:val="18"/>
                <w:szCs w:val="18"/>
              </w:rPr>
            </w:pPr>
            <w:r>
              <w:rPr>
                <w:rFonts w:cs="Times New Roman"/>
                <w:sz w:val="18"/>
                <w:szCs w:val="18"/>
              </w:rPr>
              <w:t>59.6</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4.6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58.0</w:t>
            </w:r>
          </w:p>
        </w:tc>
        <w:tc>
          <w:tcPr>
            <w:tcW w:w="164" w:type="pct"/>
            <w:vAlign w:val="center"/>
          </w:tcPr>
          <w:p>
            <w:pPr>
              <w:pStyle w:val="105"/>
              <w:spacing w:before="0" w:after="0"/>
              <w:jc w:val="center"/>
              <w:rPr>
                <w:rFonts w:cs="Times New Roman"/>
                <w:sz w:val="18"/>
                <w:szCs w:val="18"/>
              </w:rPr>
            </w:pPr>
            <w:r>
              <w:rPr>
                <w:rFonts w:cs="Times New Roman"/>
                <w:sz w:val="18"/>
                <w:szCs w:val="18"/>
              </w:rPr>
              <w:t>59.7</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4.7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194" w:type="pct"/>
            <w:vAlign w:val="center"/>
          </w:tcPr>
          <w:p>
            <w:pPr>
              <w:pStyle w:val="105"/>
              <w:spacing w:before="0" w:after="0"/>
              <w:jc w:val="center"/>
              <w:rPr>
                <w:rFonts w:cs="Times New Roman"/>
                <w:sz w:val="18"/>
                <w:szCs w:val="18"/>
              </w:rPr>
            </w:pPr>
            <w:r>
              <w:rPr>
                <w:rFonts w:cs="Times New Roman"/>
                <w:sz w:val="18"/>
                <w:szCs w:val="18"/>
              </w:rPr>
              <w:t>45.9</w:t>
            </w:r>
          </w:p>
        </w:tc>
        <w:tc>
          <w:tcPr>
            <w:tcW w:w="184" w:type="pct"/>
            <w:vAlign w:val="center"/>
          </w:tcPr>
          <w:p>
            <w:pPr>
              <w:pStyle w:val="105"/>
              <w:spacing w:before="0" w:after="0"/>
              <w:jc w:val="center"/>
              <w:rPr>
                <w:rFonts w:cs="Times New Roman"/>
                <w:sz w:val="18"/>
                <w:szCs w:val="18"/>
              </w:rPr>
            </w:pPr>
            <w:r>
              <w:rPr>
                <w:rFonts w:cs="Times New Roman"/>
                <w:sz w:val="18"/>
                <w:szCs w:val="18"/>
              </w:rPr>
              <w:t>47.7</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4.7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46.3</w:t>
            </w:r>
          </w:p>
        </w:tc>
        <w:tc>
          <w:tcPr>
            <w:tcW w:w="169" w:type="pct"/>
            <w:vAlign w:val="center"/>
          </w:tcPr>
          <w:p>
            <w:pPr>
              <w:pStyle w:val="105"/>
              <w:spacing w:before="0" w:after="0"/>
              <w:jc w:val="center"/>
              <w:rPr>
                <w:rFonts w:cs="Times New Roman"/>
                <w:sz w:val="18"/>
                <w:szCs w:val="18"/>
              </w:rPr>
            </w:pPr>
            <w:r>
              <w:rPr>
                <w:rFonts w:cs="Times New Roman"/>
                <w:sz w:val="18"/>
                <w:szCs w:val="18"/>
              </w:rPr>
              <w:t>48.0</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5.0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46.6</w:t>
            </w:r>
          </w:p>
        </w:tc>
        <w:tc>
          <w:tcPr>
            <w:tcW w:w="164" w:type="pct"/>
            <w:vAlign w:val="center"/>
          </w:tcPr>
          <w:p>
            <w:pPr>
              <w:pStyle w:val="105"/>
              <w:spacing w:before="0" w:after="0"/>
              <w:jc w:val="center"/>
              <w:rPr>
                <w:rFonts w:cs="Times New Roman"/>
                <w:sz w:val="18"/>
                <w:szCs w:val="18"/>
              </w:rPr>
            </w:pPr>
            <w:r>
              <w:rPr>
                <w:rFonts w:cs="Times New Roman"/>
                <w:sz w:val="18"/>
                <w:szCs w:val="18"/>
              </w:rPr>
              <w:t>48.1</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5.1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restart"/>
            <w:vAlign w:val="center"/>
          </w:tcPr>
          <w:p>
            <w:pPr>
              <w:pStyle w:val="105"/>
              <w:spacing w:before="0" w:after="0"/>
              <w:jc w:val="center"/>
              <w:rPr>
                <w:sz w:val="18"/>
                <w:szCs w:val="18"/>
              </w:rPr>
            </w:pPr>
            <w:r>
              <w:rPr>
                <w:rFonts w:hint="eastAsia"/>
                <w:sz w:val="18"/>
                <w:szCs w:val="18"/>
              </w:rPr>
              <w:t>后排</w:t>
            </w:r>
          </w:p>
        </w:tc>
        <w:tc>
          <w:tcPr>
            <w:tcW w:w="253" w:type="pct"/>
            <w:vMerge w:val="restart"/>
            <w:vAlign w:val="center"/>
          </w:tcPr>
          <w:p>
            <w:pPr>
              <w:pStyle w:val="105"/>
              <w:spacing w:before="0" w:after="0"/>
              <w:jc w:val="center"/>
              <w:rPr>
                <w:sz w:val="18"/>
                <w:szCs w:val="18"/>
              </w:rPr>
            </w:pPr>
            <w:r>
              <w:rPr>
                <w:sz w:val="18"/>
                <w:szCs w:val="18"/>
              </w:rPr>
              <w:t>50</w:t>
            </w:r>
          </w:p>
        </w:tc>
        <w:tc>
          <w:tcPr>
            <w:tcW w:w="202" w:type="pct"/>
            <w:vMerge w:val="restart"/>
            <w:vAlign w:val="center"/>
          </w:tcPr>
          <w:p>
            <w:pPr>
              <w:pStyle w:val="105"/>
              <w:spacing w:before="0" w:after="0"/>
              <w:jc w:val="center"/>
              <w:rPr>
                <w:sz w:val="18"/>
                <w:szCs w:val="18"/>
              </w:rPr>
            </w:pPr>
            <w:r>
              <w:rPr>
                <w:rFonts w:hint="eastAsia"/>
                <w:sz w:val="18"/>
                <w:szCs w:val="18"/>
              </w:rPr>
              <w:t>0</w:t>
            </w:r>
          </w:p>
        </w:tc>
        <w:tc>
          <w:tcPr>
            <w:tcW w:w="203" w:type="pct"/>
            <w:vMerge w:val="restart"/>
            <w:vAlign w:val="center"/>
          </w:tcPr>
          <w:p>
            <w:pPr>
              <w:pStyle w:val="105"/>
              <w:spacing w:before="0" w:after="0"/>
              <w:jc w:val="center"/>
              <w:rPr>
                <w:sz w:val="18"/>
                <w:szCs w:val="18"/>
              </w:rPr>
            </w:pPr>
            <w:r>
              <w:rPr>
                <w:rFonts w:hint="eastAsia"/>
                <w:sz w:val="18"/>
                <w:szCs w:val="18"/>
              </w:rPr>
              <w:t>1</w:t>
            </w:r>
            <w:r>
              <w:rPr>
                <w:sz w:val="18"/>
                <w:szCs w:val="18"/>
              </w:rPr>
              <w:t>.55</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55</w:t>
            </w:r>
          </w:p>
        </w:tc>
        <w:tc>
          <w:tcPr>
            <w:tcW w:w="194" w:type="pct"/>
            <w:vAlign w:val="center"/>
          </w:tcPr>
          <w:p>
            <w:pPr>
              <w:pStyle w:val="105"/>
              <w:spacing w:before="0" w:after="0"/>
              <w:jc w:val="center"/>
              <w:rPr>
                <w:rFonts w:cs="Times New Roman"/>
                <w:sz w:val="18"/>
                <w:szCs w:val="18"/>
              </w:rPr>
            </w:pPr>
            <w:r>
              <w:rPr>
                <w:rFonts w:cs="Times New Roman"/>
                <w:sz w:val="18"/>
                <w:szCs w:val="18"/>
              </w:rPr>
              <w:t>53.1</w:t>
            </w:r>
          </w:p>
        </w:tc>
        <w:tc>
          <w:tcPr>
            <w:tcW w:w="184" w:type="pct"/>
            <w:vAlign w:val="center"/>
          </w:tcPr>
          <w:p>
            <w:pPr>
              <w:pStyle w:val="105"/>
              <w:spacing w:before="0" w:after="0"/>
              <w:jc w:val="center"/>
              <w:rPr>
                <w:rFonts w:cs="Times New Roman"/>
                <w:sz w:val="18"/>
                <w:szCs w:val="18"/>
              </w:rPr>
            </w:pPr>
            <w:r>
              <w:rPr>
                <w:rFonts w:cs="Times New Roman"/>
                <w:sz w:val="18"/>
                <w:szCs w:val="18"/>
              </w:rPr>
              <w:t>57.2</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2.2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57.7</w:t>
            </w:r>
          </w:p>
        </w:tc>
        <w:tc>
          <w:tcPr>
            <w:tcW w:w="169" w:type="pct"/>
            <w:vAlign w:val="center"/>
          </w:tcPr>
          <w:p>
            <w:pPr>
              <w:pStyle w:val="105"/>
              <w:spacing w:before="0" w:after="0"/>
              <w:jc w:val="center"/>
              <w:rPr>
                <w:rFonts w:cs="Times New Roman"/>
                <w:sz w:val="18"/>
                <w:szCs w:val="18"/>
              </w:rPr>
            </w:pPr>
            <w:r>
              <w:rPr>
                <w:rFonts w:cs="Times New Roman"/>
                <w:sz w:val="18"/>
                <w:szCs w:val="18"/>
              </w:rPr>
              <w:t>59.6</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4.6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58.0</w:t>
            </w:r>
          </w:p>
        </w:tc>
        <w:tc>
          <w:tcPr>
            <w:tcW w:w="164" w:type="pct"/>
            <w:vAlign w:val="center"/>
          </w:tcPr>
          <w:p>
            <w:pPr>
              <w:pStyle w:val="105"/>
              <w:spacing w:before="0" w:after="0"/>
              <w:jc w:val="center"/>
              <w:rPr>
                <w:rFonts w:cs="Times New Roman"/>
                <w:sz w:val="18"/>
                <w:szCs w:val="18"/>
              </w:rPr>
            </w:pPr>
            <w:r>
              <w:rPr>
                <w:rFonts w:cs="Times New Roman"/>
                <w:sz w:val="18"/>
                <w:szCs w:val="18"/>
              </w:rPr>
              <w:t>59.7</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4.7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152" w:type="pct"/>
            <w:vMerge w:val="continue"/>
            <w:vAlign w:val="center"/>
          </w:tcPr>
          <w:p>
            <w:pPr>
              <w:pStyle w:val="105"/>
              <w:spacing w:before="0" w:after="0"/>
              <w:jc w:val="center"/>
              <w:rPr>
                <w:sz w:val="18"/>
                <w:szCs w:val="18"/>
              </w:rPr>
            </w:pPr>
          </w:p>
        </w:tc>
        <w:tc>
          <w:tcPr>
            <w:tcW w:w="608" w:type="pct"/>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241" w:type="pct"/>
            <w:vAlign w:val="center"/>
          </w:tcPr>
          <w:p>
            <w:pPr>
              <w:pStyle w:val="105"/>
              <w:spacing w:before="0" w:after="0"/>
              <w:jc w:val="center"/>
              <w:rPr>
                <w:rFonts w:cs="Times New Roman"/>
                <w:sz w:val="18"/>
                <w:szCs w:val="18"/>
              </w:rPr>
            </w:pPr>
            <w:r>
              <w:rPr>
                <w:rFonts w:cs="Times New Roman"/>
                <w:sz w:val="18"/>
                <w:szCs w:val="18"/>
              </w:rPr>
              <w:t>43</w:t>
            </w:r>
          </w:p>
        </w:tc>
        <w:tc>
          <w:tcPr>
            <w:tcW w:w="194" w:type="pct"/>
            <w:vAlign w:val="center"/>
          </w:tcPr>
          <w:p>
            <w:pPr>
              <w:pStyle w:val="105"/>
              <w:spacing w:before="0" w:after="0"/>
              <w:jc w:val="center"/>
              <w:rPr>
                <w:rFonts w:cs="Times New Roman"/>
                <w:sz w:val="18"/>
                <w:szCs w:val="18"/>
              </w:rPr>
            </w:pPr>
            <w:r>
              <w:rPr>
                <w:rFonts w:cs="Times New Roman"/>
                <w:sz w:val="18"/>
                <w:szCs w:val="18"/>
              </w:rPr>
              <w:t>45.9</w:t>
            </w:r>
          </w:p>
        </w:tc>
        <w:tc>
          <w:tcPr>
            <w:tcW w:w="184" w:type="pct"/>
            <w:vAlign w:val="center"/>
          </w:tcPr>
          <w:p>
            <w:pPr>
              <w:pStyle w:val="105"/>
              <w:spacing w:before="0" w:after="0"/>
              <w:jc w:val="center"/>
              <w:rPr>
                <w:rFonts w:cs="Times New Roman"/>
                <w:sz w:val="18"/>
                <w:szCs w:val="18"/>
              </w:rPr>
            </w:pPr>
            <w:r>
              <w:rPr>
                <w:rFonts w:cs="Times New Roman"/>
                <w:sz w:val="18"/>
                <w:szCs w:val="18"/>
              </w:rPr>
              <w:t>47.7</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4.7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46.3</w:t>
            </w:r>
          </w:p>
        </w:tc>
        <w:tc>
          <w:tcPr>
            <w:tcW w:w="169" w:type="pct"/>
            <w:vAlign w:val="center"/>
          </w:tcPr>
          <w:p>
            <w:pPr>
              <w:pStyle w:val="105"/>
              <w:spacing w:before="0" w:after="0"/>
              <w:jc w:val="center"/>
              <w:rPr>
                <w:rFonts w:cs="Times New Roman"/>
                <w:sz w:val="18"/>
                <w:szCs w:val="18"/>
              </w:rPr>
            </w:pPr>
            <w:r>
              <w:rPr>
                <w:rFonts w:cs="Times New Roman"/>
                <w:sz w:val="18"/>
                <w:szCs w:val="18"/>
              </w:rPr>
              <w:t>48.0</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5.0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46.6</w:t>
            </w:r>
          </w:p>
        </w:tc>
        <w:tc>
          <w:tcPr>
            <w:tcW w:w="164" w:type="pct"/>
            <w:vAlign w:val="center"/>
          </w:tcPr>
          <w:p>
            <w:pPr>
              <w:pStyle w:val="105"/>
              <w:spacing w:before="0" w:after="0"/>
              <w:jc w:val="center"/>
              <w:rPr>
                <w:rFonts w:cs="Times New Roman"/>
                <w:sz w:val="18"/>
                <w:szCs w:val="18"/>
              </w:rPr>
            </w:pPr>
            <w:r>
              <w:rPr>
                <w:rFonts w:cs="Times New Roman"/>
                <w:sz w:val="18"/>
                <w:szCs w:val="18"/>
              </w:rPr>
              <w:t>48.1</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5.1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restart"/>
            <w:vAlign w:val="center"/>
          </w:tcPr>
          <w:p>
            <w:pPr>
              <w:pStyle w:val="105"/>
              <w:spacing w:before="0" w:after="0"/>
              <w:jc w:val="center"/>
              <w:rPr>
                <w:sz w:val="18"/>
                <w:szCs w:val="18"/>
              </w:rPr>
            </w:pPr>
            <w:r>
              <w:rPr>
                <w:rFonts w:hint="eastAsia"/>
                <w:sz w:val="18"/>
                <w:szCs w:val="18"/>
              </w:rPr>
              <w:t>1</w:t>
            </w:r>
            <w:r>
              <w:rPr>
                <w:sz w:val="18"/>
                <w:szCs w:val="18"/>
              </w:rPr>
              <w:t>2</w:t>
            </w:r>
          </w:p>
        </w:tc>
        <w:tc>
          <w:tcPr>
            <w:tcW w:w="760" w:type="pct"/>
            <w:gridSpan w:val="2"/>
            <w:vMerge w:val="restart"/>
            <w:vAlign w:val="center"/>
          </w:tcPr>
          <w:p>
            <w:pPr>
              <w:pStyle w:val="105"/>
              <w:spacing w:before="0" w:after="0"/>
              <w:jc w:val="center"/>
              <w:rPr>
                <w:sz w:val="18"/>
                <w:szCs w:val="18"/>
              </w:rPr>
            </w:pPr>
            <w:r>
              <w:rPr>
                <w:rFonts w:hint="eastAsia"/>
                <w:sz w:val="18"/>
                <w:szCs w:val="18"/>
              </w:rPr>
              <w:t>联华村三落厝</w:t>
            </w:r>
          </w:p>
        </w:tc>
        <w:tc>
          <w:tcPr>
            <w:tcW w:w="253" w:type="pct"/>
            <w:vMerge w:val="restart"/>
            <w:vAlign w:val="center"/>
          </w:tcPr>
          <w:p>
            <w:pPr>
              <w:pStyle w:val="105"/>
              <w:spacing w:before="0" w:after="0"/>
              <w:jc w:val="center"/>
              <w:rPr>
                <w:sz w:val="18"/>
                <w:szCs w:val="18"/>
              </w:rPr>
            </w:pPr>
            <w:r>
              <w:rPr>
                <w:rFonts w:hint="eastAsia"/>
                <w:sz w:val="18"/>
                <w:szCs w:val="18"/>
              </w:rPr>
              <w:t>3</w:t>
            </w:r>
            <w:r>
              <w:rPr>
                <w:sz w:val="18"/>
                <w:szCs w:val="18"/>
              </w:rPr>
              <w:t>5</w:t>
            </w: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9</w:t>
            </w:r>
          </w:p>
        </w:tc>
        <w:tc>
          <w:tcPr>
            <w:tcW w:w="203" w:type="pct"/>
            <w:vMerge w:val="restart"/>
            <w:vAlign w:val="center"/>
          </w:tcPr>
          <w:p>
            <w:pPr>
              <w:pStyle w:val="105"/>
              <w:spacing w:before="0" w:after="0"/>
              <w:jc w:val="center"/>
              <w:rPr>
                <w:sz w:val="18"/>
                <w:szCs w:val="18"/>
              </w:rPr>
            </w:pPr>
            <w:r>
              <w:rPr>
                <w:sz w:val="18"/>
                <w:szCs w:val="18"/>
              </w:rPr>
              <w:t>-2.8</w:t>
            </w:r>
          </w:p>
        </w:tc>
        <w:tc>
          <w:tcPr>
            <w:tcW w:w="208" w:type="pct"/>
            <w:vMerge w:val="restart"/>
            <w:vAlign w:val="center"/>
          </w:tcPr>
          <w:p>
            <w:pPr>
              <w:pStyle w:val="105"/>
              <w:spacing w:before="0" w:after="0"/>
              <w:jc w:val="center"/>
              <w:rPr>
                <w:sz w:val="18"/>
                <w:szCs w:val="18"/>
              </w:rPr>
            </w:pPr>
            <w:r>
              <w:rPr>
                <w:sz w:val="18"/>
                <w:szCs w:val="18"/>
              </w:rPr>
              <w:t>4</w:t>
            </w:r>
            <w:r>
              <w:rPr>
                <w:rFonts w:hint="eastAsia"/>
                <w:sz w:val="18"/>
                <w:szCs w:val="18"/>
              </w:rPr>
              <w:t>a类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70</w:t>
            </w:r>
          </w:p>
        </w:tc>
        <w:tc>
          <w:tcPr>
            <w:tcW w:w="241" w:type="pct"/>
            <w:vAlign w:val="center"/>
          </w:tcPr>
          <w:p>
            <w:pPr>
              <w:pStyle w:val="105"/>
              <w:spacing w:before="0" w:after="0"/>
              <w:jc w:val="center"/>
              <w:rPr>
                <w:rFonts w:cs="Times New Roman"/>
                <w:sz w:val="18"/>
                <w:szCs w:val="18"/>
              </w:rPr>
            </w:pPr>
            <w:r>
              <w:rPr>
                <w:rFonts w:cs="Times New Roman"/>
                <w:sz w:val="18"/>
                <w:szCs w:val="18"/>
              </w:rPr>
              <w:t>52</w:t>
            </w:r>
          </w:p>
        </w:tc>
        <w:tc>
          <w:tcPr>
            <w:tcW w:w="241" w:type="pct"/>
            <w:vAlign w:val="center"/>
          </w:tcPr>
          <w:p>
            <w:pPr>
              <w:pStyle w:val="105"/>
              <w:spacing w:before="0" w:after="0"/>
              <w:jc w:val="center"/>
              <w:rPr>
                <w:rFonts w:cs="Times New Roman"/>
                <w:sz w:val="18"/>
                <w:szCs w:val="18"/>
              </w:rPr>
            </w:pPr>
            <w:r>
              <w:rPr>
                <w:rFonts w:cs="Times New Roman"/>
                <w:sz w:val="18"/>
                <w:szCs w:val="18"/>
              </w:rPr>
              <w:t>52</w:t>
            </w:r>
          </w:p>
        </w:tc>
        <w:tc>
          <w:tcPr>
            <w:tcW w:w="194" w:type="pct"/>
            <w:vAlign w:val="center"/>
          </w:tcPr>
          <w:p>
            <w:pPr>
              <w:pStyle w:val="105"/>
              <w:spacing w:before="0" w:after="0"/>
              <w:jc w:val="center"/>
              <w:rPr>
                <w:rFonts w:cs="Times New Roman"/>
                <w:sz w:val="18"/>
                <w:szCs w:val="18"/>
              </w:rPr>
            </w:pPr>
            <w:r>
              <w:rPr>
                <w:rFonts w:cs="Times New Roman"/>
                <w:sz w:val="18"/>
                <w:szCs w:val="18"/>
              </w:rPr>
              <w:t>61.0</w:t>
            </w:r>
          </w:p>
        </w:tc>
        <w:tc>
          <w:tcPr>
            <w:tcW w:w="184" w:type="pct"/>
            <w:vAlign w:val="center"/>
          </w:tcPr>
          <w:p>
            <w:pPr>
              <w:pStyle w:val="105"/>
              <w:spacing w:before="0" w:after="0"/>
              <w:jc w:val="center"/>
              <w:rPr>
                <w:rFonts w:cs="Times New Roman"/>
                <w:sz w:val="18"/>
                <w:szCs w:val="18"/>
              </w:rPr>
            </w:pPr>
            <w:r>
              <w:rPr>
                <w:rFonts w:cs="Times New Roman"/>
                <w:sz w:val="18"/>
                <w:szCs w:val="18"/>
              </w:rPr>
              <w:t>61.5</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9.5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64.8</w:t>
            </w:r>
          </w:p>
        </w:tc>
        <w:tc>
          <w:tcPr>
            <w:tcW w:w="169" w:type="pct"/>
            <w:vAlign w:val="center"/>
          </w:tcPr>
          <w:p>
            <w:pPr>
              <w:pStyle w:val="105"/>
              <w:spacing w:before="0" w:after="0"/>
              <w:jc w:val="center"/>
              <w:rPr>
                <w:rFonts w:cs="Times New Roman"/>
                <w:sz w:val="18"/>
                <w:szCs w:val="18"/>
              </w:rPr>
            </w:pPr>
            <w:r>
              <w:rPr>
                <w:rFonts w:cs="Times New Roman"/>
                <w:sz w:val="18"/>
                <w:szCs w:val="18"/>
              </w:rPr>
              <w:t>65.0</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13.0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65.0</w:t>
            </w:r>
          </w:p>
        </w:tc>
        <w:tc>
          <w:tcPr>
            <w:tcW w:w="164" w:type="pct"/>
            <w:vAlign w:val="center"/>
          </w:tcPr>
          <w:p>
            <w:pPr>
              <w:pStyle w:val="105"/>
              <w:spacing w:before="0" w:after="0"/>
              <w:jc w:val="center"/>
              <w:rPr>
                <w:rFonts w:cs="Times New Roman"/>
                <w:sz w:val="18"/>
                <w:szCs w:val="18"/>
              </w:rPr>
            </w:pPr>
            <w:r>
              <w:rPr>
                <w:rFonts w:cs="Times New Roman"/>
                <w:sz w:val="18"/>
                <w:szCs w:val="18"/>
              </w:rPr>
              <w:t>65.3</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13.3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760" w:type="pct"/>
            <w:gridSpan w:val="2"/>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55</w:t>
            </w:r>
          </w:p>
        </w:tc>
        <w:tc>
          <w:tcPr>
            <w:tcW w:w="241" w:type="pct"/>
            <w:vAlign w:val="center"/>
          </w:tcPr>
          <w:p>
            <w:pPr>
              <w:pStyle w:val="105"/>
              <w:spacing w:before="0" w:after="0"/>
              <w:jc w:val="center"/>
              <w:rPr>
                <w:rFonts w:cs="Times New Roman"/>
                <w:sz w:val="18"/>
                <w:szCs w:val="18"/>
              </w:rPr>
            </w:pPr>
            <w:r>
              <w:rPr>
                <w:rFonts w:cs="Times New Roman"/>
                <w:sz w:val="18"/>
                <w:szCs w:val="18"/>
              </w:rPr>
              <w:t>41</w:t>
            </w:r>
          </w:p>
        </w:tc>
        <w:tc>
          <w:tcPr>
            <w:tcW w:w="241" w:type="pct"/>
            <w:vAlign w:val="center"/>
          </w:tcPr>
          <w:p>
            <w:pPr>
              <w:pStyle w:val="105"/>
              <w:spacing w:before="0" w:after="0"/>
              <w:jc w:val="center"/>
              <w:rPr>
                <w:rFonts w:cs="Times New Roman"/>
                <w:sz w:val="18"/>
                <w:szCs w:val="18"/>
              </w:rPr>
            </w:pPr>
            <w:r>
              <w:rPr>
                <w:rFonts w:cs="Times New Roman"/>
                <w:sz w:val="18"/>
                <w:szCs w:val="18"/>
              </w:rPr>
              <w:t>41</w:t>
            </w:r>
          </w:p>
        </w:tc>
        <w:tc>
          <w:tcPr>
            <w:tcW w:w="194" w:type="pct"/>
            <w:vAlign w:val="center"/>
          </w:tcPr>
          <w:p>
            <w:pPr>
              <w:pStyle w:val="105"/>
              <w:spacing w:before="0" w:after="0"/>
              <w:jc w:val="center"/>
              <w:rPr>
                <w:rFonts w:cs="Times New Roman"/>
                <w:sz w:val="18"/>
                <w:szCs w:val="18"/>
              </w:rPr>
            </w:pPr>
            <w:r>
              <w:rPr>
                <w:rFonts w:cs="Times New Roman"/>
                <w:sz w:val="18"/>
                <w:szCs w:val="18"/>
              </w:rPr>
              <w:t>53.4</w:t>
            </w:r>
          </w:p>
        </w:tc>
        <w:tc>
          <w:tcPr>
            <w:tcW w:w="184" w:type="pct"/>
            <w:vAlign w:val="center"/>
          </w:tcPr>
          <w:p>
            <w:pPr>
              <w:pStyle w:val="105"/>
              <w:spacing w:before="0" w:after="0"/>
              <w:jc w:val="center"/>
              <w:rPr>
                <w:rFonts w:cs="Times New Roman"/>
                <w:sz w:val="18"/>
                <w:szCs w:val="18"/>
              </w:rPr>
            </w:pPr>
            <w:r>
              <w:rPr>
                <w:rFonts w:cs="Times New Roman"/>
                <w:sz w:val="18"/>
                <w:szCs w:val="18"/>
              </w:rPr>
              <w:t>53.6</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12.6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53.8</w:t>
            </w:r>
          </w:p>
        </w:tc>
        <w:tc>
          <w:tcPr>
            <w:tcW w:w="169" w:type="pct"/>
            <w:vAlign w:val="center"/>
          </w:tcPr>
          <w:p>
            <w:pPr>
              <w:pStyle w:val="105"/>
              <w:spacing w:before="0" w:after="0"/>
              <w:jc w:val="center"/>
              <w:rPr>
                <w:rFonts w:cs="Times New Roman"/>
                <w:sz w:val="18"/>
                <w:szCs w:val="18"/>
              </w:rPr>
            </w:pPr>
            <w:r>
              <w:rPr>
                <w:rFonts w:cs="Times New Roman"/>
                <w:sz w:val="18"/>
                <w:szCs w:val="18"/>
              </w:rPr>
              <w:t>54.1</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13.1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54.1</w:t>
            </w:r>
          </w:p>
        </w:tc>
        <w:tc>
          <w:tcPr>
            <w:tcW w:w="164" w:type="pct"/>
            <w:vAlign w:val="center"/>
          </w:tcPr>
          <w:p>
            <w:pPr>
              <w:pStyle w:val="105"/>
              <w:spacing w:before="0" w:after="0"/>
              <w:jc w:val="center"/>
              <w:rPr>
                <w:rFonts w:cs="Times New Roman"/>
                <w:sz w:val="18"/>
                <w:szCs w:val="18"/>
              </w:rPr>
            </w:pPr>
            <w:r>
              <w:rPr>
                <w:rFonts w:cs="Times New Roman"/>
                <w:sz w:val="18"/>
                <w:szCs w:val="18"/>
              </w:rPr>
              <w:t>54.3</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13.3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760" w:type="pct"/>
            <w:gridSpan w:val="2"/>
            <w:vMerge w:val="continue"/>
            <w:vAlign w:val="center"/>
          </w:tcPr>
          <w:p>
            <w:pPr>
              <w:pStyle w:val="105"/>
              <w:spacing w:before="0" w:after="0"/>
              <w:jc w:val="center"/>
              <w:rPr>
                <w:sz w:val="18"/>
                <w:szCs w:val="18"/>
              </w:rPr>
            </w:pPr>
          </w:p>
        </w:tc>
        <w:tc>
          <w:tcPr>
            <w:tcW w:w="253" w:type="pct"/>
            <w:vMerge w:val="restart"/>
            <w:vAlign w:val="center"/>
          </w:tcPr>
          <w:p>
            <w:pPr>
              <w:pStyle w:val="105"/>
              <w:spacing w:before="0" w:after="0"/>
              <w:jc w:val="center"/>
              <w:rPr>
                <w:sz w:val="18"/>
                <w:szCs w:val="18"/>
              </w:rPr>
            </w:pPr>
            <w:r>
              <w:rPr>
                <w:rFonts w:hint="eastAsia"/>
                <w:sz w:val="18"/>
                <w:szCs w:val="18"/>
              </w:rPr>
              <w:t>7</w:t>
            </w:r>
            <w:r>
              <w:rPr>
                <w:sz w:val="18"/>
                <w:szCs w:val="18"/>
              </w:rPr>
              <w:t>7</w:t>
            </w:r>
          </w:p>
        </w:tc>
        <w:tc>
          <w:tcPr>
            <w:tcW w:w="202" w:type="pct"/>
            <w:vMerge w:val="restart"/>
            <w:vAlign w:val="center"/>
          </w:tcPr>
          <w:p>
            <w:pPr>
              <w:pStyle w:val="105"/>
              <w:spacing w:before="0" w:after="0"/>
              <w:jc w:val="center"/>
              <w:rPr>
                <w:sz w:val="18"/>
                <w:szCs w:val="18"/>
              </w:rPr>
            </w:pPr>
            <w:r>
              <w:rPr>
                <w:rFonts w:hint="eastAsia"/>
                <w:sz w:val="18"/>
                <w:szCs w:val="18"/>
              </w:rPr>
              <w:t>-</w:t>
            </w:r>
            <w:r>
              <w:rPr>
                <w:sz w:val="18"/>
                <w:szCs w:val="18"/>
              </w:rPr>
              <w:t>9</w:t>
            </w:r>
          </w:p>
        </w:tc>
        <w:tc>
          <w:tcPr>
            <w:tcW w:w="203" w:type="pct"/>
            <w:vMerge w:val="restart"/>
            <w:vAlign w:val="center"/>
          </w:tcPr>
          <w:p>
            <w:pPr>
              <w:pStyle w:val="105"/>
              <w:spacing w:before="0" w:after="0"/>
              <w:jc w:val="center"/>
              <w:rPr>
                <w:sz w:val="18"/>
                <w:szCs w:val="18"/>
              </w:rPr>
            </w:pPr>
            <w:r>
              <w:rPr>
                <w:sz w:val="18"/>
                <w:szCs w:val="18"/>
              </w:rPr>
              <w:t>-2.8</w:t>
            </w:r>
          </w:p>
        </w:tc>
        <w:tc>
          <w:tcPr>
            <w:tcW w:w="208" w:type="pct"/>
            <w:vMerge w:val="restart"/>
            <w:vAlign w:val="center"/>
          </w:tcPr>
          <w:p>
            <w:pPr>
              <w:pStyle w:val="105"/>
              <w:spacing w:before="0" w:after="0"/>
              <w:jc w:val="center"/>
              <w:rPr>
                <w:sz w:val="18"/>
                <w:szCs w:val="18"/>
              </w:rPr>
            </w:pPr>
            <w:r>
              <w:rPr>
                <w:sz w:val="18"/>
                <w:szCs w:val="18"/>
              </w:rPr>
              <w:t>2</w:t>
            </w:r>
            <w:r>
              <w:rPr>
                <w:rFonts w:hint="eastAsia"/>
                <w:sz w:val="18"/>
                <w:szCs w:val="18"/>
              </w:rPr>
              <w:t>类</w:t>
            </w:r>
          </w:p>
        </w:tc>
        <w:tc>
          <w:tcPr>
            <w:tcW w:w="241" w:type="pct"/>
            <w:vAlign w:val="center"/>
          </w:tcPr>
          <w:p>
            <w:pPr>
              <w:pStyle w:val="105"/>
              <w:spacing w:before="0" w:after="0"/>
              <w:jc w:val="center"/>
              <w:rPr>
                <w:sz w:val="18"/>
                <w:szCs w:val="18"/>
              </w:rPr>
            </w:pPr>
            <w:r>
              <w:rPr>
                <w:rFonts w:hint="eastAsia"/>
                <w:sz w:val="18"/>
                <w:szCs w:val="18"/>
              </w:rPr>
              <w:t>昼</w:t>
            </w:r>
          </w:p>
        </w:tc>
        <w:tc>
          <w:tcPr>
            <w:tcW w:w="241" w:type="pct"/>
            <w:vAlign w:val="center"/>
          </w:tcPr>
          <w:p>
            <w:pPr>
              <w:pStyle w:val="105"/>
              <w:spacing w:before="0" w:after="0"/>
              <w:jc w:val="center"/>
              <w:rPr>
                <w:sz w:val="18"/>
                <w:szCs w:val="18"/>
              </w:rPr>
            </w:pPr>
            <w:r>
              <w:rPr>
                <w:rFonts w:cs="Times New Roman"/>
                <w:sz w:val="18"/>
                <w:szCs w:val="18"/>
              </w:rPr>
              <w:t>60</w:t>
            </w:r>
          </w:p>
        </w:tc>
        <w:tc>
          <w:tcPr>
            <w:tcW w:w="241" w:type="pct"/>
            <w:vAlign w:val="center"/>
          </w:tcPr>
          <w:p>
            <w:pPr>
              <w:pStyle w:val="105"/>
              <w:spacing w:before="0" w:after="0"/>
              <w:jc w:val="center"/>
              <w:rPr>
                <w:rFonts w:cs="Times New Roman"/>
                <w:sz w:val="18"/>
                <w:szCs w:val="18"/>
              </w:rPr>
            </w:pPr>
            <w:r>
              <w:rPr>
                <w:rFonts w:cs="Times New Roman"/>
                <w:sz w:val="18"/>
                <w:szCs w:val="18"/>
              </w:rPr>
              <w:t>52</w:t>
            </w:r>
          </w:p>
        </w:tc>
        <w:tc>
          <w:tcPr>
            <w:tcW w:w="241" w:type="pct"/>
            <w:vAlign w:val="center"/>
          </w:tcPr>
          <w:p>
            <w:pPr>
              <w:pStyle w:val="105"/>
              <w:spacing w:before="0" w:after="0"/>
              <w:jc w:val="center"/>
              <w:rPr>
                <w:rFonts w:cs="Times New Roman"/>
                <w:sz w:val="18"/>
                <w:szCs w:val="18"/>
              </w:rPr>
            </w:pPr>
            <w:r>
              <w:rPr>
                <w:rFonts w:cs="Times New Roman"/>
                <w:sz w:val="18"/>
                <w:szCs w:val="18"/>
              </w:rPr>
              <w:t>52</w:t>
            </w:r>
          </w:p>
        </w:tc>
        <w:tc>
          <w:tcPr>
            <w:tcW w:w="194" w:type="pct"/>
            <w:vAlign w:val="center"/>
          </w:tcPr>
          <w:p>
            <w:pPr>
              <w:pStyle w:val="105"/>
              <w:spacing w:before="0" w:after="0"/>
              <w:jc w:val="center"/>
              <w:rPr>
                <w:rFonts w:cs="Times New Roman"/>
                <w:sz w:val="18"/>
                <w:szCs w:val="18"/>
              </w:rPr>
            </w:pPr>
            <w:r>
              <w:rPr>
                <w:rFonts w:cs="Times New Roman"/>
                <w:sz w:val="18"/>
                <w:szCs w:val="18"/>
              </w:rPr>
              <w:t>51.5</w:t>
            </w:r>
          </w:p>
        </w:tc>
        <w:tc>
          <w:tcPr>
            <w:tcW w:w="184" w:type="pct"/>
            <w:vAlign w:val="center"/>
          </w:tcPr>
          <w:p>
            <w:pPr>
              <w:pStyle w:val="105"/>
              <w:spacing w:before="0" w:after="0"/>
              <w:jc w:val="center"/>
              <w:rPr>
                <w:rFonts w:cs="Times New Roman"/>
                <w:sz w:val="18"/>
                <w:szCs w:val="18"/>
              </w:rPr>
            </w:pPr>
            <w:r>
              <w:rPr>
                <w:rFonts w:cs="Times New Roman"/>
                <w:sz w:val="18"/>
                <w:szCs w:val="18"/>
              </w:rPr>
              <w:t>54.8</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2.8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57.1</w:t>
            </w:r>
          </w:p>
        </w:tc>
        <w:tc>
          <w:tcPr>
            <w:tcW w:w="169" w:type="pct"/>
            <w:vAlign w:val="center"/>
          </w:tcPr>
          <w:p>
            <w:pPr>
              <w:pStyle w:val="105"/>
              <w:spacing w:before="0" w:after="0"/>
              <w:jc w:val="center"/>
              <w:rPr>
                <w:rFonts w:cs="Times New Roman"/>
                <w:sz w:val="18"/>
                <w:szCs w:val="18"/>
              </w:rPr>
            </w:pPr>
            <w:r>
              <w:rPr>
                <w:rFonts w:cs="Times New Roman"/>
                <w:sz w:val="18"/>
                <w:szCs w:val="18"/>
              </w:rPr>
              <w:t>58.2</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6.2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57.3</w:t>
            </w:r>
          </w:p>
        </w:tc>
        <w:tc>
          <w:tcPr>
            <w:tcW w:w="164" w:type="pct"/>
            <w:vAlign w:val="center"/>
          </w:tcPr>
          <w:p>
            <w:pPr>
              <w:pStyle w:val="105"/>
              <w:spacing w:before="0" w:after="0"/>
              <w:jc w:val="center"/>
              <w:rPr>
                <w:rFonts w:cs="Times New Roman"/>
                <w:sz w:val="18"/>
                <w:szCs w:val="18"/>
              </w:rPr>
            </w:pPr>
            <w:r>
              <w:rPr>
                <w:rFonts w:cs="Times New Roman"/>
                <w:sz w:val="18"/>
                <w:szCs w:val="18"/>
              </w:rPr>
              <w:t>58.4</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6.4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152" w:type="pct"/>
            <w:vMerge w:val="continue"/>
            <w:vAlign w:val="center"/>
          </w:tcPr>
          <w:p>
            <w:pPr>
              <w:pStyle w:val="105"/>
              <w:spacing w:before="0" w:after="0"/>
              <w:jc w:val="center"/>
              <w:rPr>
                <w:sz w:val="18"/>
                <w:szCs w:val="18"/>
              </w:rPr>
            </w:pPr>
          </w:p>
        </w:tc>
        <w:tc>
          <w:tcPr>
            <w:tcW w:w="760" w:type="pct"/>
            <w:gridSpan w:val="2"/>
            <w:vMerge w:val="continue"/>
            <w:vAlign w:val="center"/>
          </w:tcPr>
          <w:p>
            <w:pPr>
              <w:pStyle w:val="105"/>
              <w:spacing w:before="0" w:after="0"/>
              <w:jc w:val="center"/>
              <w:rPr>
                <w:sz w:val="18"/>
                <w:szCs w:val="18"/>
              </w:rPr>
            </w:pPr>
          </w:p>
        </w:tc>
        <w:tc>
          <w:tcPr>
            <w:tcW w:w="253" w:type="pct"/>
            <w:vMerge w:val="continue"/>
            <w:vAlign w:val="center"/>
          </w:tcPr>
          <w:p>
            <w:pPr>
              <w:pStyle w:val="105"/>
              <w:spacing w:before="0" w:after="0"/>
              <w:jc w:val="center"/>
              <w:rPr>
                <w:sz w:val="18"/>
                <w:szCs w:val="18"/>
              </w:rPr>
            </w:pPr>
          </w:p>
        </w:tc>
        <w:tc>
          <w:tcPr>
            <w:tcW w:w="202" w:type="pct"/>
            <w:vMerge w:val="continue"/>
            <w:vAlign w:val="center"/>
          </w:tcPr>
          <w:p>
            <w:pPr>
              <w:pStyle w:val="105"/>
              <w:spacing w:before="0" w:after="0"/>
              <w:jc w:val="center"/>
              <w:rPr>
                <w:sz w:val="18"/>
                <w:szCs w:val="18"/>
              </w:rPr>
            </w:pPr>
          </w:p>
        </w:tc>
        <w:tc>
          <w:tcPr>
            <w:tcW w:w="203" w:type="pct"/>
            <w:vMerge w:val="continue"/>
            <w:vAlign w:val="center"/>
          </w:tcPr>
          <w:p>
            <w:pPr>
              <w:pStyle w:val="105"/>
              <w:spacing w:before="0" w:after="0"/>
              <w:jc w:val="center"/>
              <w:rPr>
                <w:sz w:val="18"/>
                <w:szCs w:val="18"/>
              </w:rPr>
            </w:pPr>
          </w:p>
        </w:tc>
        <w:tc>
          <w:tcPr>
            <w:tcW w:w="208" w:type="pct"/>
            <w:vMerge w:val="continue"/>
            <w:vAlign w:val="center"/>
          </w:tcPr>
          <w:p>
            <w:pPr>
              <w:pStyle w:val="105"/>
              <w:spacing w:before="0" w:after="0"/>
              <w:jc w:val="center"/>
              <w:rPr>
                <w:sz w:val="18"/>
                <w:szCs w:val="18"/>
              </w:rPr>
            </w:pPr>
          </w:p>
        </w:tc>
        <w:tc>
          <w:tcPr>
            <w:tcW w:w="241" w:type="pct"/>
            <w:vAlign w:val="center"/>
          </w:tcPr>
          <w:p>
            <w:pPr>
              <w:pStyle w:val="105"/>
              <w:spacing w:before="0" w:after="0"/>
              <w:jc w:val="center"/>
              <w:rPr>
                <w:sz w:val="18"/>
                <w:szCs w:val="18"/>
              </w:rPr>
            </w:pPr>
            <w:r>
              <w:rPr>
                <w:rFonts w:hint="eastAsia"/>
                <w:sz w:val="18"/>
                <w:szCs w:val="18"/>
              </w:rPr>
              <w:t>夜</w:t>
            </w:r>
          </w:p>
        </w:tc>
        <w:tc>
          <w:tcPr>
            <w:tcW w:w="241" w:type="pct"/>
            <w:vAlign w:val="center"/>
          </w:tcPr>
          <w:p>
            <w:pPr>
              <w:pStyle w:val="105"/>
              <w:spacing w:before="0" w:after="0"/>
              <w:jc w:val="center"/>
              <w:rPr>
                <w:sz w:val="18"/>
                <w:szCs w:val="18"/>
              </w:rPr>
            </w:pPr>
            <w:r>
              <w:rPr>
                <w:rFonts w:cs="Times New Roman"/>
                <w:sz w:val="18"/>
                <w:szCs w:val="18"/>
              </w:rPr>
              <w:t>50</w:t>
            </w:r>
          </w:p>
        </w:tc>
        <w:tc>
          <w:tcPr>
            <w:tcW w:w="241" w:type="pct"/>
            <w:vAlign w:val="center"/>
          </w:tcPr>
          <w:p>
            <w:pPr>
              <w:pStyle w:val="105"/>
              <w:spacing w:before="0" w:after="0"/>
              <w:jc w:val="center"/>
              <w:rPr>
                <w:rFonts w:cs="Times New Roman"/>
                <w:sz w:val="18"/>
                <w:szCs w:val="18"/>
              </w:rPr>
            </w:pPr>
            <w:r>
              <w:rPr>
                <w:rFonts w:cs="Times New Roman"/>
                <w:sz w:val="18"/>
                <w:szCs w:val="18"/>
              </w:rPr>
              <w:t>41</w:t>
            </w:r>
          </w:p>
        </w:tc>
        <w:tc>
          <w:tcPr>
            <w:tcW w:w="241" w:type="pct"/>
            <w:vAlign w:val="center"/>
          </w:tcPr>
          <w:p>
            <w:pPr>
              <w:pStyle w:val="105"/>
              <w:spacing w:before="0" w:after="0"/>
              <w:jc w:val="center"/>
              <w:rPr>
                <w:rFonts w:cs="Times New Roman"/>
                <w:sz w:val="18"/>
                <w:szCs w:val="18"/>
              </w:rPr>
            </w:pPr>
            <w:r>
              <w:rPr>
                <w:rFonts w:cs="Times New Roman"/>
                <w:sz w:val="18"/>
                <w:szCs w:val="18"/>
              </w:rPr>
              <w:t>41</w:t>
            </w:r>
          </w:p>
        </w:tc>
        <w:tc>
          <w:tcPr>
            <w:tcW w:w="194" w:type="pct"/>
            <w:vAlign w:val="center"/>
          </w:tcPr>
          <w:p>
            <w:pPr>
              <w:pStyle w:val="105"/>
              <w:spacing w:before="0" w:after="0"/>
              <w:jc w:val="center"/>
              <w:rPr>
                <w:rFonts w:cs="Times New Roman"/>
                <w:sz w:val="18"/>
                <w:szCs w:val="18"/>
              </w:rPr>
            </w:pPr>
            <w:r>
              <w:rPr>
                <w:rFonts w:cs="Times New Roman"/>
                <w:sz w:val="18"/>
                <w:szCs w:val="18"/>
              </w:rPr>
              <w:t>43.9</w:t>
            </w:r>
          </w:p>
        </w:tc>
        <w:tc>
          <w:tcPr>
            <w:tcW w:w="184" w:type="pct"/>
            <w:vAlign w:val="center"/>
          </w:tcPr>
          <w:p>
            <w:pPr>
              <w:pStyle w:val="105"/>
              <w:spacing w:before="0" w:after="0"/>
              <w:jc w:val="center"/>
              <w:rPr>
                <w:rFonts w:cs="Times New Roman"/>
                <w:sz w:val="18"/>
                <w:szCs w:val="18"/>
              </w:rPr>
            </w:pPr>
            <w:r>
              <w:rPr>
                <w:rFonts w:cs="Times New Roman"/>
                <w:sz w:val="18"/>
                <w:szCs w:val="18"/>
              </w:rPr>
              <w:t>45.7</w:t>
            </w:r>
          </w:p>
        </w:tc>
        <w:tc>
          <w:tcPr>
            <w:tcW w:w="236" w:type="pct"/>
            <w:vAlign w:val="center"/>
          </w:tcPr>
          <w:p>
            <w:pPr>
              <w:pStyle w:val="105"/>
              <w:spacing w:before="0" w:after="0"/>
              <w:jc w:val="center"/>
              <w:rPr>
                <w:rFonts w:cs="Times New Roman"/>
                <w:sz w:val="18"/>
                <w:szCs w:val="18"/>
              </w:rPr>
            </w:pPr>
            <w:r>
              <w:rPr>
                <w:rFonts w:cs="Times New Roman"/>
                <w:sz w:val="18"/>
                <w:szCs w:val="18"/>
              </w:rPr>
              <w:t xml:space="preserve">4.7 </w:t>
            </w:r>
          </w:p>
        </w:tc>
        <w:tc>
          <w:tcPr>
            <w:tcW w:w="193" w:type="pct"/>
            <w:vAlign w:val="top"/>
          </w:tcPr>
          <w:p>
            <w:pPr>
              <w:pStyle w:val="105"/>
              <w:spacing w:before="0" w:after="0"/>
              <w:jc w:val="center"/>
              <w:rPr>
                <w:rFonts w:cs="Times New Roman"/>
                <w:sz w:val="18"/>
                <w:szCs w:val="18"/>
              </w:rPr>
            </w:pPr>
            <w:r>
              <w:rPr>
                <w:rFonts w:cs="Times New Roman"/>
                <w:sz w:val="18"/>
                <w:szCs w:val="18"/>
              </w:rPr>
              <w:t>/</w:t>
            </w:r>
          </w:p>
        </w:tc>
        <w:tc>
          <w:tcPr>
            <w:tcW w:w="146" w:type="pct"/>
            <w:vAlign w:val="center"/>
          </w:tcPr>
          <w:p>
            <w:pPr>
              <w:pStyle w:val="105"/>
              <w:spacing w:before="0" w:after="0"/>
              <w:jc w:val="center"/>
              <w:rPr>
                <w:rFonts w:cs="Times New Roman"/>
                <w:sz w:val="18"/>
                <w:szCs w:val="18"/>
              </w:rPr>
            </w:pPr>
            <w:r>
              <w:rPr>
                <w:rFonts w:cs="Times New Roman"/>
                <w:sz w:val="18"/>
                <w:szCs w:val="18"/>
              </w:rPr>
              <w:t>44.4</w:t>
            </w:r>
          </w:p>
        </w:tc>
        <w:tc>
          <w:tcPr>
            <w:tcW w:w="169" w:type="pct"/>
            <w:vAlign w:val="center"/>
          </w:tcPr>
          <w:p>
            <w:pPr>
              <w:pStyle w:val="105"/>
              <w:spacing w:before="0" w:after="0"/>
              <w:jc w:val="center"/>
              <w:rPr>
                <w:rFonts w:cs="Times New Roman"/>
                <w:sz w:val="18"/>
                <w:szCs w:val="18"/>
              </w:rPr>
            </w:pPr>
            <w:r>
              <w:rPr>
                <w:rFonts w:cs="Times New Roman"/>
                <w:sz w:val="18"/>
                <w:szCs w:val="18"/>
              </w:rPr>
              <w:t>46.0</w:t>
            </w:r>
          </w:p>
        </w:tc>
        <w:tc>
          <w:tcPr>
            <w:tcW w:w="218" w:type="pct"/>
            <w:vAlign w:val="center"/>
          </w:tcPr>
          <w:p>
            <w:pPr>
              <w:pStyle w:val="105"/>
              <w:spacing w:before="0" w:after="0"/>
              <w:jc w:val="center"/>
              <w:rPr>
                <w:rFonts w:cs="Times New Roman"/>
                <w:sz w:val="18"/>
                <w:szCs w:val="18"/>
              </w:rPr>
            </w:pPr>
            <w:r>
              <w:rPr>
                <w:rFonts w:cs="Times New Roman"/>
                <w:sz w:val="18"/>
                <w:szCs w:val="18"/>
              </w:rPr>
              <w:t xml:space="preserve">5.0 </w:t>
            </w:r>
          </w:p>
        </w:tc>
        <w:tc>
          <w:tcPr>
            <w:tcW w:w="188" w:type="pct"/>
            <w:vAlign w:val="top"/>
          </w:tcPr>
          <w:p>
            <w:pPr>
              <w:pStyle w:val="105"/>
              <w:spacing w:before="0" w:after="0"/>
              <w:jc w:val="center"/>
              <w:rPr>
                <w:rFonts w:cs="Times New Roman"/>
                <w:sz w:val="18"/>
                <w:szCs w:val="18"/>
              </w:rPr>
            </w:pPr>
            <w:r>
              <w:rPr>
                <w:rFonts w:cs="Times New Roman"/>
                <w:sz w:val="18"/>
                <w:szCs w:val="18"/>
              </w:rPr>
              <w:t>/</w:t>
            </w:r>
          </w:p>
        </w:tc>
        <w:tc>
          <w:tcPr>
            <w:tcW w:w="182" w:type="pct"/>
            <w:vAlign w:val="center"/>
          </w:tcPr>
          <w:p>
            <w:pPr>
              <w:pStyle w:val="105"/>
              <w:spacing w:before="0" w:after="0"/>
              <w:jc w:val="center"/>
              <w:rPr>
                <w:rFonts w:cs="Times New Roman"/>
                <w:sz w:val="18"/>
                <w:szCs w:val="18"/>
              </w:rPr>
            </w:pPr>
            <w:r>
              <w:rPr>
                <w:rFonts w:cs="Times New Roman"/>
                <w:sz w:val="18"/>
                <w:szCs w:val="18"/>
              </w:rPr>
              <w:t>44.7</w:t>
            </w:r>
          </w:p>
        </w:tc>
        <w:tc>
          <w:tcPr>
            <w:tcW w:w="164" w:type="pct"/>
            <w:vAlign w:val="center"/>
          </w:tcPr>
          <w:p>
            <w:pPr>
              <w:pStyle w:val="105"/>
              <w:spacing w:before="0" w:after="0"/>
              <w:jc w:val="center"/>
              <w:rPr>
                <w:rFonts w:cs="Times New Roman"/>
                <w:sz w:val="18"/>
                <w:szCs w:val="18"/>
              </w:rPr>
            </w:pPr>
            <w:r>
              <w:rPr>
                <w:rFonts w:cs="Times New Roman"/>
                <w:sz w:val="18"/>
                <w:szCs w:val="18"/>
              </w:rPr>
              <w:t>46.2</w:t>
            </w:r>
          </w:p>
        </w:tc>
        <w:tc>
          <w:tcPr>
            <w:tcW w:w="232" w:type="pct"/>
            <w:vAlign w:val="center"/>
          </w:tcPr>
          <w:p>
            <w:pPr>
              <w:pStyle w:val="105"/>
              <w:spacing w:before="0" w:after="0"/>
              <w:jc w:val="center"/>
              <w:rPr>
                <w:rFonts w:cs="Times New Roman"/>
                <w:sz w:val="18"/>
                <w:szCs w:val="18"/>
              </w:rPr>
            </w:pPr>
            <w:r>
              <w:rPr>
                <w:rFonts w:cs="Times New Roman"/>
                <w:sz w:val="18"/>
                <w:szCs w:val="18"/>
              </w:rPr>
              <w:t xml:space="preserve">5.2 </w:t>
            </w:r>
          </w:p>
        </w:tc>
        <w:tc>
          <w:tcPr>
            <w:tcW w:w="152" w:type="pct"/>
            <w:vAlign w:val="top"/>
          </w:tcPr>
          <w:p>
            <w:pPr>
              <w:pStyle w:val="105"/>
              <w:spacing w:before="0" w:after="0"/>
              <w:jc w:val="center"/>
              <w:rPr>
                <w:rFonts w:cs="Times New Roman"/>
                <w:sz w:val="18"/>
                <w:szCs w:val="18"/>
              </w:rPr>
            </w:pPr>
            <w:r>
              <w:rPr>
                <w:rFonts w:cs="Times New Roman"/>
                <w:sz w:val="18"/>
                <w:szCs w:val="18"/>
              </w:rPr>
              <w:t>/</w:t>
            </w:r>
          </w:p>
        </w:tc>
      </w:tr>
    </w:tbl>
    <w:p>
      <w:pPr>
        <w:ind w:firstLine="480"/>
      </w:pPr>
    </w:p>
    <w:p>
      <w:pPr>
        <w:ind w:firstLine="480"/>
        <w:sectPr>
          <w:pgSz w:w="16838" w:h="11906" w:orient="landscape"/>
          <w:pgMar w:top="1418" w:right="1418" w:bottom="1418" w:left="1418" w:header="851" w:footer="992" w:gutter="0"/>
          <w:cols w:space="425" w:num="1"/>
          <w:docGrid w:type="lines" w:linePitch="326" w:charSpace="0"/>
        </w:sectPr>
      </w:pPr>
    </w:p>
    <w:tbl>
      <w:tblPr>
        <w:tblStyle w:val="14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23"/>
        <w:gridCol w:w="223"/>
        <w:gridCol w:w="44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vAlign w:val="center"/>
          </w:tcPr>
          <w:p>
            <w:pPr>
              <w:pStyle w:val="105"/>
              <w:spacing w:before="0" w:after="0"/>
              <w:ind w:left="-120" w:leftChars="-50" w:right="-120" w:rightChars="-50"/>
              <w:jc w:val="center"/>
              <w:rPr>
                <w:rFonts w:hint="eastAsia" w:eastAsia="宋体"/>
                <w:snapToGrid w:val="0"/>
                <w:lang w:eastAsia="zh-CN"/>
              </w:rPr>
            </w:pPr>
            <w:bookmarkStart w:id="488" w:name="②铅垂向噪声影响预测与分析"/>
            <w:bookmarkEnd w:id="488"/>
            <w:bookmarkStart w:id="489" w:name="4.4固体废物环境影响分析"/>
            <w:bookmarkEnd w:id="489"/>
            <w:bookmarkStart w:id="490" w:name="4.1声环境影响预测与评价"/>
            <w:bookmarkEnd w:id="490"/>
            <w:bookmarkStart w:id="491" w:name="_Toc159405477"/>
            <w:bookmarkStart w:id="492" w:name="_Toc217"/>
            <w:r>
              <w:rPr>
                <w:snapToGrid w:val="0"/>
              </w:rPr>
              <mc:AlternateContent>
                <mc:Choice Requires="wps">
                  <w:drawing>
                    <wp:anchor distT="0" distB="0" distL="114300" distR="114300" simplePos="0" relativeHeight="251660288" behindDoc="0" locked="0" layoutInCell="1" allowOverlap="1">
                      <wp:simplePos x="0" y="0"/>
                      <wp:positionH relativeFrom="margin">
                        <wp:posOffset>-69850</wp:posOffset>
                      </wp:positionH>
                      <wp:positionV relativeFrom="paragraph">
                        <wp:posOffset>-635</wp:posOffset>
                      </wp:positionV>
                      <wp:extent cx="614680" cy="25590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近期昼间</w:t>
                                  </w:r>
                                </w:p>
                                <w:p>
                                  <w:pPr>
                                    <w:pStyle w:val="105"/>
                                    <w:spacing w:before="0" w:after="0"/>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0.05pt;height:20.15pt;width:48.4pt;mso-position-horizontal-relative:margin;z-index:251660288;mso-width-relative:page;mso-height-relative:page;" fillcolor="#FFFFFF [3212]" filled="t" stroked="f" coordsize="21600,21600" o:gfxdata="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eIkmm0wAAAAcBAAAPAAAAAAAA&#10;AAEAIAAAACIAAABkcnMvZG93bnJldi54bWxQSwECFAAUAAAACACHTuJAwrGa0VACAACQBAAADgAA&#10;AAAAAAABACAAAAAiAQAAZHJzL2Uyb0RvYy54bWxQSwUGAAAAAAYABgBZAQAA5AU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近期昼间</w:t>
                            </w:r>
                          </w:p>
                          <w:p>
                            <w:pPr>
                              <w:pStyle w:val="105"/>
                              <w:spacing w:before="0" w:after="0"/>
                              <w:rPr>
                                <w:b/>
                                <w:bCs/>
                                <w:sz w:val="20"/>
                                <w:szCs w:val="24"/>
                              </w:rPr>
                            </w:pPr>
                          </w:p>
                        </w:txbxContent>
                      </v:textbox>
                    </v:shape>
                  </w:pict>
                </mc:Fallback>
              </mc:AlternateContent>
            </w:r>
          </w:p>
        </w:tc>
        <w:tc>
          <w:tcPr>
            <w:tcW w:w="223" w:type="dxa"/>
            <w:vAlign w:val="center"/>
          </w:tcPr>
          <w:p>
            <w:pPr>
              <w:pStyle w:val="105"/>
              <w:spacing w:before="0" w:after="0"/>
              <w:ind w:left="-120" w:leftChars="-50" w:right="-120" w:rightChars="-50"/>
              <w:jc w:val="center"/>
              <w:rPr>
                <w:snapToGrid w:val="0"/>
              </w:rPr>
            </w:pPr>
          </w:p>
        </w:tc>
        <w:tc>
          <w:tcPr>
            <w:tcW w:w="4428" w:type="dxa"/>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661312" behindDoc="0" locked="0" layoutInCell="1" allowOverlap="1">
                      <wp:simplePos x="0" y="0"/>
                      <wp:positionH relativeFrom="margin">
                        <wp:posOffset>-66040</wp:posOffset>
                      </wp:positionH>
                      <wp:positionV relativeFrom="paragraph">
                        <wp:posOffset>-5080</wp:posOffset>
                      </wp:positionV>
                      <wp:extent cx="585470" cy="255905"/>
                      <wp:effectExtent l="0" t="0" r="5715" b="0"/>
                      <wp:wrapNone/>
                      <wp:docPr id="75" name="文本框 75"/>
                      <wp:cNvGraphicFramePr/>
                      <a:graphic xmlns:a="http://schemas.openxmlformats.org/drawingml/2006/main">
                        <a:graphicData uri="http://schemas.microsoft.com/office/word/2010/wordprocessingShape">
                          <wps:wsp>
                            <wps:cNvSpPr txBox="1"/>
                            <wps:spPr>
                              <a:xfrm>
                                <a:off x="0" y="0"/>
                                <a:ext cx="58547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近期夜间</w:t>
                                  </w:r>
                                </w:p>
                                <w:p>
                                  <w:pPr>
                                    <w:pStyle w:val="105"/>
                                    <w:spacing w:before="0" w:after="0"/>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0.4pt;height:20.15pt;width:46.1pt;mso-position-horizontal-relative:margin;z-index:251661312;mso-width-relative:page;mso-height-relative:page;" fillcolor="#FFFFFF [3212]" filled="t" stroked="f" coordsize="21600,21600" o:gfxdata="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9G0NIAAAAHAQAADwAAAAAA&#10;AAABACAAAAAiAAAAZHJzL2Rvd25yZXYueG1sUEsBAhQAFAAAAAgAh07iQIb2GXRSAgAAkAQAAA4A&#10;AAAAAAAAAQAgAAAAIQEAAGRycy9lMm9Eb2MueG1sUEsFBgAAAAAGAAYAWQEAAOUFA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近期夜间</w:t>
                            </w:r>
                          </w:p>
                          <w:p>
                            <w:pPr>
                              <w:pStyle w:val="105"/>
                              <w:spacing w:before="0" w:after="0"/>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41184" behindDoc="0" locked="0" layoutInCell="1" allowOverlap="1">
                      <wp:simplePos x="0" y="0"/>
                      <wp:positionH relativeFrom="margin">
                        <wp:posOffset>-48895</wp:posOffset>
                      </wp:positionH>
                      <wp:positionV relativeFrom="paragraph">
                        <wp:posOffset>0</wp:posOffset>
                      </wp:positionV>
                      <wp:extent cx="614680" cy="255905"/>
                      <wp:effectExtent l="0" t="0" r="0" b="0"/>
                      <wp:wrapNone/>
                      <wp:docPr id="915" name="文本框 915"/>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中期昼间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0pt;height:20.15pt;width:48.4pt;mso-position-horizontal-relative:margin;z-index:251741184;mso-width-relative:page;mso-height-relative:page;" fillcolor="#FFFFFF [3212]" filled="t" stroked="f" coordsize="21600,21600" o:gfxdata="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sO2M9IAAAAFAQAADwAAAAAA&#10;AAABACAAAAAiAAAAZHJzL2Rvd25yZXYueG1sUEsBAhQAFAAAAAgAh07iQL6xqGpSAgAAkgQAAA4A&#10;AAAAAAAAAQAgAAAAIQEAAGRycy9lMm9Eb2MueG1sUEsFBgAAAAAGAAYAWQEAAOUFA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中期昼间</w:t>
                            </w:r>
                          </w:p>
                          <w:p>
                            <w:pPr>
                              <w:pStyle w:val="105"/>
                              <w:spacing w:before="0" w:after="0"/>
                              <w:ind w:firstLine="402"/>
                              <w:rPr>
                                <w:b/>
                                <w:bCs/>
                                <w:sz w:val="20"/>
                                <w:szCs w:val="24"/>
                              </w:rPr>
                            </w:pPr>
                          </w:p>
                        </w:txbxContent>
                      </v:textbox>
                    </v:shape>
                  </w:pict>
                </mc:Fallback>
              </mc:AlternateContent>
            </w:r>
          </w:p>
        </w:tc>
        <w:tc>
          <w:tcPr>
            <w:tcW w:w="223" w:type="dxa"/>
            <w:vAlign w:val="center"/>
          </w:tcPr>
          <w:p>
            <w:pPr>
              <w:pStyle w:val="105"/>
              <w:spacing w:before="0" w:after="0"/>
              <w:ind w:left="-120" w:leftChars="-50" w:right="-120" w:rightChars="-50"/>
              <w:jc w:val="center"/>
              <w:rPr>
                <w:snapToGrid w:val="0"/>
              </w:rPr>
            </w:pPr>
          </w:p>
        </w:tc>
        <w:tc>
          <w:tcPr>
            <w:tcW w:w="4428" w:type="dxa"/>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42208" behindDoc="0" locked="0" layoutInCell="1" allowOverlap="1">
                      <wp:simplePos x="0" y="0"/>
                      <wp:positionH relativeFrom="margin">
                        <wp:posOffset>-59690</wp:posOffset>
                      </wp:positionH>
                      <wp:positionV relativeFrom="paragraph">
                        <wp:posOffset>12700</wp:posOffset>
                      </wp:positionV>
                      <wp:extent cx="614680" cy="255905"/>
                      <wp:effectExtent l="0" t="0" r="0" b="0"/>
                      <wp:wrapNone/>
                      <wp:docPr id="916" name="文本框 916"/>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中期夜间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pt;margin-top:1pt;height:20.15pt;width:48.4pt;mso-position-horizontal-relative:margin;z-index:251742208;mso-width-relative:page;mso-height-relative:page;" fillcolor="#FFFFFF [3212]" filled="t" stroked="f" coordsize="21600,21600" o:gfxdata="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zrJazSAAAABgEAAA8AAAAAAAAA&#10;AQAgAAAAIgAAAGRycy9kb3ducmV2LnhtbFBLAQIUABQAAAAIAIdO4kBRgwyMUAIAAJIEAAAOAAAA&#10;AAAAAAEAIAAAACEBAABkcnMvZTJvRG9jLnhtbFBLBQYAAAAABgAGAFkBAADjBQ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中期夜间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44256" behindDoc="0" locked="0" layoutInCell="1" allowOverlap="1">
                      <wp:simplePos x="0" y="0"/>
                      <wp:positionH relativeFrom="margin">
                        <wp:posOffset>-69215</wp:posOffset>
                      </wp:positionH>
                      <wp:positionV relativeFrom="paragraph">
                        <wp:posOffset>13970</wp:posOffset>
                      </wp:positionV>
                      <wp:extent cx="614680" cy="255905"/>
                      <wp:effectExtent l="0" t="0" r="0" b="0"/>
                      <wp:wrapNone/>
                      <wp:docPr id="920" name="文本框 920"/>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远期昼间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pt;margin-top:1.1pt;height:20.15pt;width:48.4pt;mso-position-horizontal-relative:margin;z-index:251744256;mso-width-relative:page;mso-height-relative:page;" fillcolor="#FFFFFF [3212]" filled="t" stroked="f" coordsize="21600,21600" o:gfxdata="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EwG4dIAAAAHAQAADwAAAAAAAAAB&#10;ACAAAAAiAAAAZHJzL2Rvd25yZXYueG1sUEsBAhQAFAAAAAgAh07iQBW7ZqpPAgAAkgQAAA4AAAAA&#10;AAAAAQAgAAAAIQEAAGRycy9lMm9Eb2MueG1sUEsFBgAAAAAGAAYAWQEAAOIFA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远期昼间</w:t>
                            </w:r>
                          </w:p>
                          <w:p>
                            <w:pPr>
                              <w:pStyle w:val="105"/>
                              <w:spacing w:before="0" w:after="0"/>
                              <w:ind w:firstLine="402"/>
                              <w:rPr>
                                <w:b/>
                                <w:bCs/>
                                <w:sz w:val="20"/>
                                <w:szCs w:val="24"/>
                              </w:rPr>
                            </w:pPr>
                          </w:p>
                        </w:txbxContent>
                      </v:textbox>
                    </v:shape>
                  </w:pict>
                </mc:Fallback>
              </mc:AlternateContent>
            </w:r>
          </w:p>
        </w:tc>
        <w:tc>
          <w:tcPr>
            <w:tcW w:w="223" w:type="dxa"/>
            <w:vAlign w:val="center"/>
          </w:tcPr>
          <w:p>
            <w:pPr>
              <w:pStyle w:val="105"/>
              <w:spacing w:before="0" w:after="0"/>
              <w:ind w:left="-120" w:leftChars="-50" w:right="-120" w:rightChars="-50"/>
              <w:jc w:val="center"/>
              <w:rPr>
                <w:snapToGrid w:val="0"/>
              </w:rPr>
            </w:pPr>
          </w:p>
        </w:tc>
        <w:tc>
          <w:tcPr>
            <w:tcW w:w="4428" w:type="dxa"/>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43232" behindDoc="0" locked="0" layoutInCell="1" allowOverlap="1">
                      <wp:simplePos x="0" y="0"/>
                      <wp:positionH relativeFrom="margin">
                        <wp:posOffset>-48895</wp:posOffset>
                      </wp:positionH>
                      <wp:positionV relativeFrom="paragraph">
                        <wp:posOffset>6985</wp:posOffset>
                      </wp:positionV>
                      <wp:extent cx="614680" cy="255905"/>
                      <wp:effectExtent l="0" t="0" r="0" b="0"/>
                      <wp:wrapNone/>
                      <wp:docPr id="919" name="文本框 919"/>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远期夜间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0.55pt;height:20.15pt;width:48.4pt;mso-position-horizontal-relative:margin;z-index:251743232;mso-width-relative:page;mso-height-relative:page;" fillcolor="#FFFFFF [3212]" filled="t" stroked="f" coordsize="21600,21600" o:gfxdata="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rRPMHSAAAABgEAAA8AAAAAAAAA&#10;AQAgAAAAIgAAAGRycy9kb3ducmV2LnhtbFBLAQIUABQAAAAIAIdO4kCAdtpGUAIAAJIEAAAOAAAA&#10;AAAAAAEAIAAAACEBAABkcnMvZTJvRG9jLnhtbFBLBQYAAAAABgAGAFkBAADjBQ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远期夜间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snapToGrid w:val="0"/>
              </w:rPr>
            </w:pPr>
            <w:r>
              <w:rPr>
                <w:rFonts w:hint="eastAsia"/>
                <w:snapToGrid w:val="0"/>
              </w:rPr>
              <w:t>起点～林泉路段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45280" behindDoc="0" locked="0" layoutInCell="1" allowOverlap="1">
                      <wp:simplePos x="0" y="0"/>
                      <wp:positionH relativeFrom="margin">
                        <wp:posOffset>-48895</wp:posOffset>
                      </wp:positionH>
                      <wp:positionV relativeFrom="paragraph">
                        <wp:posOffset>6350</wp:posOffset>
                      </wp:positionV>
                      <wp:extent cx="614680" cy="255905"/>
                      <wp:effectExtent l="0" t="0" r="0" b="0"/>
                      <wp:wrapNone/>
                      <wp:docPr id="930" name="文本框 930"/>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近期昼间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0.5pt;height:20.15pt;width:48.4pt;mso-position-horizontal-relative:margin;z-index:251745280;mso-width-relative:page;mso-height-relative:page;" fillcolor="#FFFFFF [3212]" filled="t" stroked="f" coordsize="21600,21600" o:gfxdata="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lNnETSAAAABgEAAA8AAAAAAAAA&#10;AQAgAAAAIgAAAGRycy9kb3ducmV2LnhtbFBLAQIUABQAAAAIAIdO4kBjcIcMUAIAAJIEAAAOAAAA&#10;AAAAAAEAIAAAACEBAABkcnMvZTJvRG9jLnhtbFBLBQYAAAAABgAGAFkBAADjBQ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近期昼间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46304" behindDoc="0" locked="0" layoutInCell="1" allowOverlap="1">
                      <wp:simplePos x="0" y="0"/>
                      <wp:positionH relativeFrom="margin">
                        <wp:posOffset>-41910</wp:posOffset>
                      </wp:positionH>
                      <wp:positionV relativeFrom="paragraph">
                        <wp:posOffset>6350</wp:posOffset>
                      </wp:positionV>
                      <wp:extent cx="614680" cy="255905"/>
                      <wp:effectExtent l="0" t="0" r="0" b="0"/>
                      <wp:wrapNone/>
                      <wp:docPr id="932" name="文本框 932"/>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近期夜间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0.5pt;height:20.15pt;width:48.4pt;mso-position-horizontal-relative:margin;z-index:251746304;mso-width-relative:page;mso-height-relative:page;" fillcolor="#FFFFFF [3212]" filled="t" stroked="f" coordsize="21600,21600" o:gfxdata="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7eP37SAAAABgEAAA8AAAAAAAAA&#10;AQAgAAAAIgAAAGRycy9kb3ducmV2LnhtbFBLAQIUABQAAAAIAIdO4kApU7+3UAIAAJIEAAAOAAAA&#10;AAAAAAEAIAAAACEBAABkcnMvZTJvRG9jLnhtbFBLBQYAAAAABgAGAFkBAADjBQ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近期夜间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47328" behindDoc="0" locked="0" layoutInCell="1" allowOverlap="1">
                      <wp:simplePos x="0" y="0"/>
                      <wp:positionH relativeFrom="margin">
                        <wp:posOffset>-34925</wp:posOffset>
                      </wp:positionH>
                      <wp:positionV relativeFrom="paragraph">
                        <wp:posOffset>3810</wp:posOffset>
                      </wp:positionV>
                      <wp:extent cx="614680" cy="255905"/>
                      <wp:effectExtent l="0" t="0" r="0" b="0"/>
                      <wp:wrapNone/>
                      <wp:docPr id="942" name="文本框 942"/>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中期昼间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pt;margin-top:0.3pt;height:20.15pt;width:48.4pt;mso-position-horizontal-relative:margin;z-index:251747328;mso-width-relative:page;mso-height-relative:page;" fillcolor="#FFFFFF [3212]" filled="t" stroked="f" coordsize="21600,21600" o:gfxdata="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Y2Yo9EAAAAFAQAADwAAAAAAAAAB&#10;ACAAAAAiAAAAZHJzL2Rvd25yZXYueG1sUEsBAhQAFAAAAAgAh07iQOkv+HFQAgAAkgQAAA4AAAAA&#10;AAAAAQAgAAAAIAEAAGRycy9lMm9Eb2MueG1sUEsFBgAAAAAGAAYAWQEAAOIFA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中期昼间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50400" behindDoc="0" locked="0" layoutInCell="1" allowOverlap="1">
                      <wp:simplePos x="0" y="0"/>
                      <wp:positionH relativeFrom="margin">
                        <wp:posOffset>-48895</wp:posOffset>
                      </wp:positionH>
                      <wp:positionV relativeFrom="paragraph">
                        <wp:posOffset>-635</wp:posOffset>
                      </wp:positionV>
                      <wp:extent cx="614680" cy="255905"/>
                      <wp:effectExtent l="0" t="0" r="0" b="0"/>
                      <wp:wrapNone/>
                      <wp:docPr id="945" name="文本框 945"/>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中期夜间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0.05pt;height:20.15pt;width:48.4pt;mso-position-horizontal-relative:margin;z-index:251750400;mso-width-relative:page;mso-height-relative:page;" fillcolor="#FFFFFF [3212]" filled="t" stroked="f" coordsize="21600,21600" o:gfxdata="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ajaQ0QAAAAYBAAAPAAAAAAAA&#10;AAEAIAAAACIAAABkcnMvZG93bnJldi54bWxQSwECFAAUAAAACACHTuJA011dOlICAACSBAAADgAA&#10;AAAAAAABACAAAAAgAQAAZHJzL2Uyb0RvYy54bWxQSwUGAAAAAAYABgBZAQAA5AU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中期夜间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48352" behindDoc="0" locked="0" layoutInCell="1" allowOverlap="1">
                      <wp:simplePos x="0" y="0"/>
                      <wp:positionH relativeFrom="margin">
                        <wp:posOffset>-69215</wp:posOffset>
                      </wp:positionH>
                      <wp:positionV relativeFrom="paragraph">
                        <wp:posOffset>-3810</wp:posOffset>
                      </wp:positionV>
                      <wp:extent cx="614680" cy="255905"/>
                      <wp:effectExtent l="0" t="0" r="0" b="0"/>
                      <wp:wrapNone/>
                      <wp:docPr id="943" name="文本框 943"/>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远期昼间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pt;margin-top:-0.3pt;height:20.15pt;width:48.4pt;mso-position-horizontal-relative:margin;z-index:251748352;mso-width-relative:page;mso-height-relative:page;" fillcolor="#FFFFFF [3212]" filled="t" stroked="f" coordsize="21600,21600" o:gfxdata="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Q9OyL0gAAAAcBAAAPAAAAAAAA&#10;AAEAIAAAACIAAABkcnMvZG93bnJldi54bWxQSwECFAAUAAAACACHTuJATD5kLFECAACSBAAADgAA&#10;AAAAAAABACAAAAAhAQAAZHJzL2Uyb0RvYy54bWxQSwUGAAAAAAYABgBZAQAA5AU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远期昼间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49376" behindDoc="0" locked="0" layoutInCell="1" allowOverlap="1">
                      <wp:simplePos x="0" y="0"/>
                      <wp:positionH relativeFrom="margin">
                        <wp:posOffset>-55245</wp:posOffset>
                      </wp:positionH>
                      <wp:positionV relativeFrom="paragraph">
                        <wp:posOffset>6985</wp:posOffset>
                      </wp:positionV>
                      <wp:extent cx="614680" cy="255905"/>
                      <wp:effectExtent l="0" t="0" r="0" b="0"/>
                      <wp:wrapNone/>
                      <wp:docPr id="944" name="文本框 944"/>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远期夜间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0.55pt;height:20.15pt;width:48.4pt;mso-position-horizontal-relative:margin;z-index:251749376;mso-width-relative:page;mso-height-relative:page;" fillcolor="#FFFFFF [3212]" filled="t" stroked="f" coordsize="21600,21600" o:gfxdata="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xXj5vRAAAABgEAAA8AAAAAAAAA&#10;AQAgAAAAIgAAAGRycy9kb3ducmV2LnhtbFBLAQIUABQAAAAIAIdO4kB2TMFnUQIAAJIEAAAOAAAA&#10;AAAAAAEAIAAAACABAABkcnMvZTJvRG9jLnhtbFBLBQYAAAAABgAGAFkBAADjBQ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远期夜间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snapToGrid w:val="0"/>
              </w:rPr>
            </w:pPr>
            <w:r>
              <w:rPr>
                <w:rFonts w:hint="eastAsia"/>
                <w:snapToGrid w:val="0"/>
              </w:rPr>
              <w:t>王房~火烧埔路段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snapToGrid w:val="0"/>
              </w:rPr>
            </w:pPr>
            <w:r>
              <w:rPr>
                <w:snapToGrid w:val="0"/>
              </w:rPr>
              <mc:AlternateContent>
                <mc:Choice Requires="wps">
                  <w:drawing>
                    <wp:anchor distT="0" distB="0" distL="114300" distR="114300" simplePos="0" relativeHeight="251751424" behindDoc="0" locked="0" layoutInCell="1" allowOverlap="1">
                      <wp:simplePos x="0" y="0"/>
                      <wp:positionH relativeFrom="margin">
                        <wp:posOffset>0</wp:posOffset>
                      </wp:positionH>
                      <wp:positionV relativeFrom="paragraph">
                        <wp:posOffset>1270</wp:posOffset>
                      </wp:positionV>
                      <wp:extent cx="614680" cy="255905"/>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近期昼间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1pt;height:20.15pt;width:48.4pt;mso-position-horizontal-relative:margin;z-index:251751424;mso-width-relative:page;mso-height-relative:page;" fillcolor="#FFFFFF [3212]" filled="t" stroked="f" coordsize="21600,21600" o:gfxdata="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5CnpS0AAAAAMBAAAPAAAAAAAAAAEA&#10;IAAAACIAAABkcnMvZG93bnJldi54bWxQSwECFAAUAAAACACHTuJAddjr/FACAACSBAAADgAAAAAA&#10;AAABACAAAAAfAQAAZHJzL2Uyb0RvYy54bWxQSwUGAAAAAAYABgBZAQAA4QU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近期昼间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snapToGrid w:val="0"/>
              </w:rPr>
            </w:pPr>
            <w:r>
              <w:rPr>
                <w:snapToGrid w:val="0"/>
              </w:rPr>
              <mc:AlternateContent>
                <mc:Choice Requires="wps">
                  <w:drawing>
                    <wp:anchor distT="0" distB="0" distL="114300" distR="114300" simplePos="0" relativeHeight="251756544" behindDoc="0" locked="0" layoutInCell="1" allowOverlap="1">
                      <wp:simplePos x="0" y="0"/>
                      <wp:positionH relativeFrom="margin">
                        <wp:posOffset>0</wp:posOffset>
                      </wp:positionH>
                      <wp:positionV relativeFrom="paragraph">
                        <wp:posOffset>6350</wp:posOffset>
                      </wp:positionV>
                      <wp:extent cx="614680" cy="255905"/>
                      <wp:effectExtent l="0" t="0" r="0" b="0"/>
                      <wp:wrapNone/>
                      <wp:docPr id="493" name="文本框 493"/>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近期夜间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5pt;height:20.15pt;width:48.4pt;mso-position-horizontal-relative:margin;z-index:251756544;mso-width-relative:page;mso-height-relative:page;" fillcolor="#FFFFFF [3212]" filled="t" stroked="f" coordsize="21600,21600" o:gfxdata="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6AkztAAAAAEAQAADwAAAAAAAAAB&#10;ACAAAAAiAAAAZHJzL2Rvd25yZXYueG1sUEsBAhQAFAAAAAgAh07iQIjPzbZRAgAAkgQAAA4AAAAA&#10;AAAAAQAgAAAAHwEAAGRycy9lMm9Eb2MueG1sUEsFBgAAAAAGAAYAWQEAAOIFA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近期夜间</w:t>
                            </w: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snapToGrid w:val="0"/>
              </w:rPr>
            </w:pPr>
            <w:r>
              <w:rPr>
                <w:snapToGrid w:val="0"/>
              </w:rPr>
              <mc:AlternateContent>
                <mc:Choice Requires="wps">
                  <w:drawing>
                    <wp:anchor distT="0" distB="0" distL="114300" distR="114300" simplePos="0" relativeHeight="251753472" behindDoc="0" locked="0" layoutInCell="1" allowOverlap="1">
                      <wp:simplePos x="0" y="0"/>
                      <wp:positionH relativeFrom="margin">
                        <wp:posOffset>0</wp:posOffset>
                      </wp:positionH>
                      <wp:positionV relativeFrom="paragraph">
                        <wp:posOffset>7620</wp:posOffset>
                      </wp:positionV>
                      <wp:extent cx="614680" cy="255905"/>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中期昼间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6pt;height:20.15pt;width:48.4pt;mso-position-horizontal-relative:margin;z-index:251753472;mso-width-relative:page;mso-height-relative:page;" fillcolor="#FFFFFF [3212]" filled="t" stroked="f" coordsize="21600,21600" o:gfxdata="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grUX0AAAAAQBAAAPAAAAAAAAAAEA&#10;IAAAACIAAABkcnMvZG93bnJldi54bWxQSwECFAAUAAAACACHTuJAT6pOt1ACAACSBAAADgAAAAAA&#10;AAABACAAAAAfAQAAZHJzL2Uyb0RvYy54bWxQSwUGAAAAAAYABgBZAQAA4QU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中期昼间</w:t>
                            </w: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snapToGrid w:val="0"/>
              </w:rPr>
            </w:pPr>
            <w:r>
              <w:rPr>
                <w:snapToGrid w:val="0"/>
              </w:rPr>
              <mc:AlternateContent>
                <mc:Choice Requires="wps">
                  <w:drawing>
                    <wp:anchor distT="0" distB="0" distL="114300" distR="114300" simplePos="0" relativeHeight="251754496" behindDoc="0" locked="0" layoutInCell="1" allowOverlap="1">
                      <wp:simplePos x="0" y="0"/>
                      <wp:positionH relativeFrom="margin">
                        <wp:posOffset>0</wp:posOffset>
                      </wp:positionH>
                      <wp:positionV relativeFrom="paragraph">
                        <wp:posOffset>3810</wp:posOffset>
                      </wp:positionV>
                      <wp:extent cx="614680" cy="255905"/>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中期夜间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3pt;height:20.15pt;width:48.4pt;mso-position-horizontal-relative:margin;z-index:251754496;mso-width-relative:page;mso-height-relative:page;" fillcolor="#FFFFFF [3212]" filled="t" stroked="f" coordsize="21600,21600" o:gfxdata="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8SSk60AAAAAMBAAAPAAAAAAAAAAEA&#10;IAAAACIAAABkcnMvZG93bnJldi54bWxQSwECFAAUAAAACACHTuJA6rvS6lACAACSBAAADgAAAAAA&#10;AAABACAAAAAfAQAAZHJzL2Uyb0RvYy54bWxQSwUGAAAAAAYABgBZAQAA4QU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中期夜间</w:t>
                            </w: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snapToGrid w:val="0"/>
              </w:rPr>
            </w:pPr>
            <w:r>
              <w:rPr>
                <w:snapToGrid w:val="0"/>
              </w:rPr>
              <mc:AlternateContent>
                <mc:Choice Requires="wps">
                  <w:drawing>
                    <wp:anchor distT="0" distB="0" distL="114300" distR="114300" simplePos="0" relativeHeight="251755520" behindDoc="0" locked="0" layoutInCell="1" allowOverlap="1">
                      <wp:simplePos x="0" y="0"/>
                      <wp:positionH relativeFrom="margin">
                        <wp:posOffset>0</wp:posOffset>
                      </wp:positionH>
                      <wp:positionV relativeFrom="paragraph">
                        <wp:posOffset>6350</wp:posOffset>
                      </wp:positionV>
                      <wp:extent cx="614680" cy="255905"/>
                      <wp:effectExtent l="0" t="0" r="0" b="0"/>
                      <wp:wrapNone/>
                      <wp:docPr id="482" name="文本框 482"/>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远期昼间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5pt;height:20.15pt;width:48.4pt;mso-position-horizontal-relative:margin;z-index:251755520;mso-width-relative:page;mso-height-relative:page;" fillcolor="#FFFFFF [3212]" filled="t" stroked="f" coordsize="21600,21600" o:gfxdata="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XoCTO0AAAAAQBAAAPAAAAAAAAAAEA&#10;IAAAACIAAABkcnMvZG93bnJldi54bWxQSwECFAAUAAAACACHTuJAWxWwTVACAACSBAAADgAAAAAA&#10;AAABACAAAAAfAQAAZHJzL2Uyb0RvYy54bWxQSwUGAAAAAAYABgBZAQAA4QU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远期昼间</w:t>
                            </w: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rFonts w:hint="eastAsia" w:eastAsia="宋体"/>
                <w:snapToGrid w:val="0"/>
                <w:lang w:eastAsia="zh-CN"/>
              </w:rPr>
            </w:pPr>
            <w:r>
              <w:rPr>
                <w:snapToGrid w:val="0"/>
              </w:rPr>
              <mc:AlternateContent>
                <mc:Choice Requires="wps">
                  <w:drawing>
                    <wp:anchor distT="0" distB="0" distL="114300" distR="114300" simplePos="0" relativeHeight="251752448" behindDoc="0" locked="0" layoutInCell="1" allowOverlap="1">
                      <wp:simplePos x="0" y="0"/>
                      <wp:positionH relativeFrom="margin">
                        <wp:posOffset>0</wp:posOffset>
                      </wp:positionH>
                      <wp:positionV relativeFrom="paragraph">
                        <wp:posOffset>3810</wp:posOffset>
                      </wp:positionV>
                      <wp:extent cx="614680" cy="255905"/>
                      <wp:effectExtent l="0" t="0" r="0" b="0"/>
                      <wp:wrapNone/>
                      <wp:docPr id="460" name="文本框 460"/>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pStyle w:val="105"/>
                                    <w:spacing w:before="0" w:after="0"/>
                                    <w:ind w:left="-120" w:leftChars="-50" w:right="-120" w:rightChars="-50"/>
                                    <w:rPr>
                                      <w:b/>
                                      <w:bCs/>
                                      <w:sz w:val="20"/>
                                      <w:szCs w:val="24"/>
                                    </w:rPr>
                                  </w:pPr>
                                  <w:r>
                                    <w:rPr>
                                      <w:rFonts w:hint="eastAsia"/>
                                      <w:b/>
                                      <w:bCs/>
                                      <w:sz w:val="20"/>
                                      <w:szCs w:val="24"/>
                                    </w:rPr>
                                    <w:t>远期夜间</w:t>
                                  </w:r>
                                </w:p>
                                <w:p>
                                  <w:pPr>
                                    <w:pStyle w:val="105"/>
                                    <w:spacing w:before="0" w:after="0"/>
                                    <w:ind w:firstLine="402"/>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3pt;height:20.15pt;width:48.4pt;mso-position-horizontal-relative:margin;z-index:251752448;mso-width-relative:page;mso-height-relative:page;" fillcolor="#FFFFFF [3212]" filled="t" stroked="f" coordsize="21600,21600" o:gfxdata="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8SSk60AAAAAMBAAAPAAAAAAAAAAEA&#10;IAAAACIAAABkcnMvZG93bnJldi54bWxQSwECFAAUAAAACACHTuJA0Ml3oVACAACSBAAADgAAAAAA&#10;AAABACAAAAAfAQAAZHJzL2Uyb0RvYy54bWxQSwUGAAAAAAYABgBZAQAA4QUAAAAA&#10;">
                      <v:fill on="t" focussize="0,0"/>
                      <v:stroke on="f" weight="0.5pt"/>
                      <v:imagedata o:title=""/>
                      <o:lock v:ext="edit" aspectratio="f"/>
                      <v:textbox>
                        <w:txbxContent>
                          <w:p>
                            <w:pPr>
                              <w:pStyle w:val="105"/>
                              <w:spacing w:before="0" w:after="0"/>
                              <w:ind w:left="-120" w:leftChars="-50" w:right="-120" w:rightChars="-50"/>
                              <w:rPr>
                                <w:b/>
                                <w:bCs/>
                                <w:sz w:val="20"/>
                                <w:szCs w:val="24"/>
                              </w:rPr>
                            </w:pPr>
                            <w:r>
                              <w:rPr>
                                <w:rFonts w:hint="eastAsia"/>
                                <w:b/>
                                <w:bCs/>
                                <w:sz w:val="20"/>
                                <w:szCs w:val="24"/>
                              </w:rPr>
                              <w:t>远期夜间</w:t>
                            </w:r>
                          </w:p>
                          <w:p>
                            <w:pPr>
                              <w:pStyle w:val="105"/>
                              <w:spacing w:before="0" w:after="0"/>
                              <w:ind w:firstLine="402"/>
                              <w:rPr>
                                <w:b/>
                                <w:bCs/>
                                <w:sz w:val="20"/>
                                <w:szCs w:val="24"/>
                              </w:rPr>
                            </w:pPr>
                          </w:p>
                        </w:txbxContent>
                      </v:textbox>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4" w:type="dxa"/>
            <w:gridSpan w:val="3"/>
            <w:vAlign w:val="center"/>
          </w:tcPr>
          <w:p>
            <w:pPr>
              <w:pStyle w:val="105"/>
              <w:spacing w:before="0" w:after="0"/>
              <w:ind w:left="-120" w:leftChars="-50" w:right="-120" w:rightChars="-50"/>
              <w:jc w:val="center"/>
              <w:rPr>
                <w:snapToGrid w:val="0"/>
              </w:rPr>
            </w:pPr>
            <w:r>
              <w:rPr>
                <w:rFonts w:hint="eastAsia"/>
                <w:snapToGrid w:val="0"/>
                <w:sz w:val="18"/>
                <w:szCs w:val="18"/>
              </w:rPr>
              <w:t>田楼、西山、朱里、木厝洋段</w:t>
            </w:r>
          </w:p>
        </w:tc>
      </w:tr>
    </w:tbl>
    <w:p>
      <w:pPr>
        <w:pStyle w:val="122"/>
      </w:pPr>
      <w:r>
        <w:rPr>
          <w:rFonts w:hint="eastAsia"/>
        </w:rPr>
        <w:t>敏感目标贡献值预测结果等值线图</w:t>
      </w:r>
    </w:p>
    <w:p>
      <w:pPr>
        <w:pStyle w:val="105"/>
        <w:jc w:val="center"/>
        <w:rPr>
          <w:rFonts w:hint="eastAsia" w:eastAsia="宋体"/>
          <w:lang w:eastAsia="zh-CN"/>
        </w:rPr>
      </w:pPr>
      <w:r>
        <mc:AlternateContent>
          <mc:Choice Requires="wps">
            <w:drawing>
              <wp:anchor distT="0" distB="0" distL="114300" distR="114300" simplePos="0" relativeHeight="251662336" behindDoc="0" locked="0" layoutInCell="1" allowOverlap="1">
                <wp:simplePos x="0" y="0"/>
                <wp:positionH relativeFrom="margin">
                  <wp:posOffset>592455</wp:posOffset>
                </wp:positionH>
                <wp:positionV relativeFrom="paragraph">
                  <wp:posOffset>6350</wp:posOffset>
                </wp:positionV>
                <wp:extent cx="614680" cy="255905"/>
                <wp:effectExtent l="0" t="0" r="0" b="0"/>
                <wp:wrapNone/>
                <wp:docPr id="1622346466" name="文本框 1622346466"/>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spacing w:line="240" w:lineRule="auto"/>
                              <w:ind w:left="-120" w:leftChars="-50" w:right="-120" w:rightChars="-50" w:firstLine="0" w:firstLineChars="0"/>
                              <w:rPr>
                                <w:b/>
                                <w:bCs/>
                                <w:sz w:val="20"/>
                                <w:szCs w:val="24"/>
                              </w:rPr>
                            </w:pPr>
                            <w:r>
                              <w:rPr>
                                <w:rFonts w:hint="eastAsia"/>
                                <w:b/>
                                <w:bCs/>
                                <w:sz w:val="20"/>
                                <w:szCs w:val="24"/>
                              </w:rPr>
                              <w:t>中期昼间</w:t>
                            </w:r>
                          </w:p>
                          <w:p>
                            <w:pPr>
                              <w:spacing w:line="240" w:lineRule="auto"/>
                              <w:ind w:left="-120" w:leftChars="-50" w:right="-120" w:rightChars="-50" w:firstLine="0" w:firstLineChars="0"/>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65pt;margin-top:0.5pt;height:20.15pt;width:48.4pt;mso-position-horizontal-relative:margin;z-index:251662336;mso-width-relative:page;mso-height-relative:page;" fillcolor="#FFFFFF [3212]" filled="t" stroked="f" coordsize="21600,21600" o:gfxdata="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IWqNbSAAAABwEAAA8A&#10;AAAAAAAAAQAgAAAAIgAAAGRycy9kb3ducmV2LnhtbFBLAQIUABQAAAAIAIdO4kBA5QeZVgIAAKAE&#10;AAAOAAAAAAAAAAEAIAAAACEBAABkcnMvZTJvRG9jLnhtbFBLBQYAAAAABgAGAFkBAADpBQAAAAA=&#10;">
                <v:fill on="t" focussize="0,0"/>
                <v:stroke on="f" weight="0.5pt"/>
                <v:imagedata o:title=""/>
                <o:lock v:ext="edit" aspectratio="f"/>
                <v:textbox>
                  <w:txbxContent>
                    <w:p>
                      <w:pPr>
                        <w:spacing w:line="240" w:lineRule="auto"/>
                        <w:ind w:left="-120" w:leftChars="-50" w:right="-120" w:rightChars="-50" w:firstLine="0" w:firstLineChars="0"/>
                        <w:rPr>
                          <w:b/>
                          <w:bCs/>
                          <w:sz w:val="20"/>
                          <w:szCs w:val="24"/>
                        </w:rPr>
                      </w:pPr>
                      <w:r>
                        <w:rPr>
                          <w:rFonts w:hint="eastAsia"/>
                          <w:b/>
                          <w:bCs/>
                          <w:sz w:val="20"/>
                          <w:szCs w:val="24"/>
                        </w:rPr>
                        <w:t>中期昼间</w:t>
                      </w:r>
                    </w:p>
                    <w:p>
                      <w:pPr>
                        <w:spacing w:line="240" w:lineRule="auto"/>
                        <w:ind w:left="-120" w:leftChars="-50" w:right="-120" w:rightChars="-50" w:firstLine="0" w:firstLineChars="0"/>
                        <w:rPr>
                          <w:b/>
                          <w:bCs/>
                          <w:sz w:val="20"/>
                          <w:szCs w:val="24"/>
                        </w:rPr>
                      </w:pPr>
                    </w:p>
                  </w:txbxContent>
                </v:textbox>
              </v:shape>
            </w:pict>
          </mc:Fallback>
        </mc:AlternateContent>
      </w:r>
    </w:p>
    <w:p>
      <w:pPr>
        <w:pStyle w:val="105"/>
        <w:jc w:val="center"/>
        <w:rPr>
          <w:rFonts w:hint="eastAsia" w:eastAsia="宋体"/>
          <w:lang w:eastAsia="zh-CN"/>
        </w:rPr>
      </w:pPr>
      <w:r>
        <mc:AlternateContent>
          <mc:Choice Requires="wps">
            <w:drawing>
              <wp:anchor distT="0" distB="0" distL="114300" distR="114300" simplePos="0" relativeHeight="251663360" behindDoc="0" locked="0" layoutInCell="1" allowOverlap="1">
                <wp:simplePos x="0" y="0"/>
                <wp:positionH relativeFrom="margin">
                  <wp:posOffset>632460</wp:posOffset>
                </wp:positionH>
                <wp:positionV relativeFrom="paragraph">
                  <wp:posOffset>4445</wp:posOffset>
                </wp:positionV>
                <wp:extent cx="614680" cy="255905"/>
                <wp:effectExtent l="0" t="0" r="0" b="0"/>
                <wp:wrapNone/>
                <wp:docPr id="1622346467" name="文本框 1622346467"/>
                <wp:cNvGraphicFramePr/>
                <a:graphic xmlns:a="http://schemas.openxmlformats.org/drawingml/2006/main">
                  <a:graphicData uri="http://schemas.microsoft.com/office/word/2010/wordprocessingShape">
                    <wps:wsp>
                      <wps:cNvSpPr txBox="1"/>
                      <wps:spPr>
                        <a:xfrm>
                          <a:off x="0" y="0"/>
                          <a:ext cx="614680" cy="255905"/>
                        </a:xfrm>
                        <a:prstGeom prst="rect">
                          <a:avLst/>
                        </a:prstGeom>
                        <a:solidFill>
                          <a:schemeClr val="bg1"/>
                        </a:solidFill>
                        <a:ln w="6350">
                          <a:noFill/>
                        </a:ln>
                      </wps:spPr>
                      <wps:txbx>
                        <w:txbxContent>
                          <w:p>
                            <w:pPr>
                              <w:spacing w:line="240" w:lineRule="auto"/>
                              <w:ind w:left="-120" w:leftChars="-50" w:right="-120" w:rightChars="-50" w:firstLine="0" w:firstLineChars="0"/>
                              <w:rPr>
                                <w:b/>
                                <w:bCs/>
                                <w:sz w:val="20"/>
                                <w:szCs w:val="24"/>
                              </w:rPr>
                            </w:pPr>
                            <w:r>
                              <w:rPr>
                                <w:rFonts w:hint="eastAsia"/>
                                <w:b/>
                                <w:bCs/>
                                <w:sz w:val="20"/>
                                <w:szCs w:val="24"/>
                              </w:rPr>
                              <w:t>中期夜间</w:t>
                            </w:r>
                          </w:p>
                          <w:p>
                            <w:pPr>
                              <w:spacing w:line="240" w:lineRule="auto"/>
                              <w:ind w:left="-120" w:leftChars="-50" w:right="-120" w:rightChars="-50" w:firstLine="0" w:firstLineChars="0"/>
                              <w:rPr>
                                <w:b/>
                                <w:bCs/>
                                <w:sz w:val="20"/>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8pt;margin-top:0.35pt;height:20.15pt;width:48.4pt;mso-position-horizontal-relative:margin;z-index:251663360;mso-width-relative:page;mso-height-relative:page;" fillcolor="#FFFFFF [3212]" filled="t" stroked="f" coordsize="21600,21600" o:gfxdata="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rQ9h3RAAAABgEAAA8A&#10;AAAAAAAAAQAgAAAAIgAAAGRycy9kb3ducmV2LnhtbFBLAQIUABQAAAAIAIdO4kCKvE6HVwIAAKAE&#10;AAAOAAAAAAAAAAEAIAAAACABAABkcnMvZTJvRG9jLnhtbFBLBQYAAAAABgAGAFkBAADpBQAAAAA=&#10;">
                <v:fill on="t" focussize="0,0"/>
                <v:stroke on="f" weight="0.5pt"/>
                <v:imagedata o:title=""/>
                <o:lock v:ext="edit" aspectratio="f"/>
                <v:textbox>
                  <w:txbxContent>
                    <w:p>
                      <w:pPr>
                        <w:spacing w:line="240" w:lineRule="auto"/>
                        <w:ind w:left="-120" w:leftChars="-50" w:right="-120" w:rightChars="-50" w:firstLine="0" w:firstLineChars="0"/>
                        <w:rPr>
                          <w:b/>
                          <w:bCs/>
                          <w:sz w:val="20"/>
                          <w:szCs w:val="24"/>
                        </w:rPr>
                      </w:pPr>
                      <w:r>
                        <w:rPr>
                          <w:rFonts w:hint="eastAsia"/>
                          <w:b/>
                          <w:bCs/>
                          <w:sz w:val="20"/>
                          <w:szCs w:val="24"/>
                        </w:rPr>
                        <w:t>中期夜间</w:t>
                      </w:r>
                    </w:p>
                    <w:p>
                      <w:pPr>
                        <w:spacing w:line="240" w:lineRule="auto"/>
                        <w:ind w:left="-120" w:leftChars="-50" w:right="-120" w:rightChars="-50" w:firstLine="0" w:firstLineChars="0"/>
                        <w:rPr>
                          <w:b/>
                          <w:bCs/>
                          <w:sz w:val="20"/>
                          <w:szCs w:val="24"/>
                        </w:rPr>
                      </w:pPr>
                    </w:p>
                  </w:txbxContent>
                </v:textbox>
              </v:shape>
            </w:pict>
          </mc:Fallback>
        </mc:AlternateContent>
      </w:r>
    </w:p>
    <w:p>
      <w:pPr>
        <w:pStyle w:val="122"/>
        <w:ind w:firstLine="480"/>
      </w:pPr>
      <w:r>
        <w:rPr>
          <w:rFonts w:hint="eastAsia"/>
        </w:rPr>
        <w:t>中期典型敏感目标贡献值预测结果3</w:t>
      </w:r>
      <w:r>
        <w:t>D</w:t>
      </w:r>
      <w:r>
        <w:rPr>
          <w:rFonts w:hint="eastAsia"/>
        </w:rPr>
        <w:t>图</w:t>
      </w:r>
      <w:r>
        <w:rPr>
          <w:rFonts w:hint="eastAsia"/>
          <w:sz w:val="18"/>
          <w:szCs w:val="18"/>
        </w:rPr>
        <w:t>（田楼、西山、朱里、木厝洋）</w:t>
      </w:r>
    </w:p>
    <w:p>
      <w:pPr>
        <w:pStyle w:val="87"/>
        <w:spacing w:before="120"/>
      </w:pPr>
      <w:r>
        <w:rPr>
          <w:rFonts w:hint="eastAsia"/>
        </w:rPr>
        <w:t>声环境影响评价自查表</w:t>
      </w:r>
    </w:p>
    <w:tbl>
      <w:tblPr>
        <w:tblStyle w:val="39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161"/>
        <w:gridCol w:w="1886"/>
        <w:gridCol w:w="1470"/>
        <w:gridCol w:w="47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1640" w:type="pct"/>
            <w:gridSpan w:val="2"/>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eastAsia="New York"/>
              </w:rPr>
              <w:t xml:space="preserve"> </w:t>
            </w:r>
            <w:r>
              <w:rPr>
                <w:rFonts w:hint="eastAsia" w:ascii="宋体" w:hAnsi="宋体" w:eastAsia="宋体"/>
              </w:rPr>
              <w:t>工作内容</w:t>
            </w:r>
          </w:p>
        </w:tc>
        <w:tc>
          <w:tcPr>
            <w:tcW w:w="3360" w:type="pct"/>
            <w:gridSpan w:val="2"/>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rPr>
              <w:t>自查项目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restart"/>
            <w:vAlign w:val="center"/>
          </w:tcPr>
          <w:p>
            <w:pPr>
              <w:pStyle w:val="105"/>
              <w:widowControl w:val="0"/>
              <w:jc w:val="center"/>
            </w:pPr>
            <w:r>
              <w:t>评价等级与范围</w:t>
            </w:r>
          </w:p>
        </w:tc>
        <w:tc>
          <w:tcPr>
            <w:tcW w:w="1015" w:type="pct"/>
            <w:vAlign w:val="center"/>
          </w:tcPr>
          <w:p>
            <w:pPr>
              <w:pStyle w:val="105"/>
              <w:widowControl w:val="0"/>
              <w:jc w:val="center"/>
            </w:pPr>
            <w:r>
              <w:t>评价等级</w:t>
            </w:r>
          </w:p>
        </w:tc>
        <w:tc>
          <w:tcPr>
            <w:tcW w:w="3360" w:type="pct"/>
            <w:gridSpan w:val="2"/>
            <w:vAlign w:val="center"/>
          </w:tcPr>
          <w:p>
            <w:pPr>
              <w:pStyle w:val="105"/>
              <w:widowControl w:val="0"/>
              <w:jc w:val="center"/>
            </w:pPr>
            <w:r>
              <w:rPr>
                <w:szCs w:val="21"/>
              </w:rPr>
              <w:t>一级</w:t>
            </w:r>
            <w:r>
              <w:rPr>
                <w:rFonts w:ascii="Wingdings 2" w:hAnsi="Wingdings 2"/>
                <w:szCs w:val="21"/>
              </w:rPr>
              <w:t></w:t>
            </w:r>
            <w:r>
              <w:rPr>
                <w:szCs w:val="21"/>
              </w:rPr>
              <w:t xml:space="preserve">         二</w:t>
            </w:r>
            <w:r>
              <w:rPr>
                <w:spacing w:val="-3"/>
                <w:szCs w:val="21"/>
              </w:rPr>
              <w:t>级</w:t>
            </w:r>
            <w:r>
              <w:rPr>
                <w:rFonts w:hint="eastAsia"/>
                <w:szCs w:val="21"/>
              </w:rPr>
              <w:t>□</w:t>
            </w:r>
            <w:r>
              <w:rPr>
                <w:szCs w:val="21"/>
              </w:rPr>
              <w:t xml:space="preserve">       三级</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continue"/>
            <w:vAlign w:val="center"/>
          </w:tcPr>
          <w:p>
            <w:pPr>
              <w:pStyle w:val="105"/>
              <w:widowControl w:val="0"/>
              <w:jc w:val="center"/>
            </w:pPr>
          </w:p>
        </w:tc>
        <w:tc>
          <w:tcPr>
            <w:tcW w:w="1015" w:type="pct"/>
            <w:vAlign w:val="center"/>
          </w:tcPr>
          <w:p>
            <w:pPr>
              <w:pStyle w:val="105"/>
              <w:widowControl w:val="0"/>
              <w:jc w:val="center"/>
            </w:pPr>
            <w:r>
              <w:t>评价范围</w:t>
            </w:r>
          </w:p>
        </w:tc>
        <w:tc>
          <w:tcPr>
            <w:tcW w:w="3360" w:type="pct"/>
            <w:gridSpan w:val="2"/>
            <w:vAlign w:val="center"/>
          </w:tcPr>
          <w:p>
            <w:pPr>
              <w:pStyle w:val="105"/>
              <w:widowControl w:val="0"/>
              <w:jc w:val="center"/>
            </w:pPr>
            <w:r>
              <w:rPr>
                <w:rFonts w:eastAsia="Times New Roman"/>
                <w:szCs w:val="21"/>
              </w:rPr>
              <w:t>200</w:t>
            </w:r>
            <w:r>
              <w:rPr>
                <w:rFonts w:eastAsia="Times New Roman"/>
                <w:spacing w:val="-2"/>
                <w:szCs w:val="21"/>
              </w:rPr>
              <w:t xml:space="preserve"> </w:t>
            </w:r>
            <w:r>
              <w:rPr>
                <w:rFonts w:eastAsia="Times New Roman"/>
                <w:szCs w:val="21"/>
              </w:rPr>
              <w:t>m</w:t>
            </w:r>
            <w:r>
              <w:rPr>
                <w:rFonts w:ascii="Wingdings 2" w:hAnsi="Wingdings 2"/>
                <w:szCs w:val="21"/>
              </w:rPr>
              <w:t></w:t>
            </w:r>
            <w:r>
              <w:rPr>
                <w:szCs w:val="21"/>
              </w:rPr>
              <w:t xml:space="preserve">        </w:t>
            </w:r>
            <w:r>
              <w:rPr>
                <w:spacing w:val="-3"/>
                <w:szCs w:val="21"/>
              </w:rPr>
              <w:t>大</w:t>
            </w:r>
            <w:r>
              <w:rPr>
                <w:szCs w:val="21"/>
              </w:rPr>
              <w:t>于</w:t>
            </w:r>
            <w:r>
              <w:rPr>
                <w:spacing w:val="-46"/>
                <w:szCs w:val="21"/>
              </w:rPr>
              <w:t xml:space="preserve"> </w:t>
            </w:r>
            <w:r>
              <w:rPr>
                <w:rFonts w:eastAsia="Times New Roman"/>
                <w:szCs w:val="21"/>
              </w:rPr>
              <w:t>200 m</w:t>
            </w:r>
            <w:r>
              <w:rPr>
                <w:rFonts w:hint="eastAsia"/>
                <w:szCs w:val="21"/>
              </w:rPr>
              <w:t>□</w:t>
            </w:r>
            <w:r>
              <w:rPr>
                <w:szCs w:val="21"/>
              </w:rPr>
              <w:t xml:space="preserve">      小于</w:t>
            </w:r>
            <w:r>
              <w:rPr>
                <w:spacing w:val="-48"/>
                <w:szCs w:val="21"/>
              </w:rPr>
              <w:t xml:space="preserve"> </w:t>
            </w:r>
            <w:r>
              <w:rPr>
                <w:rFonts w:eastAsia="Times New Roman"/>
                <w:szCs w:val="21"/>
              </w:rPr>
              <w:t>200 m</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Align w:val="center"/>
          </w:tcPr>
          <w:p>
            <w:pPr>
              <w:pStyle w:val="105"/>
              <w:widowControl w:val="0"/>
              <w:jc w:val="center"/>
            </w:pPr>
            <w:r>
              <w:t>评价因子</w:t>
            </w:r>
          </w:p>
        </w:tc>
        <w:tc>
          <w:tcPr>
            <w:tcW w:w="1015" w:type="pct"/>
            <w:vAlign w:val="center"/>
          </w:tcPr>
          <w:p>
            <w:pPr>
              <w:pStyle w:val="105"/>
              <w:widowControl w:val="0"/>
              <w:jc w:val="center"/>
            </w:pPr>
            <w:r>
              <w:t>评价因子</w:t>
            </w:r>
          </w:p>
        </w:tc>
        <w:tc>
          <w:tcPr>
            <w:tcW w:w="3360" w:type="pct"/>
            <w:gridSpan w:val="2"/>
            <w:vAlign w:val="center"/>
          </w:tcPr>
          <w:p>
            <w:pPr>
              <w:pStyle w:val="105"/>
              <w:widowControl w:val="0"/>
              <w:jc w:val="center"/>
            </w:pPr>
            <w:r>
              <w:rPr>
                <w:szCs w:val="21"/>
              </w:rPr>
              <w:t xml:space="preserve">等效连续 </w:t>
            </w:r>
            <w:r>
              <w:rPr>
                <w:rFonts w:eastAsia="Times New Roman"/>
                <w:szCs w:val="21"/>
              </w:rPr>
              <w:t xml:space="preserve">A </w:t>
            </w:r>
            <w:r>
              <w:rPr>
                <w:szCs w:val="21"/>
              </w:rPr>
              <w:t>声级</w:t>
            </w:r>
            <w:r>
              <w:rPr>
                <w:rFonts w:ascii="Wingdings 2" w:hAnsi="Wingdings 2"/>
                <w:szCs w:val="21"/>
              </w:rPr>
              <w:t></w:t>
            </w:r>
            <w:r>
              <w:rPr>
                <w:szCs w:val="21"/>
              </w:rPr>
              <w:t xml:space="preserve">   最大 </w:t>
            </w:r>
            <w:r>
              <w:rPr>
                <w:rFonts w:eastAsia="Times New Roman"/>
                <w:szCs w:val="21"/>
              </w:rPr>
              <w:t xml:space="preserve">A </w:t>
            </w:r>
            <w:r>
              <w:rPr>
                <w:szCs w:val="21"/>
              </w:rPr>
              <w:t>声级</w:t>
            </w:r>
            <w:r>
              <w:rPr>
                <w:rFonts w:hint="eastAsia"/>
                <w:szCs w:val="21"/>
              </w:rPr>
              <w:t xml:space="preserve">□ </w:t>
            </w:r>
            <w:r>
              <w:rPr>
                <w:szCs w:val="21"/>
              </w:rPr>
              <w:t xml:space="preserve"> 计权等效连续感觉噪声级</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Align w:val="center"/>
          </w:tcPr>
          <w:p>
            <w:pPr>
              <w:pStyle w:val="105"/>
              <w:widowControl w:val="0"/>
              <w:jc w:val="center"/>
            </w:pPr>
            <w:r>
              <w:t>评价标准</w:t>
            </w:r>
          </w:p>
        </w:tc>
        <w:tc>
          <w:tcPr>
            <w:tcW w:w="1015" w:type="pct"/>
            <w:vAlign w:val="center"/>
          </w:tcPr>
          <w:p>
            <w:pPr>
              <w:pStyle w:val="105"/>
              <w:widowControl w:val="0"/>
              <w:jc w:val="center"/>
            </w:pPr>
            <w:r>
              <w:t>评价标准</w:t>
            </w:r>
          </w:p>
        </w:tc>
        <w:tc>
          <w:tcPr>
            <w:tcW w:w="3360" w:type="pct"/>
            <w:gridSpan w:val="2"/>
            <w:vAlign w:val="center"/>
          </w:tcPr>
          <w:p>
            <w:pPr>
              <w:pStyle w:val="105"/>
              <w:widowControl w:val="0"/>
              <w:jc w:val="center"/>
            </w:pPr>
            <w:r>
              <w:rPr>
                <w:szCs w:val="21"/>
              </w:rPr>
              <w:t>国家标准</w:t>
            </w:r>
            <w:r>
              <w:rPr>
                <w:rFonts w:ascii="Wingdings 2" w:hAnsi="Wingdings 2"/>
                <w:szCs w:val="21"/>
              </w:rPr>
              <w:t></w:t>
            </w:r>
            <w:r>
              <w:rPr>
                <w:szCs w:val="21"/>
              </w:rPr>
              <w:t xml:space="preserve">    地方标准</w:t>
            </w:r>
            <w:r>
              <w:rPr>
                <w:rFonts w:hint="eastAsia"/>
                <w:szCs w:val="21"/>
              </w:rPr>
              <w:t>□</w:t>
            </w:r>
            <w:r>
              <w:rPr>
                <w:szCs w:val="21"/>
              </w:rPr>
              <w:t xml:space="preserve">     国外标准</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restart"/>
            <w:vAlign w:val="center"/>
          </w:tcPr>
          <w:p>
            <w:pPr>
              <w:pStyle w:val="105"/>
              <w:widowControl w:val="0"/>
              <w:jc w:val="center"/>
            </w:pPr>
            <w:r>
              <w:t>现状评价</w:t>
            </w:r>
          </w:p>
        </w:tc>
        <w:tc>
          <w:tcPr>
            <w:tcW w:w="1015" w:type="pct"/>
            <w:vAlign w:val="center"/>
          </w:tcPr>
          <w:p>
            <w:pPr>
              <w:pStyle w:val="105"/>
              <w:widowControl w:val="0"/>
              <w:jc w:val="center"/>
            </w:pPr>
            <w:r>
              <w:t>环境功能区</w:t>
            </w:r>
          </w:p>
        </w:tc>
        <w:tc>
          <w:tcPr>
            <w:tcW w:w="3360" w:type="pct"/>
            <w:gridSpan w:val="2"/>
            <w:vAlign w:val="center"/>
          </w:tcPr>
          <w:p>
            <w:pPr>
              <w:pStyle w:val="105"/>
              <w:widowControl w:val="0"/>
              <w:jc w:val="center"/>
            </w:pPr>
            <w:r>
              <w:rPr>
                <w:rFonts w:eastAsia="Times New Roman"/>
                <w:szCs w:val="21"/>
              </w:rPr>
              <w:t xml:space="preserve">0 </w:t>
            </w:r>
            <w:r>
              <w:rPr>
                <w:szCs w:val="21"/>
              </w:rPr>
              <w:t>类区</w:t>
            </w:r>
            <w:r>
              <w:rPr>
                <w:rFonts w:hint="eastAsia"/>
                <w:szCs w:val="21"/>
              </w:rPr>
              <w:t xml:space="preserve">□  </w:t>
            </w:r>
            <w:r>
              <w:rPr>
                <w:rFonts w:eastAsia="Times New Roman"/>
                <w:szCs w:val="21"/>
              </w:rPr>
              <w:t xml:space="preserve">1 </w:t>
            </w:r>
            <w:r>
              <w:rPr>
                <w:szCs w:val="21"/>
              </w:rPr>
              <w:t>类区</w:t>
            </w:r>
            <w:r>
              <w:rPr>
                <w:rFonts w:hint="eastAsia"/>
                <w:szCs w:val="21"/>
              </w:rPr>
              <w:t xml:space="preserve">□  </w:t>
            </w:r>
            <w:r>
              <w:rPr>
                <w:rFonts w:eastAsia="Times New Roman"/>
                <w:szCs w:val="21"/>
              </w:rPr>
              <w:t xml:space="preserve">2 </w:t>
            </w:r>
            <w:r>
              <w:rPr>
                <w:szCs w:val="21"/>
              </w:rPr>
              <w:t>类区</w:t>
            </w:r>
            <w:r>
              <w:rPr>
                <w:rFonts w:ascii="Wingdings 2" w:hAnsi="Wingdings 2"/>
                <w:szCs w:val="21"/>
              </w:rPr>
              <w:t></w:t>
            </w:r>
            <w:r>
              <w:rPr>
                <w:rFonts w:hint="eastAsia"/>
                <w:szCs w:val="21"/>
              </w:rPr>
              <w:t xml:space="preserve"> </w:t>
            </w:r>
            <w:r>
              <w:rPr>
                <w:szCs w:val="21"/>
              </w:rPr>
              <w:t xml:space="preserve"> </w:t>
            </w:r>
            <w:r>
              <w:rPr>
                <w:rFonts w:eastAsia="Times New Roman"/>
                <w:szCs w:val="21"/>
              </w:rPr>
              <w:t xml:space="preserve">3 </w:t>
            </w:r>
            <w:r>
              <w:rPr>
                <w:szCs w:val="21"/>
              </w:rPr>
              <w:t>类区</w:t>
            </w:r>
            <w:r>
              <w:rPr>
                <w:rFonts w:hint="eastAsia"/>
                <w:szCs w:val="21"/>
              </w:rPr>
              <w:t xml:space="preserve">□ </w:t>
            </w:r>
            <w:r>
              <w:rPr>
                <w:szCs w:val="21"/>
              </w:rPr>
              <w:t xml:space="preserve"> </w:t>
            </w:r>
            <w:r>
              <w:rPr>
                <w:rFonts w:eastAsia="Times New Roman"/>
                <w:szCs w:val="21"/>
              </w:rPr>
              <w:t xml:space="preserve">4a </w:t>
            </w:r>
            <w:r>
              <w:rPr>
                <w:szCs w:val="21"/>
              </w:rPr>
              <w:t>类区</w:t>
            </w:r>
            <w:r>
              <w:rPr>
                <w:rFonts w:ascii="Wingdings 2" w:hAnsi="Wingdings 2"/>
                <w:szCs w:val="21"/>
              </w:rPr>
              <w:t></w:t>
            </w:r>
            <w:r>
              <w:rPr>
                <w:rFonts w:hint="eastAsia"/>
                <w:szCs w:val="21"/>
              </w:rPr>
              <w:t xml:space="preserve"> </w:t>
            </w:r>
            <w:r>
              <w:rPr>
                <w:szCs w:val="21"/>
              </w:rPr>
              <w:t xml:space="preserve"> </w:t>
            </w:r>
            <w:r>
              <w:rPr>
                <w:rFonts w:eastAsia="Times New Roman"/>
                <w:szCs w:val="21"/>
              </w:rPr>
              <w:t xml:space="preserve">4b </w:t>
            </w:r>
            <w:r>
              <w:rPr>
                <w:szCs w:val="21"/>
              </w:rPr>
              <w:t>类区</w:t>
            </w:r>
            <w:r>
              <w:rPr>
                <w:rFonts w:ascii="Wingdings 2" w:hAnsi="Wingdings 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continue"/>
            <w:vAlign w:val="center"/>
          </w:tcPr>
          <w:p>
            <w:pPr>
              <w:pStyle w:val="105"/>
              <w:widowControl w:val="0"/>
              <w:jc w:val="center"/>
            </w:pPr>
          </w:p>
        </w:tc>
        <w:tc>
          <w:tcPr>
            <w:tcW w:w="1015" w:type="pct"/>
            <w:vAlign w:val="center"/>
          </w:tcPr>
          <w:p>
            <w:pPr>
              <w:pStyle w:val="105"/>
              <w:widowControl w:val="0"/>
              <w:jc w:val="center"/>
            </w:pPr>
            <w:r>
              <w:t>评价年度</w:t>
            </w:r>
          </w:p>
        </w:tc>
        <w:tc>
          <w:tcPr>
            <w:tcW w:w="3360" w:type="pct"/>
            <w:gridSpan w:val="2"/>
            <w:vAlign w:val="center"/>
          </w:tcPr>
          <w:p>
            <w:pPr>
              <w:pStyle w:val="105"/>
              <w:widowControl w:val="0"/>
              <w:jc w:val="center"/>
            </w:pPr>
            <w:r>
              <w:rPr>
                <w:szCs w:val="21"/>
              </w:rPr>
              <w:t>初期</w:t>
            </w:r>
            <w:r>
              <w:rPr>
                <w:rFonts w:hint="eastAsia"/>
                <w:szCs w:val="21"/>
              </w:rPr>
              <w:t>□</w:t>
            </w:r>
            <w:r>
              <w:rPr>
                <w:szCs w:val="21"/>
              </w:rPr>
              <w:t xml:space="preserve">      近期</w:t>
            </w:r>
            <w:r>
              <w:rPr>
                <w:rFonts w:ascii="Wingdings 2" w:hAnsi="Wingdings 2"/>
                <w:szCs w:val="21"/>
              </w:rPr>
              <w:t></w:t>
            </w:r>
            <w:r>
              <w:rPr>
                <w:szCs w:val="21"/>
              </w:rPr>
              <w:t xml:space="preserve">       中期</w:t>
            </w:r>
            <w:r>
              <w:rPr>
                <w:rFonts w:ascii="Wingdings 2" w:hAnsi="Wingdings 2"/>
                <w:szCs w:val="21"/>
              </w:rPr>
              <w:t></w:t>
            </w:r>
            <w:r>
              <w:rPr>
                <w:szCs w:val="21"/>
              </w:rPr>
              <w:t xml:space="preserve">       远期</w:t>
            </w:r>
            <w:r>
              <w:rPr>
                <w:rFonts w:ascii="Wingdings 2" w:hAnsi="Wingdings 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continue"/>
            <w:vAlign w:val="center"/>
          </w:tcPr>
          <w:p>
            <w:pPr>
              <w:pStyle w:val="105"/>
              <w:widowControl w:val="0"/>
              <w:jc w:val="center"/>
            </w:pPr>
          </w:p>
        </w:tc>
        <w:tc>
          <w:tcPr>
            <w:tcW w:w="1015" w:type="pct"/>
            <w:vAlign w:val="center"/>
          </w:tcPr>
          <w:p>
            <w:pPr>
              <w:pStyle w:val="105"/>
              <w:widowControl w:val="0"/>
              <w:jc w:val="center"/>
            </w:pPr>
            <w:r>
              <w:t>现状调查方法</w:t>
            </w:r>
          </w:p>
        </w:tc>
        <w:tc>
          <w:tcPr>
            <w:tcW w:w="3360" w:type="pct"/>
            <w:gridSpan w:val="2"/>
            <w:vAlign w:val="center"/>
          </w:tcPr>
          <w:p>
            <w:pPr>
              <w:pStyle w:val="105"/>
              <w:widowControl w:val="0"/>
              <w:jc w:val="center"/>
            </w:pPr>
            <w:r>
              <w:rPr>
                <w:szCs w:val="21"/>
              </w:rPr>
              <w:t>现场实测法</w:t>
            </w:r>
            <w:r>
              <w:rPr>
                <w:rFonts w:ascii="Wingdings 2" w:hAnsi="Wingdings 2"/>
                <w:szCs w:val="21"/>
              </w:rPr>
              <w:t></w:t>
            </w:r>
            <w:r>
              <w:rPr>
                <w:szCs w:val="21"/>
              </w:rPr>
              <w:t xml:space="preserve">      现场实测加模型计算法</w:t>
            </w:r>
            <w:r>
              <w:rPr>
                <w:rFonts w:hint="eastAsia"/>
                <w:szCs w:val="21"/>
              </w:rPr>
              <w:t>□</w:t>
            </w:r>
            <w:r>
              <w:rPr>
                <w:szCs w:val="21"/>
              </w:rPr>
              <w:t xml:space="preserve">      收集资料</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continue"/>
            <w:vAlign w:val="center"/>
          </w:tcPr>
          <w:p>
            <w:pPr>
              <w:pStyle w:val="105"/>
              <w:widowControl w:val="0"/>
              <w:jc w:val="center"/>
            </w:pPr>
          </w:p>
        </w:tc>
        <w:tc>
          <w:tcPr>
            <w:tcW w:w="1015" w:type="pct"/>
            <w:vAlign w:val="center"/>
          </w:tcPr>
          <w:p>
            <w:pPr>
              <w:pStyle w:val="105"/>
              <w:widowControl w:val="0"/>
              <w:jc w:val="center"/>
            </w:pPr>
            <w:r>
              <w:t>现状评价</w:t>
            </w:r>
          </w:p>
        </w:tc>
        <w:tc>
          <w:tcPr>
            <w:tcW w:w="791" w:type="pct"/>
            <w:vAlign w:val="center"/>
          </w:tcPr>
          <w:p>
            <w:pPr>
              <w:pStyle w:val="105"/>
              <w:widowControl w:val="0"/>
              <w:jc w:val="center"/>
            </w:pPr>
            <w:r>
              <w:rPr>
                <w:szCs w:val="21"/>
              </w:rPr>
              <w:t>达标百分比</w:t>
            </w:r>
          </w:p>
        </w:tc>
        <w:tc>
          <w:tcPr>
            <w:tcW w:w="2569" w:type="pct"/>
            <w:vAlign w:val="center"/>
          </w:tcPr>
          <w:p>
            <w:pPr>
              <w:pStyle w:val="105"/>
              <w:widowControl w:val="0"/>
              <w:jc w:val="center"/>
            </w:pPr>
            <w:r>
              <w:rPr>
                <w:szCs w:val="21"/>
              </w:rPr>
              <w:t>达标百分比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Align w:val="center"/>
          </w:tcPr>
          <w:p>
            <w:pPr>
              <w:pStyle w:val="105"/>
              <w:widowControl w:val="0"/>
              <w:jc w:val="center"/>
            </w:pPr>
            <w:r>
              <w:t>噪声源调查</w:t>
            </w:r>
          </w:p>
        </w:tc>
        <w:tc>
          <w:tcPr>
            <w:tcW w:w="1015" w:type="pct"/>
            <w:vAlign w:val="center"/>
          </w:tcPr>
          <w:p>
            <w:pPr>
              <w:pStyle w:val="105"/>
              <w:widowControl w:val="0"/>
              <w:jc w:val="center"/>
            </w:pPr>
            <w:r>
              <w:t>噪声源调查方法</w:t>
            </w:r>
          </w:p>
        </w:tc>
        <w:tc>
          <w:tcPr>
            <w:tcW w:w="3360" w:type="pct"/>
            <w:gridSpan w:val="2"/>
            <w:vAlign w:val="center"/>
          </w:tcPr>
          <w:p>
            <w:pPr>
              <w:pStyle w:val="105"/>
              <w:widowControl w:val="0"/>
              <w:jc w:val="center"/>
            </w:pPr>
            <w:r>
              <w:rPr>
                <w:szCs w:val="21"/>
              </w:rPr>
              <w:t>现场实测</w:t>
            </w:r>
            <w:r>
              <w:rPr>
                <w:rFonts w:ascii="Wingdings 2" w:hAnsi="Wingdings 2"/>
                <w:szCs w:val="21"/>
              </w:rPr>
              <w:t></w:t>
            </w:r>
            <w:r>
              <w:rPr>
                <w:szCs w:val="21"/>
              </w:rPr>
              <w:t xml:space="preserve">      已有资料</w:t>
            </w:r>
            <w:r>
              <w:rPr>
                <w:rFonts w:hint="eastAsia"/>
                <w:szCs w:val="21"/>
              </w:rPr>
              <w:t>□</w:t>
            </w:r>
            <w:r>
              <w:rPr>
                <w:szCs w:val="21"/>
              </w:rPr>
              <w:t xml:space="preserve">      研究成果</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restart"/>
            <w:vAlign w:val="center"/>
          </w:tcPr>
          <w:p>
            <w:pPr>
              <w:pStyle w:val="105"/>
              <w:widowControl w:val="0"/>
              <w:jc w:val="center"/>
            </w:pPr>
            <w:r>
              <w:t>声环境影响预测与评价</w:t>
            </w:r>
          </w:p>
        </w:tc>
        <w:tc>
          <w:tcPr>
            <w:tcW w:w="1015" w:type="pct"/>
            <w:vAlign w:val="center"/>
          </w:tcPr>
          <w:p>
            <w:pPr>
              <w:pStyle w:val="105"/>
              <w:widowControl w:val="0"/>
              <w:jc w:val="center"/>
            </w:pPr>
            <w:r>
              <w:t>预测模型</w:t>
            </w:r>
          </w:p>
        </w:tc>
        <w:tc>
          <w:tcPr>
            <w:tcW w:w="3360" w:type="pct"/>
            <w:gridSpan w:val="2"/>
            <w:vAlign w:val="center"/>
          </w:tcPr>
          <w:p>
            <w:pPr>
              <w:pStyle w:val="105"/>
              <w:widowControl w:val="0"/>
              <w:jc w:val="center"/>
            </w:pPr>
            <w:r>
              <w:rPr>
                <w:szCs w:val="21"/>
              </w:rPr>
              <w:t>导则推荐模型</w:t>
            </w:r>
            <w:r>
              <w:rPr>
                <w:rFonts w:ascii="Wingdings 2" w:hAnsi="Wingdings 2"/>
                <w:szCs w:val="21"/>
              </w:rPr>
              <w:t></w:t>
            </w:r>
            <w:r>
              <w:rPr>
                <w:szCs w:val="21"/>
              </w:rPr>
              <w:t xml:space="preserve">          其他</w:t>
            </w:r>
            <w:r>
              <w:rPr>
                <w:rFonts w:hint="eastAsia"/>
                <w:szCs w:val="21"/>
              </w:rPr>
              <w:t>□</w:t>
            </w:r>
            <w:r>
              <w:rPr>
                <w:rFonts w:hint="eastAsia"/>
                <w:szCs w:val="21"/>
                <w:u w:val="single"/>
              </w:rPr>
              <w:t xml:space="preserve"> </w:t>
            </w:r>
            <w:r>
              <w:rPr>
                <w:szCs w:val="21"/>
                <w:u w:val="single"/>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continue"/>
            <w:vAlign w:val="center"/>
          </w:tcPr>
          <w:p>
            <w:pPr>
              <w:pStyle w:val="105"/>
              <w:widowControl w:val="0"/>
              <w:jc w:val="center"/>
            </w:pPr>
          </w:p>
        </w:tc>
        <w:tc>
          <w:tcPr>
            <w:tcW w:w="1015" w:type="pct"/>
            <w:vAlign w:val="center"/>
          </w:tcPr>
          <w:p>
            <w:pPr>
              <w:pStyle w:val="105"/>
              <w:widowControl w:val="0"/>
              <w:jc w:val="center"/>
            </w:pPr>
            <w:r>
              <w:t>预测范围</w:t>
            </w:r>
          </w:p>
        </w:tc>
        <w:tc>
          <w:tcPr>
            <w:tcW w:w="3360" w:type="pct"/>
            <w:gridSpan w:val="2"/>
            <w:vAlign w:val="center"/>
          </w:tcPr>
          <w:p>
            <w:pPr>
              <w:pStyle w:val="105"/>
              <w:widowControl w:val="0"/>
              <w:jc w:val="center"/>
            </w:pPr>
            <w:r>
              <w:rPr>
                <w:szCs w:val="21"/>
              </w:rPr>
              <w:t>200m</w:t>
            </w:r>
            <w:r>
              <w:rPr>
                <w:rFonts w:ascii="Wingdings 2" w:hAnsi="Wingdings 2"/>
                <w:szCs w:val="21"/>
              </w:rPr>
              <w:t></w:t>
            </w:r>
            <w:r>
              <w:rPr>
                <w:szCs w:val="21"/>
              </w:rPr>
              <w:t xml:space="preserve">           大于 </w:t>
            </w:r>
            <w:r>
              <w:rPr>
                <w:rFonts w:eastAsia="Times New Roman"/>
                <w:szCs w:val="21"/>
              </w:rPr>
              <w:t>200 m</w:t>
            </w:r>
            <w:r>
              <w:rPr>
                <w:rFonts w:hint="eastAsia"/>
                <w:szCs w:val="21"/>
              </w:rPr>
              <w:t>□</w:t>
            </w:r>
            <w:r>
              <w:rPr>
                <w:szCs w:val="21"/>
              </w:rPr>
              <w:t xml:space="preserve">           小于 </w:t>
            </w:r>
            <w:r>
              <w:rPr>
                <w:rFonts w:eastAsia="Times New Roman"/>
                <w:szCs w:val="21"/>
              </w:rPr>
              <w:t>200 m</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continue"/>
            <w:vAlign w:val="center"/>
          </w:tcPr>
          <w:p>
            <w:pPr>
              <w:pStyle w:val="105"/>
              <w:widowControl w:val="0"/>
              <w:jc w:val="center"/>
            </w:pPr>
          </w:p>
        </w:tc>
        <w:tc>
          <w:tcPr>
            <w:tcW w:w="1015" w:type="pct"/>
            <w:vAlign w:val="center"/>
          </w:tcPr>
          <w:p>
            <w:pPr>
              <w:pStyle w:val="105"/>
              <w:widowControl w:val="0"/>
              <w:jc w:val="center"/>
            </w:pPr>
            <w:r>
              <w:t>预测因子</w:t>
            </w:r>
          </w:p>
        </w:tc>
        <w:tc>
          <w:tcPr>
            <w:tcW w:w="3360" w:type="pct"/>
            <w:gridSpan w:val="2"/>
            <w:vAlign w:val="center"/>
          </w:tcPr>
          <w:p>
            <w:pPr>
              <w:pStyle w:val="105"/>
              <w:widowControl w:val="0"/>
              <w:jc w:val="center"/>
            </w:pPr>
            <w:r>
              <w:rPr>
                <w:szCs w:val="21"/>
              </w:rPr>
              <w:t xml:space="preserve">等效连续 </w:t>
            </w:r>
            <w:r>
              <w:rPr>
                <w:rFonts w:eastAsia="Times New Roman"/>
                <w:szCs w:val="21"/>
              </w:rPr>
              <w:t xml:space="preserve">A </w:t>
            </w:r>
            <w:r>
              <w:rPr>
                <w:szCs w:val="21"/>
              </w:rPr>
              <w:t>声级</w:t>
            </w:r>
            <w:r>
              <w:rPr>
                <w:rFonts w:ascii="Wingdings 2" w:hAnsi="Wingdings 2"/>
                <w:szCs w:val="21"/>
              </w:rPr>
              <w:t></w:t>
            </w:r>
            <w:r>
              <w:rPr>
                <w:rFonts w:hint="eastAsia"/>
                <w:szCs w:val="21"/>
              </w:rPr>
              <w:t xml:space="preserve"> </w:t>
            </w:r>
            <w:r>
              <w:rPr>
                <w:szCs w:val="21"/>
              </w:rPr>
              <w:t xml:space="preserve">  最大 </w:t>
            </w:r>
            <w:r>
              <w:rPr>
                <w:rFonts w:eastAsia="Times New Roman"/>
                <w:szCs w:val="21"/>
              </w:rPr>
              <w:t xml:space="preserve">A </w:t>
            </w:r>
            <w:r>
              <w:rPr>
                <w:szCs w:val="21"/>
              </w:rPr>
              <w:t>声级</w:t>
            </w:r>
            <w:r>
              <w:rPr>
                <w:rFonts w:hint="eastAsia"/>
                <w:szCs w:val="21"/>
              </w:rPr>
              <w:t xml:space="preserve">□ </w:t>
            </w:r>
            <w:r>
              <w:rPr>
                <w:szCs w:val="21"/>
              </w:rPr>
              <w:t xml:space="preserve">  计权等效连续感觉噪声级</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continue"/>
            <w:vAlign w:val="center"/>
          </w:tcPr>
          <w:p>
            <w:pPr>
              <w:pStyle w:val="105"/>
              <w:widowControl w:val="0"/>
              <w:jc w:val="center"/>
            </w:pPr>
          </w:p>
        </w:tc>
        <w:tc>
          <w:tcPr>
            <w:tcW w:w="1015" w:type="pct"/>
            <w:vAlign w:val="center"/>
          </w:tcPr>
          <w:p>
            <w:pPr>
              <w:pStyle w:val="105"/>
              <w:widowControl w:val="0"/>
              <w:jc w:val="center"/>
            </w:pPr>
            <w:r>
              <w:t>厂界噪声贡献值</w:t>
            </w:r>
          </w:p>
        </w:tc>
        <w:tc>
          <w:tcPr>
            <w:tcW w:w="3360" w:type="pct"/>
            <w:gridSpan w:val="2"/>
            <w:vAlign w:val="center"/>
          </w:tcPr>
          <w:p>
            <w:pPr>
              <w:pStyle w:val="105"/>
              <w:widowControl w:val="0"/>
              <w:jc w:val="center"/>
            </w:pPr>
            <w:r>
              <w:rPr>
                <w:szCs w:val="21"/>
              </w:rPr>
              <w:t>达标</w:t>
            </w:r>
            <w:r>
              <w:rPr>
                <w:rFonts w:hint="eastAsia"/>
                <w:szCs w:val="21"/>
              </w:rPr>
              <w:t>□</w:t>
            </w:r>
            <w:r>
              <w:rPr>
                <w:szCs w:val="21"/>
              </w:rPr>
              <w:t xml:space="preserve">     不达标</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continue"/>
            <w:vAlign w:val="center"/>
          </w:tcPr>
          <w:p>
            <w:pPr>
              <w:pStyle w:val="105"/>
              <w:widowControl w:val="0"/>
              <w:jc w:val="center"/>
            </w:pPr>
          </w:p>
        </w:tc>
        <w:tc>
          <w:tcPr>
            <w:tcW w:w="1015" w:type="pct"/>
            <w:vAlign w:val="center"/>
          </w:tcPr>
          <w:p>
            <w:pPr>
              <w:pStyle w:val="105"/>
              <w:widowControl w:val="0"/>
              <w:jc w:val="center"/>
            </w:pPr>
            <w:r>
              <w:t>声环境保护目标处噪声值</w:t>
            </w:r>
          </w:p>
        </w:tc>
        <w:tc>
          <w:tcPr>
            <w:tcW w:w="3360" w:type="pct"/>
            <w:gridSpan w:val="2"/>
            <w:vAlign w:val="center"/>
          </w:tcPr>
          <w:p>
            <w:pPr>
              <w:pStyle w:val="105"/>
              <w:widowControl w:val="0"/>
              <w:jc w:val="center"/>
            </w:pPr>
            <w:r>
              <w:rPr>
                <w:szCs w:val="21"/>
              </w:rPr>
              <w:t>达标</w:t>
            </w:r>
            <w:r>
              <w:rPr>
                <w:rFonts w:ascii="Wingdings 2" w:hAnsi="Wingdings 2"/>
                <w:szCs w:val="21"/>
              </w:rPr>
              <w:t></w:t>
            </w:r>
            <w:r>
              <w:rPr>
                <w:rFonts w:hint="eastAsia"/>
                <w:szCs w:val="21"/>
              </w:rPr>
              <w:t xml:space="preserve"> </w:t>
            </w:r>
            <w:r>
              <w:rPr>
                <w:szCs w:val="21"/>
              </w:rPr>
              <w:t xml:space="preserve">       不达标</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restart"/>
            <w:vAlign w:val="center"/>
          </w:tcPr>
          <w:p>
            <w:pPr>
              <w:pStyle w:val="105"/>
              <w:widowControl w:val="0"/>
              <w:jc w:val="center"/>
            </w:pPr>
            <w:r>
              <w:t>环境监测计划</w:t>
            </w:r>
          </w:p>
        </w:tc>
        <w:tc>
          <w:tcPr>
            <w:tcW w:w="1015" w:type="pct"/>
            <w:vAlign w:val="center"/>
          </w:tcPr>
          <w:p>
            <w:pPr>
              <w:pStyle w:val="105"/>
              <w:widowControl w:val="0"/>
              <w:jc w:val="center"/>
            </w:pPr>
            <w:r>
              <w:t>排放监测</w:t>
            </w:r>
          </w:p>
        </w:tc>
        <w:tc>
          <w:tcPr>
            <w:tcW w:w="3360" w:type="pct"/>
            <w:gridSpan w:val="2"/>
            <w:vAlign w:val="center"/>
          </w:tcPr>
          <w:p>
            <w:pPr>
              <w:pStyle w:val="105"/>
              <w:widowControl w:val="0"/>
              <w:jc w:val="center"/>
            </w:pPr>
            <w:r>
              <w:rPr>
                <w:szCs w:val="21"/>
              </w:rPr>
              <w:t>厂界监测</w:t>
            </w:r>
            <w:r>
              <w:rPr>
                <w:rFonts w:hint="eastAsia"/>
                <w:szCs w:val="21"/>
              </w:rPr>
              <w:t>□</w:t>
            </w:r>
            <w:r>
              <w:rPr>
                <w:szCs w:val="21"/>
              </w:rPr>
              <w:t xml:space="preserve">  固定位置监</w:t>
            </w:r>
            <w:r>
              <w:rPr>
                <w:spacing w:val="-3"/>
                <w:szCs w:val="21"/>
              </w:rPr>
              <w:t>测</w:t>
            </w:r>
            <w:r>
              <w:rPr>
                <w:rFonts w:hint="eastAsia"/>
                <w:szCs w:val="21"/>
              </w:rPr>
              <w:t>□</w:t>
            </w:r>
            <w:r>
              <w:rPr>
                <w:szCs w:val="21"/>
              </w:rPr>
              <w:t xml:space="preserve">  自动监测</w:t>
            </w:r>
            <w:r>
              <w:rPr>
                <w:rFonts w:hint="eastAsia"/>
                <w:szCs w:val="21"/>
              </w:rPr>
              <w:t>□</w:t>
            </w:r>
            <w:r>
              <w:rPr>
                <w:szCs w:val="21"/>
              </w:rPr>
              <w:t xml:space="preserve">  手动监测</w:t>
            </w:r>
            <w:r>
              <w:rPr>
                <w:rFonts w:ascii="Wingdings 2" w:hAnsi="Wingdings 2"/>
                <w:szCs w:val="21"/>
              </w:rPr>
              <w:t></w:t>
            </w:r>
            <w:r>
              <w:rPr>
                <w:rFonts w:hint="eastAsia"/>
                <w:szCs w:val="21"/>
              </w:rPr>
              <w:t xml:space="preserve">  </w:t>
            </w:r>
            <w:r>
              <w:rPr>
                <w:szCs w:val="21"/>
              </w:rPr>
              <w:t>无监测</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Merge w:val="continue"/>
            <w:vAlign w:val="center"/>
          </w:tcPr>
          <w:p>
            <w:pPr>
              <w:pStyle w:val="105"/>
              <w:widowControl w:val="0"/>
              <w:jc w:val="center"/>
            </w:pPr>
          </w:p>
        </w:tc>
        <w:tc>
          <w:tcPr>
            <w:tcW w:w="1015" w:type="pct"/>
            <w:vAlign w:val="center"/>
          </w:tcPr>
          <w:p>
            <w:pPr>
              <w:pStyle w:val="105"/>
              <w:widowControl w:val="0"/>
              <w:jc w:val="center"/>
            </w:pPr>
            <w:r>
              <w:t>声环境保护目标处噪声监测</w:t>
            </w:r>
          </w:p>
        </w:tc>
        <w:tc>
          <w:tcPr>
            <w:tcW w:w="3360" w:type="pct"/>
            <w:gridSpan w:val="2"/>
            <w:vAlign w:val="center"/>
          </w:tcPr>
          <w:p>
            <w:pPr>
              <w:pStyle w:val="105"/>
              <w:widowControl w:val="0"/>
              <w:jc w:val="center"/>
            </w:pPr>
            <w:r>
              <w:rPr>
                <w:szCs w:val="21"/>
              </w:rPr>
              <w:t>监测因子</w:t>
            </w:r>
            <w:r>
              <w:rPr>
                <w:spacing w:val="-92"/>
                <w:szCs w:val="21"/>
              </w:rPr>
              <w:t>：</w:t>
            </w:r>
            <w:r>
              <w:rPr>
                <w:szCs w:val="21"/>
              </w:rPr>
              <w:t>（</w:t>
            </w:r>
            <w:r>
              <w:rPr>
                <w:rFonts w:hint="eastAsia"/>
                <w:szCs w:val="21"/>
              </w:rPr>
              <w:t>等效A声级</w:t>
            </w:r>
            <w:r>
              <w:rPr>
                <w:szCs w:val="21"/>
              </w:rPr>
              <w:t>）</w:t>
            </w:r>
            <w:r>
              <w:rPr>
                <w:rFonts w:hint="eastAsia"/>
                <w:szCs w:val="21"/>
              </w:rPr>
              <w:t xml:space="preserve"> </w:t>
            </w:r>
            <w:r>
              <w:rPr>
                <w:szCs w:val="21"/>
              </w:rPr>
              <w:t xml:space="preserve">  监测点位数</w:t>
            </w:r>
            <w:r>
              <w:rPr>
                <w:rFonts w:hint="eastAsia"/>
                <w:szCs w:val="21"/>
              </w:rPr>
              <w:t>：</w:t>
            </w:r>
            <w:r>
              <w:rPr>
                <w:szCs w:val="21"/>
              </w:rPr>
              <w:t>（3~5）</w:t>
            </w:r>
            <w:r>
              <w:rPr>
                <w:rFonts w:hint="eastAsia"/>
                <w:szCs w:val="21"/>
              </w:rPr>
              <w:t xml:space="preserve"> </w:t>
            </w:r>
            <w:r>
              <w:rPr>
                <w:szCs w:val="21"/>
              </w:rPr>
              <w:t xml:space="preserve">      无监测</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625" w:type="pct"/>
            <w:vAlign w:val="center"/>
          </w:tcPr>
          <w:p>
            <w:pPr>
              <w:pStyle w:val="105"/>
              <w:widowControl w:val="0"/>
              <w:jc w:val="center"/>
            </w:pPr>
            <w:r>
              <w:t>评价结论</w:t>
            </w:r>
          </w:p>
        </w:tc>
        <w:tc>
          <w:tcPr>
            <w:tcW w:w="1015" w:type="pct"/>
            <w:vAlign w:val="center"/>
          </w:tcPr>
          <w:p>
            <w:pPr>
              <w:pStyle w:val="105"/>
              <w:widowControl w:val="0"/>
              <w:jc w:val="center"/>
            </w:pPr>
            <w:r>
              <w:t>环境影响</w:t>
            </w:r>
          </w:p>
        </w:tc>
        <w:tc>
          <w:tcPr>
            <w:tcW w:w="3360" w:type="pct"/>
            <w:gridSpan w:val="2"/>
            <w:vAlign w:val="center"/>
          </w:tcPr>
          <w:p>
            <w:pPr>
              <w:pStyle w:val="105"/>
              <w:widowControl w:val="0"/>
              <w:jc w:val="center"/>
            </w:pPr>
            <w:r>
              <w:rPr>
                <w:szCs w:val="21"/>
              </w:rPr>
              <w:t>可行</w:t>
            </w:r>
            <w:r>
              <w:rPr>
                <w:rFonts w:ascii="Wingdings 2" w:hAnsi="Wingdings 2"/>
                <w:szCs w:val="21"/>
              </w:rPr>
              <w:t></w:t>
            </w:r>
            <w:r>
              <w:rPr>
                <w:szCs w:val="21"/>
              </w:rPr>
              <w:tab/>
            </w:r>
            <w:r>
              <w:rPr>
                <w:szCs w:val="21"/>
              </w:rPr>
              <w:t xml:space="preserve">   不可行</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cantSplit/>
          <w:trHeight w:val="227" w:hRule="atLeast"/>
        </w:trPr>
        <w:tc>
          <w:tcPr>
            <w:tcW w:w="5000" w:type="pct"/>
            <w:gridSpan w:val="4"/>
            <w:tcBorders>
              <w:bottom w:val="single" w:color="auto" w:sz="12" w:space="0"/>
            </w:tcBorders>
            <w:vAlign w:val="center"/>
          </w:tcPr>
          <w:p>
            <w:pPr>
              <w:pStyle w:val="105"/>
              <w:widowControl w:val="0"/>
              <w:jc w:val="center"/>
            </w:pPr>
            <w:r>
              <w:t>注：“</w:t>
            </w:r>
            <w:r>
              <w:rPr>
                <w:rFonts w:hint="eastAsia"/>
              </w:rPr>
              <w:t>□</w:t>
            </w:r>
            <w:r>
              <w:t>” 为勾选项 ，可√ ；</w:t>
            </w:r>
            <w:r>
              <w:rPr>
                <w:rFonts w:hint="eastAsia"/>
              </w:rPr>
              <w:t>“</w:t>
            </w:r>
            <w:r>
              <w:t>（</w:t>
            </w:r>
            <w:r>
              <w:tab/>
            </w:r>
            <w:r>
              <w:t>）</w:t>
            </w:r>
            <w:r>
              <w:rPr>
                <w:rFonts w:hint="eastAsia"/>
              </w:rPr>
              <w:t>”</w:t>
            </w:r>
            <w:r>
              <w:t xml:space="preserve"> 为内容填写项。</w:t>
            </w:r>
          </w:p>
        </w:tc>
      </w:tr>
    </w:tbl>
    <w:p>
      <w:pPr>
        <w:pStyle w:val="116"/>
      </w:pPr>
      <w:bookmarkStart w:id="493" w:name="_Toc204676250"/>
      <w:r>
        <w:t>固体废物环境影响分析</w:t>
      </w:r>
      <w:bookmarkEnd w:id="491"/>
      <w:bookmarkEnd w:id="492"/>
      <w:bookmarkEnd w:id="493"/>
    </w:p>
    <w:p>
      <w:pPr>
        <w:ind w:firstLine="480"/>
      </w:pPr>
      <w:r>
        <w:t>本项目产生的固体废物主要是施工垃圾及生活垃圾。其中，建筑垃圾主要为植物残体、拆迁建筑垃圾及施工建筑废物等，</w:t>
      </w:r>
      <w:r>
        <w:rPr>
          <w:rFonts w:hint="eastAsia"/>
        </w:rPr>
        <w:t>成分</w:t>
      </w:r>
      <w:r>
        <w:t>较为简单。但如果处理方法不当，任意堆放，也将对环境产生影响：如占用土地；固体废物中的细粒受风吹、日晒，产生扬尘，影响局部大气质量；生活垃圾如果没有及时清运处理，易腐烂、散发恶臭，影响周边村庄的环境卫生。</w:t>
      </w:r>
    </w:p>
    <w:p>
      <w:pPr>
        <w:pStyle w:val="120"/>
        <w:rPr>
          <w:color w:val="auto"/>
        </w:rPr>
      </w:pPr>
      <w:bookmarkStart w:id="494" w:name="4.4.1施工期固体废物处置分析"/>
      <w:bookmarkEnd w:id="494"/>
      <w:r>
        <w:rPr>
          <w:color w:val="auto"/>
        </w:rPr>
        <w:t>施工期固体废物处置分析</w:t>
      </w:r>
    </w:p>
    <w:p>
      <w:pPr>
        <w:pStyle w:val="19"/>
        <w:ind w:firstLine="476"/>
        <w:rPr>
          <w:rFonts w:ascii="Times New Roman" w:hAnsi="Times New Roman" w:cs="Times New Roman"/>
          <w:spacing w:val="-2"/>
        </w:rPr>
      </w:pPr>
      <w:r>
        <w:rPr>
          <w:rFonts w:ascii="Times New Roman" w:hAnsi="Times New Roman" w:cs="Times New Roman"/>
          <w:spacing w:val="-2"/>
        </w:rPr>
        <w:t>遵循对固废的“减量化、资源化、无害化”的原则，本项目所产生的废物经有效处理、回收综合利用后，基本上可实现固体废物的零排放。</w:t>
      </w:r>
    </w:p>
    <w:p>
      <w:pPr>
        <w:ind w:firstLine="480"/>
      </w:pPr>
      <w:r>
        <w:t>（1）对涉及的建筑拆迁废物进行</w:t>
      </w:r>
      <w:r>
        <w:rPr>
          <w:rFonts w:hint="eastAsia"/>
        </w:rPr>
        <w:t>分拣</w:t>
      </w:r>
      <w:r>
        <w:t>，回收可利用部分：如废钢筋、废金属、废电力电讯线、废泡沫塑料、废纸、废薄膜可送至废品收购站实现综合利用。废砖瓦、石块、混凝土块中的成形、较完整部分和废木板经整理可作为附近农村牲畜围栏等设施的用料。为减少挖方，可利用部分建筑垃圾作为路基填方材料进行利用，这样既能减少挖方量，又能做到建筑垃圾的综合利用或作为平整低洼地用。此外，拆除的电力、电讯杆可重新利用，少量不能利用的杆件经处理后可运送到固体废物处置场填埋。</w:t>
      </w:r>
    </w:p>
    <w:p>
      <w:pPr>
        <w:ind w:firstLine="480"/>
      </w:pPr>
      <w:r>
        <w:t>（2）施工期生活垃圾主要分布于各施工人员驻地（利用当地民房），因其产生量有限，可充分利用沿线原乡镇、村庄的环卫垃圾处理设施，特别在施工高峰期应适当在人员集中区增加保洁容器和保洁人员，生活垃圾经由环卫工人分类收集可利用的部分后，并入临近的乡村垃圾处理系统处理。</w:t>
      </w:r>
    </w:p>
    <w:p>
      <w:pPr>
        <w:ind w:firstLine="480"/>
      </w:pPr>
      <w:r>
        <w:t>（3）加强对施工机械、运输车辆的管理：施工机械、运输车辆保养产生的固体废弃物不得随意抛弃，应统一收集处理。渣土运输车辆应当适量装载，运输途中不得泄漏、遗撒、污染路面，按要求卸放。</w:t>
      </w:r>
    </w:p>
    <w:p>
      <w:pPr>
        <w:ind w:firstLine="480"/>
      </w:pPr>
      <w:r>
        <w:rPr>
          <w:rFonts w:hint="eastAsia"/>
        </w:rPr>
        <w:t>（4）施工场地及施工现场在机械维护保养过程中产生少量废油、含油抹布等危废，如果处置不当会对周围土壤、水体等造成污染。施工单位应将产生的含油抹布、废油等危废交由有资质的危废处理单位妥善处置。</w:t>
      </w:r>
    </w:p>
    <w:p>
      <w:pPr>
        <w:pStyle w:val="120"/>
        <w:rPr>
          <w:color w:val="auto"/>
        </w:rPr>
      </w:pPr>
      <w:bookmarkStart w:id="495" w:name="4.4.2营运期固体废物处置分析"/>
      <w:bookmarkEnd w:id="495"/>
      <w:r>
        <w:rPr>
          <w:color w:val="auto"/>
        </w:rPr>
        <w:t>运营期固体废物处置分析</w:t>
      </w:r>
    </w:p>
    <w:p>
      <w:pPr>
        <w:pStyle w:val="19"/>
        <w:ind w:firstLine="480"/>
        <w:rPr>
          <w:rFonts w:ascii="Times New Roman" w:hAnsi="Times New Roman" w:cs="Times New Roman"/>
          <w:spacing w:val="-2"/>
        </w:rPr>
        <w:sectPr>
          <w:footerReference r:id="rId16" w:type="default"/>
          <w:pgSz w:w="11910" w:h="16840"/>
          <w:pgMar w:top="1418" w:right="1418" w:bottom="1418" w:left="1418" w:header="851" w:footer="851" w:gutter="0"/>
          <w:cols w:space="720" w:num="1"/>
        </w:sectPr>
      </w:pPr>
      <w:r>
        <w:rPr>
          <w:rFonts w:hint="eastAsia"/>
        </w:rPr>
        <w:t>项目建成通车后，当地交通更为便捷，给人们日常生活和工作带来了极大的便利，但同时交通垃圾，如汽车装载货物的洒落物、汽车轮胎挟带的泥沙、过往车辆丢弃的饮料瓶及废纸盒等生活垃圾也对沿线周边环境产生不利影响。固体废物经环卫部门定期清除、收集、外运，保证日产日清、路面清洁，则项目运营期产生的固体废物对周边环境影响不大</w:t>
      </w:r>
      <w:r>
        <w:rPr>
          <w:rFonts w:ascii="Times New Roman" w:hAnsi="Times New Roman" w:cs="Times New Roman"/>
          <w:spacing w:val="-2"/>
        </w:rPr>
        <w:t>。</w:t>
      </w:r>
    </w:p>
    <w:p>
      <w:pPr>
        <w:pStyle w:val="19"/>
        <w:ind w:firstLine="476"/>
        <w:rPr>
          <w:rFonts w:ascii="Times New Roman" w:hAnsi="Times New Roman" w:cs="Times New Roman"/>
          <w:spacing w:val="-2"/>
        </w:rPr>
      </w:pPr>
    </w:p>
    <w:p>
      <w:pPr>
        <w:pStyle w:val="114"/>
      </w:pPr>
      <w:bookmarkStart w:id="496" w:name="4.5生态环境影响分析与评价"/>
      <w:bookmarkEnd w:id="496"/>
      <w:bookmarkStart w:id="497" w:name="_Toc5772"/>
      <w:bookmarkStart w:id="498" w:name="_Toc159405478"/>
      <w:bookmarkStart w:id="499" w:name="_Toc204676251"/>
      <w:r>
        <w:t>环境风险评价</w:t>
      </w:r>
      <w:bookmarkEnd w:id="497"/>
      <w:bookmarkEnd w:id="498"/>
      <w:bookmarkEnd w:id="499"/>
    </w:p>
    <w:p>
      <w:pPr>
        <w:ind w:firstLine="480"/>
      </w:pPr>
      <w:r>
        <w:rPr>
          <w:rFonts w:hint="eastAsia"/>
        </w:rPr>
        <w:t>环境风险评价是分析和预测建设项目存在的潜在危险、有害因素，项目建设和运行期间可能发生的突发性事件或事故（不包括人为破坏及自然灾害）引起有毒有害和易燃易爆等物质泄漏，造成人身安全、环境影响</w:t>
      </w:r>
      <w:r>
        <w:rPr>
          <w:rFonts w:ascii="Segoe UI" w:hAnsi="Segoe UI" w:cs="Segoe UI"/>
        </w:rPr>
        <w:t>及</w:t>
      </w:r>
      <w:r>
        <w:rPr>
          <w:rFonts w:hint="eastAsia"/>
        </w:rPr>
        <w:t>损害程度，提出合理可行的防范、应急与减缓措施，使项目事故率、损失和环境影响达到可接受水平，确保周边影响区内环境质量达标、人群生物的健康和生命安全。</w:t>
      </w:r>
    </w:p>
    <w:p>
      <w:pPr>
        <w:pStyle w:val="116"/>
      </w:pPr>
      <w:bookmarkStart w:id="500" w:name="5.1环境风险识别"/>
      <w:bookmarkEnd w:id="500"/>
      <w:bookmarkStart w:id="501" w:name="_Toc204676252"/>
      <w:bookmarkStart w:id="502" w:name="_Toc16462"/>
      <w:bookmarkStart w:id="503" w:name="_Toc159405479"/>
      <w:r>
        <w:t>环境风险识别</w:t>
      </w:r>
      <w:bookmarkEnd w:id="501"/>
      <w:bookmarkEnd w:id="502"/>
      <w:bookmarkEnd w:id="503"/>
    </w:p>
    <w:p>
      <w:pPr>
        <w:pStyle w:val="120"/>
        <w:rPr>
          <w:color w:val="auto"/>
        </w:rPr>
      </w:pPr>
      <w:r>
        <w:rPr>
          <w:rFonts w:hint="eastAsia"/>
          <w:color w:val="auto"/>
        </w:rPr>
        <w:t>环境风险识别</w:t>
      </w:r>
    </w:p>
    <w:p>
      <w:pPr>
        <w:ind w:firstLine="480"/>
      </w:pPr>
      <w:r>
        <w:rPr>
          <w:rFonts w:hint="eastAsia"/>
        </w:rPr>
        <w:t>公路运输过程中的风险事故，主要造成的影响是对沿线水体的影响，化学危险品的泄漏、落水将造成水体的严重污染。大量的研究成果表明，公路污染事故主要来源于交通事故。当公路跨过水体或沿水域经过时，车辆发生事故将可能对水体、环境空气产生污染，事故类型主要有：</w:t>
      </w:r>
    </w:p>
    <w:p>
      <w:pPr>
        <w:ind w:firstLine="480"/>
      </w:pPr>
      <w:r>
        <w:rPr>
          <w:rFonts w:hint="eastAsia"/>
        </w:rPr>
        <w:t>（1）车辆本身携带的汽油（柴油）和机油泄漏，排入附近水体；</w:t>
      </w:r>
    </w:p>
    <w:p>
      <w:pPr>
        <w:ind w:firstLine="480"/>
      </w:pPr>
      <w:r>
        <w:rPr>
          <w:rFonts w:hint="eastAsia"/>
        </w:rPr>
        <w:t>（2）化学危险品的运输车辆发生交通事故后，有毒有害固态、液态危险品发生泄漏或易燃易爆物质引起爆炸，引起水污染和空气污染；</w:t>
      </w:r>
    </w:p>
    <w:p>
      <w:pPr>
        <w:ind w:firstLine="480"/>
      </w:pPr>
      <w:r>
        <w:rPr>
          <w:rFonts w:hint="eastAsia"/>
        </w:rPr>
        <w:t>本</w:t>
      </w:r>
      <w:bookmarkStart w:id="504" w:name="_Hlk197459016"/>
      <w:r>
        <w:rPr>
          <w:rFonts w:hint="eastAsia"/>
        </w:rPr>
        <w:t>项目作为</w:t>
      </w:r>
      <w:r>
        <w:t>旅游公路工程</w:t>
      </w:r>
      <w:bookmarkEnd w:id="504"/>
      <w:r>
        <w:rPr>
          <w:rFonts w:hint="eastAsia"/>
        </w:rPr>
        <w:t>，起于上迳镇牌边村，</w:t>
      </w:r>
      <w:r>
        <w:rPr>
          <w:rFonts w:hint="eastAsia" w:cs="Times New Roman"/>
          <w:shd w:val="clear" w:color="auto" w:fill="FFFFFF"/>
        </w:rPr>
        <w:t>终点至黄檗山万福寺，设置接线接入规划黄檗文化产业园</w:t>
      </w:r>
      <w:r>
        <w:rPr>
          <w:lang w:val="zh-CN"/>
        </w:rPr>
        <w:t>。</w:t>
      </w:r>
      <w:r>
        <w:rPr>
          <w:rFonts w:hint="eastAsia"/>
          <w:kern w:val="0"/>
        </w:rPr>
        <w:t>根据区域调查，</w:t>
      </w:r>
      <w:bookmarkStart w:id="505" w:name="_Hlk197459028"/>
      <w:r>
        <w:rPr>
          <w:rFonts w:hint="eastAsia"/>
          <w:kern w:val="0"/>
        </w:rPr>
        <w:t>区域村庄主要以农业生产和鳗鱼养殖为主，工业生产活动较少，且本项目</w:t>
      </w:r>
      <w:r>
        <w:rPr>
          <w:rFonts w:hint="eastAsia"/>
          <w:lang w:val="zh-CN"/>
        </w:rPr>
        <w:t>作为旅游公路</w:t>
      </w:r>
      <w:r>
        <w:rPr>
          <w:rFonts w:hint="eastAsia"/>
          <w:kern w:val="0"/>
        </w:rPr>
        <w:t>，不具备</w:t>
      </w:r>
      <w:r>
        <w:rPr>
          <w:rFonts w:hint="eastAsia"/>
        </w:rPr>
        <w:t>运输</w:t>
      </w:r>
      <w:r>
        <w:rPr>
          <w:rFonts w:hint="eastAsia"/>
          <w:kern w:val="0"/>
        </w:rPr>
        <w:t>危化品的功能</w:t>
      </w:r>
      <w:bookmarkEnd w:id="505"/>
      <w:r>
        <w:rPr>
          <w:rFonts w:hint="eastAsia"/>
          <w:kern w:val="0"/>
        </w:rPr>
        <w:t>。</w:t>
      </w:r>
      <w:r>
        <w:rPr>
          <w:rFonts w:hint="eastAsia"/>
        </w:rPr>
        <w:t>因此，项目主要水环境风险为：车辆本身携带的汽油（柴油）和机油泄漏以及居民的少量液化气、易燃液体、农药化肥等，通过桥梁、涵洞、边沟进入周边地表水系，但这种小概率事件是有可能发生的，一旦发生事故，则可能会对泄漏区周边的河沟、土壤环境产生影响。所以公路管理部门应做好应急措施，一旦事故发生要尽快采取措施使污染影响降到最低限度</w:t>
      </w:r>
      <w:r>
        <w:t>。</w:t>
      </w:r>
    </w:p>
    <w:p>
      <w:pPr>
        <w:pStyle w:val="120"/>
        <w:rPr>
          <w:color w:val="auto"/>
        </w:rPr>
      </w:pPr>
      <w:r>
        <w:rPr>
          <w:rFonts w:hint="eastAsia"/>
          <w:color w:val="auto"/>
        </w:rPr>
        <w:t>敏感路段识别</w:t>
      </w:r>
    </w:p>
    <w:p>
      <w:pPr>
        <w:ind w:firstLine="480"/>
      </w:pPr>
      <w:r>
        <w:rPr>
          <w:rFonts w:hint="eastAsia"/>
        </w:rPr>
        <w:t>本工程的环境风险敏感路段包括：以桥梁形式跨越迳江的大埔大桥和枝钟中桥，以及K</w:t>
      </w:r>
      <w:r>
        <w:t>1+400~</w:t>
      </w:r>
      <w:r>
        <w:rPr>
          <w:rFonts w:hint="eastAsia"/>
        </w:rPr>
        <w:t xml:space="preserve"> K</w:t>
      </w:r>
      <w:r>
        <w:t>1+860</w:t>
      </w:r>
      <w:r>
        <w:rPr>
          <w:rFonts w:hint="eastAsia"/>
        </w:rPr>
        <w:t>邻水路段。</w:t>
      </w:r>
    </w:p>
    <w:p>
      <w:pPr>
        <w:pStyle w:val="116"/>
      </w:pPr>
      <w:bookmarkStart w:id="506" w:name="_Toc153957837"/>
      <w:bookmarkStart w:id="507" w:name="_Toc204676253"/>
      <w:bookmarkStart w:id="508" w:name="_Toc159405480"/>
      <w:r>
        <w:rPr>
          <w:rFonts w:hint="eastAsia"/>
        </w:rPr>
        <w:t>风险潜势分析</w:t>
      </w:r>
      <w:bookmarkEnd w:id="506"/>
      <w:bookmarkEnd w:id="507"/>
      <w:bookmarkEnd w:id="508"/>
    </w:p>
    <w:p>
      <w:pPr>
        <w:ind w:firstLine="480"/>
      </w:pPr>
      <w:r>
        <w:rPr>
          <w:rFonts w:hint="eastAsia"/>
        </w:rPr>
        <w:t>根据《建设项目环境风险评价技术导则》（HJ169-2018），本项目不设服务区和加油站，不涉及有毒有害和易燃易爆危险物质生产、使用、存储，不存在重大风险源，环境风险潜势为 I，风险评价等级为简单分析。</w:t>
      </w:r>
    </w:p>
    <w:p>
      <w:pPr>
        <w:pStyle w:val="116"/>
      </w:pPr>
      <w:bookmarkStart w:id="509" w:name="_Toc153957838"/>
      <w:bookmarkStart w:id="510" w:name="_Toc204676254"/>
      <w:bookmarkStart w:id="511" w:name="_Toc159405481"/>
      <w:r>
        <w:rPr>
          <w:rFonts w:hint="eastAsia"/>
        </w:rPr>
        <w:t>环境风险源项分析</w:t>
      </w:r>
      <w:bookmarkEnd w:id="509"/>
      <w:bookmarkEnd w:id="510"/>
      <w:bookmarkEnd w:id="511"/>
    </w:p>
    <w:p>
      <w:pPr>
        <w:pStyle w:val="120"/>
        <w:rPr>
          <w:color w:val="auto"/>
        </w:rPr>
      </w:pPr>
      <w:r>
        <w:rPr>
          <w:rFonts w:hint="eastAsia"/>
          <w:color w:val="auto"/>
        </w:rPr>
        <w:t>施工期环境风险源项分析</w:t>
      </w:r>
    </w:p>
    <w:p>
      <w:pPr>
        <w:ind w:firstLine="480"/>
      </w:pPr>
      <w:r>
        <w:rPr>
          <w:rFonts w:hint="eastAsia"/>
        </w:rPr>
        <w:t>施工期可能发生的风险事故主要有施工机械漏油及施工中涉及的漆料、燃料等爆炸。根据同类型施工现场调查，施工场地一般应急暂存机油量为2</w:t>
      </w:r>
      <w:r>
        <w:t>0~30L</w:t>
      </w:r>
      <w:r>
        <w:rPr>
          <w:rFonts w:hint="eastAsia"/>
        </w:rPr>
        <w:t>，施工器械及施工车辆在线量约</w:t>
      </w:r>
      <w:r>
        <w:t>5~15L/</w:t>
      </w:r>
      <w:r>
        <w:rPr>
          <w:rFonts w:hint="eastAsia"/>
        </w:rPr>
        <w:t>辆，液压油3</w:t>
      </w:r>
      <w:r>
        <w:t>00L/</w:t>
      </w:r>
      <w:r>
        <w:rPr>
          <w:rFonts w:hint="eastAsia"/>
        </w:rPr>
        <w:t>辆，存放量很小，远小于油类物质临界量</w:t>
      </w:r>
      <w:r>
        <w:t>2500</w:t>
      </w:r>
      <w:r>
        <w:rPr>
          <w:rFonts w:hint="eastAsia"/>
        </w:rPr>
        <w:t>t，且设置专门的物资仓库进行存储，风险事故概率发生较低。但由于本工程所在地自然生态环境质量较好，公路沿线分布较多居民，一旦事故发生，由于其突发性、不可预见性，故可能造成一定的环境破坏和社会影响。因此须有相应的措施加以防范。</w:t>
      </w:r>
    </w:p>
    <w:p>
      <w:pPr>
        <w:pStyle w:val="120"/>
        <w:rPr>
          <w:color w:val="auto"/>
        </w:rPr>
      </w:pPr>
      <w:r>
        <w:rPr>
          <w:rFonts w:hint="eastAsia"/>
          <w:color w:val="auto"/>
        </w:rPr>
        <w:t>运营期环境风险源项分析</w:t>
      </w:r>
    </w:p>
    <w:p>
      <w:pPr>
        <w:pStyle w:val="118"/>
      </w:pPr>
      <w:r>
        <w:rPr>
          <w:rFonts w:hint="eastAsia"/>
        </w:rPr>
        <w:t>危险品识别</w:t>
      </w:r>
    </w:p>
    <w:p>
      <w:pPr>
        <w:ind w:firstLine="480"/>
      </w:pPr>
      <w:r>
        <w:rPr>
          <w:rFonts w:hint="eastAsia"/>
          <w:kern w:val="0"/>
        </w:rPr>
        <w:t>本项目</w:t>
      </w:r>
      <w:r>
        <w:rPr>
          <w:rFonts w:hint="eastAsia"/>
          <w:lang w:val="zh-CN"/>
        </w:rPr>
        <w:t>作为旅游公路</w:t>
      </w:r>
      <w:r>
        <w:rPr>
          <w:rFonts w:hint="eastAsia"/>
          <w:kern w:val="0"/>
        </w:rPr>
        <w:t>，不具备</w:t>
      </w:r>
      <w:r>
        <w:rPr>
          <w:rFonts w:hint="eastAsia"/>
        </w:rPr>
        <w:t>运输</w:t>
      </w:r>
      <w:r>
        <w:rPr>
          <w:rFonts w:hint="eastAsia"/>
          <w:kern w:val="0"/>
        </w:rPr>
        <w:t>危化品的功能。</w:t>
      </w:r>
      <w:r>
        <w:rPr>
          <w:rFonts w:hint="eastAsia"/>
        </w:rPr>
        <w:t>项目主要水环境风险为：车辆本身携带的汽油（柴油）和机油泄漏以及居民的少量液化气、易燃液体、农药化肥等。</w:t>
      </w:r>
    </w:p>
    <w:p>
      <w:pPr>
        <w:pStyle w:val="118"/>
      </w:pPr>
      <w:r>
        <w:rPr>
          <w:rFonts w:hint="eastAsia"/>
        </w:rPr>
        <w:t>运营期交通事故概率计算</w:t>
      </w:r>
    </w:p>
    <w:p>
      <w:pPr>
        <w:ind w:firstLine="480"/>
      </w:pPr>
      <w:r>
        <w:rPr>
          <w:rFonts w:hint="eastAsia"/>
        </w:rPr>
        <w:t>（1）事故风险概率经验公式</w:t>
      </w:r>
    </w:p>
    <w:p>
      <w:pPr>
        <w:ind w:firstLine="480"/>
      </w:pPr>
      <w:r>
        <w:rPr>
          <w:rFonts w:hint="eastAsia"/>
        </w:rPr>
        <w:t>本评价对环境风险敏感路段在运输过程中发生风险事故的概率进行估算，事故概率按下列经验公式估算：</w:t>
      </w:r>
    </w:p>
    <w:p>
      <w:pPr>
        <w:ind w:firstLine="480"/>
        <w:jc w:val="center"/>
        <w:rPr>
          <w:rFonts w:hint="eastAsia" w:eastAsia="宋体"/>
          <w:lang w:eastAsia="zh-CN"/>
        </w:rPr>
      </w:pPr>
    </w:p>
    <w:p>
      <w:pPr>
        <w:ind w:firstLine="480"/>
      </w:pPr>
      <w:r>
        <w:rPr>
          <w:rFonts w:hint="eastAsia"/>
        </w:rPr>
        <w:t>式中：P——预测年考核路段的运输化学危险品发生污染事故的风险概率（次/年）；</w:t>
      </w:r>
    </w:p>
    <w:p>
      <w:pPr>
        <w:ind w:firstLine="1200" w:firstLineChars="500"/>
      </w:pPr>
      <w:r>
        <w:rPr>
          <w:rFonts w:hint="eastAsia"/>
        </w:rPr>
        <w:t>Q</w:t>
      </w:r>
      <w:r>
        <w:rPr>
          <w:rFonts w:hint="eastAsia"/>
          <w:vertAlign w:val="subscript"/>
        </w:rPr>
        <w:t>1</w:t>
      </w:r>
      <w:r>
        <w:rPr>
          <w:rFonts w:hint="eastAsia"/>
        </w:rPr>
        <w:t>——交通事故率，次/百万车•km；</w:t>
      </w:r>
    </w:p>
    <w:p>
      <w:pPr>
        <w:ind w:firstLine="1200" w:firstLineChars="500"/>
      </w:pPr>
      <w:r>
        <w:rPr>
          <w:rFonts w:hint="eastAsia"/>
        </w:rPr>
        <w:t>Q</w:t>
      </w:r>
      <w:r>
        <w:rPr>
          <w:rFonts w:hint="eastAsia"/>
          <w:vertAlign w:val="subscript"/>
        </w:rPr>
        <w:t>2</w:t>
      </w:r>
      <w:r>
        <w:rPr>
          <w:rFonts w:hint="eastAsia"/>
        </w:rPr>
        <w:t>——从事危险品运输车辆的比例，%；</w:t>
      </w:r>
    </w:p>
    <w:p>
      <w:pPr>
        <w:ind w:firstLine="1200" w:firstLineChars="500"/>
      </w:pPr>
      <w:r>
        <w:rPr>
          <w:rFonts w:hint="eastAsia"/>
        </w:rPr>
        <w:t>Q</w:t>
      </w:r>
      <w:r>
        <w:rPr>
          <w:rFonts w:hint="eastAsia"/>
          <w:vertAlign w:val="subscript"/>
        </w:rPr>
        <w:t>3</w:t>
      </w:r>
      <w:r>
        <w:rPr>
          <w:rFonts w:hint="eastAsia"/>
        </w:rPr>
        <w:t>——预测年拟建公路的交通量（百万辆/年）；</w:t>
      </w:r>
    </w:p>
    <w:p>
      <w:pPr>
        <w:ind w:firstLine="1200" w:firstLineChars="500"/>
      </w:pPr>
      <w:r>
        <w:rPr>
          <w:rFonts w:hint="eastAsia"/>
        </w:rPr>
        <w:t>Q</w:t>
      </w:r>
      <w:r>
        <w:rPr>
          <w:rFonts w:hint="eastAsia"/>
          <w:vertAlign w:val="subscript"/>
        </w:rPr>
        <w:t>4</w:t>
      </w:r>
      <w:r>
        <w:rPr>
          <w:rFonts w:hint="eastAsia"/>
        </w:rPr>
        <w:t>——考核路段长度（km）；</w:t>
      </w:r>
    </w:p>
    <w:p>
      <w:pPr>
        <w:ind w:firstLine="1200" w:firstLineChars="500"/>
      </w:pPr>
      <w:r>
        <w:rPr>
          <w:rFonts w:hint="eastAsia"/>
        </w:rPr>
        <w:t>Q</w:t>
      </w:r>
      <w:r>
        <w:rPr>
          <w:rFonts w:hint="eastAsia"/>
          <w:vertAlign w:val="subscript"/>
        </w:rPr>
        <w:t>5</w:t>
      </w:r>
      <w:r>
        <w:rPr>
          <w:rFonts w:hint="eastAsia"/>
        </w:rPr>
        <w:t>——可比条件下，由于新路的建成通行可能降低交通事故的比重（%）；</w:t>
      </w:r>
    </w:p>
    <w:p>
      <w:pPr>
        <w:ind w:firstLine="1200" w:firstLineChars="500"/>
      </w:pPr>
      <w:r>
        <w:rPr>
          <w:rFonts w:hint="eastAsia"/>
        </w:rPr>
        <w:t>Q</w:t>
      </w:r>
      <w:r>
        <w:rPr>
          <w:rFonts w:hint="eastAsia"/>
          <w:vertAlign w:val="subscript"/>
        </w:rPr>
        <w:t>6</w:t>
      </w:r>
      <w:r>
        <w:rPr>
          <w:rFonts w:hint="eastAsia"/>
        </w:rPr>
        <w:t>——危险品货物运输车辆交通安全系数。</w:t>
      </w:r>
    </w:p>
    <w:p>
      <w:pPr>
        <w:ind w:firstLine="480"/>
      </w:pPr>
      <w:r>
        <w:rPr>
          <w:rFonts w:hint="eastAsia"/>
        </w:rPr>
        <w:t>（2）预测参数的确定</w:t>
      </w:r>
    </w:p>
    <w:p>
      <w:pPr>
        <w:ind w:firstLine="480"/>
      </w:pPr>
      <w:r>
        <w:rPr>
          <w:rFonts w:hint="eastAsia"/>
        </w:rPr>
        <w:t>①基年交通事故率：参照福建省相关交通事故调查统计资料取0.38次/百万车•km。</w:t>
      </w:r>
    </w:p>
    <w:p>
      <w:pPr>
        <w:ind w:firstLine="480"/>
      </w:pPr>
      <w:r>
        <w:rPr>
          <w:rFonts w:hint="eastAsia"/>
        </w:rPr>
        <w:t>②预测年的交通量：本项目特征年为202</w:t>
      </w:r>
      <w:r>
        <w:t>7</w:t>
      </w:r>
      <w:r>
        <w:rPr>
          <w:rFonts w:hint="eastAsia"/>
        </w:rPr>
        <w:t>年、203</w:t>
      </w:r>
      <w:r>
        <w:t>3</w:t>
      </w:r>
      <w:r>
        <w:rPr>
          <w:rFonts w:hint="eastAsia"/>
        </w:rPr>
        <w:t>年和20</w:t>
      </w:r>
      <w:r>
        <w:t>41</w:t>
      </w:r>
      <w:r>
        <w:rPr>
          <w:rFonts w:hint="eastAsia"/>
        </w:rPr>
        <w:t>年，其交通量见</w:t>
      </w:r>
      <w:r>
        <w:fldChar w:fldCharType="begin"/>
      </w:r>
      <w:r>
        <w:instrText xml:space="preserve"> </w:instrText>
      </w:r>
      <w:r>
        <w:rPr>
          <w:rFonts w:hint="eastAsia"/>
        </w:rPr>
        <w:instrText xml:space="preserve">REF _Ref140586589 \r \h</w:instrText>
      </w:r>
      <w:r>
        <w:instrText xml:space="preserve">  \* MERGEFORMAT </w:instrText>
      </w:r>
      <w:r>
        <w:fldChar w:fldCharType="separate"/>
      </w:r>
      <w:r>
        <w:rPr>
          <w:rFonts w:hint="eastAsia"/>
        </w:rPr>
        <w:t>表3.8-6</w:t>
      </w:r>
      <w:r>
        <w:fldChar w:fldCharType="end"/>
      </w:r>
      <w:r>
        <w:rPr>
          <w:rFonts w:hint="eastAsia"/>
        </w:rPr>
        <w:t>。</w:t>
      </w:r>
    </w:p>
    <w:p>
      <w:pPr>
        <w:ind w:firstLine="480"/>
      </w:pPr>
      <w:r>
        <w:rPr>
          <w:rFonts w:hint="eastAsia"/>
        </w:rPr>
        <w:t>③运输危险品车辆的比重类比其他相似项目，本项目运输危险品车辆在总车流量所占比重为0.05%。</w:t>
      </w:r>
    </w:p>
    <w:p>
      <w:pPr>
        <w:ind w:firstLine="480"/>
      </w:pPr>
      <w:r>
        <w:rPr>
          <w:rFonts w:hint="eastAsia"/>
        </w:rPr>
        <w:t>④公路建成通车可降低交通事故的比重在可比条件下，出于新建道路的建成可减少交通事故的比重，按50%估算。</w:t>
      </w:r>
    </w:p>
    <w:p>
      <w:pPr>
        <w:ind w:firstLine="480"/>
      </w:pPr>
      <w:r>
        <w:rPr>
          <w:rFonts w:hint="eastAsia"/>
        </w:rPr>
        <w:t>⑤危险品货物运输车辆交通安全系数</w:t>
      </w:r>
    </w:p>
    <w:p>
      <w:pPr>
        <w:ind w:firstLine="480"/>
      </w:pPr>
      <w:r>
        <w:rPr>
          <w:rFonts w:hint="eastAsia"/>
        </w:rPr>
        <w:t>该系数指由于从事危险货物的车辆，无论从驾驶员的安全意识，还是从车辆本身有特殊标志等，比一般运行车辆发生交通事故的可能来得小，但由于没有确切的统计资料，故采用经验系数1.5。</w:t>
      </w:r>
    </w:p>
    <w:p>
      <w:pPr>
        <w:ind w:firstLine="480"/>
      </w:pPr>
      <w:r>
        <w:rPr>
          <w:rFonts w:hint="eastAsia"/>
        </w:rPr>
        <w:t>（3）事故风险概率估算结果各特征年（预测年）危险货物车辆交通事故概率估算结果见表7.2-1。</w:t>
      </w:r>
    </w:p>
    <w:p>
      <w:pPr>
        <w:ind w:firstLine="480"/>
      </w:pPr>
      <w:r>
        <w:rPr>
          <w:rFonts w:hint="eastAsia" w:ascii="宋体" w:hAnsi="宋体"/>
        </w:rPr>
        <w:t>①</w:t>
      </w:r>
      <w:r>
        <w:rPr>
          <w:rFonts w:hint="eastAsia"/>
        </w:rPr>
        <w:t>各</w:t>
      </w:r>
      <w:r>
        <w:t>路段车辆交通事故概率</w:t>
      </w:r>
      <w:r>
        <w:rPr>
          <w:rFonts w:hint="eastAsia"/>
        </w:rPr>
        <w:t>：全线各</w:t>
      </w:r>
      <w:r>
        <w:t>路段交通事故概率估算结果见</w:t>
      </w:r>
      <w:r>
        <w:fldChar w:fldCharType="begin"/>
      </w:r>
      <w:r>
        <w:instrText xml:space="preserve"> REF _Ref148341475 \r \h  \* MERGEFORMAT </w:instrText>
      </w:r>
      <w:r>
        <w:fldChar w:fldCharType="separate"/>
      </w:r>
      <w:r>
        <w:rPr>
          <w:rFonts w:hint="eastAsia"/>
        </w:rPr>
        <w:t>表6.3-1</w:t>
      </w:r>
      <w:r>
        <w:fldChar w:fldCharType="end"/>
      </w:r>
      <w:r>
        <w:t>。</w:t>
      </w:r>
    </w:p>
    <w:p>
      <w:pPr>
        <w:ind w:firstLine="480"/>
      </w:pPr>
      <w:r>
        <w:rPr>
          <w:rFonts w:hint="eastAsia" w:ascii="宋体" w:hAnsi="宋体"/>
        </w:rPr>
        <w:t>②</w:t>
      </w:r>
      <w:r>
        <w:t>主要桥梁</w:t>
      </w:r>
      <w:r>
        <w:rPr>
          <w:rFonts w:hint="eastAsia"/>
        </w:rPr>
        <w:t>、临水</w:t>
      </w:r>
      <w:r>
        <w:t>路段发生交通事故概率估算结果见</w:t>
      </w:r>
      <w:r>
        <w:fldChar w:fldCharType="begin"/>
      </w:r>
      <w:r>
        <w:instrText xml:space="preserve"> REF _Ref148341463 \r \h  \* MERGEFORMAT </w:instrText>
      </w:r>
      <w:r>
        <w:fldChar w:fldCharType="separate"/>
      </w:r>
      <w:r>
        <w:rPr>
          <w:rFonts w:hint="eastAsia"/>
        </w:rPr>
        <w:t>表6.3-2</w:t>
      </w:r>
      <w:r>
        <w:fldChar w:fldCharType="end"/>
      </w:r>
      <w:r>
        <w:t>。</w:t>
      </w:r>
    </w:p>
    <w:p>
      <w:pPr>
        <w:pStyle w:val="87"/>
        <w:spacing w:before="120"/>
        <w:rPr>
          <w:sz w:val="21"/>
          <w:szCs w:val="21"/>
        </w:rPr>
      </w:pPr>
      <w:bookmarkStart w:id="512" w:name="_Ref148341475"/>
      <w:r>
        <w:t>全路段危险货物车辆交通事故概率</w:t>
      </w:r>
      <w:r>
        <w:rPr>
          <w:rFonts w:hint="eastAsia"/>
        </w:rPr>
        <w:t xml:space="preserve"> </w:t>
      </w:r>
      <w:r>
        <w:t>单位：次/年</w:t>
      </w:r>
      <w:bookmarkEnd w:id="512"/>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990"/>
        <w:gridCol w:w="990"/>
        <w:gridCol w:w="990"/>
        <w:gridCol w:w="1150"/>
        <w:gridCol w:w="1336"/>
        <w:gridCol w:w="1336"/>
        <w:gridCol w:w="1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629" w:type="pct"/>
            <w:vMerge w:val="restart"/>
            <w:tcBorders>
              <w:tl2br w:val="single" w:color="auto" w:sz="12" w:space="0"/>
            </w:tcBorders>
            <w:vAlign w:val="center"/>
          </w:tcPr>
          <w:p>
            <w:pPr>
              <w:pStyle w:val="105"/>
              <w:jc w:val="center"/>
            </w:pPr>
            <w:r>
              <w:rPr>
                <w:rFonts w:hint="eastAsia"/>
              </w:rPr>
              <w:t xml:space="preserve"> 项目</w:t>
            </w:r>
          </w:p>
          <w:p>
            <w:pPr>
              <w:pStyle w:val="105"/>
              <w:jc w:val="center"/>
            </w:pPr>
            <w:r>
              <w:rPr>
                <w:rFonts w:hint="eastAsia"/>
              </w:rPr>
              <w:t>路段</w:t>
            </w:r>
          </w:p>
        </w:tc>
        <w:tc>
          <w:tcPr>
            <w:tcW w:w="1599" w:type="pct"/>
            <w:gridSpan w:val="3"/>
            <w:vAlign w:val="center"/>
          </w:tcPr>
          <w:p>
            <w:pPr>
              <w:pStyle w:val="105"/>
              <w:jc w:val="center"/>
            </w:pPr>
            <w:r>
              <w:t>交通量</w:t>
            </w:r>
            <w:r>
              <w:rPr>
                <w:rFonts w:hint="eastAsia"/>
              </w:rPr>
              <w:t>（</w:t>
            </w:r>
            <w:r>
              <w:t>百万辆/年</w:t>
            </w:r>
            <w:r>
              <w:rPr>
                <w:rFonts w:hint="eastAsia"/>
              </w:rPr>
              <w:t>）</w:t>
            </w:r>
          </w:p>
        </w:tc>
        <w:tc>
          <w:tcPr>
            <w:tcW w:w="619" w:type="pct"/>
            <w:vMerge w:val="restart"/>
            <w:vAlign w:val="center"/>
          </w:tcPr>
          <w:p>
            <w:pPr>
              <w:pStyle w:val="105"/>
              <w:jc w:val="center"/>
            </w:pPr>
            <w:r>
              <w:rPr>
                <w:rFonts w:hint="eastAsia"/>
              </w:rPr>
              <w:t>长度（</w:t>
            </w:r>
            <w:r>
              <w:t>km</w:t>
            </w:r>
            <w:r>
              <w:rPr>
                <w:rFonts w:hint="eastAsia"/>
              </w:rPr>
              <w:t>）</w:t>
            </w:r>
          </w:p>
        </w:tc>
        <w:tc>
          <w:tcPr>
            <w:tcW w:w="2153" w:type="pct"/>
            <w:gridSpan w:val="3"/>
            <w:vAlign w:val="center"/>
          </w:tcPr>
          <w:p>
            <w:pPr>
              <w:pStyle w:val="105"/>
              <w:jc w:val="center"/>
            </w:pPr>
            <w:r>
              <w:t>事故风险概率</w:t>
            </w:r>
            <w:r>
              <w:rPr>
                <w:rFonts w:hint="eastAsia"/>
              </w:rPr>
              <w:t>（</w:t>
            </w:r>
            <w:r>
              <w:t>次/年</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629" w:type="pct"/>
            <w:vMerge w:val="continue"/>
            <w:vAlign w:val="center"/>
          </w:tcPr>
          <w:p>
            <w:pPr>
              <w:pStyle w:val="105"/>
              <w:jc w:val="center"/>
            </w:pPr>
          </w:p>
        </w:tc>
        <w:tc>
          <w:tcPr>
            <w:tcW w:w="533" w:type="pct"/>
            <w:vAlign w:val="center"/>
          </w:tcPr>
          <w:p>
            <w:pPr>
              <w:pStyle w:val="105"/>
              <w:jc w:val="center"/>
            </w:pPr>
            <w:r>
              <w:t>2027年</w:t>
            </w:r>
          </w:p>
        </w:tc>
        <w:tc>
          <w:tcPr>
            <w:tcW w:w="533" w:type="pct"/>
            <w:vAlign w:val="center"/>
          </w:tcPr>
          <w:p>
            <w:pPr>
              <w:pStyle w:val="105"/>
              <w:jc w:val="center"/>
            </w:pPr>
            <w:r>
              <w:t>2033年</w:t>
            </w:r>
          </w:p>
        </w:tc>
        <w:tc>
          <w:tcPr>
            <w:tcW w:w="533" w:type="pct"/>
            <w:vAlign w:val="center"/>
          </w:tcPr>
          <w:p>
            <w:pPr>
              <w:pStyle w:val="105"/>
              <w:jc w:val="center"/>
            </w:pPr>
            <w:r>
              <w:t>2041年</w:t>
            </w:r>
          </w:p>
        </w:tc>
        <w:tc>
          <w:tcPr>
            <w:tcW w:w="619" w:type="pct"/>
            <w:vMerge w:val="continue"/>
            <w:vAlign w:val="center"/>
          </w:tcPr>
          <w:p>
            <w:pPr>
              <w:pStyle w:val="105"/>
              <w:jc w:val="center"/>
            </w:pPr>
          </w:p>
        </w:tc>
        <w:tc>
          <w:tcPr>
            <w:tcW w:w="719" w:type="pct"/>
            <w:vAlign w:val="center"/>
          </w:tcPr>
          <w:p>
            <w:pPr>
              <w:pStyle w:val="105"/>
              <w:jc w:val="center"/>
            </w:pPr>
            <w:r>
              <w:t>2027年</w:t>
            </w:r>
          </w:p>
        </w:tc>
        <w:tc>
          <w:tcPr>
            <w:tcW w:w="719" w:type="pct"/>
            <w:vAlign w:val="center"/>
          </w:tcPr>
          <w:p>
            <w:pPr>
              <w:pStyle w:val="105"/>
              <w:jc w:val="center"/>
            </w:pPr>
            <w:r>
              <w:t>2033年</w:t>
            </w:r>
          </w:p>
        </w:tc>
        <w:tc>
          <w:tcPr>
            <w:tcW w:w="715" w:type="pct"/>
            <w:vAlign w:val="center"/>
          </w:tcPr>
          <w:p>
            <w:pPr>
              <w:pStyle w:val="105"/>
              <w:jc w:val="center"/>
            </w:pPr>
            <w:r>
              <w:t>2041年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29" w:type="pct"/>
            <w:vAlign w:val="center"/>
          </w:tcPr>
          <w:p>
            <w:pPr>
              <w:pStyle w:val="105"/>
              <w:jc w:val="center"/>
            </w:pPr>
            <w:r>
              <w:rPr>
                <w:rFonts w:hint="eastAsia"/>
              </w:rPr>
              <w:t>全线</w:t>
            </w:r>
          </w:p>
        </w:tc>
        <w:tc>
          <w:tcPr>
            <w:tcW w:w="533" w:type="pct"/>
            <w:vAlign w:val="center"/>
          </w:tcPr>
          <w:p>
            <w:pPr>
              <w:pStyle w:val="105"/>
              <w:jc w:val="center"/>
            </w:pPr>
            <w:r>
              <w:rPr>
                <w:rFonts w:cs="Times New Roman"/>
                <w:szCs w:val="21"/>
              </w:rPr>
              <w:t>1.863</w:t>
            </w:r>
          </w:p>
        </w:tc>
        <w:tc>
          <w:tcPr>
            <w:tcW w:w="533" w:type="pct"/>
            <w:vAlign w:val="center"/>
          </w:tcPr>
          <w:p>
            <w:pPr>
              <w:pStyle w:val="105"/>
              <w:jc w:val="center"/>
            </w:pPr>
            <w:r>
              <w:rPr>
                <w:rFonts w:cs="Times New Roman"/>
                <w:szCs w:val="21"/>
              </w:rPr>
              <w:t>2.175</w:t>
            </w:r>
          </w:p>
        </w:tc>
        <w:tc>
          <w:tcPr>
            <w:tcW w:w="533" w:type="pct"/>
            <w:vAlign w:val="center"/>
          </w:tcPr>
          <w:p>
            <w:pPr>
              <w:pStyle w:val="105"/>
              <w:jc w:val="center"/>
            </w:pPr>
            <w:r>
              <w:rPr>
                <w:rFonts w:cs="Times New Roman"/>
                <w:szCs w:val="21"/>
              </w:rPr>
              <w:t>2.508</w:t>
            </w:r>
          </w:p>
        </w:tc>
        <w:tc>
          <w:tcPr>
            <w:tcW w:w="619" w:type="pct"/>
            <w:vAlign w:val="bottom"/>
          </w:tcPr>
          <w:p>
            <w:pPr>
              <w:pStyle w:val="105"/>
              <w:jc w:val="center"/>
            </w:pPr>
            <w:r>
              <w:t>5.2</w:t>
            </w:r>
          </w:p>
        </w:tc>
        <w:tc>
          <w:tcPr>
            <w:tcW w:w="719" w:type="pct"/>
            <w:vAlign w:val="center"/>
          </w:tcPr>
          <w:p>
            <w:pPr>
              <w:pStyle w:val="105"/>
              <w:jc w:val="center"/>
            </w:pPr>
            <w:r>
              <w:rPr>
                <w:rFonts w:cs="Times New Roman"/>
                <w:b/>
                <w:bCs/>
                <w:szCs w:val="21"/>
              </w:rPr>
              <w:t>0.00061</w:t>
            </w:r>
          </w:p>
        </w:tc>
        <w:tc>
          <w:tcPr>
            <w:tcW w:w="719" w:type="pct"/>
            <w:vAlign w:val="center"/>
          </w:tcPr>
          <w:p>
            <w:pPr>
              <w:pStyle w:val="105"/>
              <w:jc w:val="center"/>
            </w:pPr>
            <w:r>
              <w:rPr>
                <w:rFonts w:cs="Times New Roman"/>
                <w:b/>
                <w:bCs/>
                <w:szCs w:val="21"/>
              </w:rPr>
              <w:t>0.00072</w:t>
            </w:r>
          </w:p>
        </w:tc>
        <w:tc>
          <w:tcPr>
            <w:tcW w:w="715" w:type="pct"/>
            <w:vAlign w:val="center"/>
          </w:tcPr>
          <w:p>
            <w:pPr>
              <w:pStyle w:val="105"/>
              <w:jc w:val="center"/>
            </w:pPr>
            <w:bookmarkStart w:id="513" w:name="_Hlk192492083"/>
            <w:r>
              <w:rPr>
                <w:rFonts w:cs="Times New Roman"/>
                <w:b/>
                <w:bCs/>
                <w:szCs w:val="21"/>
              </w:rPr>
              <w:t>0.00083</w:t>
            </w:r>
            <w:bookmarkEnd w:id="513"/>
          </w:p>
        </w:tc>
      </w:tr>
    </w:tbl>
    <w:p>
      <w:pPr>
        <w:pStyle w:val="87"/>
        <w:spacing w:before="120"/>
        <w:ind w:left="480" w:firstLine="480"/>
      </w:pPr>
      <w:bookmarkStart w:id="514" w:name="_Ref148341463"/>
      <w:r>
        <w:t>桥梁</w:t>
      </w:r>
      <w:r>
        <w:rPr>
          <w:rFonts w:hint="eastAsia"/>
        </w:rPr>
        <w:t>、邻水</w:t>
      </w:r>
      <w:r>
        <w:t>路段危险品运输事故估算表  单位：次/年</w:t>
      </w:r>
      <w:bookmarkEnd w:id="514"/>
    </w:p>
    <w:tbl>
      <w:tblPr>
        <w:tblStyle w:val="5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925"/>
        <w:gridCol w:w="1596"/>
        <w:gridCol w:w="1713"/>
        <w:gridCol w:w="1122"/>
        <w:gridCol w:w="1124"/>
        <w:gridCol w:w="1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70" w:type="pct"/>
            <w:shd w:val="clear" w:color="auto" w:fill="auto"/>
            <w:vAlign w:val="center"/>
          </w:tcPr>
          <w:p>
            <w:pPr>
              <w:pStyle w:val="105"/>
            </w:pPr>
            <w:r>
              <w:rPr>
                <w:rFonts w:hint="eastAsia"/>
              </w:rPr>
              <w:t>序号</w:t>
            </w:r>
          </w:p>
        </w:tc>
        <w:tc>
          <w:tcPr>
            <w:tcW w:w="1036" w:type="pct"/>
            <w:shd w:val="clear" w:color="auto" w:fill="auto"/>
            <w:vAlign w:val="center"/>
          </w:tcPr>
          <w:p>
            <w:pPr>
              <w:pStyle w:val="105"/>
            </w:pPr>
            <w:r>
              <w:t>中心桩号</w:t>
            </w:r>
          </w:p>
        </w:tc>
        <w:tc>
          <w:tcPr>
            <w:tcW w:w="859" w:type="pct"/>
            <w:shd w:val="clear" w:color="auto" w:fill="auto"/>
            <w:vAlign w:val="center"/>
          </w:tcPr>
          <w:p>
            <w:pPr>
              <w:pStyle w:val="105"/>
            </w:pPr>
            <w:r>
              <w:t>桥梁</w:t>
            </w:r>
            <w:r>
              <w:rPr>
                <w:rFonts w:hint="eastAsia"/>
              </w:rPr>
              <w:t>/隧道</w:t>
            </w:r>
            <w:r>
              <w:t>名称</w:t>
            </w:r>
          </w:p>
        </w:tc>
        <w:tc>
          <w:tcPr>
            <w:tcW w:w="922" w:type="pct"/>
            <w:shd w:val="clear" w:color="auto" w:fill="auto"/>
            <w:vAlign w:val="center"/>
          </w:tcPr>
          <w:p>
            <w:pPr>
              <w:pStyle w:val="105"/>
            </w:pPr>
            <w:r>
              <w:rPr>
                <w:rFonts w:hint="eastAsia"/>
              </w:rPr>
              <w:t>平均</w:t>
            </w:r>
            <w:r>
              <w:t>长度（m）</w:t>
            </w:r>
          </w:p>
        </w:tc>
        <w:tc>
          <w:tcPr>
            <w:tcW w:w="604" w:type="pct"/>
            <w:shd w:val="clear" w:color="auto" w:fill="auto"/>
            <w:noWrap/>
            <w:vAlign w:val="center"/>
          </w:tcPr>
          <w:p>
            <w:pPr>
              <w:pStyle w:val="105"/>
            </w:pPr>
            <w:r>
              <w:t>2027年</w:t>
            </w:r>
          </w:p>
        </w:tc>
        <w:tc>
          <w:tcPr>
            <w:tcW w:w="605" w:type="pct"/>
            <w:shd w:val="clear" w:color="auto" w:fill="auto"/>
            <w:noWrap/>
            <w:vAlign w:val="center"/>
          </w:tcPr>
          <w:p>
            <w:pPr>
              <w:pStyle w:val="105"/>
            </w:pPr>
            <w:r>
              <w:t>2033年</w:t>
            </w:r>
          </w:p>
        </w:tc>
        <w:tc>
          <w:tcPr>
            <w:tcW w:w="604" w:type="pct"/>
            <w:shd w:val="clear" w:color="auto" w:fill="auto"/>
            <w:noWrap/>
            <w:vAlign w:val="center"/>
          </w:tcPr>
          <w:p>
            <w:pPr>
              <w:pStyle w:val="105"/>
            </w:pPr>
            <w:r>
              <w:t>2041年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0" w:type="pct"/>
            <w:shd w:val="clear" w:color="auto" w:fill="auto"/>
            <w:vAlign w:val="center"/>
          </w:tcPr>
          <w:p>
            <w:pPr>
              <w:pStyle w:val="105"/>
              <w:jc w:val="center"/>
            </w:pPr>
            <w:r>
              <w:t>1</w:t>
            </w:r>
          </w:p>
        </w:tc>
        <w:tc>
          <w:tcPr>
            <w:tcW w:w="1036" w:type="pct"/>
            <w:shd w:val="clear" w:color="auto" w:fill="auto"/>
            <w:vAlign w:val="center"/>
          </w:tcPr>
          <w:p>
            <w:pPr>
              <w:pStyle w:val="105"/>
            </w:pPr>
            <w:r>
              <w:t>K2+250.25</w:t>
            </w:r>
          </w:p>
        </w:tc>
        <w:tc>
          <w:tcPr>
            <w:tcW w:w="859" w:type="pct"/>
            <w:shd w:val="clear" w:color="auto" w:fill="auto"/>
            <w:vAlign w:val="center"/>
          </w:tcPr>
          <w:p>
            <w:pPr>
              <w:pStyle w:val="105"/>
            </w:pPr>
            <w:r>
              <w:t>大埔大桥</w:t>
            </w:r>
          </w:p>
        </w:tc>
        <w:tc>
          <w:tcPr>
            <w:tcW w:w="922" w:type="pct"/>
            <w:shd w:val="clear" w:color="auto" w:fill="auto"/>
            <w:vAlign w:val="center"/>
          </w:tcPr>
          <w:p>
            <w:pPr>
              <w:pStyle w:val="105"/>
            </w:pPr>
            <w:r>
              <w:t>552.5</w:t>
            </w:r>
          </w:p>
        </w:tc>
        <w:tc>
          <w:tcPr>
            <w:tcW w:w="604" w:type="pct"/>
            <w:shd w:val="clear" w:color="auto" w:fill="auto"/>
            <w:noWrap/>
            <w:vAlign w:val="center"/>
          </w:tcPr>
          <w:p>
            <w:pPr>
              <w:pStyle w:val="105"/>
            </w:pPr>
            <w:r>
              <w:t>0.000065</w:t>
            </w:r>
          </w:p>
        </w:tc>
        <w:tc>
          <w:tcPr>
            <w:tcW w:w="605" w:type="pct"/>
            <w:shd w:val="clear" w:color="auto" w:fill="auto"/>
            <w:noWrap/>
            <w:vAlign w:val="center"/>
          </w:tcPr>
          <w:p>
            <w:pPr>
              <w:pStyle w:val="105"/>
            </w:pPr>
            <w:r>
              <w:t>0.000076</w:t>
            </w:r>
          </w:p>
        </w:tc>
        <w:tc>
          <w:tcPr>
            <w:tcW w:w="604" w:type="pct"/>
            <w:shd w:val="clear" w:color="auto" w:fill="auto"/>
            <w:noWrap/>
            <w:vAlign w:val="center"/>
          </w:tcPr>
          <w:p>
            <w:pPr>
              <w:pStyle w:val="105"/>
            </w:pPr>
            <w:r>
              <w:t>0.000088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0" w:type="pct"/>
            <w:shd w:val="clear" w:color="auto" w:fill="auto"/>
            <w:vAlign w:val="center"/>
          </w:tcPr>
          <w:p>
            <w:pPr>
              <w:pStyle w:val="105"/>
              <w:jc w:val="center"/>
            </w:pPr>
            <w:r>
              <w:rPr>
                <w:rFonts w:hint="eastAsia"/>
              </w:rPr>
              <w:t>2</w:t>
            </w:r>
          </w:p>
        </w:tc>
        <w:tc>
          <w:tcPr>
            <w:tcW w:w="1036" w:type="pct"/>
            <w:shd w:val="clear" w:color="auto" w:fill="auto"/>
            <w:vAlign w:val="center"/>
          </w:tcPr>
          <w:p>
            <w:pPr>
              <w:pStyle w:val="105"/>
            </w:pPr>
            <w:r>
              <w:t>LK0+049.500</w:t>
            </w:r>
          </w:p>
        </w:tc>
        <w:tc>
          <w:tcPr>
            <w:tcW w:w="859" w:type="pct"/>
            <w:shd w:val="clear" w:color="auto" w:fill="auto"/>
            <w:vAlign w:val="center"/>
          </w:tcPr>
          <w:p>
            <w:pPr>
              <w:pStyle w:val="105"/>
            </w:pPr>
            <w:r>
              <w:t>枝钟中桥</w:t>
            </w:r>
          </w:p>
        </w:tc>
        <w:tc>
          <w:tcPr>
            <w:tcW w:w="922" w:type="pct"/>
            <w:shd w:val="clear" w:color="auto" w:fill="auto"/>
            <w:vAlign w:val="center"/>
          </w:tcPr>
          <w:p>
            <w:pPr>
              <w:pStyle w:val="105"/>
            </w:pPr>
            <w:r>
              <w:rPr>
                <w:rFonts w:hint="eastAsia"/>
              </w:rPr>
              <w:t>3</w:t>
            </w:r>
            <w:r>
              <w:t>7</w:t>
            </w:r>
          </w:p>
        </w:tc>
        <w:tc>
          <w:tcPr>
            <w:tcW w:w="604" w:type="pct"/>
            <w:shd w:val="clear" w:color="auto" w:fill="auto"/>
            <w:noWrap/>
            <w:vAlign w:val="center"/>
          </w:tcPr>
          <w:p>
            <w:pPr>
              <w:pStyle w:val="105"/>
            </w:pPr>
            <w:r>
              <w:t>0.000004</w:t>
            </w:r>
          </w:p>
        </w:tc>
        <w:tc>
          <w:tcPr>
            <w:tcW w:w="605" w:type="pct"/>
            <w:shd w:val="clear" w:color="auto" w:fill="auto"/>
            <w:noWrap/>
            <w:vAlign w:val="center"/>
          </w:tcPr>
          <w:p>
            <w:pPr>
              <w:pStyle w:val="105"/>
            </w:pPr>
            <w:r>
              <w:t>0.000005</w:t>
            </w:r>
          </w:p>
        </w:tc>
        <w:tc>
          <w:tcPr>
            <w:tcW w:w="604" w:type="pct"/>
            <w:shd w:val="clear" w:color="auto" w:fill="auto"/>
            <w:noWrap/>
            <w:vAlign w:val="center"/>
          </w:tcPr>
          <w:p>
            <w:pPr>
              <w:pStyle w:val="105"/>
            </w:pPr>
            <w:r>
              <w:t>0.000006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0" w:type="pct"/>
            <w:shd w:val="clear" w:color="auto" w:fill="auto"/>
            <w:vAlign w:val="center"/>
          </w:tcPr>
          <w:p>
            <w:pPr>
              <w:pStyle w:val="105"/>
              <w:jc w:val="center"/>
            </w:pPr>
            <w:r>
              <w:t>3</w:t>
            </w:r>
          </w:p>
        </w:tc>
        <w:tc>
          <w:tcPr>
            <w:tcW w:w="1036" w:type="pct"/>
            <w:shd w:val="clear" w:color="auto" w:fill="auto"/>
            <w:vAlign w:val="center"/>
          </w:tcPr>
          <w:p>
            <w:pPr>
              <w:pStyle w:val="105"/>
            </w:pPr>
            <w:r>
              <w:rPr>
                <w:rFonts w:hint="eastAsia"/>
              </w:rPr>
              <w:t>K</w:t>
            </w:r>
            <w:r>
              <w:t>1+400~</w:t>
            </w:r>
            <w:r>
              <w:rPr>
                <w:rFonts w:hint="eastAsia"/>
              </w:rPr>
              <w:t xml:space="preserve"> K</w:t>
            </w:r>
            <w:r>
              <w:t>1+860</w:t>
            </w:r>
          </w:p>
        </w:tc>
        <w:tc>
          <w:tcPr>
            <w:tcW w:w="859" w:type="pct"/>
            <w:shd w:val="clear" w:color="auto" w:fill="auto"/>
            <w:vAlign w:val="center"/>
          </w:tcPr>
          <w:p>
            <w:pPr>
              <w:pStyle w:val="105"/>
            </w:pPr>
            <w:r>
              <w:rPr>
                <w:rFonts w:hint="eastAsia"/>
              </w:rPr>
              <w:t>邻水路段</w:t>
            </w:r>
          </w:p>
        </w:tc>
        <w:tc>
          <w:tcPr>
            <w:tcW w:w="922" w:type="pct"/>
            <w:shd w:val="clear" w:color="auto" w:fill="auto"/>
            <w:vAlign w:val="center"/>
          </w:tcPr>
          <w:p>
            <w:pPr>
              <w:pStyle w:val="105"/>
            </w:pPr>
            <w:r>
              <w:t>460</w:t>
            </w:r>
          </w:p>
        </w:tc>
        <w:tc>
          <w:tcPr>
            <w:tcW w:w="604" w:type="pct"/>
            <w:shd w:val="clear" w:color="auto" w:fill="auto"/>
            <w:noWrap/>
            <w:vAlign w:val="center"/>
          </w:tcPr>
          <w:p>
            <w:pPr>
              <w:pStyle w:val="105"/>
            </w:pPr>
            <w:r>
              <w:t>0.000054</w:t>
            </w:r>
          </w:p>
        </w:tc>
        <w:tc>
          <w:tcPr>
            <w:tcW w:w="605" w:type="pct"/>
            <w:shd w:val="clear" w:color="auto" w:fill="auto"/>
            <w:noWrap/>
            <w:vAlign w:val="center"/>
          </w:tcPr>
          <w:p>
            <w:pPr>
              <w:pStyle w:val="105"/>
            </w:pPr>
            <w:r>
              <w:t>0.000063</w:t>
            </w:r>
          </w:p>
        </w:tc>
        <w:tc>
          <w:tcPr>
            <w:tcW w:w="604" w:type="pct"/>
            <w:shd w:val="clear" w:color="auto" w:fill="auto"/>
            <w:noWrap/>
            <w:vAlign w:val="center"/>
          </w:tcPr>
          <w:p>
            <w:pPr>
              <w:pStyle w:val="105"/>
            </w:pPr>
            <w:r>
              <w:t>0.000073</w:t>
            </w:r>
          </w:p>
        </w:tc>
      </w:tr>
    </w:tbl>
    <w:p>
      <w:pPr>
        <w:pStyle w:val="134"/>
        <w:ind w:firstLine="300"/>
      </w:pPr>
    </w:p>
    <w:p>
      <w:pPr>
        <w:pStyle w:val="120"/>
        <w:rPr>
          <w:color w:val="auto"/>
        </w:rPr>
      </w:pPr>
      <w:r>
        <w:rPr>
          <w:rFonts w:hint="eastAsia"/>
          <w:color w:val="auto"/>
        </w:rPr>
        <w:t>事</w:t>
      </w:r>
      <w:r>
        <w:rPr>
          <w:color w:val="auto"/>
        </w:rPr>
        <w:t>故风险分析</w:t>
      </w:r>
    </w:p>
    <w:p>
      <w:pPr>
        <w:ind w:firstLine="480"/>
      </w:pPr>
      <w:r>
        <w:rPr>
          <w:szCs w:val="24"/>
        </w:rPr>
        <w:t>由</w:t>
      </w:r>
      <w:r>
        <w:rPr>
          <w:rFonts w:hint="eastAsia"/>
          <w:szCs w:val="24"/>
        </w:rPr>
        <w:t>~</w:t>
      </w:r>
      <w:r>
        <w:rPr>
          <w:szCs w:val="24"/>
        </w:rPr>
        <w:fldChar w:fldCharType="begin"/>
      </w:r>
      <w:r>
        <w:rPr>
          <w:szCs w:val="24"/>
        </w:rPr>
        <w:instrText xml:space="preserve"> </w:instrText>
      </w:r>
      <w:r>
        <w:rPr>
          <w:rFonts w:hint="eastAsia"/>
          <w:szCs w:val="24"/>
        </w:rPr>
        <w:instrText xml:space="preserve">REF _Ref148341463 \r \h</w:instrText>
      </w:r>
      <w:r>
        <w:rPr>
          <w:szCs w:val="24"/>
        </w:rPr>
        <w:instrText xml:space="preserve"> </w:instrText>
      </w:r>
      <w:r>
        <w:rPr>
          <w:szCs w:val="24"/>
        </w:rPr>
        <w:fldChar w:fldCharType="separate"/>
      </w:r>
      <w:r>
        <w:rPr>
          <w:rFonts w:hint="eastAsia"/>
          <w:szCs w:val="24"/>
        </w:rPr>
        <w:t>表6.3-2</w:t>
      </w:r>
      <w:r>
        <w:rPr>
          <w:szCs w:val="24"/>
        </w:rPr>
        <w:fldChar w:fldCharType="end"/>
      </w:r>
      <w:r>
        <w:rPr>
          <w:szCs w:val="24"/>
        </w:rPr>
        <w:t>中的计算结果可以看出：本项目公路通车后，</w:t>
      </w:r>
      <w:r>
        <w:rPr>
          <w:rFonts w:hint="eastAsia"/>
          <w:szCs w:val="24"/>
        </w:rPr>
        <w:t>全路段</w:t>
      </w:r>
      <w:r>
        <w:rPr>
          <w:szCs w:val="24"/>
        </w:rPr>
        <w:t>最大事故发生率出</w:t>
      </w:r>
      <w:r>
        <w:rPr>
          <w:rFonts w:hint="eastAsia"/>
          <w:szCs w:val="24"/>
        </w:rPr>
        <w:t>现在</w:t>
      </w:r>
      <w:r>
        <w:rPr>
          <w:szCs w:val="24"/>
        </w:rPr>
        <w:t>远期，为0.00083次/年。各主要桥梁段事故发生率较低，最大在远期，为</w:t>
      </w:r>
      <w:r>
        <w:rPr>
          <w:rFonts w:hint="eastAsia"/>
        </w:rPr>
        <w:t>大埔大桥（</w:t>
      </w:r>
      <w:r>
        <w:t>0.000088次/年</w:t>
      </w:r>
      <w:r>
        <w:rPr>
          <w:rFonts w:hint="eastAsia"/>
        </w:rPr>
        <w:t>）。</w:t>
      </w:r>
    </w:p>
    <w:p>
      <w:pPr>
        <w:pStyle w:val="116"/>
      </w:pPr>
      <w:bookmarkStart w:id="515" w:name="_Toc153957839"/>
      <w:bookmarkStart w:id="516" w:name="_Toc159405482"/>
      <w:bookmarkStart w:id="517" w:name="_Toc204676255"/>
      <w:r>
        <w:rPr>
          <w:rFonts w:hint="eastAsia"/>
        </w:rPr>
        <w:t>环境风险防范措施及应急要求</w:t>
      </w:r>
      <w:bookmarkEnd w:id="515"/>
      <w:bookmarkEnd w:id="516"/>
      <w:bookmarkEnd w:id="517"/>
    </w:p>
    <w:p>
      <w:pPr>
        <w:pStyle w:val="120"/>
        <w:rPr>
          <w:color w:val="auto"/>
        </w:rPr>
      </w:pPr>
      <w:r>
        <w:rPr>
          <w:rFonts w:hint="eastAsia"/>
          <w:color w:val="auto"/>
        </w:rPr>
        <w:t>管理措施</w:t>
      </w:r>
    </w:p>
    <w:p>
      <w:pPr>
        <w:ind w:firstLine="480"/>
      </w:pPr>
      <w:r>
        <w:t>预防运输风险事故最主要和</w:t>
      </w:r>
      <w:r>
        <w:rPr>
          <w:rFonts w:hint="eastAsia"/>
        </w:rPr>
        <w:t>有力的措施</w:t>
      </w:r>
      <w:r>
        <w:t>是管理方面措施，结合</w:t>
      </w:r>
      <w:r>
        <w:rPr>
          <w:rFonts w:hint="eastAsia"/>
        </w:rPr>
        <w:t>项目沿线</w:t>
      </w:r>
      <w:r>
        <w:t>运输实际情况，具体措施如下：</w:t>
      </w:r>
    </w:p>
    <w:p>
      <w:pPr>
        <w:ind w:firstLine="480"/>
      </w:pPr>
      <w:r>
        <w:t>（</w:t>
      </w:r>
      <w:r>
        <w:rPr>
          <w:rFonts w:hint="eastAsia"/>
        </w:rPr>
        <w:t>1</w:t>
      </w:r>
      <w:r>
        <w:t>）</w:t>
      </w:r>
      <w:r>
        <w:rPr>
          <w:rFonts w:hint="eastAsia"/>
        </w:rPr>
        <w:t>加强交通工程设施，重点是完善交通标志标线和实施交通信号控制。完善标志标线、路灯照明、交通区划。应做畅通道路的视觉环境保护，对全线可能设置的广告牌进行控制性管理。尽量少设或不设广告牌。</w:t>
      </w:r>
    </w:p>
    <w:p>
      <w:pPr>
        <w:ind w:firstLine="480"/>
      </w:pPr>
      <w:r>
        <w:rPr>
          <w:rFonts w:hint="eastAsia"/>
        </w:rPr>
        <w:t>（</w:t>
      </w:r>
      <w:r>
        <w:t>2</w:t>
      </w:r>
      <w:r>
        <w:rPr>
          <w:rFonts w:hint="eastAsia"/>
        </w:rPr>
        <w:t>）采用现代科学技术手段实现交通安全管理的现代化，减少交通事故。可以有选择地研究和应用智能交通系统（ITS）技术，以进一步减少交通死亡事故。在危险化学品运输车辆上安装GPS，对司机、运输的危险货物、车辆等进行动态监控。</w:t>
      </w:r>
    </w:p>
    <w:p>
      <w:pPr>
        <w:ind w:firstLine="480"/>
      </w:pPr>
      <w:r>
        <w:t>（3）</w:t>
      </w:r>
      <w:r>
        <w:rPr>
          <w:rFonts w:hint="eastAsia"/>
        </w:rPr>
        <w:t>施工期危险品管理：在施工期对易燃、易爆和有毒物品必须由专人存放、保管，详细登记取用时间、人员、数量和用途等，定期检查，并应对保管人员进行专业培训。</w:t>
      </w:r>
    </w:p>
    <w:p>
      <w:pPr>
        <w:ind w:firstLine="480"/>
      </w:pPr>
      <w:r>
        <w:t>（4）应急硬件设施配备</w:t>
      </w:r>
    </w:p>
    <w:p>
      <w:pPr>
        <w:ind w:firstLine="480"/>
      </w:pPr>
      <w:r>
        <w:t>确保发生突发事故可以得到及时处置，本项目公路管理部门应准备必要的硬件设施设备。公路管理部门应配备事故应急车，以便于</w:t>
      </w:r>
      <w:r>
        <w:rPr>
          <w:rFonts w:hint="eastAsia"/>
        </w:rPr>
        <w:t>交通</w:t>
      </w:r>
      <w:r>
        <w:t>运输事故发生后，尽快赶到现场进行处理。</w:t>
      </w:r>
    </w:p>
    <w:p>
      <w:pPr>
        <w:ind w:firstLine="480"/>
      </w:pPr>
      <w:r>
        <w:t>（5）由项目管理公司的环保部门、路政部门、监控中心成立事故应急小组，并编制应急计划。</w:t>
      </w:r>
    </w:p>
    <w:p>
      <w:pPr>
        <w:pStyle w:val="120"/>
        <w:rPr>
          <w:color w:val="auto"/>
        </w:rPr>
      </w:pPr>
      <w:r>
        <w:rPr>
          <w:rFonts w:hint="eastAsia"/>
          <w:color w:val="auto"/>
        </w:rPr>
        <w:t>工程防范措施</w:t>
      </w:r>
    </w:p>
    <w:p>
      <w:pPr>
        <w:ind w:firstLine="480"/>
      </w:pPr>
      <w:r>
        <w:rPr>
          <w:rFonts w:hint="eastAsia"/>
        </w:rPr>
        <w:t>（</w:t>
      </w:r>
      <w:r>
        <w:t>1</w:t>
      </w:r>
      <w:r>
        <w:rPr>
          <w:rFonts w:hint="eastAsia"/>
        </w:rPr>
        <w:t>）重要路段</w:t>
      </w:r>
      <w:bookmarkStart w:id="518" w:name="_Hlk197459043"/>
      <w:r>
        <w:rPr>
          <w:rFonts w:hint="eastAsia"/>
        </w:rPr>
        <w:t>设置警示牌</w:t>
      </w:r>
      <w:bookmarkEnd w:id="518"/>
    </w:p>
    <w:p>
      <w:pPr>
        <w:ind w:firstLine="480"/>
      </w:pPr>
      <w:r>
        <w:rPr>
          <w:rFonts w:hint="eastAsia"/>
        </w:rPr>
        <w:t>在重要路段（临近居民区和跨河桥梁（大埔大桥、枝钟中桥）及邻水路段等，应设置警示牌、视频监控等，提请司机小心驾驶，保持安全运输车距，严禁超车、超速。</w:t>
      </w:r>
    </w:p>
    <w:p>
      <w:pPr>
        <w:ind w:firstLine="480"/>
      </w:pPr>
      <w:r>
        <w:rPr>
          <w:rFonts w:hint="eastAsia"/>
        </w:rPr>
        <w:t>（2）</w:t>
      </w:r>
      <w:bookmarkStart w:id="519" w:name="_Hlk197459050"/>
      <w:r>
        <w:rPr>
          <w:rFonts w:hint="eastAsia"/>
        </w:rPr>
        <w:t>大埔大桥、枝钟中桥及邻水路段设置防撞护栏</w:t>
      </w:r>
      <w:bookmarkEnd w:id="519"/>
      <w:r>
        <w:rPr>
          <w:rFonts w:hint="eastAsia"/>
        </w:rPr>
        <w:t>，避免车辆翻入水中，影响水体环境。</w:t>
      </w:r>
    </w:p>
    <w:p>
      <w:pPr>
        <w:widowControl/>
        <w:ind w:firstLine="480"/>
        <w:jc w:val="left"/>
        <w:rPr>
          <w:kern w:val="0"/>
          <w:lang w:bidi="ar"/>
        </w:rPr>
      </w:pPr>
      <w:r>
        <w:rPr>
          <w:rFonts w:hint="eastAsia"/>
          <w:kern w:val="0"/>
          <w:lang w:bidi="ar"/>
        </w:rPr>
        <w:t>（</w:t>
      </w:r>
      <w:r>
        <w:rPr>
          <w:kern w:val="0"/>
          <w:lang w:bidi="ar"/>
        </w:rPr>
        <w:t>3</w:t>
      </w:r>
      <w:r>
        <w:rPr>
          <w:rFonts w:hint="eastAsia"/>
          <w:kern w:val="0"/>
          <w:lang w:bidi="ar"/>
        </w:rPr>
        <w:t>）事故泄漏液围堵措施</w:t>
      </w:r>
    </w:p>
    <w:p>
      <w:pPr>
        <w:widowControl/>
        <w:ind w:firstLine="480"/>
        <w:jc w:val="left"/>
        <w:rPr>
          <w:kern w:val="0"/>
          <w:lang w:bidi="ar"/>
        </w:rPr>
      </w:pPr>
      <w:r>
        <w:rPr>
          <w:rFonts w:hint="eastAsia"/>
          <w:kern w:val="0"/>
          <w:lang w:bidi="ar"/>
        </w:rPr>
        <w:t>为减少桥路面径流尤其是事故时对迳江水体水质造成不利影响，</w:t>
      </w:r>
      <w:r>
        <w:rPr>
          <w:rFonts w:hint="eastAsia"/>
        </w:rPr>
        <w:t>大埔大桥桥面雨水采用排水孔收集，经落水管就近排放。本次评价要求</w:t>
      </w:r>
      <w:bookmarkStart w:id="520" w:name="_Hlk197459060"/>
      <w:r>
        <w:rPr>
          <w:rFonts w:hint="eastAsia"/>
        </w:rPr>
        <w:t>在大埔大桥、枝钟中桥</w:t>
      </w:r>
      <w:r>
        <w:rPr>
          <w:kern w:val="0"/>
          <w:lang w:bidi="ar"/>
        </w:rPr>
        <w:t>桥面泄水孔</w:t>
      </w:r>
      <w:r>
        <w:rPr>
          <w:rFonts w:hint="eastAsia"/>
          <w:kern w:val="0"/>
          <w:lang w:bidi="ar"/>
        </w:rPr>
        <w:t>位置</w:t>
      </w:r>
      <w:r>
        <w:rPr>
          <w:kern w:val="0"/>
          <w:lang w:bidi="ar"/>
        </w:rPr>
        <w:t>，</w:t>
      </w:r>
      <w:r>
        <w:rPr>
          <w:rFonts w:hint="eastAsia"/>
          <w:kern w:val="0"/>
          <w:lang w:bidi="ar"/>
        </w:rPr>
        <w:t>备有合适的材料（如沙袋）围堵泄漏源，将泄漏源控制在</w:t>
      </w:r>
      <w:r>
        <w:rPr>
          <w:kern w:val="0"/>
          <w:lang w:bidi="ar"/>
        </w:rPr>
        <w:t>桥面</w:t>
      </w:r>
      <w:r>
        <w:rPr>
          <w:rFonts w:hint="eastAsia"/>
          <w:kern w:val="0"/>
          <w:lang w:bidi="ar"/>
        </w:rPr>
        <w:t>范围内</w:t>
      </w:r>
      <w:bookmarkEnd w:id="520"/>
      <w:r>
        <w:rPr>
          <w:rFonts w:hint="eastAsia"/>
          <w:kern w:val="0"/>
          <w:lang w:bidi="ar"/>
        </w:rPr>
        <w:t>。</w:t>
      </w:r>
    </w:p>
    <w:p>
      <w:pPr>
        <w:ind w:firstLine="480"/>
        <w:rPr>
          <w:kern w:val="0"/>
          <w:lang w:bidi="ar"/>
        </w:rPr>
      </w:pPr>
      <w:r>
        <w:rPr>
          <w:kern w:val="0"/>
          <w:lang w:bidi="ar"/>
        </w:rPr>
        <w:t>（4）桥梁需加强径流收集系统的日常维护和管理。加强桥梁工程安全检查、监控</w:t>
      </w:r>
      <w:r>
        <w:rPr>
          <w:rFonts w:hint="eastAsia"/>
          <w:kern w:val="0"/>
          <w:lang w:bidi="ar"/>
        </w:rPr>
        <w:t>。</w:t>
      </w:r>
    </w:p>
    <w:p>
      <w:pPr>
        <w:ind w:firstLine="480"/>
        <w:rPr>
          <w:kern w:val="0"/>
          <w:lang w:bidi="ar"/>
        </w:rPr>
      </w:pPr>
      <w:r>
        <w:rPr>
          <w:rFonts w:hint="eastAsia"/>
          <w:kern w:val="0"/>
          <w:lang w:bidi="ar"/>
        </w:rPr>
        <w:t>（5）使用可变情报板随时警示容易诱发交通事故的恶劣天气或危险路况，提前采取限制行车速度或封闭局部路段等积极主动的风险防范措施。</w:t>
      </w:r>
    </w:p>
    <w:p>
      <w:pPr>
        <w:pStyle w:val="118"/>
      </w:pPr>
      <w:bookmarkStart w:id="521" w:name="_Hlk152686708"/>
      <w:r>
        <w:rPr>
          <w:rFonts w:hint="eastAsia"/>
        </w:rPr>
        <w:t>环境风险事故处置措施</w:t>
      </w:r>
      <w:bookmarkEnd w:id="521"/>
      <w:r>
        <w:rPr>
          <w:rFonts w:hint="eastAsia"/>
        </w:rPr>
        <w:t xml:space="preserve"> </w:t>
      </w:r>
    </w:p>
    <w:p>
      <w:pPr>
        <w:ind w:firstLine="480"/>
      </w:pPr>
      <w:bookmarkStart w:id="522" w:name="_Hlk152686766"/>
      <w:r>
        <w:rPr>
          <w:rFonts w:hint="eastAsia"/>
        </w:rPr>
        <w:t>（1）油品泄漏事故及处置措施</w:t>
      </w:r>
      <w:bookmarkEnd w:id="522"/>
    </w:p>
    <w:p>
      <w:pPr>
        <w:ind w:firstLine="480"/>
      </w:pPr>
      <w:r>
        <w:rPr>
          <w:rFonts w:hint="eastAsia"/>
        </w:rPr>
        <w:t>①进入泄漏现场进行处理时，应注意安全防护。</w:t>
      </w:r>
    </w:p>
    <w:p>
      <w:pPr>
        <w:ind w:firstLine="480"/>
      </w:pPr>
      <w:r>
        <w:rPr>
          <w:rFonts w:hint="eastAsia"/>
        </w:rPr>
        <w:t>②</w:t>
      </w:r>
      <w:bookmarkStart w:id="523" w:name="_Hlk152686681"/>
      <w:r>
        <w:rPr>
          <w:rFonts w:hint="eastAsia"/>
        </w:rPr>
        <w:t>泄漏源控制：采用合适的材料（如砂袋）围堵泄漏</w:t>
      </w:r>
      <w:bookmarkEnd w:id="523"/>
      <w:r>
        <w:rPr>
          <w:rFonts w:hint="eastAsia"/>
        </w:rPr>
        <w:t>源，将泄漏源控制在道路边沟范围内。</w:t>
      </w:r>
    </w:p>
    <w:p>
      <w:pPr>
        <w:ind w:firstLine="480"/>
      </w:pPr>
      <w:r>
        <w:rPr>
          <w:rFonts w:hint="eastAsia"/>
        </w:rPr>
        <w:t>③泄漏物处置，通过围堤堵截控制泄漏液体的流向，同时应及时稀释并覆盖，将泄漏物料收容至相应的容器或槽车内，最后将收集的泄漏物运至废物处理场处置。</w:t>
      </w:r>
    </w:p>
    <w:p>
      <w:pPr>
        <w:ind w:firstLine="480"/>
      </w:pPr>
      <w:bookmarkStart w:id="524" w:name="_Hlk152686743"/>
      <w:r>
        <w:rPr>
          <w:rFonts w:hint="eastAsia"/>
        </w:rPr>
        <w:t>（2）火灾事故及处置措施</w:t>
      </w:r>
    </w:p>
    <w:p>
      <w:pPr>
        <w:ind w:firstLine="480"/>
      </w:pPr>
      <w:r>
        <w:rPr>
          <w:rFonts w:hint="eastAsia"/>
        </w:rPr>
        <w:t>先控制，后消灭。针对火灾的火势发展中蔓延快和燃烧面积大的特点，积极采取统一指挥、以快制快；堵截火势、防止蔓延；重点突破、排除险情；分割包围、速战速决的灭火战术。扑救人员应占领上风或侧风阵地；进行火情侦察、火灾扑救、火场疏散人员应有针对性地采取自我防护措施；应迅速查明燃烧物品及其周围物品的品名和主要危险特性、火势蔓延的主要途径，燃烧的物品及燃烧产物是否有毒；正确选择最适合的灭火剂和灭火方法；对有可能发生爆炸、爆裂、喷溅的特别危险需紧急撤离的情况，应按照统一的撤退信号和撤退方法及时撤退；火灾扑灭后，仍要组织人员监护现场，消灭余火。</w:t>
      </w:r>
      <w:bookmarkEnd w:id="524"/>
    </w:p>
    <w:p>
      <w:pPr>
        <w:ind w:firstLine="480"/>
      </w:pPr>
      <w:r>
        <w:rPr>
          <w:rFonts w:hint="eastAsia"/>
        </w:rPr>
        <w:t>（3）压缩气体和液化气体火灾事故及处置措施</w:t>
      </w:r>
    </w:p>
    <w:p>
      <w:pPr>
        <w:ind w:firstLine="480"/>
      </w:pPr>
      <w:r>
        <w:rPr>
          <w:rFonts w:hint="eastAsia"/>
        </w:rPr>
        <w:t>①扑救气体火灾切忌盲目灭火，即便在扑救周围火势以及冷却过程中不小心把泄漏处的火焰扑灭了，在没有采取堵漏措施的情况下，也必须立即再次将其点燃使之恢复稳定燃烧，否则大量可燃气体与空气混合后如再遇火源就会爆炸，后果严重。</w:t>
      </w:r>
    </w:p>
    <w:p>
      <w:pPr>
        <w:ind w:firstLine="480"/>
      </w:pPr>
      <w:r>
        <w:rPr>
          <w:rFonts w:hint="eastAsia"/>
        </w:rPr>
        <w:t>②应首先扑灭外围被火源引燃的可燃物火势，切断火势蔓延途径，控制燃烧范围，并积极抢救受伤被困人员。</w:t>
      </w:r>
    </w:p>
    <w:p>
      <w:pPr>
        <w:ind w:firstLine="480"/>
      </w:pPr>
      <w:r>
        <w:rPr>
          <w:rFonts w:hint="eastAsia"/>
        </w:rPr>
        <w:t>③堵漏工作准备就绪后，即可用水扑救火势，也可用干粉或二氧化碳灭火，但同时仍需用水冷却烧烫的罐源。火势扑灭后应立即堵漏，同时用雾状水稀释和驱散泄漏气体。</w:t>
      </w:r>
    </w:p>
    <w:p>
      <w:pPr>
        <w:ind w:firstLine="480"/>
      </w:pPr>
      <w:r>
        <w:rPr>
          <w:rFonts w:hint="eastAsia"/>
        </w:rPr>
        <w:t>④如泄漏口很大无法堵漏，则需冷却着火容器及周围容器和可燃物品，控制着火范围直至燃气燃尽，火势自动熄灭。</w:t>
      </w:r>
    </w:p>
    <w:p>
      <w:pPr>
        <w:ind w:firstLine="480"/>
      </w:pPr>
      <w:bookmarkStart w:id="525" w:name="_Hlk152686805"/>
      <w:r>
        <w:rPr>
          <w:rFonts w:hint="eastAsia"/>
        </w:rPr>
        <w:t>（4）易燃液体火灾事故及处置措施</w:t>
      </w:r>
    </w:p>
    <w:p>
      <w:pPr>
        <w:ind w:firstLine="480"/>
      </w:pPr>
      <w:r>
        <w:rPr>
          <w:rFonts w:hint="eastAsia"/>
        </w:rPr>
        <w:t>易燃液体无论是否着火，如果发生泄漏或溢出，都将顺着地面流淌或水面漂散，同时易燃液体还存在着比重和水溶性影响水和普通泡沫灭火剂扑救的问题，还可能造成沸溢和喷溅。</w:t>
      </w:r>
    </w:p>
    <w:p>
      <w:pPr>
        <w:ind w:firstLine="480"/>
      </w:pPr>
      <w:r>
        <w:rPr>
          <w:rFonts w:hint="eastAsia"/>
        </w:rPr>
        <w:t>①首先应切断火势蔓延的途径，冷却和疏散受火势威胁的密闭容器和可燃物，控制燃烧范围，并积极抢救受伤与被困人员。如有液体流淌时，应筑堤（或用围油栏）拦截漂散流淌的易燃液体或挖沟导流。</w:t>
      </w:r>
    </w:p>
    <w:p>
      <w:pPr>
        <w:ind w:firstLine="480"/>
      </w:pPr>
      <w:r>
        <w:rPr>
          <w:rFonts w:hint="eastAsia"/>
        </w:rPr>
        <w:t>②及时了解和掌握着火液体的品名、比重、水溶性以及有无毒害、腐蚀、沸溢、喷溅等危险性，以便采取相应的灭火和防护措施。</w:t>
      </w:r>
    </w:p>
    <w:p>
      <w:pPr>
        <w:ind w:firstLine="480"/>
      </w:pPr>
      <w:r>
        <w:rPr>
          <w:rFonts w:hint="eastAsia"/>
        </w:rPr>
        <w:t>③扑救毒害性、腐蚀性或燃烧产物毒性较强的易燃液体火灾，扑救人员须配置防护面具，采取防护措施。对特殊物品的火灾，应使用专用防护服。考虑到过滤式防毒面具的局限性，在扑救毒害品火灾时应尽量使用隔绝式空气面具。</w:t>
      </w:r>
      <w:bookmarkEnd w:id="525"/>
    </w:p>
    <w:p>
      <w:pPr>
        <w:pStyle w:val="116"/>
      </w:pPr>
      <w:bookmarkStart w:id="526" w:name="5.4小结"/>
      <w:bookmarkEnd w:id="526"/>
      <w:bookmarkStart w:id="527" w:name="_Toc159405483"/>
      <w:bookmarkStart w:id="528" w:name="_Toc204676256"/>
      <w:bookmarkStart w:id="529" w:name="_Toc27061"/>
      <w:r>
        <w:t>小结</w:t>
      </w:r>
      <w:bookmarkEnd w:id="527"/>
      <w:bookmarkEnd w:id="528"/>
      <w:bookmarkEnd w:id="529"/>
    </w:p>
    <w:p>
      <w:pPr>
        <w:spacing w:before="120" w:beforeLines="50"/>
        <w:ind w:firstLine="480"/>
      </w:pPr>
      <w:r>
        <w:t>本项目在</w:t>
      </w:r>
      <w:r>
        <w:rPr>
          <w:rFonts w:hint="eastAsia"/>
        </w:rPr>
        <w:t>运营</w:t>
      </w:r>
      <w:r>
        <w:t>过程中，由</w:t>
      </w:r>
      <w:r>
        <w:rPr>
          <w:rFonts w:hint="eastAsia"/>
        </w:rPr>
        <w:t>交通事故</w:t>
      </w:r>
      <w:r>
        <w:t>造成的各种风险具有一定的潜在危险性。根据模拟预测，</w:t>
      </w:r>
      <w:r>
        <w:rPr>
          <w:rFonts w:hint="eastAsia"/>
        </w:rPr>
        <w:t>交通事故</w:t>
      </w:r>
      <w:r>
        <w:t>的概率是很小的。</w:t>
      </w:r>
      <w:r>
        <w:rPr>
          <w:rFonts w:hint="eastAsia"/>
        </w:rPr>
        <w:t>但这种小概率事件是有可能发生的，一旦发生事故，则会对桥址区的迳江水环境产生影响。因此，应积极采取措施减少交通事故风险，制定交通事故污染风险减缓措施及应急措施，为将交通事故风险性降低到最小，建议从运营期上路检查、途中运输、停车，直到事故处理等各个环节，加强管理，以预防运输事故的发生和控制突发性环境污染事故事态的扩大。公路管理部门必须做好应急计划和措施，通过加强管理，使污染影响降到最低，对周边环境的影响在可接受范围内。</w:t>
      </w:r>
    </w:p>
    <w:p>
      <w:pPr>
        <w:ind w:firstLine="480"/>
        <w:rPr>
          <w:rFonts w:cs="Times New Roman"/>
          <w:iCs/>
          <w:szCs w:val="24"/>
        </w:rPr>
        <w:sectPr>
          <w:pgSz w:w="11910" w:h="16840"/>
          <w:pgMar w:top="1418" w:right="1418" w:bottom="1418" w:left="1418" w:header="851" w:footer="851" w:gutter="0"/>
          <w:cols w:space="720" w:num="1"/>
        </w:sectPr>
      </w:pPr>
    </w:p>
    <w:p>
      <w:pPr>
        <w:pStyle w:val="114"/>
      </w:pPr>
      <w:bookmarkStart w:id="530" w:name="6环境保护措施及其可行性论证"/>
      <w:bookmarkEnd w:id="530"/>
      <w:bookmarkStart w:id="531" w:name="_Toc204676257"/>
      <w:bookmarkStart w:id="532" w:name="_Toc159405484"/>
      <w:bookmarkStart w:id="533" w:name="_Toc1206"/>
      <w:r>
        <w:t>环境保护措施及其可行性论证</w:t>
      </w:r>
      <w:bookmarkEnd w:id="531"/>
      <w:bookmarkEnd w:id="532"/>
      <w:bookmarkEnd w:id="533"/>
    </w:p>
    <w:p>
      <w:pPr>
        <w:pStyle w:val="116"/>
      </w:pPr>
      <w:bookmarkStart w:id="534" w:name="6.1设计阶段环境保护措施分析及建议"/>
      <w:bookmarkEnd w:id="534"/>
      <w:bookmarkStart w:id="535" w:name="_Toc159405486"/>
      <w:bookmarkStart w:id="536" w:name="_Toc204676258"/>
      <w:r>
        <w:rPr>
          <w:rFonts w:hint="eastAsia"/>
        </w:rPr>
        <w:t>生态环境影响减缓措施</w:t>
      </w:r>
      <w:bookmarkEnd w:id="535"/>
      <w:bookmarkEnd w:id="536"/>
    </w:p>
    <w:p>
      <w:pPr>
        <w:pStyle w:val="118"/>
      </w:pPr>
      <w:r>
        <w:rPr>
          <w:rFonts w:hint="eastAsia"/>
        </w:rPr>
        <w:t>施工期生态环境影响减缓措施</w:t>
      </w:r>
    </w:p>
    <w:p>
      <w:pPr>
        <w:pStyle w:val="118"/>
      </w:pPr>
      <w:r>
        <w:rPr>
          <w:rFonts w:hint="eastAsia"/>
        </w:rPr>
        <w:t>管理措施</w:t>
      </w:r>
    </w:p>
    <w:p>
      <w:pPr>
        <w:ind w:firstLine="480"/>
      </w:pPr>
      <w:r>
        <w:rPr>
          <w:rFonts w:hint="eastAsia"/>
        </w:rPr>
        <w:t>（1）强化施工阶段的环境管理</w:t>
      </w:r>
    </w:p>
    <w:p>
      <w:pPr>
        <w:ind w:firstLine="480"/>
      </w:pPr>
      <w:r>
        <w:rPr>
          <w:rFonts w:hint="eastAsia"/>
        </w:rPr>
        <w:t>在施工期间，应建立环境监督制度，</w:t>
      </w:r>
      <w:r>
        <w:rPr>
          <w:rFonts w:ascii="Segoe UI" w:hAnsi="Segoe UI" w:cs="Segoe UI"/>
        </w:rPr>
        <w:t>监督指导施工方落实生态保护措施</w:t>
      </w:r>
      <w:r>
        <w:rPr>
          <w:rFonts w:hint="eastAsia"/>
        </w:rPr>
        <w:t>。</w:t>
      </w:r>
    </w:p>
    <w:p>
      <w:pPr>
        <w:ind w:firstLine="480"/>
      </w:pPr>
      <w:r>
        <w:rPr>
          <w:rFonts w:hint="eastAsia"/>
        </w:rPr>
        <w:t>（2）加强施工队伍职工环境保护培训，规范施工人员行为，约束其在非施工期间的活动范围。加大宣传力度，采取各种方式，如宣传栏、挂牌等，让施工人员了解植物的显著的特征，能够识别分布在此地的国家重点保护植物。工程单位与林业主管部门要合作，建立完善的管理体系，确保国家及省重点保护植物资源的安全。</w:t>
      </w:r>
    </w:p>
    <w:p>
      <w:pPr>
        <w:ind w:firstLine="480"/>
      </w:pPr>
      <w:r>
        <w:rPr>
          <w:rFonts w:hint="eastAsia"/>
        </w:rPr>
        <w:t>（3）严格划定施工作业范围</w:t>
      </w:r>
    </w:p>
    <w:p>
      <w:pPr>
        <w:ind w:firstLine="480"/>
      </w:pPr>
      <w:r>
        <w:rPr>
          <w:rFonts w:hint="eastAsia"/>
        </w:rPr>
        <w:t>严格按照设计文件确定征占土地范围，进行地表植被的清理工作。开工前对施工临时设施的规划要进行严格的审查，以达到既少占农田、林地，又方便施工的目的。</w:t>
      </w:r>
    </w:p>
    <w:p>
      <w:pPr>
        <w:ind w:firstLine="480"/>
      </w:pPr>
      <w:r>
        <w:rPr>
          <w:rFonts w:hint="eastAsia"/>
        </w:rPr>
        <w:t>（</w:t>
      </w:r>
      <w:r>
        <w:t>4</w:t>
      </w:r>
      <w:r>
        <w:rPr>
          <w:rFonts w:hint="eastAsia"/>
        </w:rPr>
        <w:t>）做好施工的组织安排工作，减轻损失</w:t>
      </w:r>
    </w:p>
    <w:p>
      <w:pPr>
        <w:ind w:firstLine="480"/>
      </w:pPr>
      <w:r>
        <w:rPr>
          <w:rFonts w:hint="eastAsia"/>
        </w:rPr>
        <w:t>应根据当地农业活动特点组织施工，减轻对农业生产破坏造成的损失。在改河、涵洞、涉水桥墩等基础施工时，应避开雨季施工，选择枯水期进行。</w:t>
      </w:r>
    </w:p>
    <w:p>
      <w:pPr>
        <w:ind w:firstLine="480"/>
      </w:pPr>
      <w:r>
        <w:rPr>
          <w:rFonts w:hint="eastAsia"/>
        </w:rPr>
        <w:t>（5）提高工程施工效率，缩短施工时间</w:t>
      </w:r>
    </w:p>
    <w:p>
      <w:pPr>
        <w:ind w:firstLine="480"/>
      </w:pPr>
      <w:r>
        <w:rPr>
          <w:rFonts w:hint="eastAsia"/>
        </w:rPr>
        <w:t>施工中要做到分段施工，随挖、随运、随铺、随压，减少裸地的暴露时间，不留疏松地面。</w:t>
      </w:r>
    </w:p>
    <w:p>
      <w:pPr>
        <w:ind w:firstLine="480"/>
      </w:pPr>
      <w:r>
        <w:rPr>
          <w:rFonts w:hint="eastAsia"/>
        </w:rPr>
        <w:t>（6）施工期临时设施用地尽量选择在征地范围内，施工驻地租用当地民房和场地。</w:t>
      </w:r>
    </w:p>
    <w:p>
      <w:pPr>
        <w:ind w:firstLine="480"/>
      </w:pPr>
      <w:r>
        <w:rPr>
          <w:rFonts w:hint="eastAsia"/>
        </w:rPr>
        <w:t>（</w:t>
      </w:r>
      <w:r>
        <w:t>7</w:t>
      </w:r>
      <w:r>
        <w:rPr>
          <w:rFonts w:hint="eastAsia"/>
        </w:rPr>
        <w:t>）减少夜间作业，避免灯光、噪声对夜间动物活动的惊扰。高噪声施工要在白天施工，减少夜间施工对野生动物的影响。</w:t>
      </w:r>
    </w:p>
    <w:p>
      <w:pPr>
        <w:ind w:firstLine="480"/>
      </w:pPr>
      <w:r>
        <w:rPr>
          <w:rFonts w:hint="eastAsia"/>
        </w:rPr>
        <w:t>（</w:t>
      </w:r>
      <w:r>
        <w:t>8</w:t>
      </w:r>
      <w:r>
        <w:rPr>
          <w:rFonts w:hint="eastAsia"/>
        </w:rPr>
        <w:t>）严格控制路基开挖施工作业面，避免超挖破坏周围植被。路线经过优良耕地路段，应尽量收缩路基边坡，以减少占用耕地。</w:t>
      </w:r>
    </w:p>
    <w:p>
      <w:pPr>
        <w:ind w:firstLine="480"/>
      </w:pPr>
      <w:r>
        <w:rPr>
          <w:rFonts w:hint="eastAsia"/>
        </w:rPr>
        <w:t>（</w:t>
      </w:r>
      <w:r>
        <w:t>9</w:t>
      </w:r>
      <w:r>
        <w:rPr>
          <w:rFonts w:hint="eastAsia"/>
        </w:rPr>
        <w:t>）凡因公路施工破坏植被而裸露的土地（包括路界内外）均应在施工结束后立即整治利用，恢复植被或造田还耕。对于坡面工程应及时采取工程措施或植物措施加以防护以减少水土流失。</w:t>
      </w:r>
    </w:p>
    <w:p>
      <w:pPr>
        <w:pStyle w:val="118"/>
      </w:pPr>
      <w:r>
        <w:t>植物保护与恢复措施</w:t>
      </w:r>
    </w:p>
    <w:p>
      <w:pPr>
        <w:ind w:firstLine="480"/>
      </w:pPr>
      <w:r>
        <w:rPr>
          <w:rFonts w:hint="eastAsia"/>
        </w:rPr>
        <w:t>①施工前认真核查施工区内有无珍稀保护植物，对工程施工中无法避让的需保护物种，要进行异地移栽保护。</w:t>
      </w:r>
    </w:p>
    <w:p>
      <w:pPr>
        <w:ind w:firstLine="480"/>
      </w:pPr>
      <w:r>
        <w:rPr>
          <w:rFonts w:hint="eastAsia"/>
        </w:rPr>
        <w:t>②合理安排工程用地，节约土地资源，合理设计、尽量缩小用地规模；施工临时用地尽可能选择工程永久占地区域内；严格按照设计文件确定征占土地范围，进行地表植被的清理工作。</w:t>
      </w:r>
    </w:p>
    <w:p>
      <w:pPr>
        <w:ind w:firstLine="480"/>
      </w:pPr>
      <w:r>
        <w:rPr>
          <w:rFonts w:hint="eastAsia"/>
        </w:rPr>
        <w:t>③路线布设尽量避开大片的林地，无法避让的情况下，应收缩路基宽度，减少占用林地数量，项目开工之前应办理林地征用手续，必须按照相关规定，进行异地补偿。</w:t>
      </w:r>
    </w:p>
    <w:p>
      <w:pPr>
        <w:ind w:firstLine="480"/>
      </w:pPr>
      <w:r>
        <w:rPr>
          <w:rFonts w:hint="eastAsia"/>
        </w:rPr>
        <w:t>④合理安排施工时序，减少裸露地块面积，强化裸露地块水土流失防治等。</w:t>
      </w:r>
    </w:p>
    <w:p>
      <w:pPr>
        <w:ind w:firstLine="480"/>
      </w:pPr>
      <w:r>
        <w:rPr>
          <w:rFonts w:hint="eastAsia"/>
        </w:rPr>
        <w:t>⑤路基施工、临时施工场地施工前，应将占用农用地的表土层剥离，并在临时表土堆场进行集中堆放，并采取临时拦挡和覆盖措施，防止雨淋造成养分流失，以便用于后期的绿化和土地复垦。</w:t>
      </w:r>
    </w:p>
    <w:p>
      <w:pPr>
        <w:ind w:firstLine="480"/>
      </w:pPr>
      <w:r>
        <w:rPr>
          <w:rFonts w:hint="eastAsia"/>
        </w:rPr>
        <w:t>⑥涉及林区路段施工时，施工单位应加强防火知识教育，防止人为原因导致森林火灾的发生。</w:t>
      </w:r>
    </w:p>
    <w:p>
      <w:pPr>
        <w:ind w:firstLine="480"/>
      </w:pPr>
      <w:r>
        <w:rPr>
          <w:rFonts w:hint="eastAsia"/>
        </w:rPr>
        <w:t>⑦</w:t>
      </w:r>
      <w:r>
        <w:t>施工结束后按占地类型恢复为原有使用类型，根据项目区植被分布及植被类型，尽量选用当地乡土树种或适生树种作为本工程的生态恢复树种</w:t>
      </w:r>
      <w:r>
        <w:rPr>
          <w:rFonts w:hint="eastAsia"/>
        </w:rPr>
        <w:t>。</w:t>
      </w:r>
    </w:p>
    <w:p>
      <w:pPr>
        <w:ind w:firstLine="480"/>
      </w:pPr>
      <w:r>
        <w:rPr>
          <w:rFonts w:hint="eastAsia"/>
        </w:rPr>
        <w:t>⑧施工结束后，施工单位应负责清理现场。凡因公路施工破坏植被而裸露的土地（包括路界内外）应在施工结束后立即整治利用，恢复植被或造田还耕。</w:t>
      </w:r>
    </w:p>
    <w:p>
      <w:pPr>
        <w:pStyle w:val="118"/>
      </w:pPr>
      <w:r>
        <w:rPr>
          <w:rFonts w:hint="eastAsia"/>
        </w:rPr>
        <w:t>临时占地恢复措施</w:t>
      </w:r>
    </w:p>
    <w:p>
      <w:pPr>
        <w:ind w:firstLine="480"/>
      </w:pPr>
      <w:r>
        <w:rPr>
          <w:rFonts w:hint="eastAsia"/>
        </w:rPr>
        <w:t>①优化临时占地选址，严禁在生态敏感区范围内设置施工场地等临时工程。施工期间，加强临时占地的用地监督管理。控制施工作业范围，严禁进入生态敏感区内施工作业。加强管理，树立标识，避免施工人员、施工车辆及施工机械设备进入生态敏感区。</w:t>
      </w:r>
    </w:p>
    <w:p>
      <w:pPr>
        <w:ind w:firstLine="480"/>
      </w:pPr>
      <w:r>
        <w:rPr>
          <w:rFonts w:hint="eastAsia"/>
        </w:rPr>
        <w:t>②应严格控制各类临时工程施工边界，严禁随意压占、扰动和破坏地表。</w:t>
      </w:r>
    </w:p>
    <w:p>
      <w:pPr>
        <w:ind w:firstLine="480"/>
      </w:pPr>
      <w:r>
        <w:rPr>
          <w:rFonts w:hint="eastAsia"/>
        </w:rPr>
        <w:t>③临时占地表土保护，临时占地应对</w:t>
      </w:r>
      <w:r>
        <w:t>表层熟土剥离，</w:t>
      </w:r>
      <w:r>
        <w:rPr>
          <w:rFonts w:hint="eastAsia"/>
        </w:rPr>
        <w:t>临时堆存</w:t>
      </w:r>
      <w:r>
        <w:t>，并采取临时拦挡和覆盖措施。</w:t>
      </w:r>
      <w:r>
        <w:rPr>
          <w:rFonts w:hint="eastAsia"/>
        </w:rPr>
        <w:t>涉及农用地的，应将原有土地表层耕作的熟土推在一旁堆放，待施工完毕将这些熟土再推平，恢复原土地表层。施工场地及临时堆场水保措施详见章节</w:t>
      </w:r>
      <w:r>
        <w:t>7.1.1.8</w:t>
      </w:r>
      <w:r>
        <w:rPr>
          <w:rFonts w:hint="eastAsia"/>
        </w:rPr>
        <w:t>。</w:t>
      </w:r>
    </w:p>
    <w:p>
      <w:pPr>
        <w:ind w:firstLine="480"/>
      </w:pPr>
      <w:r>
        <w:rPr>
          <w:rFonts w:hint="eastAsia"/>
        </w:rPr>
        <w:t>④</w:t>
      </w:r>
      <w:r>
        <w:rPr>
          <w:rFonts w:hint="eastAsia" w:ascii="宋体" w:hAnsi="宋体"/>
          <w:szCs w:val="24"/>
        </w:rPr>
        <w:t>施工便道：应充分利用已有的交通道路作为施工便道，同时建设完善排水系统。</w:t>
      </w:r>
    </w:p>
    <w:p>
      <w:pPr>
        <w:ind w:firstLine="480"/>
      </w:pPr>
      <w:r>
        <w:rPr>
          <w:rFonts w:hint="eastAsia"/>
        </w:rPr>
        <w:t>⑤施工完毕后，必须对临时占地采取土地整治、生态恢复和复垦工程措施。</w:t>
      </w:r>
    </w:p>
    <w:p>
      <w:pPr>
        <w:pStyle w:val="118"/>
      </w:pPr>
      <w:r>
        <w:t>野生动物保护措施</w:t>
      </w:r>
    </w:p>
    <w:p>
      <w:pPr>
        <w:ind w:firstLine="480"/>
      </w:pPr>
      <w:r>
        <w:rPr>
          <w:rFonts w:hint="eastAsia"/>
        </w:rPr>
        <w:t>（1）管理措施</w:t>
      </w:r>
    </w:p>
    <w:p>
      <w:pPr>
        <w:ind w:firstLine="480"/>
      </w:pPr>
      <w:r>
        <w:rPr>
          <w:rFonts w:hint="eastAsia"/>
        </w:rPr>
        <w:t>施工单位应对施工人员进行环保教育，让施工人员了解《中华人民共和国野生动物保护法》，增强施工人员的环保意识，严禁捕杀野生动物，特别是国家重点保护野生动物。</w:t>
      </w:r>
    </w:p>
    <w:p>
      <w:pPr>
        <w:ind w:firstLine="480"/>
      </w:pPr>
      <w:r>
        <w:rPr>
          <w:rFonts w:hint="eastAsia"/>
        </w:rPr>
        <w:t>（2）避免措施</w:t>
      </w:r>
    </w:p>
    <w:p>
      <w:pPr>
        <w:ind w:firstLine="480"/>
      </w:pPr>
      <w:r>
        <w:rPr>
          <w:rFonts w:hint="eastAsia"/>
        </w:rPr>
        <w:t>①从保护生态环境的角度出发，施工期尽量做好施工规划前期工作。合理安排施工时间，避开野生动物活动的高峰时段。早晨、黄昏和晚上是野生动物活动、繁殖和觅食的高峰时段，应禁止在早晨、黄昏和晚上进行打桩等高噪作业。</w:t>
      </w:r>
    </w:p>
    <w:p>
      <w:pPr>
        <w:ind w:firstLine="480"/>
      </w:pPr>
      <w:r>
        <w:rPr>
          <w:rFonts w:hint="eastAsia"/>
        </w:rPr>
        <w:t>②严格限制施工范围，不得随意扩大工程占地范围。</w:t>
      </w:r>
    </w:p>
    <w:p>
      <w:pPr>
        <w:ind w:firstLine="480"/>
      </w:pPr>
      <w:r>
        <w:rPr>
          <w:rFonts w:hint="eastAsia"/>
        </w:rPr>
        <w:t>（</w:t>
      </w:r>
      <w:r>
        <w:t>3</w:t>
      </w:r>
      <w:r>
        <w:rPr>
          <w:rFonts w:hint="eastAsia"/>
        </w:rPr>
        <w:t>）削减措施</w:t>
      </w:r>
    </w:p>
    <w:p>
      <w:pPr>
        <w:ind w:firstLine="480"/>
      </w:pPr>
      <w:r>
        <w:rPr>
          <w:rFonts w:hint="eastAsia"/>
        </w:rPr>
        <w:t>①施工期间遇见野生动物应进行避让或保护性驱赶，禁止捕猎。</w:t>
      </w:r>
    </w:p>
    <w:p>
      <w:pPr>
        <w:ind w:firstLine="480"/>
      </w:pPr>
      <w:r>
        <w:rPr>
          <w:rFonts w:hint="eastAsia"/>
        </w:rPr>
        <w:t>②在林地较密集路段（K</w:t>
      </w:r>
      <w:r>
        <w:t>0+150~440</w:t>
      </w:r>
      <w:r>
        <w:rPr>
          <w:rFonts w:hint="eastAsia"/>
        </w:rPr>
        <w:t>、K</w:t>
      </w:r>
      <w:r>
        <w:t>4+000~140</w:t>
      </w:r>
      <w:r>
        <w:rPr>
          <w:rFonts w:hint="eastAsia"/>
        </w:rPr>
        <w:t>、K</w:t>
      </w:r>
      <w:r>
        <w:t>4+780~K5+110</w:t>
      </w:r>
      <w:r>
        <w:rPr>
          <w:rFonts w:hint="eastAsia"/>
        </w:rPr>
        <w:t>）施工应优化施工方案，缩短工期，尽量避免夜间施工作业，减少对野生动物的惊扰。</w:t>
      </w:r>
    </w:p>
    <w:p>
      <w:pPr>
        <w:ind w:firstLine="480"/>
      </w:pPr>
      <w:r>
        <w:rPr>
          <w:rFonts w:hint="eastAsia"/>
        </w:rPr>
        <w:t>③施工单位应加强施工管理，加强施工区、临时堆场的堆置和防护，加强生活区施工人员生活卫生管理，避免生活污水的直接排放，减少水体污染，保护野生动物生境。</w:t>
      </w:r>
    </w:p>
    <w:p>
      <w:pPr>
        <w:ind w:firstLine="480"/>
      </w:pPr>
      <w:r>
        <w:rPr>
          <w:rFonts w:hint="eastAsia"/>
        </w:rPr>
        <w:t>④加强野生动物监测措施。在施工期间加强野生动物的动态监测，随时留意和观察野生动物的活动情况和生境影响，若发现野生动物特殊的生境或需要特别保护的野生动物遭到工程施工的严重影响，必须停止施工，同时采取妥善的保护措施，并向生态保护主管部门汇报。</w:t>
      </w:r>
    </w:p>
    <w:p>
      <w:pPr>
        <w:ind w:firstLine="480"/>
      </w:pPr>
      <w:r>
        <w:rPr>
          <w:rFonts w:hint="eastAsia"/>
        </w:rPr>
        <w:t>（4）恢复与补偿措施</w:t>
      </w:r>
    </w:p>
    <w:p>
      <w:pPr>
        <w:ind w:firstLine="480"/>
      </w:pPr>
      <w:r>
        <w:rPr>
          <w:rFonts w:hint="eastAsia"/>
        </w:rPr>
        <w:t>①尽量保护跨越沟谷的桥梁下方地形和植被，损坏的应及时进行地貌和植被原貌恢复，以恢复原有的野生动物通道和生境。</w:t>
      </w:r>
    </w:p>
    <w:p>
      <w:pPr>
        <w:ind w:firstLine="480"/>
      </w:pPr>
      <w:r>
        <w:rPr>
          <w:rFonts w:hint="eastAsia"/>
        </w:rPr>
        <w:t>②公路林区段采用加密绿化带的措施，减少灯光和噪声对野生动物造成的不利影响；加强桥涵植被的恢复，促进动物适应新的生境。</w:t>
      </w:r>
    </w:p>
    <w:p>
      <w:pPr>
        <w:pStyle w:val="118"/>
      </w:pPr>
      <w:r>
        <w:rPr>
          <w:rFonts w:hint="eastAsia"/>
        </w:rPr>
        <w:t>对水生生态保护措施</w:t>
      </w:r>
    </w:p>
    <w:p>
      <w:pPr>
        <w:ind w:firstLine="480"/>
      </w:pPr>
      <w:r>
        <w:rPr>
          <w:rFonts w:hint="eastAsia" w:ascii="Wingdings" w:hAnsi="Wingdings"/>
        </w:rPr>
        <w:t>①</w:t>
      </w:r>
      <w:r>
        <w:rPr>
          <w:rFonts w:hint="eastAsia"/>
        </w:rPr>
        <w:t>桥梁桩基施工时做好钻渣泥浆的处理，禁止将含泥沙、油污、生活污水、垃圾、废弃物排入水域，有毒有害、油料等化学品应远离岸边储存并采取防渗防漏的措施，防止污染水体水质，从而影响水生生物的生境。</w:t>
      </w:r>
    </w:p>
    <w:p>
      <w:pPr>
        <w:ind w:firstLine="480"/>
      </w:pPr>
      <w:r>
        <w:rPr>
          <w:rFonts w:hint="eastAsia"/>
        </w:rPr>
        <w:t>②开挖涉水路段应选择枯水期进行施工、避开雨季。根据当地气象统计，枯水期主要为</w:t>
      </w:r>
      <w:r>
        <w:t>10</w:t>
      </w:r>
      <w:r>
        <w:rPr>
          <w:rFonts w:hint="eastAsia"/>
        </w:rPr>
        <w:t>~</w:t>
      </w:r>
      <w:r>
        <w:t>2</w:t>
      </w:r>
      <w:r>
        <w:rPr>
          <w:rFonts w:hint="eastAsia"/>
        </w:rPr>
        <w:t>月份，施工前，应详细查询地方多年降雨量情况。</w:t>
      </w:r>
    </w:p>
    <w:p>
      <w:pPr>
        <w:ind w:firstLine="480"/>
      </w:pPr>
      <w:r>
        <w:rPr>
          <w:rFonts w:hint="eastAsia"/>
        </w:rPr>
        <w:t>③桥梁桩基、改河、涉水涵洞施工过程中，要求设置施工围堰、导流，尽量减小对水体的扰动，施工结束后对河道进行清淤，清除围堰等临时建筑，保证水流畅通。</w:t>
      </w:r>
    </w:p>
    <w:p>
      <w:pPr>
        <w:ind w:firstLine="480"/>
      </w:pPr>
      <w:r>
        <w:rPr>
          <w:rFonts w:hint="eastAsia"/>
        </w:rPr>
        <w:t>④涉水工程（桥梁、涵洞及改河等）基础施工避开鱼类的主要繁殖期，即3～9月。</w:t>
      </w:r>
    </w:p>
    <w:p>
      <w:pPr>
        <w:ind w:firstLine="480"/>
      </w:pPr>
      <w:r>
        <w:rPr>
          <w:rFonts w:hint="eastAsia"/>
        </w:rPr>
        <w:t>⑤选用低噪声施工机械设备，合理安排，缩短施工时间，减少施工噪声及振动对附近水域水生生物正常生理活动的影响。</w:t>
      </w:r>
    </w:p>
    <w:p>
      <w:pPr>
        <w:ind w:firstLine="480"/>
      </w:pPr>
      <w:r>
        <w:rPr>
          <w:rFonts w:hint="eastAsia"/>
        </w:rPr>
        <w:t>⑥做好施工管理，严禁土石方等任意丢弃于河流、沟渠中。</w:t>
      </w:r>
    </w:p>
    <w:p>
      <w:pPr>
        <w:pStyle w:val="118"/>
      </w:pPr>
      <w:bookmarkStart w:id="537" w:name="_Hlk84628426"/>
      <w:r>
        <w:rPr>
          <w:rFonts w:hint="eastAsia"/>
        </w:rPr>
        <w:t>生态敏感区路段防护措施</w:t>
      </w:r>
    </w:p>
    <w:p>
      <w:pPr>
        <w:pStyle w:val="118"/>
        <w:numPr>
          <w:ilvl w:val="0"/>
          <w:numId w:val="0"/>
        </w:numPr>
      </w:pPr>
      <w:r>
        <w:rPr>
          <w:rFonts w:hint="eastAsia"/>
        </w:rPr>
        <w:t>1、生态公益林保护措施</w:t>
      </w:r>
      <w:bookmarkEnd w:id="537"/>
    </w:p>
    <w:p>
      <w:pPr>
        <w:ind w:firstLine="480"/>
      </w:pPr>
      <w:r>
        <w:rPr>
          <w:rFonts w:hint="eastAsia"/>
        </w:rPr>
        <w:t>（1）</w:t>
      </w:r>
      <w:bookmarkStart w:id="538" w:name="_Hlk84628435"/>
      <w:r>
        <w:rPr>
          <w:rFonts w:hint="eastAsia"/>
        </w:rPr>
        <w:t>在设计阶段选线尽量避绕公益林、施工作业时</w:t>
      </w:r>
      <w:bookmarkStart w:id="539" w:name="_Hlk152943762"/>
      <w:r>
        <w:rPr>
          <w:rFonts w:hint="eastAsia"/>
        </w:rPr>
        <w:t>施工材料</w:t>
      </w:r>
      <w:bookmarkEnd w:id="539"/>
      <w:r>
        <w:rPr>
          <w:rFonts w:hint="eastAsia"/>
        </w:rPr>
        <w:t>堆放场地尽量避开林区，</w:t>
      </w:r>
      <w:bookmarkEnd w:id="538"/>
      <w:r>
        <w:rPr>
          <w:rFonts w:hint="eastAsia"/>
        </w:rPr>
        <w:t>在条件允许时，减少砍伐林木的数量，最大程度地保护沿线的林业生态环境。</w:t>
      </w:r>
    </w:p>
    <w:p>
      <w:pPr>
        <w:ind w:firstLine="480"/>
      </w:pPr>
      <w:r>
        <w:rPr>
          <w:rFonts w:hint="eastAsia"/>
        </w:rPr>
        <w:t>（2）</w:t>
      </w:r>
      <w:bookmarkStart w:id="540" w:name="_Hlk84628446"/>
      <w:r>
        <w:rPr>
          <w:rFonts w:hint="eastAsia"/>
        </w:rPr>
        <w:t>在生态公益林线路段施工时（</w:t>
      </w:r>
      <w:r>
        <w:t>K0+263~K0+340</w:t>
      </w:r>
      <w:r>
        <w:rPr>
          <w:rFonts w:hint="eastAsia"/>
        </w:rPr>
        <w:t>），严格控制施工边界，严格按照项目征地红线边界进行施工，在施工边界设置施工警戒线，避免在施工警戒线以外进行各类施工等破坏生态环境的活动。</w:t>
      </w:r>
      <w:bookmarkEnd w:id="540"/>
    </w:p>
    <w:p>
      <w:pPr>
        <w:ind w:firstLine="480"/>
      </w:pPr>
      <w:r>
        <w:rPr>
          <w:rFonts w:hint="eastAsia"/>
        </w:rPr>
        <w:t>（3）严禁在公益林区范围内设置临时占地。</w:t>
      </w:r>
    </w:p>
    <w:p>
      <w:pPr>
        <w:ind w:firstLine="480"/>
      </w:pPr>
      <w:r>
        <w:rPr>
          <w:rFonts w:hint="eastAsia"/>
        </w:rPr>
        <w:t>（</w:t>
      </w:r>
      <w:r>
        <w:t>4</w:t>
      </w:r>
      <w:r>
        <w:rPr>
          <w:rFonts w:hint="eastAsia"/>
        </w:rPr>
        <w:t>）加强施工人员的环保教育，不在公益林区内乱丢垃圾，排放施工废水等。</w:t>
      </w:r>
    </w:p>
    <w:p>
      <w:pPr>
        <w:ind w:firstLine="480"/>
      </w:pPr>
      <w:r>
        <w:rPr>
          <w:rFonts w:hint="eastAsia"/>
        </w:rPr>
        <w:t>（</w:t>
      </w:r>
      <w:r>
        <w:t>5</w:t>
      </w:r>
      <w:r>
        <w:rPr>
          <w:rFonts w:hint="eastAsia"/>
        </w:rPr>
        <w:t>）工程开工前需明确公益林的占用范围，须按有关规定办理林地审核、林木采伐审批手续，并按照《中华人民共和国森林法》《建设项目使用林地审核审批管理办法》（国家林业局第35号令）、《国家级公益林管理办法》《福建省生态公益林条例》等有关规定进行补偿。</w:t>
      </w:r>
    </w:p>
    <w:p>
      <w:pPr>
        <w:pStyle w:val="118"/>
        <w:numPr>
          <w:ilvl w:val="0"/>
          <w:numId w:val="0"/>
        </w:numPr>
      </w:pPr>
      <w:r>
        <w:rPr>
          <w:rFonts w:hint="eastAsia"/>
        </w:rPr>
        <w:t>2、涉及一般湿地路段的保护措施</w:t>
      </w:r>
    </w:p>
    <w:p>
      <w:pPr>
        <w:ind w:firstLine="480"/>
      </w:pPr>
      <w:bookmarkStart w:id="541" w:name="_Hlk155627967"/>
      <w:bookmarkStart w:id="542" w:name="_Hlk155628012"/>
      <w:r>
        <w:rPr>
          <w:rFonts w:hint="eastAsia" w:cs="Times New Roman"/>
          <w:kern w:val="0"/>
          <w:szCs w:val="24"/>
          <w:lang w:val="zh-CN"/>
        </w:rPr>
        <w:t>本项目</w:t>
      </w:r>
      <w:r>
        <w:rPr>
          <w:rFonts w:cs="Times New Roman"/>
          <w:kern w:val="0"/>
          <w:szCs w:val="24"/>
          <w:lang w:val="zh-CN"/>
        </w:rPr>
        <w:t>涉及占用一般湿地面积9060</w:t>
      </w:r>
      <w:r>
        <w:rPr>
          <w:rFonts w:hint="eastAsia" w:cs="Times New Roman"/>
          <w:kern w:val="0"/>
          <w:szCs w:val="24"/>
          <w:lang w:val="zh-CN"/>
        </w:rPr>
        <w:t>m</w:t>
      </w:r>
      <w:r>
        <w:rPr>
          <w:rFonts w:cs="Times New Roman"/>
          <w:kern w:val="0"/>
          <w:szCs w:val="24"/>
          <w:vertAlign w:val="superscript"/>
          <w:lang w:val="zh-CN"/>
        </w:rPr>
        <w:t>2</w:t>
      </w:r>
      <w:r>
        <w:rPr>
          <w:rFonts w:cs="Times New Roman"/>
          <w:kern w:val="0"/>
          <w:szCs w:val="24"/>
          <w:lang w:val="zh-CN"/>
        </w:rPr>
        <w:t>（其中：一般湿地名录面积697</w:t>
      </w:r>
      <w:r>
        <w:rPr>
          <w:rFonts w:hint="eastAsia" w:cs="Times New Roman"/>
          <w:kern w:val="0"/>
          <w:szCs w:val="24"/>
          <w:lang w:val="zh-CN"/>
        </w:rPr>
        <w:t xml:space="preserve"> m</w:t>
      </w:r>
      <w:r>
        <w:rPr>
          <w:rFonts w:cs="Times New Roman"/>
          <w:kern w:val="0"/>
          <w:szCs w:val="24"/>
          <w:vertAlign w:val="superscript"/>
          <w:lang w:val="zh-CN"/>
        </w:rPr>
        <w:t>2</w:t>
      </w:r>
      <w:r>
        <w:rPr>
          <w:rFonts w:cs="Times New Roman"/>
          <w:kern w:val="0"/>
          <w:szCs w:val="24"/>
          <w:lang w:val="zh-CN"/>
        </w:rPr>
        <w:t>），类型为沟渠、河流水面、坑塘水面和内陆滩涂</w:t>
      </w:r>
      <w:r>
        <w:rPr>
          <w:rFonts w:hint="eastAsia" w:cs="Times New Roman"/>
          <w:kern w:val="0"/>
          <w:szCs w:val="24"/>
          <w:lang w:val="zh-CN"/>
        </w:rPr>
        <w:t>；</w:t>
      </w:r>
      <w:r>
        <w:rPr>
          <w:rFonts w:hint="eastAsia"/>
        </w:rPr>
        <w:t>项目与一般湿地位置关系详见</w:t>
      </w:r>
      <w:r>
        <w:fldChar w:fldCharType="begin"/>
      </w:r>
      <w:r>
        <w:instrText xml:space="preserve"> </w:instrText>
      </w:r>
      <w:r>
        <w:rPr>
          <w:rFonts w:hint="eastAsia"/>
        </w:rPr>
        <w:instrText xml:space="preserve">REF _Ref192516652 \r \h</w:instrText>
      </w:r>
      <w:r>
        <w:instrText xml:space="preserve">  \* MERGEFORMAT </w:instrText>
      </w:r>
      <w:r>
        <w:fldChar w:fldCharType="separate"/>
      </w:r>
      <w:r>
        <w:rPr>
          <w:rFonts w:hint="eastAsia"/>
        </w:rPr>
        <w:t>表2.7-5</w:t>
      </w:r>
      <w:r>
        <w:fldChar w:fldCharType="end"/>
      </w:r>
      <w:r>
        <w:rPr>
          <w:rFonts w:hint="eastAsia"/>
        </w:rPr>
        <w:t>和</w:t>
      </w:r>
      <w:r>
        <w:fldChar w:fldCharType="begin"/>
      </w:r>
      <w:r>
        <w:instrText xml:space="preserve"> </w:instrText>
      </w:r>
      <w:r>
        <w:rPr>
          <w:rFonts w:hint="eastAsia"/>
        </w:rPr>
        <w:instrText xml:space="preserve">REF _Ref192540565 \r \h</w:instrText>
      </w:r>
      <w:r>
        <w:instrText xml:space="preserve">  \* MERGEFORMAT </w:instrText>
      </w:r>
      <w:r>
        <w:fldChar w:fldCharType="separate"/>
      </w:r>
      <w:r>
        <w:rPr>
          <w:rFonts w:hint="eastAsia"/>
        </w:rPr>
        <w:t>图2.7-7</w:t>
      </w:r>
      <w:r>
        <w:fldChar w:fldCharType="end"/>
      </w:r>
      <w:r>
        <w:rPr>
          <w:rFonts w:hint="eastAsia"/>
        </w:rPr>
        <w:t>。</w:t>
      </w:r>
      <w:bookmarkEnd w:id="541"/>
      <w:bookmarkStart w:id="543" w:name="_Hlk151715638"/>
      <w:r>
        <w:rPr>
          <w:rFonts w:hint="eastAsia"/>
        </w:rPr>
        <w:t>施工单位应加强组织管理，在施工期间加强湿地保护宣传，提高广大建设参与人员的湿地保护意识，有效降低建设工程对河道一般湿地生态的影响。</w:t>
      </w:r>
      <w:bookmarkEnd w:id="543"/>
    </w:p>
    <w:p>
      <w:pPr>
        <w:ind w:firstLine="480"/>
      </w:pPr>
      <w:r>
        <w:rPr>
          <w:rFonts w:hint="eastAsia"/>
        </w:rPr>
        <w:t>①</w:t>
      </w:r>
      <w:r>
        <w:t>工程开工前需明确</w:t>
      </w:r>
      <w:r>
        <w:rPr>
          <w:rFonts w:hint="eastAsia"/>
        </w:rPr>
        <w:t>一般湿地</w:t>
      </w:r>
      <w:r>
        <w:t>的占用范围，须按有关规定办理用地审批手续</w:t>
      </w:r>
      <w:r>
        <w:rPr>
          <w:rFonts w:hint="eastAsia"/>
        </w:rPr>
        <w:t>。施工必须严格控制在红线范围之内进行，最大限度地维护湿地完整性和生物多样性，保持湿地生态功能。</w:t>
      </w:r>
    </w:p>
    <w:p>
      <w:pPr>
        <w:ind w:firstLine="480"/>
      </w:pPr>
      <w:r>
        <w:rPr>
          <w:rFonts w:hint="eastAsia"/>
        </w:rPr>
        <w:t>②施工场地、临时表土堆场等临时用地严禁设置在一般湿地范围内，工程建设所需的砂、石应在湿地外指定的料场采集，禁止私自乱采、乱挖，防止破坏湿地生态系统和自然景观，尽可能维持湿地生态系统的完整性和生物多样性。</w:t>
      </w:r>
    </w:p>
    <w:p>
      <w:pPr>
        <w:ind w:firstLine="480"/>
      </w:pPr>
      <w:r>
        <w:rPr>
          <w:rFonts w:hint="eastAsia"/>
        </w:rPr>
        <w:t>③由于考虑到项目区的水鸟以冬候鸟为主，高噪声的施工活动尽量不要安排在冬季（10  月～3  月），在冬季施工时要注意对冬候鸟的保护，可以降低废水污染、噪声污染、碰撞风险等对当地鸟类的影响。</w:t>
      </w:r>
    </w:p>
    <w:p>
      <w:pPr>
        <w:ind w:firstLine="480"/>
      </w:pPr>
      <w:r>
        <w:rPr>
          <w:rFonts w:hint="eastAsia"/>
        </w:rPr>
        <w:t>④施工废水分质处理后，尽量回用于工地洒水、绿化等，严禁施工废水排污迳江河道。桥墩施工采用钻孔灌注桩，钻孔灌注桩基础施工时，每个桩基在不漏水的钢护筒围堰中进行，先钻孔，后灌注混凝土，钻孔产生的泥浆均在护筒内，泥浆泵至岸边的沉淀池和泥浆池内，部分泥浆回用，无法回用的泥浆经沉淀后上清液回用，严禁将泥浆直接排入河道。采取以上措施后，本项目施工期对地表水环境的影响将大大减小。</w:t>
      </w:r>
    </w:p>
    <w:p>
      <w:pPr>
        <w:ind w:firstLine="480"/>
      </w:pPr>
      <w:r>
        <w:rPr>
          <w:rFonts w:hint="eastAsia"/>
        </w:rPr>
        <w:t>⑤桥梁桩基、改河、涉水涵洞等施工尽量选在枯水期进行；施工过程中要求设置施工围堰，尽量减小对水体的扰动，施工结束后对河道进行清淤，清除围堰等临时建筑，保证湿地连通。</w:t>
      </w:r>
    </w:p>
    <w:p>
      <w:pPr>
        <w:ind w:firstLine="480"/>
      </w:pPr>
      <w:r>
        <w:rPr>
          <w:rFonts w:hint="eastAsia"/>
        </w:rPr>
        <w:t>⑥强化水土流失防治措施，并与施工措施相互配套。合理安排施工时间，尽量避开雨季，以减少施工中的水土流失；应及时清理钻孔的弃土、弃渣，坚持先挡后弃，同时部分弃土、弃渣可结合实际需要作为材料用于平整场地，并开展相应的植物防护工程。</w:t>
      </w:r>
    </w:p>
    <w:p>
      <w:pPr>
        <w:ind w:firstLine="480"/>
      </w:pPr>
      <w:r>
        <w:rPr>
          <w:rFonts w:hint="eastAsia"/>
        </w:rPr>
        <w:t>⑦施工期间，施工单位应加强施工管理，严格落实施工相应的污染防治措施，</w:t>
      </w:r>
      <w:bookmarkStart w:id="544" w:name="_Hlk151715611"/>
      <w:r>
        <w:rPr>
          <w:rFonts w:hint="eastAsia"/>
        </w:rPr>
        <w:t>禁止向河道内倾倒弃渣、生活垃圾等</w:t>
      </w:r>
      <w:bookmarkEnd w:id="544"/>
      <w:r>
        <w:rPr>
          <w:rFonts w:hint="eastAsia"/>
        </w:rPr>
        <w:t>；</w:t>
      </w:r>
    </w:p>
    <w:p>
      <w:pPr>
        <w:ind w:firstLine="480"/>
      </w:pPr>
      <w:r>
        <w:rPr>
          <w:rFonts w:hint="eastAsia"/>
        </w:rPr>
        <w:t>⑧对施工期人员进行宣传教育，严禁进入周边水体捕鱼，禁止借机采河砂，加强施工巡查。</w:t>
      </w:r>
      <w:bookmarkEnd w:id="542"/>
    </w:p>
    <w:p>
      <w:pPr>
        <w:pStyle w:val="118"/>
        <w:numPr>
          <w:ilvl w:val="0"/>
          <w:numId w:val="0"/>
        </w:numPr>
      </w:pPr>
      <w:r>
        <w:t>3</w:t>
      </w:r>
      <w:r>
        <w:rPr>
          <w:rFonts w:hint="eastAsia"/>
        </w:rPr>
        <w:t>、名木古树和保护植被</w:t>
      </w:r>
    </w:p>
    <w:p>
      <w:pPr>
        <w:ind w:firstLine="480"/>
      </w:pPr>
      <w:r>
        <w:rPr>
          <w:rFonts w:hint="eastAsia"/>
        </w:rPr>
        <w:t>①项目占地红线范围内没有名木古树和野生珍贵树木，也无其它国家和省级重点保护的野生植物，评价范围</w:t>
      </w:r>
      <w:r>
        <w:t>调查发现的</w:t>
      </w:r>
      <w:r>
        <w:rPr>
          <w:rFonts w:hint="eastAsia"/>
        </w:rPr>
        <w:t>保护</w:t>
      </w:r>
      <w:r>
        <w:t>古树8株。</w:t>
      </w:r>
      <w:r>
        <w:rPr>
          <w:rFonts w:hint="eastAsia"/>
        </w:rPr>
        <w:t>距离相对较远（最近9</w:t>
      </w:r>
      <w:r>
        <w:t>0</w:t>
      </w:r>
      <w:r>
        <w:rPr>
          <w:rFonts w:hint="eastAsia"/>
        </w:rPr>
        <w:t>m），</w:t>
      </w:r>
      <w:r>
        <w:t>工程在该处附近不设临时施工用地，工程建设不会对保护古树产生不利影响。</w:t>
      </w:r>
    </w:p>
    <w:p>
      <w:pPr>
        <w:ind w:firstLine="480"/>
      </w:pPr>
      <w:r>
        <w:rPr>
          <w:rFonts w:hint="eastAsia"/>
        </w:rPr>
        <w:t>②在路基清表作业过程中，若发现珍稀濒危野生植物，应立即向地方林业主管部门报告，采取移植等保护措施。</w:t>
      </w:r>
    </w:p>
    <w:p>
      <w:pPr>
        <w:pStyle w:val="118"/>
        <w:numPr>
          <w:ilvl w:val="0"/>
          <w:numId w:val="0"/>
        </w:numPr>
      </w:pPr>
      <w:r>
        <w:t>4</w:t>
      </w:r>
      <w:r>
        <w:rPr>
          <w:rFonts w:hint="eastAsia"/>
        </w:rPr>
        <w:t>、临近基本农田路段的保护措施</w:t>
      </w:r>
    </w:p>
    <w:p>
      <w:pPr>
        <w:ind w:firstLine="480"/>
      </w:pPr>
      <w:r>
        <w:rPr>
          <w:rFonts w:hint="eastAsia"/>
        </w:rPr>
        <w:t>项目用地不涉及占用永久基本农田，但线路两侧分布有较大面积的基本农田，部分路段距离较近。因此施工单位应加强组织管理，在施工期间</w:t>
      </w:r>
      <w:bookmarkStart w:id="545" w:name="_Hlk163545523"/>
      <w:r>
        <w:rPr>
          <w:rFonts w:hint="eastAsia"/>
        </w:rPr>
        <w:t>加强基本农田的保护宣传</w:t>
      </w:r>
      <w:bookmarkEnd w:id="545"/>
      <w:r>
        <w:rPr>
          <w:rFonts w:hint="eastAsia"/>
        </w:rPr>
        <w:t>，</w:t>
      </w:r>
      <w:bookmarkStart w:id="546" w:name="_Hlk163545533"/>
      <w:r>
        <w:rPr>
          <w:rFonts w:hint="eastAsia"/>
        </w:rPr>
        <w:t>提高广大建设参与人员的基本农田保护意识</w:t>
      </w:r>
      <w:bookmarkEnd w:id="546"/>
      <w:r>
        <w:rPr>
          <w:rFonts w:hint="eastAsia"/>
        </w:rPr>
        <w:t>，有效降低建设工程对基本农田的影响。</w:t>
      </w:r>
    </w:p>
    <w:p>
      <w:pPr>
        <w:ind w:firstLine="480"/>
      </w:pPr>
      <w:r>
        <w:rPr>
          <w:rFonts w:hint="eastAsia"/>
        </w:rPr>
        <w:t>①</w:t>
      </w:r>
      <w:bookmarkStart w:id="547" w:name="_Hlk163545547"/>
      <w:r>
        <w:rPr>
          <w:rFonts w:hint="eastAsia"/>
        </w:rPr>
        <w:t>严格控制施工边界，</w:t>
      </w:r>
      <w:bookmarkEnd w:id="547"/>
      <w:bookmarkStart w:id="548" w:name="_Hlk163545556"/>
      <w:r>
        <w:rPr>
          <w:rFonts w:hint="eastAsia"/>
        </w:rPr>
        <w:t>部分路基及</w:t>
      </w:r>
      <w:r>
        <w:rPr>
          <w:rFonts w:hint="eastAsia"/>
          <w:snapToGrid w:val="0"/>
        </w:rPr>
        <w:t>1</w:t>
      </w:r>
      <w:r>
        <w:rPr>
          <w:snapToGrid w:val="0"/>
        </w:rPr>
        <w:t>#</w:t>
      </w:r>
      <w:r>
        <w:rPr>
          <w:rFonts w:hint="eastAsia"/>
          <w:snapToGrid w:val="0"/>
        </w:rPr>
        <w:t>施工场地临近基本农田</w:t>
      </w:r>
      <w:r>
        <w:rPr>
          <w:rFonts w:hint="eastAsia"/>
        </w:rPr>
        <w:t>一侧施工期间应设置围挡</w:t>
      </w:r>
      <w:bookmarkEnd w:id="548"/>
      <w:r>
        <w:rPr>
          <w:rFonts w:hint="eastAsia"/>
        </w:rPr>
        <w:t>，避免路基平整土石方水土流失冲刷、施工废水、废渣等进入农田。</w:t>
      </w:r>
    </w:p>
    <w:p>
      <w:pPr>
        <w:ind w:firstLine="480"/>
      </w:pPr>
      <w:r>
        <w:rPr>
          <w:rFonts w:hint="eastAsia"/>
        </w:rPr>
        <w:t>②合理</w:t>
      </w:r>
      <w:bookmarkStart w:id="549" w:name="_Hlk163545572"/>
      <w:r>
        <w:rPr>
          <w:rFonts w:hint="eastAsia"/>
        </w:rPr>
        <w:t>安排施工时间，尽量避开雨季，以减少施工中的水土流失</w:t>
      </w:r>
      <w:bookmarkEnd w:id="549"/>
      <w:r>
        <w:rPr>
          <w:rFonts w:hint="eastAsia"/>
        </w:rPr>
        <w:t>。</w:t>
      </w:r>
    </w:p>
    <w:p>
      <w:pPr>
        <w:ind w:firstLine="480"/>
      </w:pPr>
      <w:r>
        <w:rPr>
          <w:rFonts w:hint="eastAsia"/>
        </w:rPr>
        <w:t>③施工期间，施工单位应加强施工管理，</w:t>
      </w:r>
      <w:bookmarkStart w:id="550" w:name="_Hlk163545630"/>
      <w:r>
        <w:rPr>
          <w:rFonts w:hint="eastAsia"/>
        </w:rPr>
        <w:t>严格落实施工相应的污染防治措施和水土保持措施</w:t>
      </w:r>
      <w:bookmarkEnd w:id="550"/>
      <w:r>
        <w:rPr>
          <w:rFonts w:hint="eastAsia"/>
        </w:rPr>
        <w:t>，</w:t>
      </w:r>
      <w:bookmarkStart w:id="551" w:name="_Hlk163545595"/>
      <w:r>
        <w:rPr>
          <w:rFonts w:hint="eastAsia"/>
        </w:rPr>
        <w:t>禁止向基本农田内倾倒弃渣、生活垃圾，排放生活废水等</w:t>
      </w:r>
      <w:bookmarkEnd w:id="551"/>
      <w:r>
        <w:rPr>
          <w:rFonts w:hint="eastAsia"/>
        </w:rPr>
        <w:t>。</w:t>
      </w:r>
    </w:p>
    <w:p>
      <w:pPr>
        <w:ind w:firstLine="480"/>
      </w:pPr>
      <w:r>
        <w:rPr>
          <w:rFonts w:hint="eastAsia"/>
        </w:rPr>
        <w:t>④对施工人员进行宣传教育，加强施工巡查。</w:t>
      </w:r>
    </w:p>
    <w:p>
      <w:pPr>
        <w:pStyle w:val="118"/>
      </w:pPr>
      <w:r>
        <w:rPr>
          <w:rFonts w:hint="eastAsia"/>
        </w:rPr>
        <w:t>水土保持措施</w:t>
      </w:r>
    </w:p>
    <w:p>
      <w:pPr>
        <w:ind w:firstLine="480"/>
        <w:rPr>
          <w:highlight w:val="yellow"/>
        </w:rPr>
      </w:pPr>
      <w:r>
        <w:rPr>
          <w:rFonts w:hint="eastAsia"/>
        </w:rPr>
        <w:t>根据项目水土保持方案，项目</w:t>
      </w:r>
      <w:r>
        <w:t>划分为</w:t>
      </w:r>
      <w:r>
        <w:rPr>
          <w:rFonts w:hint="eastAsia"/>
        </w:rPr>
        <w:t>：</w:t>
      </w:r>
      <w:r>
        <w:t>路基工程防治区、边坡工程防治区、桥梁工程防治区、施工场地防治区、表土临时堆场防治区</w:t>
      </w:r>
      <w:r>
        <w:rPr>
          <w:rFonts w:hint="eastAsia"/>
        </w:rPr>
        <w:t>等</w:t>
      </w:r>
      <w:r>
        <w:t>。</w:t>
      </w:r>
    </w:p>
    <w:p>
      <w:pPr>
        <w:ind w:firstLine="480"/>
      </w:pPr>
      <w:r>
        <w:rPr>
          <w:rFonts w:hint="eastAsia"/>
        </w:rPr>
        <w:t>①路基工程防治区：主体设计中水土保持工程的措施有：排水沟。水保方案新增措施有：在路基开挖前，对区内可剥离的表土进行剥离，堆放于表土临时堆场内；施工期间在道路适宜位置布设临时排水沟，排水沟沿线及末端布设沉沙池；遇到降雨时，对区内裸露区域采取密目网临时苫盖；主体工程完工后对区内绿化用地进行土地整治、覆土绿化。</w:t>
      </w:r>
    </w:p>
    <w:p>
      <w:pPr>
        <w:ind w:firstLine="480"/>
      </w:pPr>
      <w:r>
        <w:rPr>
          <w:rFonts w:hint="eastAsia"/>
        </w:rPr>
        <w:t>②边坡防护工程防治区：主体设计中水土保持工程的措施有：截（排）水沟、急流槽、拱形骨架护坡、TBS植被护坡、液压喷播植草护坡、骨架内植草护坡。水保方案新增措施有：在边坡开挖前，对区内可剥离的表土进行剥离，堆放于表土临时堆场内；遇到降雨时，对区内裸露边坡采取密目网临时苫盖；主体工程完工后对区内绿化用地进行土地整治、覆土绿化。</w:t>
      </w:r>
    </w:p>
    <w:p>
      <w:pPr>
        <w:ind w:firstLine="480"/>
      </w:pPr>
      <w:r>
        <w:rPr>
          <w:rFonts w:hint="eastAsia"/>
        </w:rPr>
        <w:t>③桥梁工程防治区：在施工前对区内可利用的表土进行剥离；在基础周边布设临时排水沟，收集桥梁基础产生的钻渣（浆），理顺区内水系，临时排水沟末端增设泥浆沉淀池，经沉沙池沉淀后，排入临近沟道内；遇到降雨时，对区内桥台两侧裸露区域采取密目网临时苫盖。</w:t>
      </w:r>
    </w:p>
    <w:p>
      <w:pPr>
        <w:ind w:firstLine="480"/>
      </w:pPr>
      <w:r>
        <w:rPr>
          <w:rFonts w:hint="eastAsia"/>
        </w:rPr>
        <w:t>④施工场地防治区：在施工前对区内可利用的表土进行剥离；在场地周边布设临时排水沟；在排水沟末端增设沉沙池，经沉沙池沉淀后，排入临近溪流沟道内；施工结束后，施工场地及时拆除清理后，对其进行覆土、土地整治和植被恢复后，交还当地使用。</w:t>
      </w:r>
    </w:p>
    <w:p>
      <w:pPr>
        <w:ind w:firstLine="480"/>
      </w:pPr>
      <w:r>
        <w:rPr>
          <w:rFonts w:hint="eastAsia"/>
        </w:rPr>
        <w:t>⑤表土临时堆场防治区：表土临时堆场周边采取编织袋装土挡墙进行临时拦挡；挡墙外围布设临时排水沟，排水沟末端布设沉沙池；在临时堆土体表面撒播狗牙根草籽，进行临时绿化；遇到降雨时，对临时堆土体表面采取密目网进行临时苫盖；施工结束后，对场区及时拆除，土地整治。</w:t>
      </w:r>
    </w:p>
    <w:p>
      <w:pPr>
        <w:pStyle w:val="87"/>
        <w:spacing w:before="163"/>
      </w:pPr>
      <w:r>
        <w:t>水土流失防治措施布局表</w:t>
      </w:r>
    </w:p>
    <w:tbl>
      <w:tblPr>
        <w:tblStyle w:val="39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1162"/>
        <w:gridCol w:w="1454"/>
        <w:gridCol w:w="3191"/>
        <w:gridCol w:w="34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tcBorders>
              <w:top w:val="single" w:color="auto" w:sz="12" w:space="0"/>
              <w:left w:val="nil"/>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spacing w:val="-4"/>
              </w:rPr>
              <w:t>分区</w:t>
            </w:r>
          </w:p>
        </w:tc>
        <w:tc>
          <w:tcPr>
            <w:tcW w:w="783"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spacing w:val="-2"/>
              </w:rPr>
              <w:t>措施名称</w:t>
            </w:r>
          </w:p>
        </w:tc>
        <w:tc>
          <w:tcPr>
            <w:tcW w:w="1718" w:type="pct"/>
            <w:tcBorders>
              <w:top w:val="single" w:color="auto" w:sz="12" w:space="0"/>
              <w:bottom w:val="nil"/>
              <w:right w:val="single" w:color="auto" w:sz="6" w:space="0"/>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spacing w:val="-1"/>
              </w:rPr>
              <w:t>主体设计水土保持工程的措施</w:t>
            </w:r>
          </w:p>
        </w:tc>
        <w:tc>
          <w:tcPr>
            <w:tcW w:w="1873" w:type="pct"/>
            <w:tcBorders>
              <w:top w:val="single" w:color="auto" w:sz="12" w:space="0"/>
              <w:bottom w:val="nil"/>
              <w:right w:val="nil"/>
              <w:insideH w:val="nil"/>
              <w:insideV w:val="single" w:sz="6" w:space="0"/>
              <w:tl2br w:val="nil"/>
              <w:tr2bl w:val="nil"/>
            </w:tcBorders>
            <w:vAlign w:val="center"/>
          </w:tcPr>
          <w:p>
            <w:pPr>
              <w:pStyle w:val="105"/>
              <w:widowControl w:val="0"/>
              <w:jc w:val="center"/>
              <w:rPr>
                <w:rFonts w:eastAsia="New York"/>
              </w:rPr>
            </w:pPr>
            <w:r>
              <w:rPr>
                <w:rFonts w:hint="eastAsia" w:ascii="宋体" w:hAnsi="宋体" w:eastAsia="宋体"/>
                <w:spacing w:val="-1"/>
              </w:rPr>
              <w:t>水保方案新增的水土保持措</w:t>
            </w:r>
            <w:r>
              <w:rPr>
                <w:rFonts w:eastAsia="New York"/>
                <w:spacing w:val="5"/>
              </w:rPr>
              <w:t xml:space="preserve"> </w:t>
            </w:r>
            <w:r>
              <w:rPr>
                <w:rFonts w:hint="eastAsia" w:ascii="宋体" w:hAnsi="宋体" w:eastAsia="宋体"/>
              </w:rPr>
              <w:t>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restart"/>
            <w:vAlign w:val="center"/>
          </w:tcPr>
          <w:p>
            <w:pPr>
              <w:pStyle w:val="105"/>
              <w:widowControl w:val="0"/>
              <w:jc w:val="center"/>
            </w:pPr>
            <w:r>
              <w:rPr>
                <w:spacing w:val="-3"/>
              </w:rPr>
              <w:t>路基工程</w:t>
            </w:r>
          </w:p>
          <w:p>
            <w:pPr>
              <w:pStyle w:val="105"/>
              <w:widowControl w:val="0"/>
              <w:jc w:val="center"/>
            </w:pPr>
            <w:r>
              <w:rPr>
                <w:spacing w:val="-7"/>
              </w:rPr>
              <w:t>防治</w:t>
            </w:r>
          </w:p>
          <w:p>
            <w:pPr>
              <w:pStyle w:val="105"/>
              <w:widowControl w:val="0"/>
              <w:jc w:val="center"/>
            </w:pPr>
            <w:r>
              <w:t>区</w:t>
            </w:r>
          </w:p>
        </w:tc>
        <w:tc>
          <w:tcPr>
            <w:tcW w:w="783" w:type="pct"/>
            <w:vAlign w:val="center"/>
          </w:tcPr>
          <w:p>
            <w:pPr>
              <w:pStyle w:val="105"/>
              <w:widowControl w:val="0"/>
              <w:jc w:val="center"/>
            </w:pPr>
            <w:r>
              <w:rPr>
                <w:spacing w:val="-3"/>
              </w:rPr>
              <w:t>工程措施</w:t>
            </w:r>
          </w:p>
        </w:tc>
        <w:tc>
          <w:tcPr>
            <w:tcW w:w="1718" w:type="pct"/>
            <w:vAlign w:val="center"/>
          </w:tcPr>
          <w:p>
            <w:pPr>
              <w:pStyle w:val="105"/>
              <w:widowControl w:val="0"/>
              <w:jc w:val="center"/>
            </w:pPr>
            <w:r>
              <w:rPr>
                <w:spacing w:val="-2"/>
              </w:rPr>
              <w:t>排水沟</w:t>
            </w:r>
          </w:p>
        </w:tc>
        <w:tc>
          <w:tcPr>
            <w:tcW w:w="1873" w:type="pct"/>
            <w:vAlign w:val="center"/>
          </w:tcPr>
          <w:p>
            <w:pPr>
              <w:pStyle w:val="105"/>
              <w:widowControl w:val="0"/>
              <w:jc w:val="center"/>
            </w:pPr>
            <w:r>
              <w:rPr>
                <w:spacing w:val="-18"/>
              </w:rPr>
              <w:t>表土剥离、覆土、土地整治、</w:t>
            </w:r>
            <w:r>
              <w:rPr>
                <w:spacing w:val="8"/>
              </w:rPr>
              <w:t xml:space="preserve"> </w:t>
            </w:r>
            <w:r>
              <w:rPr>
                <w:spacing w:val="-3"/>
              </w:rPr>
              <w:t>沉沙池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continue"/>
            <w:vAlign w:val="center"/>
          </w:tcPr>
          <w:p>
            <w:pPr>
              <w:pStyle w:val="105"/>
              <w:widowControl w:val="0"/>
              <w:jc w:val="center"/>
            </w:pPr>
          </w:p>
        </w:tc>
        <w:tc>
          <w:tcPr>
            <w:tcW w:w="783" w:type="pct"/>
            <w:vAlign w:val="center"/>
          </w:tcPr>
          <w:p>
            <w:pPr>
              <w:pStyle w:val="105"/>
              <w:widowControl w:val="0"/>
              <w:jc w:val="center"/>
            </w:pPr>
            <w:r>
              <w:t>植物措施</w:t>
            </w:r>
          </w:p>
        </w:tc>
        <w:tc>
          <w:tcPr>
            <w:tcW w:w="1718" w:type="pct"/>
            <w:vAlign w:val="center"/>
          </w:tcPr>
          <w:p>
            <w:pPr>
              <w:pStyle w:val="105"/>
              <w:widowControl w:val="0"/>
              <w:jc w:val="center"/>
            </w:pPr>
            <w:r>
              <w:rPr>
                <w:spacing w:val="-4"/>
              </w:rPr>
              <w:t>景观绿化</w:t>
            </w:r>
          </w:p>
        </w:tc>
        <w:tc>
          <w:tcPr>
            <w:tcW w:w="1873" w:type="pct"/>
            <w:vAlign w:val="center"/>
          </w:tcPr>
          <w:p>
            <w:pPr>
              <w:pStyle w:val="105"/>
              <w:widowControl w:val="0"/>
              <w:jc w:val="center"/>
              <w:rPr>
                <w:rFonts w:eastAsia="Times New Roman" w:cs="Times New Roman"/>
              </w:rPr>
            </w:pPr>
            <w:r>
              <w:rPr>
                <w:rFonts w:eastAsia="Times New Roman"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continue"/>
            <w:vAlign w:val="center"/>
          </w:tcPr>
          <w:p>
            <w:pPr>
              <w:pStyle w:val="105"/>
              <w:widowControl w:val="0"/>
              <w:jc w:val="center"/>
            </w:pPr>
          </w:p>
        </w:tc>
        <w:tc>
          <w:tcPr>
            <w:tcW w:w="783" w:type="pct"/>
            <w:vAlign w:val="center"/>
          </w:tcPr>
          <w:p>
            <w:pPr>
              <w:pStyle w:val="105"/>
              <w:widowControl w:val="0"/>
              <w:jc w:val="center"/>
            </w:pPr>
            <w:r>
              <w:t>临时措施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pPr>
            <w:r>
              <w:rPr>
                <w:spacing w:val="-8"/>
              </w:rPr>
              <w:t>排水沟、</w:t>
            </w:r>
            <w:r>
              <w:rPr>
                <w:rFonts w:hint="eastAsia"/>
                <w:spacing w:val="-8"/>
              </w:rPr>
              <w:t>沉砂池</w:t>
            </w:r>
            <w:r>
              <w:rPr>
                <w:spacing w:val="-8"/>
              </w:rPr>
              <w:t>、密目网苫</w:t>
            </w:r>
            <w:r>
              <w:rPr>
                <w:spacing w:val="9"/>
              </w:rPr>
              <w:t xml:space="preserve"> </w:t>
            </w:r>
            <w:r>
              <w:t>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restart"/>
            <w:vAlign w:val="center"/>
          </w:tcPr>
          <w:p>
            <w:pPr>
              <w:pStyle w:val="105"/>
              <w:widowControl w:val="0"/>
              <w:jc w:val="center"/>
            </w:pPr>
            <w:r>
              <w:rPr>
                <w:spacing w:val="-2"/>
              </w:rPr>
              <w:t>边坡</w:t>
            </w:r>
            <w:r>
              <w:rPr>
                <w:spacing w:val="-7"/>
              </w:rPr>
              <w:t>防护</w:t>
            </w:r>
            <w:r>
              <w:rPr>
                <w:spacing w:val="-3"/>
              </w:rPr>
              <w:t>工程</w:t>
            </w:r>
            <w:r>
              <w:rPr>
                <w:spacing w:val="-7"/>
              </w:rPr>
              <w:t>防治</w:t>
            </w:r>
            <w:r>
              <w:t>区</w:t>
            </w:r>
          </w:p>
        </w:tc>
        <w:tc>
          <w:tcPr>
            <w:tcW w:w="783" w:type="pct"/>
            <w:vAlign w:val="center"/>
          </w:tcPr>
          <w:p>
            <w:pPr>
              <w:pStyle w:val="105"/>
              <w:widowControl w:val="0"/>
              <w:jc w:val="center"/>
            </w:pPr>
            <w:r>
              <w:rPr>
                <w:spacing w:val="-3"/>
              </w:rPr>
              <w:t>工程措施</w:t>
            </w:r>
          </w:p>
        </w:tc>
        <w:tc>
          <w:tcPr>
            <w:tcW w:w="1718" w:type="pct"/>
            <w:vAlign w:val="center"/>
          </w:tcPr>
          <w:p>
            <w:pPr>
              <w:pStyle w:val="105"/>
              <w:widowControl w:val="0"/>
              <w:jc w:val="center"/>
            </w:pPr>
            <w:r>
              <w:rPr>
                <w:spacing w:val="-1"/>
              </w:rPr>
              <w:t>截（排）水沟、急流槽、拱形骨架护坡</w:t>
            </w:r>
          </w:p>
        </w:tc>
        <w:tc>
          <w:tcPr>
            <w:tcW w:w="1873" w:type="pct"/>
            <w:vAlign w:val="center"/>
          </w:tcPr>
          <w:p>
            <w:pPr>
              <w:pStyle w:val="105"/>
              <w:widowControl w:val="0"/>
              <w:jc w:val="center"/>
            </w:pPr>
            <w:r>
              <w:rPr>
                <w:spacing w:val="-18"/>
              </w:rPr>
              <w:t>表土剥离、覆土、土地整治、</w:t>
            </w:r>
            <w:r>
              <w:rPr>
                <w:spacing w:val="8"/>
              </w:rPr>
              <w:t xml:space="preserve"> </w:t>
            </w:r>
            <w:r>
              <w:rPr>
                <w:spacing w:val="-3"/>
              </w:rPr>
              <w:t>沉沙池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continue"/>
            <w:vAlign w:val="center"/>
          </w:tcPr>
          <w:p>
            <w:pPr>
              <w:pStyle w:val="105"/>
              <w:widowControl w:val="0"/>
              <w:jc w:val="center"/>
            </w:pPr>
          </w:p>
        </w:tc>
        <w:tc>
          <w:tcPr>
            <w:tcW w:w="783" w:type="pct"/>
            <w:vAlign w:val="center"/>
          </w:tcPr>
          <w:p>
            <w:pPr>
              <w:pStyle w:val="105"/>
              <w:widowControl w:val="0"/>
              <w:jc w:val="center"/>
            </w:pPr>
            <w:r>
              <w:t>植物措施</w:t>
            </w:r>
          </w:p>
        </w:tc>
        <w:tc>
          <w:tcPr>
            <w:tcW w:w="1718" w:type="pct"/>
            <w:vAlign w:val="center"/>
          </w:tcPr>
          <w:p>
            <w:pPr>
              <w:pStyle w:val="105"/>
              <w:widowControl w:val="0"/>
              <w:jc w:val="center"/>
            </w:pPr>
            <w:r>
              <w:rPr>
                <w:rFonts w:eastAsia="Times New Roman" w:cs="Times New Roman"/>
              </w:rPr>
              <w:t xml:space="preserve">TBS </w:t>
            </w:r>
            <w:r>
              <w:t>植被护坡、液压喷播植草护坡、骨</w:t>
            </w:r>
            <w:r>
              <w:rPr>
                <w:spacing w:val="-1"/>
              </w:rPr>
              <w:t>架内植</w:t>
            </w:r>
            <w:r>
              <w:t xml:space="preserve"> </w:t>
            </w:r>
            <w:r>
              <w:rPr>
                <w:spacing w:val="-3"/>
              </w:rPr>
              <w:t>草护坡</w:t>
            </w:r>
          </w:p>
        </w:tc>
        <w:tc>
          <w:tcPr>
            <w:tcW w:w="1873" w:type="pct"/>
            <w:vAlign w:val="center"/>
          </w:tcPr>
          <w:p>
            <w:pPr>
              <w:pStyle w:val="105"/>
              <w:widowControl w:val="0"/>
              <w:jc w:val="center"/>
              <w:rPr>
                <w:rFonts w:eastAsia="Times New Roman" w:cs="Times New Roman"/>
              </w:rPr>
            </w:pPr>
            <w:r>
              <w:rPr>
                <w:rFonts w:eastAsia="Times New Roman"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continue"/>
            <w:vAlign w:val="center"/>
          </w:tcPr>
          <w:p>
            <w:pPr>
              <w:pStyle w:val="105"/>
              <w:widowControl w:val="0"/>
              <w:jc w:val="center"/>
            </w:pPr>
          </w:p>
        </w:tc>
        <w:tc>
          <w:tcPr>
            <w:tcW w:w="783" w:type="pct"/>
            <w:vAlign w:val="center"/>
          </w:tcPr>
          <w:p>
            <w:pPr>
              <w:pStyle w:val="105"/>
              <w:widowControl w:val="0"/>
              <w:jc w:val="center"/>
            </w:pPr>
            <w:r>
              <w:t>临时措施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pPr>
            <w:r>
              <w:t>密目网苫盖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restart"/>
            <w:vAlign w:val="center"/>
          </w:tcPr>
          <w:p>
            <w:pPr>
              <w:pStyle w:val="105"/>
              <w:widowControl w:val="0"/>
              <w:jc w:val="center"/>
            </w:pPr>
            <w:r>
              <w:rPr>
                <w:spacing w:val="-1"/>
              </w:rPr>
              <w:t>桥梁</w:t>
            </w:r>
            <w:r>
              <w:rPr>
                <w:spacing w:val="-3"/>
              </w:rPr>
              <w:t>工程</w:t>
            </w:r>
            <w:r>
              <w:rPr>
                <w:spacing w:val="-7"/>
              </w:rPr>
              <w:t>防治</w:t>
            </w:r>
            <w:r>
              <w:t>区</w:t>
            </w:r>
          </w:p>
        </w:tc>
        <w:tc>
          <w:tcPr>
            <w:tcW w:w="783" w:type="pct"/>
            <w:vAlign w:val="center"/>
          </w:tcPr>
          <w:p>
            <w:pPr>
              <w:pStyle w:val="105"/>
              <w:widowControl w:val="0"/>
              <w:jc w:val="center"/>
            </w:pPr>
            <w:r>
              <w:rPr>
                <w:spacing w:val="-3"/>
              </w:rPr>
              <w:t>工程措施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pPr>
            <w:r>
              <w:rPr>
                <w:spacing w:val="-1"/>
              </w:rPr>
              <w:t>表土剥离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continue"/>
            <w:vAlign w:val="center"/>
          </w:tcPr>
          <w:p>
            <w:pPr>
              <w:pStyle w:val="105"/>
              <w:widowControl w:val="0"/>
              <w:jc w:val="center"/>
            </w:pPr>
          </w:p>
        </w:tc>
        <w:tc>
          <w:tcPr>
            <w:tcW w:w="783" w:type="pct"/>
            <w:vAlign w:val="center"/>
          </w:tcPr>
          <w:p>
            <w:pPr>
              <w:pStyle w:val="105"/>
              <w:widowControl w:val="0"/>
              <w:jc w:val="center"/>
            </w:pPr>
            <w:r>
              <w:t>植物措施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rPr>
                <w:rFonts w:eastAsia="Times New Roman" w:cs="Times New Roman"/>
              </w:rPr>
            </w:pPr>
            <w:r>
              <w:rPr>
                <w:rFonts w:eastAsia="Times New Roman"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continue"/>
            <w:vAlign w:val="center"/>
          </w:tcPr>
          <w:p>
            <w:pPr>
              <w:pStyle w:val="105"/>
              <w:widowControl w:val="0"/>
              <w:jc w:val="center"/>
            </w:pPr>
          </w:p>
        </w:tc>
        <w:tc>
          <w:tcPr>
            <w:tcW w:w="783" w:type="pct"/>
            <w:vAlign w:val="center"/>
          </w:tcPr>
          <w:p>
            <w:pPr>
              <w:pStyle w:val="105"/>
              <w:widowControl w:val="0"/>
              <w:jc w:val="center"/>
            </w:pPr>
            <w:r>
              <w:t>临时措施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pPr>
            <w:r>
              <w:rPr>
                <w:spacing w:val="-8"/>
              </w:rPr>
              <w:t>排水沟、泥浆沉淀池、密目</w:t>
            </w:r>
            <w:r>
              <w:rPr>
                <w:spacing w:val="9"/>
              </w:rPr>
              <w:t xml:space="preserve"> </w:t>
            </w:r>
            <w:r>
              <w:rPr>
                <w:spacing w:val="-7"/>
              </w:rPr>
              <w:t>网苫盖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restart"/>
            <w:vAlign w:val="center"/>
          </w:tcPr>
          <w:p>
            <w:pPr>
              <w:pStyle w:val="105"/>
              <w:widowControl w:val="0"/>
              <w:jc w:val="center"/>
            </w:pPr>
            <w:r>
              <w:rPr>
                <w:spacing w:val="-2"/>
              </w:rPr>
              <w:t>施工场地</w:t>
            </w:r>
            <w:r>
              <w:rPr>
                <w:spacing w:val="-7"/>
              </w:rPr>
              <w:t>防治</w:t>
            </w:r>
            <w:r>
              <w:t>区</w:t>
            </w:r>
          </w:p>
        </w:tc>
        <w:tc>
          <w:tcPr>
            <w:tcW w:w="783" w:type="pct"/>
            <w:vAlign w:val="center"/>
          </w:tcPr>
          <w:p>
            <w:pPr>
              <w:pStyle w:val="105"/>
              <w:widowControl w:val="0"/>
              <w:jc w:val="center"/>
            </w:pPr>
            <w:r>
              <w:rPr>
                <w:spacing w:val="-3"/>
              </w:rPr>
              <w:t>工程措施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pPr>
            <w:r>
              <w:rPr>
                <w:spacing w:val="-7"/>
              </w:rPr>
              <w:t>表土剥离、覆土、土地整治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continue"/>
            <w:vAlign w:val="center"/>
          </w:tcPr>
          <w:p>
            <w:pPr>
              <w:pStyle w:val="105"/>
              <w:widowControl w:val="0"/>
              <w:jc w:val="center"/>
            </w:pPr>
          </w:p>
        </w:tc>
        <w:tc>
          <w:tcPr>
            <w:tcW w:w="783" w:type="pct"/>
            <w:vAlign w:val="center"/>
          </w:tcPr>
          <w:p>
            <w:pPr>
              <w:pStyle w:val="105"/>
              <w:widowControl w:val="0"/>
              <w:jc w:val="center"/>
            </w:pPr>
            <w:r>
              <w:t>植物措施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pPr>
            <w:r>
              <w:rPr>
                <w:spacing w:val="-2"/>
              </w:rPr>
              <w:t>撒播狗牙根草籽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continue"/>
            <w:vAlign w:val="center"/>
          </w:tcPr>
          <w:p>
            <w:pPr>
              <w:pStyle w:val="105"/>
              <w:widowControl w:val="0"/>
              <w:jc w:val="center"/>
            </w:pPr>
          </w:p>
        </w:tc>
        <w:tc>
          <w:tcPr>
            <w:tcW w:w="783" w:type="pct"/>
            <w:vAlign w:val="center"/>
          </w:tcPr>
          <w:p>
            <w:pPr>
              <w:pStyle w:val="105"/>
              <w:widowControl w:val="0"/>
              <w:jc w:val="center"/>
            </w:pPr>
            <w:r>
              <w:t>临时措施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pPr>
            <w:r>
              <w:rPr>
                <w:spacing w:val="-2"/>
              </w:rPr>
              <w:t>排水沟、沉沙池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restart"/>
            <w:vAlign w:val="center"/>
          </w:tcPr>
          <w:p>
            <w:pPr>
              <w:pStyle w:val="105"/>
              <w:widowControl w:val="0"/>
              <w:jc w:val="center"/>
            </w:pPr>
            <w:r>
              <w:rPr>
                <w:spacing w:val="-2"/>
              </w:rPr>
              <w:t>表土</w:t>
            </w:r>
            <w:r>
              <w:t>临时</w:t>
            </w:r>
            <w:r>
              <w:rPr>
                <w:spacing w:val="-3"/>
              </w:rPr>
              <w:t>堆场</w:t>
            </w:r>
            <w:r>
              <w:rPr>
                <w:spacing w:val="-7"/>
              </w:rPr>
              <w:t>防治</w:t>
            </w:r>
            <w:r>
              <w:t>区</w:t>
            </w:r>
          </w:p>
        </w:tc>
        <w:tc>
          <w:tcPr>
            <w:tcW w:w="783" w:type="pct"/>
            <w:vAlign w:val="center"/>
          </w:tcPr>
          <w:p>
            <w:pPr>
              <w:pStyle w:val="105"/>
              <w:widowControl w:val="0"/>
              <w:jc w:val="center"/>
            </w:pPr>
            <w:r>
              <w:rPr>
                <w:spacing w:val="-3"/>
              </w:rPr>
              <w:t>工程措施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pPr>
            <w:r>
              <w:rPr>
                <w:spacing w:val="-2"/>
              </w:rPr>
              <w:t>土地整治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284" w:hRule="atLeast"/>
        </w:trPr>
        <w:tc>
          <w:tcPr>
            <w:tcW w:w="626" w:type="pct"/>
            <w:vMerge w:val="continue"/>
            <w:vAlign w:val="center"/>
          </w:tcPr>
          <w:p>
            <w:pPr>
              <w:pStyle w:val="105"/>
              <w:widowControl w:val="0"/>
              <w:jc w:val="center"/>
            </w:pPr>
          </w:p>
        </w:tc>
        <w:tc>
          <w:tcPr>
            <w:tcW w:w="783" w:type="pct"/>
            <w:vAlign w:val="center"/>
          </w:tcPr>
          <w:p>
            <w:pPr>
              <w:pStyle w:val="105"/>
              <w:widowControl w:val="0"/>
              <w:jc w:val="center"/>
            </w:pPr>
            <w:r>
              <w:t>临时措施</w:t>
            </w:r>
          </w:p>
        </w:tc>
        <w:tc>
          <w:tcPr>
            <w:tcW w:w="1718" w:type="pct"/>
            <w:vAlign w:val="center"/>
          </w:tcPr>
          <w:p>
            <w:pPr>
              <w:pStyle w:val="105"/>
              <w:widowControl w:val="0"/>
              <w:jc w:val="center"/>
              <w:rPr>
                <w:rFonts w:eastAsia="Times New Roman" w:cs="Times New Roman"/>
              </w:rPr>
            </w:pPr>
            <w:r>
              <w:rPr>
                <w:rFonts w:eastAsia="Times New Roman" w:cs="Times New Roman"/>
              </w:rPr>
              <w:t>/</w:t>
            </w:r>
          </w:p>
        </w:tc>
        <w:tc>
          <w:tcPr>
            <w:tcW w:w="1873" w:type="pct"/>
            <w:vAlign w:val="center"/>
          </w:tcPr>
          <w:p>
            <w:pPr>
              <w:pStyle w:val="105"/>
              <w:widowControl w:val="0"/>
              <w:jc w:val="center"/>
            </w:pPr>
            <w:r>
              <w:rPr>
                <w:spacing w:val="-8"/>
              </w:rPr>
              <w:t>排水沟、沉沙池、编织袋装</w:t>
            </w:r>
            <w:r>
              <w:rPr>
                <w:spacing w:val="9"/>
              </w:rPr>
              <w:t xml:space="preserve"> </w:t>
            </w:r>
            <w:r>
              <w:rPr>
                <w:spacing w:val="-1"/>
              </w:rPr>
              <w:t>土挡墙、密目网苫盖</w:t>
            </w:r>
          </w:p>
        </w:tc>
      </w:tr>
    </w:tbl>
    <w:p>
      <w:pPr>
        <w:pStyle w:val="105"/>
        <w:rPr>
          <w:rFonts w:hint="eastAsia" w:eastAsia="宋体"/>
          <w:highlight w:val="yellow"/>
          <w:lang w:eastAsia="zh-CN"/>
        </w:rPr>
      </w:pPr>
    </w:p>
    <w:p>
      <w:pPr>
        <w:pStyle w:val="122"/>
      </w:pPr>
      <w:r>
        <w:rPr>
          <w:rFonts w:hint="eastAsia"/>
        </w:rPr>
        <w:t>防治措施体系框图</w:t>
      </w:r>
    </w:p>
    <w:p>
      <w:pPr>
        <w:pStyle w:val="120"/>
        <w:rPr>
          <w:color w:val="auto"/>
        </w:rPr>
      </w:pPr>
      <w:r>
        <w:rPr>
          <w:rFonts w:hint="eastAsia"/>
          <w:color w:val="auto"/>
        </w:rPr>
        <w:t>运营期生态环境保护措施</w:t>
      </w:r>
    </w:p>
    <w:p>
      <w:pPr>
        <w:ind w:firstLine="480"/>
      </w:pPr>
      <w:r>
        <w:rPr>
          <w:rFonts w:hint="eastAsia"/>
        </w:rPr>
        <w:t>建设单位在主体工程建设施工完毕后，必须选择当地气候适宜的、抗病虫、易成活、快生长的本土植物种类，适时尽早尽快对工程区内外的空地、边坡面、裸露地、空隙地、绿化用地进行植树种草，并加强绿化管理和植被养护，以恢复植被，保持水土，改善生态，美化环境，协调景观。运营期生态环境保护措施主要做好以下几点：</w:t>
      </w:r>
    </w:p>
    <w:p>
      <w:pPr>
        <w:ind w:firstLine="480"/>
      </w:pPr>
      <w:r>
        <w:rPr>
          <w:rFonts w:hint="eastAsia"/>
        </w:rPr>
        <w:t>（1）主体工程完工后，应对工程裸地进行植被恢复，优先采用乡土植物品种。施工后期应加强对绿化植物的管理与养护，以达到恢复植被、保护路基，以及减少土壤侵蚀的目的。</w:t>
      </w:r>
    </w:p>
    <w:p>
      <w:pPr>
        <w:ind w:firstLine="480"/>
      </w:pPr>
      <w:r>
        <w:rPr>
          <w:rFonts w:hint="eastAsia"/>
        </w:rPr>
        <w:t>（</w:t>
      </w:r>
      <w:r>
        <w:t>2</w:t>
      </w:r>
      <w:r>
        <w:rPr>
          <w:rFonts w:hint="eastAsia"/>
        </w:rPr>
        <w:t>）加强公路沿线控制带、人行道的绿化建设，桥墩下可种植攀沿类植物，形成立体绿化，既起到了吸尘降噪的作用又美化了环境。</w:t>
      </w:r>
    </w:p>
    <w:p>
      <w:pPr>
        <w:ind w:firstLine="480"/>
      </w:pPr>
      <w:r>
        <w:rPr>
          <w:rFonts w:hint="eastAsia"/>
        </w:rPr>
        <w:t>（</w:t>
      </w:r>
      <w:r>
        <w:t>3</w:t>
      </w:r>
      <w:r>
        <w:rPr>
          <w:rFonts w:hint="eastAsia"/>
        </w:rPr>
        <w:t>）公路管理及养护部门应确保公路绿化林带不受破坏。加强沿线高边坡等极易产生水土流失和安全事故区域的巡查维护，及时增加水土保持工程措施和植物措施，避免因水土流失造成的滑坡、边坡垮塌等事故。</w:t>
      </w:r>
    </w:p>
    <w:p>
      <w:pPr>
        <w:ind w:firstLine="480"/>
      </w:pPr>
      <w:r>
        <w:rPr>
          <w:rFonts w:hint="eastAsia"/>
        </w:rPr>
        <w:t>（4）过水涵洞应及时清淤，以保障灌溉水系的通畅。</w:t>
      </w:r>
    </w:p>
    <w:p>
      <w:pPr>
        <w:pStyle w:val="116"/>
      </w:pPr>
      <w:bookmarkStart w:id="552" w:name="_Toc152236628"/>
      <w:bookmarkStart w:id="553" w:name="_Toc204676259"/>
      <w:bookmarkStart w:id="554" w:name="_Toc154668062"/>
      <w:bookmarkStart w:id="555" w:name="_Toc159405487"/>
      <w:r>
        <w:rPr>
          <w:rFonts w:hint="eastAsia"/>
        </w:rPr>
        <w:t>水污染防治</w:t>
      </w:r>
      <w:r>
        <w:t>措施</w:t>
      </w:r>
      <w:bookmarkEnd w:id="552"/>
      <w:bookmarkEnd w:id="553"/>
      <w:bookmarkEnd w:id="554"/>
      <w:bookmarkEnd w:id="555"/>
    </w:p>
    <w:p>
      <w:pPr>
        <w:pStyle w:val="120"/>
        <w:rPr>
          <w:color w:val="auto"/>
        </w:rPr>
      </w:pPr>
      <w:r>
        <w:rPr>
          <w:color w:val="auto"/>
        </w:rPr>
        <w:t>施工期</w:t>
      </w:r>
      <w:r>
        <w:rPr>
          <w:rFonts w:hint="eastAsia"/>
          <w:color w:val="auto"/>
        </w:rPr>
        <w:t>水污染防治</w:t>
      </w:r>
      <w:r>
        <w:rPr>
          <w:color w:val="auto"/>
        </w:rPr>
        <w:t>措施</w:t>
      </w:r>
    </w:p>
    <w:p>
      <w:pPr>
        <w:ind w:firstLine="480"/>
      </w:pPr>
      <w:r>
        <w:rPr>
          <w:rFonts w:hint="eastAsia"/>
        </w:rPr>
        <w:t>（1）施工废水控制措施</w:t>
      </w:r>
    </w:p>
    <w:p>
      <w:pPr>
        <w:ind w:firstLine="480"/>
      </w:pPr>
      <w:r>
        <w:rPr>
          <w:rFonts w:hint="eastAsia"/>
        </w:rPr>
        <w:t>①筑路材料（如油料、粉煤灰、水泥、砂、石料等）的运输采用罐装或袋装运输，运输车辆进行加盖处理，避免抛撒。堆放场地不设在水体岸边，避免被雨水冲入水体造成污染。</w:t>
      </w:r>
    </w:p>
    <w:p>
      <w:pPr>
        <w:ind w:firstLine="480"/>
      </w:pPr>
      <w:r>
        <w:rPr>
          <w:rFonts w:hint="eastAsia"/>
        </w:rPr>
        <w:t>②施工材料如油漆、油料等有害物质堆放场地设置苫盖，以减少雨水冲刷造成污染。</w:t>
      </w:r>
    </w:p>
    <w:p>
      <w:pPr>
        <w:ind w:firstLine="480"/>
      </w:pPr>
      <w:r>
        <w:rPr>
          <w:rFonts w:hint="eastAsia"/>
        </w:rPr>
        <w:t>③施工废水不直接排入水体。对施工生产废水采用隔油沉淀进行处理。在施工场地处设隔油沉淀设施，施工生产废水由沉淀池收集，经酸碱中和沉淀、隔油除渣等简单处理后回用，以防止施工废水超标排放引起水质污染。</w:t>
      </w:r>
    </w:p>
    <w:p>
      <w:pPr>
        <w:ind w:firstLine="480"/>
      </w:pPr>
      <w:r>
        <w:rPr>
          <w:rFonts w:hint="eastAsia"/>
        </w:rPr>
        <w:t>④沿线农灌沟渠边不得堆放或倾倒任何含有害物质的材料或废弃物，也不得临时弃渣。</w:t>
      </w:r>
    </w:p>
    <w:p>
      <w:pPr>
        <w:ind w:firstLine="480"/>
      </w:pPr>
      <w:r>
        <w:rPr>
          <w:rFonts w:hint="eastAsia"/>
        </w:rPr>
        <w:t>⑤施工现场、施工场地等应设置以明沟、沉沙池为主的临时排水系统，雨水径流经明沟引流、沉沙池沉淀后排放。</w:t>
      </w:r>
    </w:p>
    <w:p>
      <w:pPr>
        <w:ind w:firstLine="482"/>
        <w:rPr>
          <w:b/>
          <w:bCs/>
        </w:rPr>
      </w:pPr>
      <w:r>
        <w:rPr>
          <w:rFonts w:hint="eastAsia"/>
          <w:b/>
          <w:bCs/>
        </w:rPr>
        <w:t>（</w:t>
      </w:r>
      <w:r>
        <w:rPr>
          <w:b/>
          <w:bCs/>
        </w:rPr>
        <w:t>2</w:t>
      </w:r>
      <w:r>
        <w:rPr>
          <w:rFonts w:hint="eastAsia"/>
          <w:b/>
          <w:bCs/>
        </w:rPr>
        <w:t>）</w:t>
      </w:r>
      <w:r>
        <w:rPr>
          <w:b/>
          <w:bCs/>
        </w:rPr>
        <w:t>施工生产废水</w:t>
      </w:r>
      <w:r>
        <w:rPr>
          <w:rFonts w:hint="eastAsia"/>
          <w:b/>
          <w:bCs/>
        </w:rPr>
        <w:t>、生活污水防治措施</w:t>
      </w:r>
    </w:p>
    <w:p>
      <w:pPr>
        <w:ind w:firstLine="480"/>
      </w:pPr>
      <w:r>
        <w:rPr>
          <w:rFonts w:hint="eastAsia"/>
        </w:rPr>
        <w:t>①含泥沙废水：含泥沙废水主要来自施工场地各设施冲洗废水，预制场预制件养护废水以及场地冲刷雨水等。由沉淀池收集，经酸碱中和沉淀、隔油除渣等简单处理达到《城市污水再生利用 城市杂用水水质》（GB/T18920-2020）中的建筑施工用水水质标准，回用于施工过程、运输车辆冲洗和场地洒水抑尘等。</w:t>
      </w:r>
    </w:p>
    <w:p>
      <w:pPr>
        <w:ind w:firstLine="480"/>
      </w:pPr>
      <w:r>
        <w:rPr>
          <w:rFonts w:hint="eastAsia"/>
        </w:rPr>
        <w:t>②含油废水：尽量选用先进的设备、机械以有效减少跑冒滴漏的油量及设备的维修次数，不可避免地跑、冒、滴、漏过程中尽量采用固态吸油材料（如棉纱、木屑、吸油纸等），将废油收集转化到固态物质中，避免产生过多的含油污水，对渗漏到土壤的油污应及时利用刮削装置收集封存，交由有资质的单位进行集中处理。施工场地应设置隔油池，少量含油废水经隔油池收集处理，经处理后回用于施工场地洒水抑尘等。</w:t>
      </w:r>
    </w:p>
    <w:p>
      <w:pPr>
        <w:ind w:firstLine="480"/>
      </w:pPr>
      <w:r>
        <w:rPr>
          <w:rFonts w:hint="eastAsia"/>
        </w:rPr>
        <w:t>③施工场地出入口设置洗车平台，对出入车辆轮胎进行冲洗，不得带泥上路，不得沿途泄漏、遗撒；洗车平台自然沉降法进行处理，废水经沉淀处理后回用于施工过程、运输车辆冲洗和场地洒水抑尘等。</w:t>
      </w:r>
    </w:p>
    <w:p>
      <w:pPr>
        <w:ind w:firstLine="480"/>
      </w:pPr>
      <w:r>
        <w:rPr>
          <w:rFonts w:hint="eastAsia"/>
        </w:rPr>
        <w:t>④施工场地地面必须硬化，设防雨棚和排水系统，场地内不允许积水。</w:t>
      </w:r>
    </w:p>
    <w:p>
      <w:pPr>
        <w:ind w:firstLine="480"/>
      </w:pPr>
      <w:r>
        <w:rPr>
          <w:rFonts w:hint="eastAsia"/>
        </w:rPr>
        <w:t>⑤</w:t>
      </w:r>
      <w:r>
        <w:t>施工</w:t>
      </w:r>
      <w:r>
        <w:rPr>
          <w:rFonts w:hint="eastAsia"/>
        </w:rPr>
        <w:t>人员</w:t>
      </w:r>
      <w:r>
        <w:t>生活污水：</w:t>
      </w:r>
      <w:r>
        <w:rPr>
          <w:rFonts w:hint="eastAsia"/>
        </w:rPr>
        <w:t>施工场地不设集中居住区，施工人员就近租用当地的民房，施工期生活污水利用当地居民排水系统处理。项目施工场地设有办公区，施工场地设有值班房，值班房和临时办公区涉及的少量生活污水，通过设置临时化粪池进行收集，委托当地村民清运用于肥田，不外排。</w:t>
      </w:r>
    </w:p>
    <w:p>
      <w:pPr>
        <w:ind w:firstLine="482"/>
        <w:rPr>
          <w:b/>
          <w:bCs/>
        </w:rPr>
      </w:pPr>
      <w:r>
        <w:rPr>
          <w:rFonts w:hint="eastAsia"/>
          <w:b/>
          <w:bCs/>
        </w:rPr>
        <w:t>（3）桥梁、改河等涉水工程施工要求</w:t>
      </w:r>
    </w:p>
    <w:p>
      <w:pPr>
        <w:ind w:firstLine="480"/>
      </w:pPr>
      <w:r>
        <w:rPr>
          <w:rFonts w:hint="eastAsia"/>
        </w:rPr>
        <w:t>①合理安排好桥梁、改河、涉水涵洞等涉水工程的施工时间，涉水工程基础施工尽量安排在枯水期施工，避免在丰水期施工，特别是洪水期严禁施工。施工单位应与当地气象部门取得联系，在洪水来临前，对施工场地进行处理，避免施工过程中产生的污染物随洪水进入水体。</w:t>
      </w:r>
    </w:p>
    <w:p>
      <w:pPr>
        <w:ind w:firstLine="480"/>
      </w:pPr>
      <w:r>
        <w:rPr>
          <w:rFonts w:hint="eastAsia"/>
        </w:rPr>
        <w:t>②施工材料的堆放场地应设围挡措施，并加篷布覆盖，以免雨水冲刷造成污染，并远离水体；剩余土石方及时转运，严禁弃入河道或河滩，淤塞河道；施工时所产生的废油及其他废物，严禁倾倒或抛入水体；不得在水体附近清洗施工器具、机械等。</w:t>
      </w:r>
    </w:p>
    <w:p>
      <w:pPr>
        <w:ind w:firstLine="480"/>
      </w:pPr>
      <w:r>
        <w:rPr>
          <w:rFonts w:hint="eastAsia"/>
        </w:rPr>
        <w:t>③项目桥梁桥墩基础拟采用钻孔灌注桩施工工艺，在钻孔前预先在岸边泥浆循环净化系统。钻孔灌注桩基础施工中泥浆泵至岸边的沉淀池和泥浆池内，部分泥浆回用，无法回用的泥浆经沉淀后上清液回用于绿化或路面洒水，施工结束后钻渣和泥浆与其他弃方一并转运。</w:t>
      </w:r>
    </w:p>
    <w:p>
      <w:pPr>
        <w:ind w:firstLine="480"/>
      </w:pPr>
      <w:r>
        <w:rPr>
          <w:rFonts w:hint="eastAsia"/>
        </w:rPr>
        <w:t>④桥梁、改河、涉水涵洞等涉水工程基础施工过程中，先采取围堰措施，严禁将施工过程中产生的施工废弃物排入地表水体，涉水工程附近设置必要的排水沟用以疏导施工废水，排水沟土质边坡及时夯实。</w:t>
      </w:r>
    </w:p>
    <w:p>
      <w:pPr>
        <w:ind w:firstLine="480"/>
      </w:pPr>
      <w:r>
        <w:rPr>
          <w:rFonts w:hint="eastAsia"/>
        </w:rPr>
        <w:t>⑤施工废水不得排入河流。1</w:t>
      </w:r>
      <w:r>
        <w:t>#</w:t>
      </w:r>
      <w:r>
        <w:rPr>
          <w:rFonts w:hint="eastAsia"/>
        </w:rPr>
        <w:t>施工场地（桥梁预制场）施工生产废水应集中收集，经沉淀、隔油除渣等简单处理后，上清液尽可能回用，或者作为场地洒水抑尘使用，不外排。</w:t>
      </w:r>
    </w:p>
    <w:p>
      <w:pPr>
        <w:ind w:firstLine="480"/>
      </w:pPr>
      <w:r>
        <w:rPr>
          <w:rFonts w:hint="eastAsia"/>
        </w:rPr>
        <w:t>⑥施工结束后，应尽量使施工段河道恢复原貌，注意清理围堰土以及开挖导流明渠产生的土方，避免阻塞河道。</w:t>
      </w:r>
    </w:p>
    <w:p>
      <w:pPr>
        <w:pStyle w:val="120"/>
        <w:rPr>
          <w:color w:val="auto"/>
        </w:rPr>
      </w:pPr>
      <w:r>
        <w:rPr>
          <w:rFonts w:hint="eastAsia"/>
          <w:color w:val="auto"/>
        </w:rPr>
        <w:t>运营期水环境保护措施</w:t>
      </w:r>
    </w:p>
    <w:p>
      <w:pPr>
        <w:ind w:firstLine="480"/>
      </w:pPr>
      <w:r>
        <w:rPr>
          <w:rFonts w:hint="eastAsia"/>
        </w:rPr>
        <w:t>（</w:t>
      </w:r>
      <w:r>
        <w:t>1</w:t>
      </w:r>
      <w:r>
        <w:rPr>
          <w:rFonts w:hint="eastAsia"/>
        </w:rPr>
        <w:t>）</w:t>
      </w:r>
      <w:r>
        <w:t>建设时应严格按照设计要求，完成各种市政管线的建设。</w:t>
      </w:r>
    </w:p>
    <w:p>
      <w:pPr>
        <w:ind w:firstLine="480"/>
      </w:pPr>
      <w:r>
        <w:rPr>
          <w:rFonts w:hint="eastAsia"/>
        </w:rPr>
        <w:t>（2）公路路面和路基设置完善的排水系统，排水系统的边沟设计避免与农田连接。</w:t>
      </w:r>
    </w:p>
    <w:p>
      <w:pPr>
        <w:ind w:firstLine="474"/>
      </w:pPr>
      <w:r>
        <w:rPr>
          <w:rFonts w:hint="eastAsia" w:cs="Times New Roman"/>
          <w:spacing w:val="-3"/>
        </w:rPr>
        <w:t>（3）</w:t>
      </w:r>
      <w:r>
        <w:rPr>
          <w:rFonts w:cs="Times New Roman"/>
          <w:spacing w:val="-3"/>
        </w:rPr>
        <w:t>加强公路排水设施的管理，做好日常检修和维护工作，确保路面路况良好状态和</w:t>
      </w:r>
      <w:r>
        <w:rPr>
          <w:rFonts w:hint="eastAsia" w:cs="Times New Roman"/>
          <w:spacing w:val="-3"/>
        </w:rPr>
        <w:t>护栏等</w:t>
      </w:r>
      <w:r>
        <w:rPr>
          <w:rFonts w:cs="Times New Roman"/>
          <w:spacing w:val="-3"/>
        </w:rPr>
        <w:t>防护设施的完好。</w:t>
      </w:r>
    </w:p>
    <w:p>
      <w:pPr>
        <w:ind w:firstLine="480"/>
      </w:pPr>
      <w:r>
        <w:t>（4）</w:t>
      </w:r>
      <w:r>
        <w:rPr>
          <w:rFonts w:hint="eastAsia"/>
        </w:rPr>
        <w:t>制定风险事故应急计划。应急计划应包括指挥机构及相关协作单位的职责和任务，应急技术和处理步骤、设备、器材的配置和布局，人力和物力的保证和调配，事故的动态监测制度，事故发生后的报告制度等。</w:t>
      </w:r>
    </w:p>
    <w:p>
      <w:pPr>
        <w:pStyle w:val="116"/>
      </w:pPr>
      <w:bookmarkStart w:id="556" w:name="_Toc204676260"/>
      <w:bookmarkStart w:id="557" w:name="_Toc159405488"/>
      <w:bookmarkStart w:id="558" w:name="_Toc154668064"/>
      <w:bookmarkStart w:id="559" w:name="_Toc152236629"/>
      <w:r>
        <w:rPr>
          <w:rFonts w:hint="eastAsia"/>
        </w:rPr>
        <w:t>大气污染防治措施</w:t>
      </w:r>
      <w:bookmarkEnd w:id="556"/>
      <w:bookmarkEnd w:id="557"/>
      <w:bookmarkEnd w:id="558"/>
      <w:bookmarkEnd w:id="559"/>
    </w:p>
    <w:p>
      <w:pPr>
        <w:pStyle w:val="120"/>
        <w:rPr>
          <w:color w:val="auto"/>
        </w:rPr>
      </w:pPr>
      <w:r>
        <w:rPr>
          <w:rFonts w:hint="eastAsia"/>
          <w:color w:val="auto"/>
        </w:rPr>
        <w:t>施工期大气污染防治措施</w:t>
      </w:r>
    </w:p>
    <w:p>
      <w:pPr>
        <w:ind w:firstLine="480"/>
      </w:pPr>
      <w:r>
        <w:rPr>
          <w:rFonts w:hint="eastAsia"/>
        </w:rPr>
        <w:t>项目施工期对区域环境空气的影响主要是扬尘（特别是土石方运输产生的道路扬尘）和沥青烟，项目施工废气对周围环境将产生—定不良影响，要求建设单位和施工单位采取有效的措施控制废气污染。</w:t>
      </w:r>
    </w:p>
    <w:p>
      <w:pPr>
        <w:ind w:firstLine="480"/>
      </w:pPr>
      <w:r>
        <w:rPr>
          <w:rFonts w:hint="eastAsia"/>
        </w:rPr>
        <w:t>（1）设置施工标志牌：施工期间，施工单位应根据《建设工程施工现场管理规定》设置施工标志牌。</w:t>
      </w:r>
    </w:p>
    <w:p>
      <w:pPr>
        <w:ind w:firstLine="480"/>
      </w:pPr>
      <w:bookmarkStart w:id="560" w:name="_Hlk153874886"/>
      <w:r>
        <w:rPr>
          <w:rFonts w:hint="eastAsia"/>
        </w:rPr>
        <w:t>（</w:t>
      </w:r>
      <w:r>
        <w:t>2</w:t>
      </w:r>
      <w:r>
        <w:rPr>
          <w:rFonts w:hint="eastAsia"/>
        </w:rPr>
        <w:t>）土石方施工扬尘防治措施</w:t>
      </w:r>
    </w:p>
    <w:p>
      <w:pPr>
        <w:ind w:firstLine="480"/>
      </w:pPr>
      <w:r>
        <w:rPr>
          <w:rFonts w:hint="eastAsia"/>
        </w:rPr>
        <w:t>①工程开挖土石方及时转运，以缩小扬尘影响范围，对于距离线路较近的敏感点，应在施工场地周边设置施工围挡，严格控制作业带宽度。</w:t>
      </w:r>
    </w:p>
    <w:p>
      <w:pPr>
        <w:ind w:firstLine="480"/>
      </w:pPr>
      <w:r>
        <w:rPr>
          <w:rFonts w:hint="eastAsia"/>
        </w:rPr>
        <w:t>②土石方开挖和拆迁过程中，需洒水作业使土石方保持一定的湿度；对施工场地内松散、干涸的表土应经常洒水防治粉尘；土方回填时，在表层土质干燥时应适当洒水，防止粉尘飞扬。</w:t>
      </w:r>
    </w:p>
    <w:p>
      <w:pPr>
        <w:ind w:firstLine="480"/>
      </w:pPr>
      <w:r>
        <w:rPr>
          <w:rFonts w:hint="eastAsia"/>
        </w:rPr>
        <w:t>③加强回填土方堆放场的管理，采取土方表面压实、定期喷水、覆盖等措施。不需要的建筑材料、弃渣应及时运走，不宜长时间堆积。</w:t>
      </w:r>
    </w:p>
    <w:p>
      <w:pPr>
        <w:ind w:firstLine="480"/>
      </w:pPr>
      <w:r>
        <w:rPr>
          <w:rFonts w:hint="eastAsia"/>
        </w:rPr>
        <w:t>④尽量避免在大风季节施工，遇有大风天气时，禁止进行挖掘、回填等大土方量作业。</w:t>
      </w:r>
    </w:p>
    <w:p>
      <w:pPr>
        <w:ind w:firstLine="480"/>
      </w:pPr>
      <w:r>
        <w:rPr>
          <w:rFonts w:hint="eastAsia"/>
        </w:rPr>
        <w:t>⑤表土临时堆场应设置合理的遮盖、截排水沟等防护措施，表土堆场应采取覆盖防尘网等降尘措施。</w:t>
      </w:r>
    </w:p>
    <w:bookmarkEnd w:id="560"/>
    <w:p>
      <w:pPr>
        <w:ind w:firstLine="480"/>
      </w:pPr>
      <w:bookmarkStart w:id="561" w:name="_Hlk153874908"/>
      <w:r>
        <w:rPr>
          <w:rFonts w:hint="eastAsia"/>
        </w:rPr>
        <w:t>（</w:t>
      </w:r>
      <w:r>
        <w:t>3</w:t>
      </w:r>
      <w:r>
        <w:rPr>
          <w:rFonts w:hint="eastAsia"/>
        </w:rPr>
        <w:t>）施工场地扬尘防治措施</w:t>
      </w:r>
    </w:p>
    <w:p>
      <w:pPr>
        <w:ind w:firstLine="480"/>
      </w:pPr>
      <w:r>
        <w:rPr>
          <w:rFonts w:hint="eastAsia"/>
        </w:rPr>
        <w:t>①施工场地四周应设置</w:t>
      </w:r>
      <w:r>
        <w:t>2</w:t>
      </w:r>
      <w:r>
        <w:rPr>
          <w:rFonts w:hint="eastAsia"/>
        </w:rPr>
        <w:t>m以上围挡，场地主要道路应硬化并保持清洁，出口处应设置冲洗设施，运输车辆驶出现场前应将槽帮和车轮冲洗干净，严禁带泥出场；物料和垃圾应密闭运输，严禁凌空抛撒、野蛮装卸；土方、水泥、碎石、石灰等易产生扬尘污染的料堆应采取防风遮挡措施或在库房内存放。</w:t>
      </w:r>
    </w:p>
    <w:p>
      <w:pPr>
        <w:ind w:firstLine="480"/>
      </w:pPr>
      <w:r>
        <w:rPr>
          <w:rFonts w:hint="eastAsia"/>
        </w:rPr>
        <w:t>②工程建设期间，施工场地内车行路径应铺设钢板、混凝土或其他功能相当的材料，出口处硬化路面不小于出口宽度，防止机动车扬尘。</w:t>
      </w:r>
    </w:p>
    <w:p>
      <w:pPr>
        <w:ind w:firstLine="480"/>
      </w:pPr>
      <w:r>
        <w:rPr>
          <w:rFonts w:hint="eastAsia"/>
        </w:rPr>
        <w:t>③施工场内散体建筑材料采用仓库、封闭堆场、储藏罐等形式堆放，避免作业起尘和风蚀起尘。</w:t>
      </w:r>
    </w:p>
    <w:p>
      <w:pPr>
        <w:ind w:firstLine="480"/>
      </w:pPr>
      <w:r>
        <w:rPr>
          <w:rFonts w:hint="eastAsia"/>
        </w:rPr>
        <w:t>④建筑材料堆场等应定点定位，并采取洒水抑尘、加盖篷布等防扬尘措施。散料堆场应采用水喷淋法防尘，以减少建设过程中使用的建筑材料在装卸、堆放、搅拌过程中的粉尘外逸。材料仓库和临时材料堆放应尽量不靠近居民等敏感目标，并防止物料散漏污染。仓库四周应有疏水沟系，防止雨水浸湿，水流引起物料流失。</w:t>
      </w:r>
    </w:p>
    <w:p>
      <w:pPr>
        <w:ind w:firstLine="480"/>
      </w:pPr>
      <w:r>
        <w:rPr>
          <w:rFonts w:hint="eastAsia"/>
        </w:rPr>
        <w:t>⑤</w:t>
      </w:r>
      <w:r>
        <w:t>施工场地应定期进行洒水抑尘，保持一定的湿度，减少施工场地内扬尘的产生</w:t>
      </w:r>
      <w:r>
        <w:rPr>
          <w:rFonts w:hint="eastAsia"/>
        </w:rPr>
        <w:t>。</w:t>
      </w:r>
    </w:p>
    <w:p>
      <w:pPr>
        <w:ind w:firstLine="480"/>
      </w:pPr>
      <w:r>
        <w:rPr>
          <w:rFonts w:hint="eastAsia"/>
        </w:rPr>
        <w:t>⑥施工场地出入口配备车辆冲洗平台，配套冲洗废水沉淀池等设施，建立冲洗制度并设专人管理，严禁车辆带泥上路。</w:t>
      </w:r>
      <w:bookmarkEnd w:id="561"/>
    </w:p>
    <w:p>
      <w:pPr>
        <w:ind w:firstLine="480"/>
      </w:pPr>
      <w:bookmarkStart w:id="562" w:name="_Hlk153874930"/>
      <w:r>
        <w:rPr>
          <w:rFonts w:hint="eastAsia"/>
        </w:rPr>
        <w:t>（</w:t>
      </w:r>
      <w:r>
        <w:t>4</w:t>
      </w:r>
      <w:r>
        <w:rPr>
          <w:rFonts w:hint="eastAsia"/>
        </w:rPr>
        <w:t>）运输扬尘防治措施</w:t>
      </w:r>
    </w:p>
    <w:p>
      <w:pPr>
        <w:ind w:firstLine="480"/>
      </w:pPr>
      <w:r>
        <w:rPr>
          <w:rFonts w:hint="eastAsia"/>
        </w:rPr>
        <w:t>①运输散装材料的车辆应加盖篷布，防止材料散落起尘。运输车辆行至村庄居住敏感目标分布较为集中的路段时，应低速行驶或限速行驶，以减少扬尘产生。</w:t>
      </w:r>
    </w:p>
    <w:p>
      <w:pPr>
        <w:ind w:firstLine="480"/>
      </w:pPr>
      <w:r>
        <w:rPr>
          <w:rFonts w:hint="eastAsia"/>
        </w:rPr>
        <w:t>②运送土石方和建筑材料的车辆应土石方运输</w:t>
      </w:r>
      <w:r>
        <w:t>应采用密闭车斗，并保证土石方、物料不遗撒外漏。若无密闭车斗，土石方、物料的装载高度不得超过车辆槽帮上沿，车斗应用苫布遮盖严实。苫布边缘至少要遮住槽帮上沿以下15cm，保证土石方、物料等不露出。</w:t>
      </w:r>
      <w:r>
        <w:rPr>
          <w:rFonts w:hint="eastAsia"/>
        </w:rPr>
        <w:t>对不慎洒落地面的建筑材料，应及时进行清理。</w:t>
      </w:r>
      <w:r>
        <w:t>运输车辆应严格控制车速；运输车辆按规章装卸运行，严禁超载。</w:t>
      </w:r>
    </w:p>
    <w:p>
      <w:pPr>
        <w:ind w:firstLine="480"/>
      </w:pPr>
      <w:r>
        <w:rPr>
          <w:rFonts w:hint="eastAsia"/>
        </w:rPr>
        <w:t>③定期对运输土石方道路进行清扫、洒水。</w:t>
      </w:r>
    </w:p>
    <w:p>
      <w:pPr>
        <w:ind w:firstLine="480"/>
      </w:pPr>
      <w:r>
        <w:rPr>
          <w:rFonts w:hint="eastAsia"/>
        </w:rPr>
        <w:t>④运输车辆驶离工地前应在洗车平台冲洗轮胎及车身，其表面不得附着污泥。</w:t>
      </w:r>
    </w:p>
    <w:p>
      <w:pPr>
        <w:ind w:firstLine="480"/>
      </w:pPr>
      <w:r>
        <w:rPr>
          <w:rFonts w:hint="eastAsia"/>
        </w:rPr>
        <w:t>⑤施工道路应保持平整，设立施工道路养护、维修和清扫专职人员，保持道路清洁和运行状态良好。</w:t>
      </w:r>
      <w:bookmarkEnd w:id="562"/>
    </w:p>
    <w:p>
      <w:pPr>
        <w:ind w:firstLine="480"/>
      </w:pPr>
      <w:r>
        <w:t>（5）</w:t>
      </w:r>
      <w:r>
        <w:rPr>
          <w:rFonts w:hint="eastAsia"/>
        </w:rPr>
        <w:t>设备车辆燃油废气</w:t>
      </w:r>
    </w:p>
    <w:p>
      <w:pPr>
        <w:ind w:firstLine="480"/>
      </w:pPr>
      <w:r>
        <w:t>选用符合国家卫生防护标准的施工机械设备和运输工具，确保其废气排放符合国家有关标准</w:t>
      </w:r>
      <w:r>
        <w:rPr>
          <w:rFonts w:hint="eastAsia"/>
        </w:rPr>
        <w:t>，同时加强维护保养。</w:t>
      </w:r>
    </w:p>
    <w:p>
      <w:pPr>
        <w:ind w:firstLine="480"/>
      </w:pPr>
      <w:r>
        <w:rPr>
          <w:rFonts w:hint="eastAsia"/>
        </w:rPr>
        <w:t>（</w:t>
      </w:r>
      <w:r>
        <w:t>6</w:t>
      </w:r>
      <w:r>
        <w:rPr>
          <w:rFonts w:hint="eastAsia"/>
        </w:rPr>
        <w:t>）其他</w:t>
      </w:r>
    </w:p>
    <w:p>
      <w:pPr>
        <w:ind w:firstLine="480"/>
      </w:pPr>
      <w:r>
        <w:rPr>
          <w:rFonts w:hint="eastAsia"/>
        </w:rPr>
        <w:t>①建设单位应</w:t>
      </w:r>
      <w:bookmarkStart w:id="563" w:name="_Hlk89378124"/>
      <w:r>
        <w:rPr>
          <w:rFonts w:hint="eastAsia"/>
        </w:rPr>
        <w:t>加强施工期的环境管理，与施工单位签订施工期的环境管理合同，合理安排施工工序，按有关环保措施进行施工。</w:t>
      </w:r>
      <w:bookmarkEnd w:id="563"/>
    </w:p>
    <w:p>
      <w:pPr>
        <w:ind w:firstLine="480"/>
      </w:pPr>
      <w:r>
        <w:rPr>
          <w:rFonts w:hint="eastAsia"/>
        </w:rPr>
        <w:t>②加强对施工人员的环保教育，增强全体施工人员的环保意识，坚持文明施工、科学管理，减少施工期间的大气污染。</w:t>
      </w:r>
    </w:p>
    <w:p>
      <w:pPr>
        <w:ind w:firstLine="480"/>
      </w:pPr>
      <w:r>
        <w:rPr>
          <w:rFonts w:hint="eastAsia"/>
        </w:rPr>
        <w:t>③施工运输道路应保持平整，设立施工道路养护、维修和清扫专职人员，保持道路清洁和运行状态良好。</w:t>
      </w:r>
    </w:p>
    <w:p>
      <w:pPr>
        <w:pStyle w:val="120"/>
        <w:rPr>
          <w:color w:val="auto"/>
        </w:rPr>
      </w:pPr>
      <w:r>
        <w:rPr>
          <w:rFonts w:hint="eastAsia"/>
          <w:color w:val="auto"/>
        </w:rPr>
        <w:t>运营期大气污染防治措施</w:t>
      </w:r>
    </w:p>
    <w:p>
      <w:pPr>
        <w:ind w:firstLine="480"/>
      </w:pPr>
      <w:r>
        <w:rPr>
          <w:rFonts w:hint="eastAsia"/>
        </w:rPr>
        <w:t>（1）加强公路管理及路面养护，保持道路良好运营状态，减少堵车现象。</w:t>
      </w:r>
    </w:p>
    <w:p>
      <w:pPr>
        <w:ind w:firstLine="480"/>
      </w:pPr>
      <w:r>
        <w:rPr>
          <w:rFonts w:hint="eastAsia"/>
        </w:rPr>
        <w:t xml:space="preserve">（2）加强运输散装物资如煤、水泥、砂石材料及简易包装的化肥、农药等车辆的管理，运送上述物品需加盖篷布。 </w:t>
      </w:r>
    </w:p>
    <w:p>
      <w:pPr>
        <w:ind w:firstLine="480"/>
      </w:pPr>
      <w:r>
        <w:rPr>
          <w:rFonts w:hint="eastAsia"/>
        </w:rPr>
        <w:t>（3）建议结合当地村庄建设等规划，在靠近公路两侧，尤其是居民区路段两侧附近多种植乔、灌木。这样既可以净化吸收机动车尾气中的污染物、道路粉尘，又可以美化环境，改善路容。</w:t>
      </w:r>
    </w:p>
    <w:p>
      <w:pPr>
        <w:ind w:firstLine="480"/>
      </w:pPr>
      <w:r>
        <w:rPr>
          <w:rFonts w:hint="eastAsia"/>
        </w:rPr>
        <w:t>（4）执行环境空气监测计划，根据监测结果确定采取补充的环保措施。</w:t>
      </w:r>
    </w:p>
    <w:p>
      <w:pPr>
        <w:pStyle w:val="116"/>
      </w:pPr>
      <w:bookmarkStart w:id="564" w:name="_Toc154668065"/>
      <w:bookmarkStart w:id="565" w:name="_Toc204676261"/>
      <w:bookmarkStart w:id="566" w:name="_Toc152236630"/>
      <w:bookmarkStart w:id="567" w:name="_Toc159405489"/>
      <w:r>
        <w:rPr>
          <w:rFonts w:hint="eastAsia"/>
        </w:rPr>
        <w:t>声</w:t>
      </w:r>
      <w:r>
        <w:t>环境保护措施</w:t>
      </w:r>
      <w:bookmarkEnd w:id="564"/>
      <w:bookmarkEnd w:id="565"/>
      <w:bookmarkEnd w:id="566"/>
      <w:bookmarkEnd w:id="567"/>
    </w:p>
    <w:p>
      <w:pPr>
        <w:pStyle w:val="120"/>
        <w:rPr>
          <w:color w:val="auto"/>
        </w:rPr>
      </w:pPr>
      <w:r>
        <w:rPr>
          <w:rFonts w:hint="eastAsia"/>
          <w:color w:val="auto"/>
        </w:rPr>
        <w:t>施工期声</w:t>
      </w:r>
      <w:r>
        <w:rPr>
          <w:color w:val="auto"/>
        </w:rPr>
        <w:t>环境保护措施</w:t>
      </w:r>
    </w:p>
    <w:p>
      <w:pPr>
        <w:ind w:firstLine="480"/>
      </w:pPr>
      <w:r>
        <w:t>施工单位在施工期间必须严格执行《中华人民共和国噪声污染防治法》中的建设施工噪声污染防治</w:t>
      </w:r>
      <w:r>
        <w:rPr>
          <w:rFonts w:hint="eastAsia"/>
        </w:rPr>
        <w:t>相关规定</w:t>
      </w:r>
      <w:r>
        <w:t>，</w:t>
      </w:r>
      <w:r>
        <w:rPr>
          <w:rFonts w:hint="eastAsia"/>
        </w:rPr>
        <w:t>确保</w:t>
      </w:r>
      <w:r>
        <w:t>施工场界噪声</w:t>
      </w:r>
      <w:r>
        <w:rPr>
          <w:rFonts w:hint="eastAsia"/>
        </w:rPr>
        <w:t>满足</w:t>
      </w:r>
      <w:r>
        <w:t>《建筑施工场界环境噪声排放标准》（GB</w:t>
      </w:r>
      <w:r>
        <w:rPr>
          <w:rFonts w:hint="eastAsia"/>
        </w:rPr>
        <w:t xml:space="preserve"> </w:t>
      </w:r>
      <w:r>
        <w:t>12523-2011）</w:t>
      </w:r>
      <w:r>
        <w:rPr>
          <w:rFonts w:hint="eastAsia"/>
        </w:rPr>
        <w:t>要求</w:t>
      </w:r>
      <w:r>
        <w:t>。具体应采取以下噪声污染防治措施：</w:t>
      </w:r>
    </w:p>
    <w:p>
      <w:pPr>
        <w:ind w:firstLine="480"/>
      </w:pPr>
      <w:r>
        <w:t>（1）施工单位须在进场前向工程所在地环境保护行政主管部门申报工程</w:t>
      </w:r>
      <w:r>
        <w:rPr>
          <w:spacing w:val="-2"/>
        </w:rPr>
        <w:t>的项目名称、施工场所、期限和使用的主要机具、可能产生的环境噪声值以及所采取的</w:t>
      </w:r>
      <w:r>
        <w:t>环境噪声污染防治措施等情况。</w:t>
      </w:r>
    </w:p>
    <w:p>
      <w:pPr>
        <w:ind w:firstLine="480"/>
      </w:pPr>
      <w:r>
        <w:rPr>
          <w:rFonts w:hint="eastAsia"/>
        </w:rPr>
        <w:t>（</w:t>
      </w:r>
      <w:r>
        <w:t>2</w:t>
      </w:r>
      <w:r>
        <w:rPr>
          <w:rFonts w:hint="eastAsia"/>
        </w:rPr>
        <w:t>）合理布局施工现场：将施工现场的噪声源相对集中，并尽量远离村庄敏感点，以减少影响的范围和程度。</w:t>
      </w:r>
    </w:p>
    <w:p>
      <w:pPr>
        <w:ind w:firstLine="480"/>
      </w:pPr>
      <w:r>
        <w:rPr>
          <w:rFonts w:hint="eastAsia"/>
        </w:rPr>
        <w:t>（</w:t>
      </w:r>
      <w:r>
        <w:t>3</w:t>
      </w:r>
      <w:r>
        <w:rPr>
          <w:rFonts w:hint="eastAsia"/>
        </w:rPr>
        <w:t>）施工期加大声源治理力度：</w:t>
      </w:r>
      <w:bookmarkStart w:id="568" w:name="_Hlk84626675"/>
      <w:r>
        <w:rPr>
          <w:rFonts w:hint="eastAsia"/>
        </w:rPr>
        <w:t>选用低噪声施工机械、设备和工艺；振动较大的固定机械设备应加装减振机座；加强设备、车辆的日常维修保养，</w:t>
      </w:r>
      <w:bookmarkEnd w:id="568"/>
      <w:r>
        <w:rPr>
          <w:rFonts w:hint="eastAsia"/>
        </w:rPr>
        <w:t>使施工机械保持良好运行状态，避免超过正常噪声运转。</w:t>
      </w:r>
    </w:p>
    <w:p>
      <w:pPr>
        <w:ind w:firstLine="480"/>
      </w:pPr>
      <w:r>
        <w:t>（4）</w:t>
      </w:r>
      <w:bookmarkStart w:id="569" w:name="_Hlk89352832"/>
      <w:r>
        <w:rPr>
          <w:rFonts w:hint="eastAsia"/>
        </w:rPr>
        <w:t>施工期限定施工作业时间</w:t>
      </w:r>
      <w:bookmarkEnd w:id="569"/>
      <w:r>
        <w:rPr>
          <w:rFonts w:hint="eastAsia"/>
        </w:rPr>
        <w:t>：</w:t>
      </w:r>
      <w:r>
        <w:t>施工区域与沿线居民点之间设置</w:t>
      </w:r>
      <w:r>
        <w:rPr>
          <w:rFonts w:hint="eastAsia"/>
        </w:rPr>
        <w:t>必要的</w:t>
      </w:r>
      <w:r>
        <w:rPr>
          <w:spacing w:val="-3"/>
        </w:rPr>
        <w:t>围挡以阻隔施工噪声，夜间</w:t>
      </w:r>
      <w:r>
        <w:rPr>
          <w:rFonts w:hint="eastAsia"/>
          <w:spacing w:val="-3"/>
        </w:rPr>
        <w:t>（</w:t>
      </w:r>
      <w:r>
        <w:rPr>
          <w:rFonts w:eastAsia="Times New Roman"/>
        </w:rPr>
        <w:t>22:00-6:00</w:t>
      </w:r>
      <w:r>
        <w:rPr>
          <w:rFonts w:hint="eastAsia"/>
        </w:rPr>
        <w:t>）</w:t>
      </w:r>
      <w:r>
        <w:t>禁止施工。</w:t>
      </w:r>
      <w:r>
        <w:rPr>
          <w:rFonts w:hint="eastAsia"/>
        </w:rPr>
        <w:t>工程</w:t>
      </w:r>
      <w:r>
        <w:t>沿线较靠近</w:t>
      </w:r>
      <w:r>
        <w:rPr>
          <w:rFonts w:hint="eastAsia"/>
        </w:rPr>
        <w:t>居住区</w:t>
      </w:r>
      <w:r>
        <w:t>路段施工时，为保证居民</w:t>
      </w:r>
      <w:r>
        <w:rPr>
          <w:rFonts w:hint="eastAsia"/>
        </w:rPr>
        <w:t>等</w:t>
      </w:r>
      <w:r>
        <w:t>休息，在规定时间内（午间12：00</w:t>
      </w:r>
      <w:r>
        <w:rPr>
          <w:rFonts w:hint="eastAsia"/>
        </w:rPr>
        <w:t>~</w:t>
      </w:r>
      <w:r>
        <w:t>14：30，夜间22：00</w:t>
      </w:r>
      <w:r>
        <w:rPr>
          <w:rFonts w:hint="eastAsia"/>
        </w:rPr>
        <w:t>～</w:t>
      </w:r>
      <w:r>
        <w:t>次日6：00）</w:t>
      </w:r>
      <w:r>
        <w:rPr>
          <w:rFonts w:hint="eastAsia"/>
        </w:rPr>
        <w:t>全路段</w:t>
      </w:r>
      <w:r>
        <w:t>禁止施工；若因特殊需要必须连续施工作业的，必须向县级以上人民政府</w:t>
      </w:r>
      <w:r>
        <w:rPr>
          <w:rFonts w:hint="eastAsia"/>
        </w:rPr>
        <w:t>或</w:t>
      </w:r>
      <w:r>
        <w:t>有关主管部门申请得到批准，并且必须公告附近居民</w:t>
      </w:r>
      <w:r>
        <w:rPr>
          <w:rFonts w:hint="eastAsia"/>
        </w:rPr>
        <w:t>。</w:t>
      </w:r>
    </w:p>
    <w:p>
      <w:pPr>
        <w:ind w:firstLine="480"/>
      </w:pPr>
      <w:r>
        <w:rPr>
          <w:rFonts w:hint="eastAsia"/>
        </w:rPr>
        <w:t>（4）对施工场界200m范围内有居民的施工场地、表土堆场等临时施工场地靠近居民一侧安装临时声屏障，特别是2</w:t>
      </w:r>
      <w:r>
        <w:t>#</w:t>
      </w:r>
      <w:r>
        <w:rPr>
          <w:rFonts w:hint="eastAsia"/>
        </w:rPr>
        <w:t>表土堆场，施工期间应设置临时声屏障或围挡。</w:t>
      </w:r>
    </w:p>
    <w:p>
      <w:pPr>
        <w:ind w:firstLine="480"/>
      </w:pPr>
      <w:r>
        <w:t>（5）</w:t>
      </w:r>
      <w:r>
        <w:rPr>
          <w:rFonts w:hint="eastAsia"/>
        </w:rPr>
        <w:t>合理安排施工运输车辆的走行路线和走行时间：施工运输车辆，尤其是大型运输车辆，应按照有关部门的规定，确定合理运输路线和时间，避让沿线的学校、医院及居民密集区。</w:t>
      </w:r>
      <w:r>
        <w:rPr>
          <w:spacing w:val="-3"/>
        </w:rPr>
        <w:t>利用现有道路进行施工物料运输时，注意调整运输时间，尽量在白天运输。</w:t>
      </w:r>
      <w:r>
        <w:rPr>
          <w:rFonts w:hint="eastAsia"/>
          <w:spacing w:val="-3"/>
        </w:rPr>
        <w:t>在途经</w:t>
      </w:r>
      <w:r>
        <w:t>居民集中区时，应减速慢行，禁止鸣笛。</w:t>
      </w:r>
    </w:p>
    <w:p>
      <w:pPr>
        <w:ind w:firstLine="480"/>
      </w:pPr>
      <w:r>
        <w:rPr>
          <w:rFonts w:hint="eastAsia"/>
        </w:rPr>
        <w:t>（</w:t>
      </w:r>
      <w:r>
        <w:t>6</w:t>
      </w:r>
      <w:r>
        <w:rPr>
          <w:rFonts w:hint="eastAsia"/>
        </w:rPr>
        <w:t>）施工期加强对施工期噪声的监督管理</w:t>
      </w:r>
    </w:p>
    <w:p>
      <w:pPr>
        <w:ind w:firstLine="480"/>
      </w:pPr>
      <w:r>
        <w:rPr>
          <w:rFonts w:hint="eastAsia"/>
        </w:rPr>
        <w:t>①加强对施工人员的培训及责任心教育，做好施工机械和运输车辆的调度和交通疏导工作，限制车速，禁止鸣笛，降低交通噪声。</w:t>
      </w:r>
    </w:p>
    <w:p>
      <w:pPr>
        <w:ind w:firstLine="480"/>
      </w:pPr>
      <w:r>
        <w:rPr>
          <w:rFonts w:hint="eastAsia"/>
        </w:rPr>
        <w:t>②施工作业过程中加强对各种机械的管理、维护和保养，使施工机械保持良好的运行状态，减少因机械磨损而增加的噪声。</w:t>
      </w:r>
    </w:p>
    <w:p>
      <w:pPr>
        <w:ind w:firstLine="480"/>
      </w:pPr>
      <w:r>
        <w:rPr>
          <w:rFonts w:hint="eastAsia"/>
        </w:rPr>
        <w:t>③建设单位应按国家规定的建筑施工场界噪声标准，对施工现场进行定期检查，实施规范化管理，对发现的违章施工现象和群众投诉的热点、重点问题及时进行查处，同时积极做好环境保护法规政策的宣传教育，加强与施工单位的协调，使施工单位做到文明施工。</w:t>
      </w:r>
    </w:p>
    <w:p>
      <w:pPr>
        <w:pStyle w:val="120"/>
        <w:rPr>
          <w:color w:val="auto"/>
        </w:rPr>
      </w:pPr>
      <w:r>
        <w:rPr>
          <w:rFonts w:hint="eastAsia"/>
          <w:color w:val="auto"/>
        </w:rPr>
        <w:t>运营期噪声影响防护措施</w:t>
      </w:r>
    </w:p>
    <w:p>
      <w:pPr>
        <w:ind w:firstLine="480"/>
      </w:pPr>
      <w:r>
        <w:rPr>
          <w:rFonts w:hint="eastAsia"/>
        </w:rPr>
        <w:t>根据《地面交通噪声污染防治技术政策》（环发〔2010〕7 号）、《环境影响评价技术导则 公路建设项目》（</w:t>
      </w:r>
      <w:r>
        <w:t>HJ</w:t>
      </w:r>
      <w:r>
        <w:rPr>
          <w:rFonts w:hint="eastAsia"/>
        </w:rPr>
        <w:t xml:space="preserve"> </w:t>
      </w:r>
      <w:r>
        <w:t>1358—2024</w:t>
      </w:r>
      <w:r>
        <w:rPr>
          <w:rFonts w:hint="eastAsia"/>
        </w:rPr>
        <w:t>）、《</w:t>
      </w:r>
      <w:r>
        <w:rPr>
          <w:kern w:val="0"/>
          <w:szCs w:val="24"/>
          <w:lang w:val="zh-CN"/>
        </w:rPr>
        <w:t>环境</w:t>
      </w:r>
      <w:r>
        <w:rPr>
          <w:rFonts w:hint="eastAsia"/>
          <w:kern w:val="0"/>
          <w:szCs w:val="24"/>
          <w:lang w:val="zh-CN"/>
        </w:rPr>
        <w:t>影响</w:t>
      </w:r>
      <w:r>
        <w:rPr>
          <w:kern w:val="0"/>
          <w:szCs w:val="24"/>
          <w:lang w:val="zh-CN"/>
        </w:rPr>
        <w:t>评价技术导测声环境HJ 2.4-2021</w:t>
      </w:r>
      <w:r>
        <w:rPr>
          <w:rFonts w:hint="eastAsia"/>
        </w:rPr>
        <w:t>》，规定了从合理规划布局、噪声源控制、噪声传播途径控制、声环境保护目标自身防护措施、管理措施等五个方面对交通噪声污染分别进行防治。结合本项目的实际情况，噪声污染防治原则如下：</w:t>
      </w:r>
    </w:p>
    <w:p>
      <w:pPr>
        <w:ind w:firstLine="480"/>
      </w:pPr>
      <w:r>
        <w:rPr>
          <w:rFonts w:hint="eastAsia"/>
        </w:rPr>
        <w:t>①坚持预防为主原则，合理规划地面交通设施与邻近建筑物布局；</w:t>
      </w:r>
    </w:p>
    <w:p>
      <w:pPr>
        <w:ind w:firstLine="480"/>
      </w:pPr>
      <w:r>
        <w:rPr>
          <w:rFonts w:hint="eastAsia"/>
        </w:rPr>
        <w:t>②噪声源、传声途径、敏感建筑物三者的分层次控制与各负其责；</w:t>
      </w:r>
    </w:p>
    <w:p>
      <w:pPr>
        <w:ind w:firstLine="480"/>
      </w:pPr>
      <w:r>
        <w:rPr>
          <w:rFonts w:hint="eastAsia"/>
        </w:rPr>
        <w:t>③在技术经济可行条件下，优先考虑对噪声源和传声途径采取工程技术措施，实施噪声主动控制；</w:t>
      </w:r>
    </w:p>
    <w:p>
      <w:pPr>
        <w:ind w:firstLine="480"/>
      </w:pPr>
      <w:r>
        <w:rPr>
          <w:rFonts w:hint="eastAsia"/>
        </w:rPr>
        <w:t>④对远期超标的敏感点全部采取降噪措施；</w:t>
      </w:r>
    </w:p>
    <w:p>
      <w:pPr>
        <w:ind w:firstLine="480"/>
      </w:pPr>
      <w:r>
        <w:rPr>
          <w:rFonts w:hint="eastAsia"/>
        </w:rPr>
        <w:t>⑤噪声防治的目标应该是首先使敏感建筑物室外声环境质量达到所处的声功能区标准；如通过技术经济论证，认为不宜对交通噪声实施主动控制，或采取措施后室外声环境质量仍然难以达标的，应对敏感建筑物采取如安装通风隔声窗等防护措施；以远期预测值超标的敏感点按《民用建筑隔声设计规范》（GBJ118-2010）的要求，保证室内声环境使用功能的要求。</w:t>
      </w:r>
    </w:p>
    <w:p>
      <w:pPr>
        <w:ind w:firstLine="480"/>
      </w:pPr>
      <w:r>
        <w:rPr>
          <w:rFonts w:hint="eastAsia"/>
        </w:rPr>
        <w:t>根据《地面交通噪声污染防治技术政策》（环发〔2010〕7 号）、《环境影响评价技术导则 公路建设项目》（</w:t>
      </w:r>
      <w:r>
        <w:t>HJ</w:t>
      </w:r>
      <w:r>
        <w:rPr>
          <w:rFonts w:hint="eastAsia"/>
        </w:rPr>
        <w:t xml:space="preserve"> </w:t>
      </w:r>
      <w:r>
        <w:t>1358—2024</w:t>
      </w:r>
      <w:r>
        <w:rPr>
          <w:rFonts w:hint="eastAsia"/>
        </w:rPr>
        <w:t>）、《</w:t>
      </w:r>
      <w:r>
        <w:rPr>
          <w:kern w:val="0"/>
          <w:szCs w:val="24"/>
          <w:lang w:val="zh-CN"/>
        </w:rPr>
        <w:t>环境</w:t>
      </w:r>
      <w:r>
        <w:rPr>
          <w:rFonts w:hint="eastAsia"/>
          <w:kern w:val="0"/>
          <w:szCs w:val="24"/>
          <w:lang w:val="zh-CN"/>
        </w:rPr>
        <w:t>影响</w:t>
      </w:r>
      <w:r>
        <w:rPr>
          <w:kern w:val="0"/>
          <w:szCs w:val="24"/>
          <w:lang w:val="zh-CN"/>
        </w:rPr>
        <w:t>评价技术导测声环境HJ 2.4-2021</w:t>
      </w:r>
      <w:r>
        <w:rPr>
          <w:rFonts w:hint="eastAsia"/>
        </w:rPr>
        <w:t>》，规定了从合理规划布局、噪声源控制、噪声传播途径控制、声环境保护目标自身防护措施、管理措施等五个方面对交通噪声污染分别进行防治。</w:t>
      </w:r>
    </w:p>
    <w:p>
      <w:pPr>
        <w:pStyle w:val="118"/>
      </w:pPr>
      <w:r>
        <w:rPr>
          <w:rFonts w:hint="eastAsia"/>
        </w:rPr>
        <w:t>优化选址选线、合理规划布局</w:t>
      </w:r>
    </w:p>
    <w:p>
      <w:pPr>
        <w:ind w:firstLine="480"/>
      </w:pPr>
      <w:r>
        <w:rPr>
          <w:rFonts w:hint="eastAsia"/>
        </w:rPr>
        <w:t>根据沿线声环境敏感目标调查，本项目主要声环境敏感目标分布较多，部分路段较为集中，主要有牌边村、联华村和上张村，结合区域村庄规划，线路沿线无集中规划区，但考虑远期村庄村民宅基地的变迁。因此，根据本次评价断面交通噪声预测结果，建议公路两侧在土地利用规划中噪声防护控制距离。具体详见</w:t>
      </w:r>
      <w:r>
        <w:fldChar w:fldCharType="begin"/>
      </w:r>
      <w:r>
        <w:instrText xml:space="preserve"> </w:instrText>
      </w:r>
      <w:r>
        <w:rPr>
          <w:rFonts w:hint="eastAsia"/>
        </w:rPr>
        <w:instrText xml:space="preserve">REF _Ref150758403 \r \h</w:instrText>
      </w:r>
      <w:r>
        <w:instrText xml:space="preserve">  \* MERGEFORMAT </w:instrText>
      </w:r>
      <w:r>
        <w:fldChar w:fldCharType="separate"/>
      </w:r>
      <w:r>
        <w:rPr>
          <w:rFonts w:hint="eastAsia"/>
        </w:rPr>
        <w:t>表7.4-1</w:t>
      </w:r>
      <w:r>
        <w:fldChar w:fldCharType="end"/>
      </w:r>
      <w:r>
        <w:rPr>
          <w:rFonts w:hint="eastAsia"/>
        </w:rPr>
        <w:t>。</w:t>
      </w:r>
    </w:p>
    <w:p>
      <w:pPr>
        <w:ind w:firstLine="480"/>
      </w:pPr>
      <w:r>
        <w:rPr>
          <w:rFonts w:hint="eastAsia"/>
        </w:rPr>
        <w:t>另外根据噪声预测结果，在2类区内均能达到2类标准，因此不设置2类控制距离。</w:t>
      </w:r>
    </w:p>
    <w:p>
      <w:pPr>
        <w:pStyle w:val="87"/>
        <w:spacing w:before="163"/>
      </w:pPr>
      <w:bookmarkStart w:id="570" w:name="_Ref150758403"/>
      <w:r>
        <w:rPr>
          <w:rFonts w:hint="eastAsia"/>
        </w:rPr>
        <w:t>运营中期公路</w:t>
      </w:r>
      <w:r>
        <w:t>两侧建筑规划参考</w:t>
      </w:r>
      <w:bookmarkEnd w:id="570"/>
    </w:p>
    <w:tbl>
      <w:tblPr>
        <w:tblStyle w:val="24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1"/>
        <w:gridCol w:w="710"/>
        <w:gridCol w:w="2408"/>
        <w:gridCol w:w="2268"/>
        <w:gridCol w:w="28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851" w:type="dxa"/>
            <w:vAlign w:val="center"/>
          </w:tcPr>
          <w:p>
            <w:pPr>
              <w:pStyle w:val="105"/>
              <w:jc w:val="center"/>
            </w:pPr>
            <w:r>
              <w:rPr>
                <w:rFonts w:hint="eastAsia"/>
              </w:rPr>
              <w:t>线路</w:t>
            </w:r>
          </w:p>
        </w:tc>
        <w:tc>
          <w:tcPr>
            <w:tcW w:w="3118" w:type="dxa"/>
            <w:gridSpan w:val="2"/>
            <w:vAlign w:val="center"/>
          </w:tcPr>
          <w:p>
            <w:pPr>
              <w:pStyle w:val="105"/>
              <w:jc w:val="center"/>
            </w:pPr>
            <w:r>
              <w:rPr>
                <w:rFonts w:hint="eastAsia"/>
              </w:rPr>
              <w:t>声环境功能区划</w:t>
            </w:r>
          </w:p>
        </w:tc>
        <w:tc>
          <w:tcPr>
            <w:tcW w:w="2268" w:type="dxa"/>
            <w:vAlign w:val="center"/>
          </w:tcPr>
          <w:p>
            <w:pPr>
              <w:pStyle w:val="105"/>
              <w:jc w:val="center"/>
            </w:pPr>
            <w:r>
              <w:rPr>
                <w:rFonts w:hint="eastAsia"/>
              </w:rPr>
              <w:t>最大达标距离</w:t>
            </w:r>
          </w:p>
        </w:tc>
        <w:tc>
          <w:tcPr>
            <w:tcW w:w="2833" w:type="dxa"/>
            <w:vAlign w:val="center"/>
          </w:tcPr>
          <w:p>
            <w:pPr>
              <w:pStyle w:val="105"/>
              <w:jc w:val="center"/>
            </w:pPr>
            <w:r>
              <w:rPr>
                <w:rFonts w:hint="eastAsia"/>
              </w:rPr>
              <w:t>规划控制建议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851" w:type="dxa"/>
            <w:vAlign w:val="center"/>
          </w:tcPr>
          <w:p>
            <w:pPr>
              <w:pStyle w:val="105"/>
              <w:jc w:val="center"/>
            </w:pPr>
            <w:r>
              <w:rPr>
                <w:rFonts w:hint="eastAsia"/>
              </w:rPr>
              <w:t>全线</w:t>
            </w:r>
          </w:p>
        </w:tc>
        <w:tc>
          <w:tcPr>
            <w:tcW w:w="710" w:type="dxa"/>
            <w:vAlign w:val="center"/>
          </w:tcPr>
          <w:p>
            <w:pPr>
              <w:pStyle w:val="105"/>
              <w:jc w:val="center"/>
            </w:pPr>
            <w:r>
              <w:rPr>
                <w:rFonts w:hint="eastAsia"/>
              </w:rPr>
              <w:t>4a类区</w:t>
            </w:r>
          </w:p>
        </w:tc>
        <w:tc>
          <w:tcPr>
            <w:tcW w:w="2408" w:type="dxa"/>
            <w:vAlign w:val="center"/>
          </w:tcPr>
          <w:p>
            <w:pPr>
              <w:pStyle w:val="105"/>
              <w:jc w:val="center"/>
            </w:pPr>
            <w:r>
              <w:rPr>
                <w:rFonts w:hint="eastAsia"/>
              </w:rPr>
              <w:t>公路两侧高于3层楼的临街建筑物或低于3层楼交通干线边界线外</w:t>
            </w:r>
            <w:r>
              <w:t>35</w:t>
            </w:r>
            <w:r>
              <w:rPr>
                <w:rFonts w:hint="eastAsia"/>
              </w:rPr>
              <w:t>m以内面向公路一侧区域</w:t>
            </w:r>
          </w:p>
        </w:tc>
        <w:tc>
          <w:tcPr>
            <w:tcW w:w="2268" w:type="dxa"/>
            <w:vAlign w:val="center"/>
          </w:tcPr>
          <w:p>
            <w:pPr>
              <w:pStyle w:val="105"/>
              <w:jc w:val="center"/>
            </w:pPr>
            <w:r>
              <w:rPr>
                <w:rFonts w:hint="eastAsia"/>
              </w:rPr>
              <w:t>公路中心线外</w:t>
            </w:r>
            <w:r>
              <w:t>19</w:t>
            </w:r>
            <w:r>
              <w:rPr>
                <w:rFonts w:hint="eastAsia"/>
              </w:rPr>
              <w:t>m（公路边界线1</w:t>
            </w:r>
            <w:r>
              <w:t>0m~13</w:t>
            </w:r>
            <w:r>
              <w:rPr>
                <w:rFonts w:hint="eastAsia"/>
              </w:rPr>
              <w:t>m）</w:t>
            </w:r>
          </w:p>
        </w:tc>
        <w:tc>
          <w:tcPr>
            <w:tcW w:w="2833" w:type="dxa"/>
            <w:vAlign w:val="center"/>
          </w:tcPr>
          <w:p>
            <w:pPr>
              <w:pStyle w:val="105"/>
              <w:jc w:val="center"/>
            </w:pPr>
            <w:r>
              <w:rPr>
                <w:rFonts w:hint="eastAsia"/>
              </w:rPr>
              <w:t>4a类控制距离为公路边界线</w:t>
            </w:r>
            <w:r>
              <w:t>13</w:t>
            </w:r>
            <w:r>
              <w:rPr>
                <w:rFonts w:hint="eastAsia"/>
              </w:rPr>
              <w:t>m，区域不宜规划建设集中居民区，头排建筑临街窗户需安装隔声窗。</w:t>
            </w:r>
          </w:p>
        </w:tc>
      </w:tr>
    </w:tbl>
    <w:p>
      <w:pPr>
        <w:pStyle w:val="124"/>
        <w:spacing w:before="163"/>
      </w:pPr>
      <w:r>
        <w:rPr>
          <w:rFonts w:hint="eastAsia"/>
        </w:rPr>
        <w:t>本项目主线公路两侧噪声4a</w:t>
      </w:r>
      <w:r>
        <w:rPr>
          <w:rFonts w:hint="eastAsia"/>
          <w:szCs w:val="24"/>
        </w:rPr>
        <w:t>类</w:t>
      </w:r>
      <w:r>
        <w:rPr>
          <w:rFonts w:hint="eastAsia"/>
        </w:rPr>
        <w:t>控制距离（公路边界线</w:t>
      </w:r>
      <w:r>
        <w:t>13</w:t>
      </w:r>
      <w:r>
        <w:rPr>
          <w:rFonts w:hint="eastAsia"/>
        </w:rPr>
        <w:t>m）范围内区域不宜规划建设集中居民区。</w:t>
      </w:r>
      <w:r>
        <w:t>由于土地资源紧缺，从提高土地利用率角度出发，</w:t>
      </w:r>
      <w:r>
        <w:rPr>
          <w:rFonts w:hint="eastAsia"/>
        </w:rPr>
        <w:t>结合乡镇居民住宅建筑习惯（临路建设），</w:t>
      </w:r>
      <w:r>
        <w:t>规划控制距离可能较难实施，</w:t>
      </w:r>
      <w:r>
        <w:rPr>
          <w:rFonts w:hint="eastAsia"/>
        </w:rPr>
        <w:t>故如确需建设上述敏感建筑物时，应自行采取降噪措施。</w:t>
      </w:r>
    </w:p>
    <w:p>
      <w:pPr>
        <w:pStyle w:val="118"/>
      </w:pPr>
      <w:r>
        <w:rPr>
          <w:rFonts w:hint="eastAsia"/>
        </w:rPr>
        <w:t>噪声源控制措施</w:t>
      </w:r>
    </w:p>
    <w:p>
      <w:pPr>
        <w:ind w:firstLine="480"/>
      </w:pPr>
      <w:r>
        <w:rPr>
          <w:rFonts w:hint="eastAsia"/>
        </w:rPr>
        <w:t>公路噪声源控制主要是从车速、路面噪声及减少异常噪声等方面入手。</w:t>
      </w:r>
    </w:p>
    <w:p>
      <w:pPr>
        <w:ind w:firstLine="480"/>
      </w:pPr>
      <w:r>
        <w:rPr>
          <w:rFonts w:hint="eastAsia"/>
        </w:rPr>
        <w:t>①车速：根据《福建省普通公路精细化设计指南（试行）》第四十章城镇化公路 14.3 规定：二级公路设计速度应采用</w:t>
      </w:r>
      <w:r>
        <w:t>6</w:t>
      </w:r>
      <w:r>
        <w:rPr>
          <w:rFonts w:hint="eastAsia"/>
        </w:rPr>
        <w:t>0km/h、</w:t>
      </w:r>
      <w:r>
        <w:t>40</w:t>
      </w:r>
      <w:r>
        <w:rPr>
          <w:rFonts w:hint="eastAsia"/>
        </w:rPr>
        <w:t>km</w:t>
      </w:r>
      <w:r>
        <w:t>/</w:t>
      </w:r>
      <w:r>
        <w:rPr>
          <w:rFonts w:hint="eastAsia"/>
        </w:rPr>
        <w:t>h，三级公路采用</w:t>
      </w:r>
      <w:r>
        <w:t>4</w:t>
      </w:r>
      <w:r>
        <w:rPr>
          <w:rFonts w:hint="eastAsia"/>
        </w:rPr>
        <w:t>0km/h、</w:t>
      </w:r>
      <w:r>
        <w:t>30</w:t>
      </w:r>
      <w:r>
        <w:rPr>
          <w:rFonts w:hint="eastAsia"/>
        </w:rPr>
        <w:t>km</w:t>
      </w:r>
      <w:r>
        <w:t>/</w:t>
      </w:r>
      <w:r>
        <w:rPr>
          <w:rFonts w:hint="eastAsia"/>
        </w:rPr>
        <w:t>h，本项目为</w:t>
      </w:r>
      <w:r>
        <w:rPr>
          <w:spacing w:val="-6"/>
        </w:rPr>
        <w:t>二级公路</w:t>
      </w:r>
      <w:r>
        <w:rPr>
          <w:rFonts w:hint="eastAsia"/>
          <w:spacing w:val="-6"/>
        </w:rPr>
        <w:t>，</w:t>
      </w:r>
      <w:r>
        <w:rPr>
          <w:rFonts w:hint="eastAsia"/>
        </w:rPr>
        <w:t>设计速度为</w:t>
      </w:r>
      <w:r>
        <w:t>6</w:t>
      </w:r>
      <w:r>
        <w:rPr>
          <w:rFonts w:hint="eastAsia"/>
        </w:rPr>
        <w:t>0km/h，考虑在经济技术可行的前提下是合理的。</w:t>
      </w:r>
    </w:p>
    <w:p>
      <w:pPr>
        <w:ind w:firstLine="480"/>
      </w:pPr>
      <w:r>
        <w:rPr>
          <w:rFonts w:hint="eastAsia"/>
        </w:rPr>
        <w:t>考虑到本项目敏感目标较为分散，同时部分敏感目标距离公路边界较近，本次评价采用4</w:t>
      </w:r>
      <w:r>
        <w:t>0</w:t>
      </w:r>
      <w:r>
        <w:rPr>
          <w:rFonts w:hint="eastAsia"/>
        </w:rPr>
        <w:t>km/h预测结果表明：在4a类标准适用区内，项目全路段昼间近、中、远期噪声达标距离分别为距离中心线</w:t>
      </w:r>
      <w:r>
        <w:t>9.4</w:t>
      </w:r>
      <w:r>
        <w:rPr>
          <w:rFonts w:hint="eastAsia"/>
        </w:rPr>
        <w:t>m、</w:t>
      </w:r>
      <w:r>
        <w:rPr>
          <w:rFonts w:cs="Times New Roman"/>
        </w:rPr>
        <w:t>9.8</w:t>
      </w:r>
      <w:r>
        <w:rPr>
          <w:rFonts w:hint="eastAsia"/>
        </w:rPr>
        <w:t>m和</w:t>
      </w:r>
      <w:r>
        <w:rPr>
          <w:rFonts w:cs="Times New Roman"/>
        </w:rPr>
        <w:t>10</w:t>
      </w:r>
      <w:r>
        <w:rPr>
          <w:rFonts w:hint="eastAsia"/>
        </w:rPr>
        <w:t>m；夜间近、中、远期噪声达标距离分别为距离中心线</w:t>
      </w:r>
      <w:r>
        <w:rPr>
          <w:rFonts w:cs="Times New Roman"/>
        </w:rPr>
        <w:t>13.4</w:t>
      </w:r>
      <w:r>
        <w:rPr>
          <w:rFonts w:hint="eastAsia"/>
        </w:rPr>
        <w:t>m、</w:t>
      </w:r>
      <w:r>
        <w:rPr>
          <w:rFonts w:cs="Times New Roman"/>
        </w:rPr>
        <w:t>13.8</w:t>
      </w:r>
      <w:r>
        <w:rPr>
          <w:rFonts w:hint="eastAsia"/>
        </w:rPr>
        <w:t>m和</w:t>
      </w:r>
      <w:r>
        <w:rPr>
          <w:rFonts w:hint="eastAsia" w:cs="Times New Roman"/>
        </w:rPr>
        <w:t>1</w:t>
      </w:r>
      <w:r>
        <w:rPr>
          <w:rFonts w:cs="Times New Roman"/>
        </w:rPr>
        <w:t>4.0</w:t>
      </w:r>
      <w:r>
        <w:rPr>
          <w:rFonts w:hint="eastAsia"/>
        </w:rPr>
        <w:t>m。本项目设计6</w:t>
      </w:r>
      <w:r>
        <w:t>0</w:t>
      </w:r>
      <w:r>
        <w:rPr>
          <w:rFonts w:hint="eastAsia"/>
        </w:rPr>
        <w:t>km/h预测超标的敏感目标牌边村新桥、上张村王房、联华村后郑、联华村西山等临路距离公路中心线距离均在1</w:t>
      </w:r>
      <w:r>
        <w:t>4</w:t>
      </w:r>
      <w:r>
        <w:rPr>
          <w:rFonts w:hint="eastAsia"/>
        </w:rPr>
        <w:t>m以内，因此，通过控制车速（4</w:t>
      </w:r>
      <w:r>
        <w:t>0</w:t>
      </w:r>
      <w:r>
        <w:rPr>
          <w:rFonts w:hint="eastAsia"/>
        </w:rPr>
        <w:t>km/h）的方法亦无法确保各敏感目标稳定达标，故本次评价不推荐采用控制车速的方法。</w:t>
      </w:r>
    </w:p>
    <w:p>
      <w:pPr>
        <w:pStyle w:val="87"/>
        <w:spacing w:before="163"/>
      </w:pPr>
      <w:r>
        <w:rPr>
          <w:rFonts w:hint="eastAsia"/>
        </w:rPr>
        <w:t>全线路段</w:t>
      </w:r>
      <w:r>
        <w:t>交通</w:t>
      </w:r>
      <w:r>
        <w:rPr>
          <w:rFonts w:hint="eastAsia"/>
        </w:rPr>
        <w:t>4</w:t>
      </w:r>
      <w:r>
        <w:t>0</w:t>
      </w:r>
      <w:r>
        <w:rPr>
          <w:rFonts w:hint="eastAsia"/>
        </w:rPr>
        <w:t>km/h</w:t>
      </w:r>
      <w:r>
        <w:t>噪声影响预测噪声级分布表</w:t>
      </w:r>
      <w:r>
        <w:rPr>
          <w:rFonts w:hint="eastAsia"/>
        </w:rPr>
        <w:t xml:space="preserve">    </w:t>
      </w:r>
      <w:r>
        <w:t>单位：dB（A）</w:t>
      </w:r>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4"/>
        <w:gridCol w:w="355"/>
        <w:gridCol w:w="491"/>
        <w:gridCol w:w="754"/>
        <w:gridCol w:w="588"/>
        <w:gridCol w:w="432"/>
        <w:gridCol w:w="432"/>
        <w:gridCol w:w="432"/>
        <w:gridCol w:w="432"/>
        <w:gridCol w:w="432"/>
        <w:gridCol w:w="432"/>
        <w:gridCol w:w="432"/>
        <w:gridCol w:w="432"/>
        <w:gridCol w:w="548"/>
        <w:gridCol w:w="660"/>
        <w:gridCol w:w="668"/>
        <w:gridCol w:w="553"/>
        <w:gridCol w:w="6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restart"/>
            <w:vAlign w:val="center"/>
          </w:tcPr>
          <w:p>
            <w:pPr>
              <w:pStyle w:val="105"/>
              <w:jc w:val="center"/>
            </w:pPr>
            <w:r>
              <w:rPr>
                <w:rFonts w:hint="eastAsia"/>
              </w:rPr>
              <w:t>路</w:t>
            </w:r>
          </w:p>
          <w:p>
            <w:pPr>
              <w:pStyle w:val="105"/>
              <w:jc w:val="center"/>
            </w:pPr>
            <w:r>
              <w:rPr>
                <w:rFonts w:hint="eastAsia"/>
              </w:rPr>
              <w:t>段</w:t>
            </w:r>
          </w:p>
        </w:tc>
        <w:tc>
          <w:tcPr>
            <w:tcW w:w="196" w:type="pct"/>
            <w:vMerge w:val="restart"/>
            <w:vAlign w:val="center"/>
          </w:tcPr>
          <w:p>
            <w:pPr>
              <w:pStyle w:val="105"/>
              <w:jc w:val="center"/>
            </w:pPr>
            <w:r>
              <w:t>营</w:t>
            </w:r>
          </w:p>
          <w:p>
            <w:pPr>
              <w:pStyle w:val="105"/>
              <w:jc w:val="center"/>
            </w:pPr>
            <w:r>
              <w:t>运</w:t>
            </w:r>
          </w:p>
          <w:p>
            <w:pPr>
              <w:pStyle w:val="105"/>
              <w:jc w:val="center"/>
            </w:pPr>
            <w:r>
              <w:t>期</w:t>
            </w:r>
          </w:p>
        </w:tc>
        <w:tc>
          <w:tcPr>
            <w:tcW w:w="271" w:type="pct"/>
            <w:vMerge w:val="restart"/>
            <w:vAlign w:val="center"/>
          </w:tcPr>
          <w:p>
            <w:pPr>
              <w:pStyle w:val="105"/>
              <w:jc w:val="center"/>
            </w:pPr>
            <w:r>
              <w:t>时</w:t>
            </w:r>
          </w:p>
          <w:p>
            <w:pPr>
              <w:pStyle w:val="105"/>
              <w:jc w:val="center"/>
            </w:pPr>
            <w:r>
              <w:t>段</w:t>
            </w:r>
          </w:p>
        </w:tc>
        <w:tc>
          <w:tcPr>
            <w:tcW w:w="2946" w:type="pct"/>
            <w:gridSpan w:val="11"/>
            <w:vAlign w:val="center"/>
          </w:tcPr>
          <w:p>
            <w:pPr>
              <w:pStyle w:val="105"/>
              <w:jc w:val="center"/>
            </w:pPr>
            <w:r>
              <w:t>预测点与</w:t>
            </w:r>
            <w:r>
              <w:rPr>
                <w:rFonts w:hint="eastAsia"/>
              </w:rPr>
              <w:t>公路</w:t>
            </w:r>
            <w:r>
              <w:t>中心线距离 (m)</w:t>
            </w:r>
          </w:p>
        </w:tc>
        <w:tc>
          <w:tcPr>
            <w:tcW w:w="732" w:type="pct"/>
            <w:gridSpan w:val="2"/>
            <w:vAlign w:val="center"/>
          </w:tcPr>
          <w:p>
            <w:pPr>
              <w:pStyle w:val="105"/>
              <w:jc w:val="center"/>
            </w:pPr>
            <w:r>
              <w:t>超4a类标准</w:t>
            </w:r>
          </w:p>
          <w:p>
            <w:pPr>
              <w:pStyle w:val="105"/>
              <w:jc w:val="center"/>
            </w:pPr>
            <w:r>
              <w:t>距离（m）</w:t>
            </w:r>
          </w:p>
        </w:tc>
        <w:tc>
          <w:tcPr>
            <w:tcW w:w="644" w:type="pct"/>
            <w:gridSpan w:val="2"/>
            <w:vAlign w:val="center"/>
          </w:tcPr>
          <w:p>
            <w:pPr>
              <w:pStyle w:val="105"/>
              <w:jc w:val="center"/>
            </w:pPr>
            <w:r>
              <w:t>2类标准距</w:t>
            </w:r>
          </w:p>
          <w:p>
            <w:pPr>
              <w:pStyle w:val="105"/>
              <w:jc w:val="center"/>
            </w:pPr>
            <w:r>
              <w:t>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continue"/>
            <w:vAlign w:val="center"/>
          </w:tcPr>
          <w:p>
            <w:pPr>
              <w:pStyle w:val="105"/>
              <w:jc w:val="center"/>
            </w:pPr>
          </w:p>
        </w:tc>
        <w:tc>
          <w:tcPr>
            <w:tcW w:w="271" w:type="pct"/>
            <w:vMerge w:val="continue"/>
            <w:vAlign w:val="center"/>
          </w:tcPr>
          <w:p>
            <w:pPr>
              <w:pStyle w:val="105"/>
              <w:jc w:val="center"/>
            </w:pPr>
          </w:p>
        </w:tc>
        <w:tc>
          <w:tcPr>
            <w:tcW w:w="416" w:type="pct"/>
            <w:vAlign w:val="center"/>
          </w:tcPr>
          <w:p>
            <w:pPr>
              <w:pStyle w:val="105"/>
              <w:jc w:val="center"/>
              <w:rPr>
                <w:sz w:val="22"/>
                <w:szCs w:val="22"/>
              </w:rPr>
            </w:pPr>
            <w:r>
              <w:rPr>
                <w:rFonts w:hint="eastAsia"/>
              </w:rPr>
              <w:t>1</w:t>
            </w:r>
            <w:r>
              <w:t>0</w:t>
            </w:r>
          </w:p>
        </w:tc>
        <w:tc>
          <w:tcPr>
            <w:tcW w:w="324" w:type="pct"/>
            <w:vAlign w:val="center"/>
          </w:tcPr>
          <w:p>
            <w:pPr>
              <w:pStyle w:val="105"/>
              <w:jc w:val="center"/>
            </w:pPr>
            <w:r>
              <w:rPr>
                <w:rFonts w:hint="eastAsia"/>
                <w:sz w:val="22"/>
                <w:szCs w:val="22"/>
              </w:rPr>
              <w:t>20</w:t>
            </w:r>
          </w:p>
        </w:tc>
        <w:tc>
          <w:tcPr>
            <w:tcW w:w="238" w:type="pct"/>
            <w:vAlign w:val="center"/>
          </w:tcPr>
          <w:p>
            <w:pPr>
              <w:pStyle w:val="105"/>
              <w:jc w:val="center"/>
            </w:pPr>
            <w:r>
              <w:rPr>
                <w:rFonts w:hint="eastAsia"/>
                <w:sz w:val="22"/>
                <w:szCs w:val="22"/>
              </w:rPr>
              <w:t>30</w:t>
            </w:r>
          </w:p>
        </w:tc>
        <w:tc>
          <w:tcPr>
            <w:tcW w:w="238" w:type="pct"/>
            <w:vAlign w:val="center"/>
          </w:tcPr>
          <w:p>
            <w:pPr>
              <w:pStyle w:val="105"/>
              <w:jc w:val="center"/>
            </w:pPr>
            <w:r>
              <w:rPr>
                <w:rFonts w:hint="eastAsia"/>
                <w:sz w:val="22"/>
                <w:szCs w:val="22"/>
              </w:rPr>
              <w:t>40</w:t>
            </w:r>
          </w:p>
        </w:tc>
        <w:tc>
          <w:tcPr>
            <w:tcW w:w="238" w:type="pct"/>
            <w:vAlign w:val="center"/>
          </w:tcPr>
          <w:p>
            <w:pPr>
              <w:pStyle w:val="105"/>
              <w:jc w:val="center"/>
            </w:pPr>
            <w:r>
              <w:rPr>
                <w:rFonts w:hint="eastAsia"/>
                <w:sz w:val="22"/>
                <w:szCs w:val="22"/>
              </w:rPr>
              <w:t>50</w:t>
            </w:r>
          </w:p>
        </w:tc>
        <w:tc>
          <w:tcPr>
            <w:tcW w:w="238" w:type="pct"/>
            <w:vAlign w:val="center"/>
          </w:tcPr>
          <w:p>
            <w:pPr>
              <w:pStyle w:val="105"/>
              <w:jc w:val="center"/>
            </w:pPr>
            <w:r>
              <w:rPr>
                <w:rFonts w:hint="eastAsia"/>
                <w:sz w:val="22"/>
                <w:szCs w:val="22"/>
              </w:rPr>
              <w:t>60</w:t>
            </w:r>
          </w:p>
        </w:tc>
        <w:tc>
          <w:tcPr>
            <w:tcW w:w="238" w:type="pct"/>
            <w:vAlign w:val="center"/>
          </w:tcPr>
          <w:p>
            <w:pPr>
              <w:pStyle w:val="105"/>
              <w:jc w:val="center"/>
            </w:pPr>
            <w:r>
              <w:rPr>
                <w:rFonts w:hint="eastAsia"/>
                <w:sz w:val="22"/>
                <w:szCs w:val="22"/>
              </w:rPr>
              <w:t>80</w:t>
            </w:r>
          </w:p>
        </w:tc>
        <w:tc>
          <w:tcPr>
            <w:tcW w:w="238" w:type="pct"/>
            <w:vAlign w:val="center"/>
          </w:tcPr>
          <w:p>
            <w:pPr>
              <w:pStyle w:val="105"/>
              <w:jc w:val="center"/>
            </w:pPr>
            <w:r>
              <w:rPr>
                <w:rFonts w:hint="eastAsia"/>
                <w:sz w:val="22"/>
                <w:szCs w:val="22"/>
              </w:rPr>
              <w:t>100</w:t>
            </w:r>
          </w:p>
        </w:tc>
        <w:tc>
          <w:tcPr>
            <w:tcW w:w="238" w:type="pct"/>
            <w:vAlign w:val="center"/>
          </w:tcPr>
          <w:p>
            <w:pPr>
              <w:pStyle w:val="105"/>
              <w:jc w:val="center"/>
            </w:pPr>
            <w:r>
              <w:rPr>
                <w:rFonts w:hint="eastAsia"/>
                <w:sz w:val="22"/>
                <w:szCs w:val="22"/>
              </w:rPr>
              <w:t>120</w:t>
            </w:r>
          </w:p>
        </w:tc>
        <w:tc>
          <w:tcPr>
            <w:tcW w:w="238" w:type="pct"/>
            <w:vAlign w:val="center"/>
          </w:tcPr>
          <w:p>
            <w:pPr>
              <w:pStyle w:val="105"/>
              <w:jc w:val="center"/>
            </w:pPr>
            <w:r>
              <w:rPr>
                <w:rFonts w:hint="eastAsia"/>
                <w:sz w:val="22"/>
                <w:szCs w:val="22"/>
              </w:rPr>
              <w:t>160</w:t>
            </w:r>
          </w:p>
        </w:tc>
        <w:tc>
          <w:tcPr>
            <w:tcW w:w="301" w:type="pct"/>
            <w:vAlign w:val="center"/>
          </w:tcPr>
          <w:p>
            <w:pPr>
              <w:pStyle w:val="105"/>
              <w:jc w:val="center"/>
            </w:pPr>
            <w:r>
              <w:rPr>
                <w:rFonts w:hint="eastAsia"/>
                <w:sz w:val="22"/>
                <w:szCs w:val="22"/>
              </w:rPr>
              <w:t>200</w:t>
            </w:r>
          </w:p>
        </w:tc>
        <w:tc>
          <w:tcPr>
            <w:tcW w:w="364" w:type="pct"/>
            <w:vAlign w:val="center"/>
          </w:tcPr>
          <w:p>
            <w:pPr>
              <w:pStyle w:val="105"/>
              <w:jc w:val="center"/>
            </w:pPr>
            <w:r>
              <w:t>距中</w:t>
            </w:r>
          </w:p>
          <w:p>
            <w:pPr>
              <w:pStyle w:val="105"/>
              <w:jc w:val="center"/>
            </w:pPr>
            <w:r>
              <w:t>心线</w:t>
            </w:r>
          </w:p>
        </w:tc>
        <w:tc>
          <w:tcPr>
            <w:tcW w:w="368" w:type="pct"/>
            <w:vAlign w:val="center"/>
          </w:tcPr>
          <w:p>
            <w:pPr>
              <w:pStyle w:val="105"/>
              <w:jc w:val="center"/>
            </w:pPr>
            <w:r>
              <w:rPr>
                <w:rFonts w:hint="eastAsia"/>
              </w:rPr>
              <w:t>公路边界线</w:t>
            </w:r>
          </w:p>
        </w:tc>
        <w:tc>
          <w:tcPr>
            <w:tcW w:w="305" w:type="pct"/>
            <w:vAlign w:val="center"/>
          </w:tcPr>
          <w:p>
            <w:pPr>
              <w:pStyle w:val="105"/>
              <w:jc w:val="center"/>
            </w:pPr>
            <w:r>
              <w:t>距中</w:t>
            </w:r>
          </w:p>
          <w:p>
            <w:pPr>
              <w:pStyle w:val="105"/>
              <w:jc w:val="center"/>
            </w:pPr>
            <w:r>
              <w:t>心线</w:t>
            </w:r>
          </w:p>
        </w:tc>
        <w:tc>
          <w:tcPr>
            <w:tcW w:w="339" w:type="pct"/>
            <w:vAlign w:val="center"/>
          </w:tcPr>
          <w:p>
            <w:pPr>
              <w:pStyle w:val="105"/>
              <w:jc w:val="center"/>
            </w:pPr>
            <w:r>
              <w:rPr>
                <w:rFonts w:hint="eastAsia"/>
              </w:rPr>
              <w:t>公路边界线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restart"/>
            <w:vAlign w:val="center"/>
          </w:tcPr>
          <w:p>
            <w:pPr>
              <w:pStyle w:val="105"/>
              <w:jc w:val="center"/>
            </w:pPr>
            <w:r>
              <w:rPr>
                <w:rFonts w:hint="eastAsia"/>
              </w:rPr>
              <w:t>全线</w:t>
            </w:r>
          </w:p>
        </w:tc>
        <w:tc>
          <w:tcPr>
            <w:tcW w:w="196" w:type="pct"/>
            <w:vMerge w:val="restart"/>
            <w:vAlign w:val="center"/>
          </w:tcPr>
          <w:p>
            <w:pPr>
              <w:pStyle w:val="105"/>
              <w:jc w:val="center"/>
            </w:pPr>
            <w:r>
              <w:t>近</w:t>
            </w:r>
          </w:p>
          <w:p>
            <w:pPr>
              <w:pStyle w:val="105"/>
              <w:jc w:val="center"/>
            </w:pPr>
            <w:r>
              <w:t>期</w:t>
            </w:r>
          </w:p>
        </w:tc>
        <w:tc>
          <w:tcPr>
            <w:tcW w:w="271" w:type="pct"/>
            <w:vAlign w:val="center"/>
          </w:tcPr>
          <w:p>
            <w:pPr>
              <w:pStyle w:val="105"/>
              <w:jc w:val="center"/>
            </w:pPr>
            <w:r>
              <w:t>昼间</w:t>
            </w:r>
          </w:p>
        </w:tc>
        <w:tc>
          <w:tcPr>
            <w:tcW w:w="416" w:type="pct"/>
            <w:vAlign w:val="center"/>
          </w:tcPr>
          <w:p>
            <w:pPr>
              <w:pStyle w:val="105"/>
              <w:jc w:val="center"/>
              <w:rPr>
                <w:rFonts w:cs="Times New Roman"/>
              </w:rPr>
            </w:pPr>
            <w:r>
              <w:rPr>
                <w:rFonts w:cs="Times New Roman"/>
              </w:rPr>
              <w:t xml:space="preserve">62.6 </w:t>
            </w:r>
          </w:p>
        </w:tc>
        <w:tc>
          <w:tcPr>
            <w:tcW w:w="324" w:type="pct"/>
            <w:vAlign w:val="center"/>
          </w:tcPr>
          <w:p>
            <w:pPr>
              <w:pStyle w:val="105"/>
              <w:jc w:val="center"/>
            </w:pPr>
            <w:r>
              <w:rPr>
                <w:rFonts w:cs="Times New Roman"/>
              </w:rPr>
              <w:t xml:space="preserve">56.9 </w:t>
            </w:r>
          </w:p>
        </w:tc>
        <w:tc>
          <w:tcPr>
            <w:tcW w:w="238" w:type="pct"/>
            <w:vAlign w:val="center"/>
          </w:tcPr>
          <w:p>
            <w:pPr>
              <w:pStyle w:val="105"/>
              <w:jc w:val="center"/>
            </w:pPr>
            <w:r>
              <w:rPr>
                <w:rFonts w:cs="Times New Roman"/>
              </w:rPr>
              <w:t xml:space="preserve">52.6 </w:t>
            </w:r>
          </w:p>
        </w:tc>
        <w:tc>
          <w:tcPr>
            <w:tcW w:w="238" w:type="pct"/>
            <w:vAlign w:val="center"/>
          </w:tcPr>
          <w:p>
            <w:pPr>
              <w:pStyle w:val="105"/>
              <w:jc w:val="center"/>
            </w:pPr>
            <w:r>
              <w:rPr>
                <w:rFonts w:cs="Times New Roman"/>
              </w:rPr>
              <w:t xml:space="preserve">50.1 </w:t>
            </w:r>
          </w:p>
        </w:tc>
        <w:tc>
          <w:tcPr>
            <w:tcW w:w="238" w:type="pct"/>
            <w:vAlign w:val="center"/>
          </w:tcPr>
          <w:p>
            <w:pPr>
              <w:pStyle w:val="105"/>
              <w:jc w:val="center"/>
            </w:pPr>
            <w:r>
              <w:rPr>
                <w:rFonts w:cs="Times New Roman"/>
              </w:rPr>
              <w:t xml:space="preserve">48.2 </w:t>
            </w:r>
          </w:p>
        </w:tc>
        <w:tc>
          <w:tcPr>
            <w:tcW w:w="238" w:type="pct"/>
            <w:vAlign w:val="center"/>
          </w:tcPr>
          <w:p>
            <w:pPr>
              <w:pStyle w:val="105"/>
              <w:jc w:val="center"/>
            </w:pPr>
            <w:r>
              <w:rPr>
                <w:rFonts w:cs="Times New Roman"/>
              </w:rPr>
              <w:t xml:space="preserve">46.8 </w:t>
            </w:r>
          </w:p>
        </w:tc>
        <w:tc>
          <w:tcPr>
            <w:tcW w:w="238" w:type="pct"/>
            <w:vAlign w:val="center"/>
          </w:tcPr>
          <w:p>
            <w:pPr>
              <w:pStyle w:val="105"/>
              <w:jc w:val="center"/>
            </w:pPr>
            <w:r>
              <w:rPr>
                <w:rFonts w:cs="Times New Roman"/>
              </w:rPr>
              <w:t xml:space="preserve">44.6 </w:t>
            </w:r>
          </w:p>
        </w:tc>
        <w:tc>
          <w:tcPr>
            <w:tcW w:w="238" w:type="pct"/>
            <w:vAlign w:val="center"/>
          </w:tcPr>
          <w:p>
            <w:pPr>
              <w:pStyle w:val="105"/>
              <w:jc w:val="center"/>
            </w:pPr>
            <w:r>
              <w:rPr>
                <w:rFonts w:cs="Times New Roman"/>
              </w:rPr>
              <w:t xml:space="preserve">43.0 </w:t>
            </w:r>
          </w:p>
        </w:tc>
        <w:tc>
          <w:tcPr>
            <w:tcW w:w="238" w:type="pct"/>
            <w:vAlign w:val="center"/>
          </w:tcPr>
          <w:p>
            <w:pPr>
              <w:pStyle w:val="105"/>
              <w:jc w:val="center"/>
            </w:pPr>
            <w:r>
              <w:rPr>
                <w:rFonts w:cs="Times New Roman"/>
              </w:rPr>
              <w:t xml:space="preserve">41.6 </w:t>
            </w:r>
          </w:p>
        </w:tc>
        <w:tc>
          <w:tcPr>
            <w:tcW w:w="238" w:type="pct"/>
            <w:vAlign w:val="center"/>
          </w:tcPr>
          <w:p>
            <w:pPr>
              <w:pStyle w:val="105"/>
              <w:jc w:val="center"/>
            </w:pPr>
            <w:r>
              <w:rPr>
                <w:rFonts w:cs="Times New Roman"/>
              </w:rPr>
              <w:t xml:space="preserve">39.5 </w:t>
            </w:r>
          </w:p>
        </w:tc>
        <w:tc>
          <w:tcPr>
            <w:tcW w:w="301" w:type="pct"/>
            <w:vAlign w:val="center"/>
          </w:tcPr>
          <w:p>
            <w:pPr>
              <w:pStyle w:val="105"/>
              <w:jc w:val="center"/>
            </w:pPr>
            <w:r>
              <w:rPr>
                <w:rFonts w:cs="Times New Roman"/>
              </w:rPr>
              <w:t xml:space="preserve">37.9 </w:t>
            </w:r>
          </w:p>
        </w:tc>
        <w:tc>
          <w:tcPr>
            <w:tcW w:w="364" w:type="pct"/>
            <w:vAlign w:val="center"/>
          </w:tcPr>
          <w:p>
            <w:pPr>
              <w:pStyle w:val="105"/>
              <w:jc w:val="center"/>
            </w:pPr>
            <w:r>
              <w:rPr>
                <w:rFonts w:cs="Times New Roman"/>
              </w:rPr>
              <w:t xml:space="preserve">9.4 </w:t>
            </w:r>
          </w:p>
        </w:tc>
        <w:tc>
          <w:tcPr>
            <w:tcW w:w="368" w:type="pct"/>
            <w:vAlign w:val="center"/>
          </w:tcPr>
          <w:p>
            <w:pPr>
              <w:pStyle w:val="105"/>
              <w:jc w:val="center"/>
            </w:pPr>
            <w:r>
              <w:rPr>
                <w:rFonts w:cs="Times New Roman"/>
              </w:rPr>
              <w:t xml:space="preserve">3.4 </w:t>
            </w:r>
          </w:p>
        </w:tc>
        <w:tc>
          <w:tcPr>
            <w:tcW w:w="305" w:type="pct"/>
            <w:vAlign w:val="center"/>
          </w:tcPr>
          <w:p>
            <w:pPr>
              <w:pStyle w:val="105"/>
              <w:jc w:val="center"/>
            </w:pPr>
            <w:r>
              <w:rPr>
                <w:rFonts w:cs="Times New Roman"/>
              </w:rPr>
              <w:t xml:space="preserve">15.8 </w:t>
            </w:r>
          </w:p>
        </w:tc>
        <w:tc>
          <w:tcPr>
            <w:tcW w:w="339" w:type="pct"/>
            <w:vAlign w:val="center"/>
          </w:tcPr>
          <w:p>
            <w:pPr>
              <w:pStyle w:val="105"/>
              <w:jc w:val="center"/>
            </w:pPr>
            <w:r>
              <w:rPr>
                <w:rFonts w:cs="Times New Roman"/>
              </w:rPr>
              <w:t xml:space="preserve">9.8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continue"/>
            <w:vAlign w:val="center"/>
          </w:tcPr>
          <w:p>
            <w:pPr>
              <w:pStyle w:val="105"/>
              <w:jc w:val="center"/>
            </w:pPr>
          </w:p>
        </w:tc>
        <w:tc>
          <w:tcPr>
            <w:tcW w:w="271" w:type="pct"/>
            <w:vAlign w:val="center"/>
          </w:tcPr>
          <w:p>
            <w:pPr>
              <w:pStyle w:val="105"/>
              <w:jc w:val="center"/>
            </w:pPr>
            <w:r>
              <w:t>夜间</w:t>
            </w:r>
          </w:p>
        </w:tc>
        <w:tc>
          <w:tcPr>
            <w:tcW w:w="416" w:type="pct"/>
            <w:vAlign w:val="center"/>
          </w:tcPr>
          <w:p>
            <w:pPr>
              <w:pStyle w:val="105"/>
              <w:jc w:val="center"/>
              <w:rPr>
                <w:rFonts w:cs="Times New Roman"/>
              </w:rPr>
            </w:pPr>
            <w:r>
              <w:rPr>
                <w:rFonts w:cs="Times New Roman"/>
              </w:rPr>
              <w:t xml:space="preserve">55.0 </w:t>
            </w:r>
          </w:p>
        </w:tc>
        <w:tc>
          <w:tcPr>
            <w:tcW w:w="324" w:type="pct"/>
            <w:vAlign w:val="center"/>
          </w:tcPr>
          <w:p>
            <w:pPr>
              <w:pStyle w:val="105"/>
              <w:jc w:val="center"/>
            </w:pPr>
            <w:r>
              <w:rPr>
                <w:rFonts w:cs="Times New Roman"/>
              </w:rPr>
              <w:t xml:space="preserve">49.3 </w:t>
            </w:r>
          </w:p>
        </w:tc>
        <w:tc>
          <w:tcPr>
            <w:tcW w:w="238" w:type="pct"/>
            <w:vAlign w:val="center"/>
          </w:tcPr>
          <w:p>
            <w:pPr>
              <w:pStyle w:val="105"/>
              <w:jc w:val="center"/>
            </w:pPr>
            <w:r>
              <w:rPr>
                <w:rFonts w:cs="Times New Roman"/>
              </w:rPr>
              <w:t xml:space="preserve">45.0 </w:t>
            </w:r>
          </w:p>
        </w:tc>
        <w:tc>
          <w:tcPr>
            <w:tcW w:w="238" w:type="pct"/>
            <w:vAlign w:val="center"/>
          </w:tcPr>
          <w:p>
            <w:pPr>
              <w:pStyle w:val="105"/>
              <w:jc w:val="center"/>
            </w:pPr>
            <w:r>
              <w:rPr>
                <w:rFonts w:cs="Times New Roman"/>
              </w:rPr>
              <w:t xml:space="preserve">42.5 </w:t>
            </w:r>
          </w:p>
        </w:tc>
        <w:tc>
          <w:tcPr>
            <w:tcW w:w="238" w:type="pct"/>
            <w:vAlign w:val="center"/>
          </w:tcPr>
          <w:p>
            <w:pPr>
              <w:pStyle w:val="105"/>
              <w:jc w:val="center"/>
            </w:pPr>
            <w:r>
              <w:rPr>
                <w:rFonts w:cs="Times New Roman"/>
              </w:rPr>
              <w:t xml:space="preserve">40.6 </w:t>
            </w:r>
          </w:p>
        </w:tc>
        <w:tc>
          <w:tcPr>
            <w:tcW w:w="238" w:type="pct"/>
            <w:vAlign w:val="center"/>
          </w:tcPr>
          <w:p>
            <w:pPr>
              <w:pStyle w:val="105"/>
              <w:jc w:val="center"/>
            </w:pPr>
            <w:r>
              <w:rPr>
                <w:rFonts w:cs="Times New Roman"/>
              </w:rPr>
              <w:t xml:space="preserve">39.2 </w:t>
            </w:r>
          </w:p>
        </w:tc>
        <w:tc>
          <w:tcPr>
            <w:tcW w:w="238" w:type="pct"/>
            <w:vAlign w:val="center"/>
          </w:tcPr>
          <w:p>
            <w:pPr>
              <w:pStyle w:val="105"/>
              <w:jc w:val="center"/>
            </w:pPr>
            <w:r>
              <w:rPr>
                <w:rFonts w:cs="Times New Roman"/>
              </w:rPr>
              <w:t xml:space="preserve">37.0 </w:t>
            </w:r>
          </w:p>
        </w:tc>
        <w:tc>
          <w:tcPr>
            <w:tcW w:w="238" w:type="pct"/>
            <w:vAlign w:val="center"/>
          </w:tcPr>
          <w:p>
            <w:pPr>
              <w:pStyle w:val="105"/>
              <w:jc w:val="center"/>
            </w:pPr>
            <w:r>
              <w:rPr>
                <w:rFonts w:cs="Times New Roman"/>
              </w:rPr>
              <w:t xml:space="preserve">35.4 </w:t>
            </w:r>
          </w:p>
        </w:tc>
        <w:tc>
          <w:tcPr>
            <w:tcW w:w="238" w:type="pct"/>
            <w:vAlign w:val="center"/>
          </w:tcPr>
          <w:p>
            <w:pPr>
              <w:pStyle w:val="105"/>
              <w:jc w:val="center"/>
            </w:pPr>
            <w:r>
              <w:rPr>
                <w:rFonts w:cs="Times New Roman"/>
              </w:rPr>
              <w:t xml:space="preserve">34.0 </w:t>
            </w:r>
          </w:p>
        </w:tc>
        <w:tc>
          <w:tcPr>
            <w:tcW w:w="238" w:type="pct"/>
            <w:vAlign w:val="center"/>
          </w:tcPr>
          <w:p>
            <w:pPr>
              <w:pStyle w:val="105"/>
              <w:jc w:val="center"/>
            </w:pPr>
            <w:r>
              <w:rPr>
                <w:rFonts w:cs="Times New Roman"/>
              </w:rPr>
              <w:t xml:space="preserve">32.0 </w:t>
            </w:r>
          </w:p>
        </w:tc>
        <w:tc>
          <w:tcPr>
            <w:tcW w:w="301" w:type="pct"/>
            <w:vAlign w:val="center"/>
          </w:tcPr>
          <w:p>
            <w:pPr>
              <w:pStyle w:val="105"/>
              <w:jc w:val="center"/>
            </w:pPr>
            <w:r>
              <w:rPr>
                <w:rFonts w:cs="Times New Roman"/>
              </w:rPr>
              <w:t xml:space="preserve">30.3 </w:t>
            </w:r>
          </w:p>
        </w:tc>
        <w:tc>
          <w:tcPr>
            <w:tcW w:w="364" w:type="pct"/>
            <w:vAlign w:val="center"/>
          </w:tcPr>
          <w:p>
            <w:pPr>
              <w:pStyle w:val="105"/>
              <w:jc w:val="center"/>
            </w:pPr>
            <w:r>
              <w:rPr>
                <w:rFonts w:cs="Times New Roman"/>
              </w:rPr>
              <w:t xml:space="preserve">13.4 </w:t>
            </w:r>
          </w:p>
        </w:tc>
        <w:tc>
          <w:tcPr>
            <w:tcW w:w="368" w:type="pct"/>
            <w:vAlign w:val="center"/>
          </w:tcPr>
          <w:p>
            <w:pPr>
              <w:pStyle w:val="105"/>
              <w:jc w:val="center"/>
            </w:pPr>
            <w:r>
              <w:rPr>
                <w:rFonts w:cs="Times New Roman"/>
              </w:rPr>
              <w:t xml:space="preserve">7.4 </w:t>
            </w:r>
          </w:p>
        </w:tc>
        <w:tc>
          <w:tcPr>
            <w:tcW w:w="305" w:type="pct"/>
            <w:vAlign w:val="center"/>
          </w:tcPr>
          <w:p>
            <w:pPr>
              <w:pStyle w:val="105"/>
              <w:jc w:val="center"/>
            </w:pPr>
            <w:r>
              <w:rPr>
                <w:rFonts w:cs="Times New Roman"/>
              </w:rPr>
              <w:t xml:space="preserve">18.9 </w:t>
            </w:r>
          </w:p>
        </w:tc>
        <w:tc>
          <w:tcPr>
            <w:tcW w:w="339" w:type="pct"/>
            <w:vAlign w:val="center"/>
          </w:tcPr>
          <w:p>
            <w:pPr>
              <w:pStyle w:val="105"/>
              <w:jc w:val="center"/>
            </w:pPr>
            <w:r>
              <w:rPr>
                <w:rFonts w:cs="Times New Roman"/>
              </w:rPr>
              <w:t xml:space="preserve">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restart"/>
            <w:vAlign w:val="center"/>
          </w:tcPr>
          <w:p>
            <w:pPr>
              <w:pStyle w:val="105"/>
              <w:jc w:val="center"/>
            </w:pPr>
            <w:r>
              <w:t>中</w:t>
            </w:r>
          </w:p>
          <w:p>
            <w:pPr>
              <w:pStyle w:val="105"/>
              <w:jc w:val="center"/>
            </w:pPr>
            <w:r>
              <w:t>期</w:t>
            </w:r>
          </w:p>
        </w:tc>
        <w:tc>
          <w:tcPr>
            <w:tcW w:w="271" w:type="pct"/>
            <w:vAlign w:val="center"/>
          </w:tcPr>
          <w:p>
            <w:pPr>
              <w:pStyle w:val="105"/>
              <w:jc w:val="center"/>
            </w:pPr>
            <w:r>
              <w:t>昼间</w:t>
            </w:r>
          </w:p>
        </w:tc>
        <w:tc>
          <w:tcPr>
            <w:tcW w:w="416" w:type="pct"/>
            <w:vAlign w:val="center"/>
          </w:tcPr>
          <w:p>
            <w:pPr>
              <w:pStyle w:val="105"/>
              <w:jc w:val="center"/>
              <w:rPr>
                <w:rFonts w:cs="Times New Roman"/>
              </w:rPr>
            </w:pPr>
            <w:r>
              <w:rPr>
                <w:rFonts w:cs="Times New Roman"/>
              </w:rPr>
              <w:t xml:space="preserve">63.6 </w:t>
            </w:r>
          </w:p>
        </w:tc>
        <w:tc>
          <w:tcPr>
            <w:tcW w:w="324" w:type="pct"/>
            <w:vAlign w:val="center"/>
          </w:tcPr>
          <w:p>
            <w:pPr>
              <w:pStyle w:val="105"/>
              <w:jc w:val="center"/>
            </w:pPr>
            <w:r>
              <w:rPr>
                <w:rFonts w:cs="Times New Roman"/>
              </w:rPr>
              <w:t xml:space="preserve">59.5 </w:t>
            </w:r>
          </w:p>
        </w:tc>
        <w:tc>
          <w:tcPr>
            <w:tcW w:w="238" w:type="pct"/>
            <w:vAlign w:val="center"/>
          </w:tcPr>
          <w:p>
            <w:pPr>
              <w:pStyle w:val="105"/>
              <w:jc w:val="center"/>
            </w:pPr>
            <w:r>
              <w:rPr>
                <w:rFonts w:cs="Times New Roman"/>
              </w:rPr>
              <w:t xml:space="preserve">56.1 </w:t>
            </w:r>
          </w:p>
        </w:tc>
        <w:tc>
          <w:tcPr>
            <w:tcW w:w="238" w:type="pct"/>
            <w:vAlign w:val="center"/>
          </w:tcPr>
          <w:p>
            <w:pPr>
              <w:pStyle w:val="105"/>
              <w:jc w:val="center"/>
            </w:pPr>
            <w:r>
              <w:rPr>
                <w:rFonts w:cs="Times New Roman"/>
              </w:rPr>
              <w:t xml:space="preserve">54.1 </w:t>
            </w:r>
          </w:p>
        </w:tc>
        <w:tc>
          <w:tcPr>
            <w:tcW w:w="238" w:type="pct"/>
            <w:vAlign w:val="center"/>
          </w:tcPr>
          <w:p>
            <w:pPr>
              <w:pStyle w:val="105"/>
              <w:jc w:val="center"/>
            </w:pPr>
            <w:r>
              <w:rPr>
                <w:rFonts w:cs="Times New Roman"/>
              </w:rPr>
              <w:t xml:space="preserve">52.8 </w:t>
            </w:r>
          </w:p>
        </w:tc>
        <w:tc>
          <w:tcPr>
            <w:tcW w:w="238" w:type="pct"/>
            <w:vAlign w:val="center"/>
          </w:tcPr>
          <w:p>
            <w:pPr>
              <w:pStyle w:val="105"/>
              <w:jc w:val="center"/>
            </w:pPr>
            <w:r>
              <w:rPr>
                <w:rFonts w:cs="Times New Roman"/>
              </w:rPr>
              <w:t xml:space="preserve">51.8 </w:t>
            </w:r>
          </w:p>
        </w:tc>
        <w:tc>
          <w:tcPr>
            <w:tcW w:w="238" w:type="pct"/>
            <w:vAlign w:val="center"/>
          </w:tcPr>
          <w:p>
            <w:pPr>
              <w:pStyle w:val="105"/>
              <w:jc w:val="center"/>
            </w:pPr>
            <w:r>
              <w:rPr>
                <w:rFonts w:cs="Times New Roman"/>
              </w:rPr>
              <w:t xml:space="preserve">50.2 </w:t>
            </w:r>
          </w:p>
        </w:tc>
        <w:tc>
          <w:tcPr>
            <w:tcW w:w="238" w:type="pct"/>
            <w:vAlign w:val="center"/>
          </w:tcPr>
          <w:p>
            <w:pPr>
              <w:pStyle w:val="105"/>
              <w:jc w:val="center"/>
            </w:pPr>
            <w:r>
              <w:rPr>
                <w:rFonts w:cs="Times New Roman"/>
              </w:rPr>
              <w:t xml:space="preserve">49.0 </w:t>
            </w:r>
          </w:p>
        </w:tc>
        <w:tc>
          <w:tcPr>
            <w:tcW w:w="238" w:type="pct"/>
            <w:vAlign w:val="center"/>
          </w:tcPr>
          <w:p>
            <w:pPr>
              <w:pStyle w:val="105"/>
              <w:jc w:val="center"/>
            </w:pPr>
            <w:r>
              <w:rPr>
                <w:rFonts w:cs="Times New Roman"/>
              </w:rPr>
              <w:t xml:space="preserve">48.1 </w:t>
            </w:r>
          </w:p>
        </w:tc>
        <w:tc>
          <w:tcPr>
            <w:tcW w:w="238" w:type="pct"/>
            <w:vAlign w:val="center"/>
          </w:tcPr>
          <w:p>
            <w:pPr>
              <w:pStyle w:val="105"/>
              <w:jc w:val="center"/>
            </w:pPr>
            <w:r>
              <w:rPr>
                <w:rFonts w:cs="Times New Roman"/>
              </w:rPr>
              <w:t xml:space="preserve">46.6 </w:t>
            </w:r>
          </w:p>
        </w:tc>
        <w:tc>
          <w:tcPr>
            <w:tcW w:w="301" w:type="pct"/>
            <w:vAlign w:val="center"/>
          </w:tcPr>
          <w:p>
            <w:pPr>
              <w:pStyle w:val="105"/>
              <w:jc w:val="center"/>
            </w:pPr>
            <w:r>
              <w:rPr>
                <w:rFonts w:cs="Times New Roman"/>
              </w:rPr>
              <w:t xml:space="preserve">45.5 </w:t>
            </w:r>
          </w:p>
        </w:tc>
        <w:tc>
          <w:tcPr>
            <w:tcW w:w="364" w:type="pct"/>
            <w:vAlign w:val="center"/>
          </w:tcPr>
          <w:p>
            <w:pPr>
              <w:pStyle w:val="105"/>
              <w:jc w:val="center"/>
            </w:pPr>
            <w:r>
              <w:rPr>
                <w:rFonts w:cs="Times New Roman"/>
              </w:rPr>
              <w:t xml:space="preserve">9.8 </w:t>
            </w:r>
          </w:p>
        </w:tc>
        <w:tc>
          <w:tcPr>
            <w:tcW w:w="368" w:type="pct"/>
            <w:vAlign w:val="center"/>
          </w:tcPr>
          <w:p>
            <w:pPr>
              <w:pStyle w:val="105"/>
              <w:jc w:val="center"/>
            </w:pPr>
            <w:r>
              <w:rPr>
                <w:rFonts w:cs="Times New Roman"/>
              </w:rPr>
              <w:t xml:space="preserve">3.8 </w:t>
            </w:r>
          </w:p>
        </w:tc>
        <w:tc>
          <w:tcPr>
            <w:tcW w:w="305" w:type="pct"/>
            <w:vAlign w:val="center"/>
          </w:tcPr>
          <w:p>
            <w:pPr>
              <w:pStyle w:val="105"/>
              <w:jc w:val="center"/>
            </w:pPr>
            <w:r>
              <w:rPr>
                <w:rFonts w:cs="Times New Roman"/>
              </w:rPr>
              <w:t xml:space="preserve">19.0 </w:t>
            </w:r>
          </w:p>
        </w:tc>
        <w:tc>
          <w:tcPr>
            <w:tcW w:w="339" w:type="pct"/>
            <w:vAlign w:val="center"/>
          </w:tcPr>
          <w:p>
            <w:pPr>
              <w:pStyle w:val="105"/>
              <w:jc w:val="center"/>
            </w:pPr>
            <w:r>
              <w:rPr>
                <w:rFonts w:cs="Times New Roman"/>
              </w:rPr>
              <w:t xml:space="preserve">13.0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continue"/>
            <w:vAlign w:val="center"/>
          </w:tcPr>
          <w:p>
            <w:pPr>
              <w:pStyle w:val="105"/>
              <w:jc w:val="center"/>
            </w:pPr>
          </w:p>
        </w:tc>
        <w:tc>
          <w:tcPr>
            <w:tcW w:w="271" w:type="pct"/>
            <w:vAlign w:val="center"/>
          </w:tcPr>
          <w:p>
            <w:pPr>
              <w:pStyle w:val="105"/>
              <w:jc w:val="center"/>
            </w:pPr>
            <w:r>
              <w:t>夜间</w:t>
            </w:r>
          </w:p>
        </w:tc>
        <w:tc>
          <w:tcPr>
            <w:tcW w:w="416" w:type="pct"/>
            <w:vAlign w:val="center"/>
          </w:tcPr>
          <w:p>
            <w:pPr>
              <w:pStyle w:val="105"/>
              <w:jc w:val="center"/>
              <w:rPr>
                <w:rFonts w:cs="Times New Roman"/>
              </w:rPr>
            </w:pPr>
            <w:r>
              <w:rPr>
                <w:rFonts w:cs="Times New Roman"/>
              </w:rPr>
              <w:t xml:space="preserve">55.4 </w:t>
            </w:r>
          </w:p>
        </w:tc>
        <w:tc>
          <w:tcPr>
            <w:tcW w:w="324" w:type="pct"/>
            <w:vAlign w:val="center"/>
          </w:tcPr>
          <w:p>
            <w:pPr>
              <w:pStyle w:val="105"/>
              <w:jc w:val="center"/>
            </w:pPr>
            <w:r>
              <w:rPr>
                <w:rFonts w:cs="Times New Roman"/>
              </w:rPr>
              <w:t xml:space="preserve">49.8 </w:t>
            </w:r>
          </w:p>
        </w:tc>
        <w:tc>
          <w:tcPr>
            <w:tcW w:w="238" w:type="pct"/>
            <w:vAlign w:val="center"/>
          </w:tcPr>
          <w:p>
            <w:pPr>
              <w:pStyle w:val="105"/>
              <w:jc w:val="center"/>
            </w:pPr>
            <w:r>
              <w:rPr>
                <w:rFonts w:cs="Times New Roman"/>
              </w:rPr>
              <w:t xml:space="preserve">45.5 </w:t>
            </w:r>
          </w:p>
        </w:tc>
        <w:tc>
          <w:tcPr>
            <w:tcW w:w="238" w:type="pct"/>
            <w:vAlign w:val="center"/>
          </w:tcPr>
          <w:p>
            <w:pPr>
              <w:pStyle w:val="105"/>
              <w:jc w:val="center"/>
            </w:pPr>
            <w:r>
              <w:rPr>
                <w:rFonts w:cs="Times New Roman"/>
              </w:rPr>
              <w:t xml:space="preserve">42.9 </w:t>
            </w:r>
          </w:p>
        </w:tc>
        <w:tc>
          <w:tcPr>
            <w:tcW w:w="238" w:type="pct"/>
            <w:vAlign w:val="center"/>
          </w:tcPr>
          <w:p>
            <w:pPr>
              <w:pStyle w:val="105"/>
              <w:jc w:val="center"/>
            </w:pPr>
            <w:r>
              <w:rPr>
                <w:rFonts w:cs="Times New Roman"/>
              </w:rPr>
              <w:t xml:space="preserve">41.1 </w:t>
            </w:r>
          </w:p>
        </w:tc>
        <w:tc>
          <w:tcPr>
            <w:tcW w:w="238" w:type="pct"/>
            <w:vAlign w:val="center"/>
          </w:tcPr>
          <w:p>
            <w:pPr>
              <w:pStyle w:val="105"/>
              <w:jc w:val="center"/>
            </w:pPr>
            <w:r>
              <w:rPr>
                <w:rFonts w:cs="Times New Roman"/>
              </w:rPr>
              <w:t xml:space="preserve">39.6 </w:t>
            </w:r>
          </w:p>
        </w:tc>
        <w:tc>
          <w:tcPr>
            <w:tcW w:w="238" w:type="pct"/>
            <w:vAlign w:val="center"/>
          </w:tcPr>
          <w:p>
            <w:pPr>
              <w:pStyle w:val="105"/>
              <w:jc w:val="center"/>
            </w:pPr>
            <w:r>
              <w:rPr>
                <w:rFonts w:cs="Times New Roman"/>
              </w:rPr>
              <w:t xml:space="preserve">37.5 </w:t>
            </w:r>
          </w:p>
        </w:tc>
        <w:tc>
          <w:tcPr>
            <w:tcW w:w="238" w:type="pct"/>
            <w:vAlign w:val="center"/>
          </w:tcPr>
          <w:p>
            <w:pPr>
              <w:pStyle w:val="105"/>
              <w:jc w:val="center"/>
            </w:pPr>
            <w:r>
              <w:rPr>
                <w:rFonts w:cs="Times New Roman"/>
              </w:rPr>
              <w:t xml:space="preserve">35.8 </w:t>
            </w:r>
          </w:p>
        </w:tc>
        <w:tc>
          <w:tcPr>
            <w:tcW w:w="238" w:type="pct"/>
            <w:vAlign w:val="center"/>
          </w:tcPr>
          <w:p>
            <w:pPr>
              <w:pStyle w:val="105"/>
              <w:jc w:val="center"/>
            </w:pPr>
            <w:r>
              <w:rPr>
                <w:rFonts w:cs="Times New Roman"/>
              </w:rPr>
              <w:t xml:space="preserve">34.5 </w:t>
            </w:r>
          </w:p>
        </w:tc>
        <w:tc>
          <w:tcPr>
            <w:tcW w:w="238" w:type="pct"/>
            <w:vAlign w:val="center"/>
          </w:tcPr>
          <w:p>
            <w:pPr>
              <w:pStyle w:val="105"/>
              <w:jc w:val="center"/>
            </w:pPr>
            <w:r>
              <w:rPr>
                <w:rFonts w:cs="Times New Roman"/>
              </w:rPr>
              <w:t xml:space="preserve">32.4 </w:t>
            </w:r>
          </w:p>
        </w:tc>
        <w:tc>
          <w:tcPr>
            <w:tcW w:w="301" w:type="pct"/>
            <w:vAlign w:val="center"/>
          </w:tcPr>
          <w:p>
            <w:pPr>
              <w:pStyle w:val="105"/>
              <w:jc w:val="center"/>
            </w:pPr>
            <w:r>
              <w:rPr>
                <w:rFonts w:cs="Times New Roman"/>
              </w:rPr>
              <w:t xml:space="preserve">30.8 </w:t>
            </w:r>
          </w:p>
        </w:tc>
        <w:tc>
          <w:tcPr>
            <w:tcW w:w="364" w:type="pct"/>
            <w:vAlign w:val="center"/>
          </w:tcPr>
          <w:p>
            <w:pPr>
              <w:pStyle w:val="105"/>
              <w:jc w:val="center"/>
            </w:pPr>
            <w:r>
              <w:rPr>
                <w:rFonts w:cs="Times New Roman"/>
              </w:rPr>
              <w:t xml:space="preserve">13.8 </w:t>
            </w:r>
          </w:p>
        </w:tc>
        <w:tc>
          <w:tcPr>
            <w:tcW w:w="368" w:type="pct"/>
            <w:vAlign w:val="center"/>
          </w:tcPr>
          <w:p>
            <w:pPr>
              <w:pStyle w:val="105"/>
              <w:jc w:val="center"/>
            </w:pPr>
            <w:r>
              <w:rPr>
                <w:rFonts w:cs="Times New Roman"/>
              </w:rPr>
              <w:t xml:space="preserve">7.8 </w:t>
            </w:r>
          </w:p>
        </w:tc>
        <w:tc>
          <w:tcPr>
            <w:tcW w:w="305" w:type="pct"/>
            <w:vAlign w:val="center"/>
          </w:tcPr>
          <w:p>
            <w:pPr>
              <w:pStyle w:val="105"/>
              <w:jc w:val="center"/>
            </w:pPr>
            <w:r>
              <w:rPr>
                <w:rFonts w:cs="Times New Roman"/>
              </w:rPr>
              <w:t xml:space="preserve">19.6 </w:t>
            </w:r>
          </w:p>
        </w:tc>
        <w:tc>
          <w:tcPr>
            <w:tcW w:w="339" w:type="pct"/>
            <w:vAlign w:val="center"/>
          </w:tcPr>
          <w:p>
            <w:pPr>
              <w:pStyle w:val="105"/>
              <w:jc w:val="center"/>
            </w:pPr>
            <w:r>
              <w:rPr>
                <w:rFonts w:cs="Times New Roman"/>
              </w:rPr>
              <w:t xml:space="preserve">13.6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restart"/>
            <w:vAlign w:val="center"/>
          </w:tcPr>
          <w:p>
            <w:pPr>
              <w:pStyle w:val="105"/>
              <w:jc w:val="center"/>
            </w:pPr>
            <w:r>
              <w:t>远</w:t>
            </w:r>
          </w:p>
          <w:p>
            <w:pPr>
              <w:pStyle w:val="105"/>
              <w:jc w:val="center"/>
            </w:pPr>
            <w:r>
              <w:t>期</w:t>
            </w:r>
          </w:p>
        </w:tc>
        <w:tc>
          <w:tcPr>
            <w:tcW w:w="271" w:type="pct"/>
            <w:vAlign w:val="center"/>
          </w:tcPr>
          <w:p>
            <w:pPr>
              <w:pStyle w:val="105"/>
              <w:jc w:val="center"/>
            </w:pPr>
            <w:r>
              <w:t>昼间</w:t>
            </w:r>
          </w:p>
        </w:tc>
        <w:tc>
          <w:tcPr>
            <w:tcW w:w="416" w:type="pct"/>
            <w:vAlign w:val="center"/>
          </w:tcPr>
          <w:p>
            <w:pPr>
              <w:pStyle w:val="105"/>
              <w:jc w:val="center"/>
              <w:rPr>
                <w:rFonts w:cs="Times New Roman"/>
              </w:rPr>
            </w:pPr>
            <w:r>
              <w:rPr>
                <w:rFonts w:cs="Times New Roman"/>
              </w:rPr>
              <w:t xml:space="preserve">63.9 </w:t>
            </w:r>
          </w:p>
        </w:tc>
        <w:tc>
          <w:tcPr>
            <w:tcW w:w="324" w:type="pct"/>
            <w:vAlign w:val="center"/>
          </w:tcPr>
          <w:p>
            <w:pPr>
              <w:pStyle w:val="105"/>
              <w:jc w:val="center"/>
            </w:pPr>
            <w:r>
              <w:rPr>
                <w:rFonts w:cs="Times New Roman"/>
              </w:rPr>
              <w:t xml:space="preserve">59.7 </w:t>
            </w:r>
          </w:p>
        </w:tc>
        <w:tc>
          <w:tcPr>
            <w:tcW w:w="238" w:type="pct"/>
            <w:vAlign w:val="center"/>
          </w:tcPr>
          <w:p>
            <w:pPr>
              <w:pStyle w:val="105"/>
              <w:jc w:val="center"/>
            </w:pPr>
            <w:r>
              <w:rPr>
                <w:rFonts w:cs="Times New Roman"/>
              </w:rPr>
              <w:t xml:space="preserve">56.3 </w:t>
            </w:r>
          </w:p>
        </w:tc>
        <w:tc>
          <w:tcPr>
            <w:tcW w:w="238" w:type="pct"/>
            <w:vAlign w:val="center"/>
          </w:tcPr>
          <w:p>
            <w:pPr>
              <w:pStyle w:val="105"/>
              <w:jc w:val="center"/>
            </w:pPr>
            <w:r>
              <w:rPr>
                <w:rFonts w:cs="Times New Roman"/>
              </w:rPr>
              <w:t xml:space="preserve">54.4 </w:t>
            </w:r>
          </w:p>
        </w:tc>
        <w:tc>
          <w:tcPr>
            <w:tcW w:w="238" w:type="pct"/>
            <w:vAlign w:val="center"/>
          </w:tcPr>
          <w:p>
            <w:pPr>
              <w:pStyle w:val="105"/>
              <w:jc w:val="center"/>
            </w:pPr>
            <w:r>
              <w:rPr>
                <w:rFonts w:cs="Times New Roman"/>
              </w:rPr>
              <w:t xml:space="preserve">53.0 </w:t>
            </w:r>
          </w:p>
        </w:tc>
        <w:tc>
          <w:tcPr>
            <w:tcW w:w="238" w:type="pct"/>
            <w:vAlign w:val="center"/>
          </w:tcPr>
          <w:p>
            <w:pPr>
              <w:pStyle w:val="105"/>
              <w:jc w:val="center"/>
            </w:pPr>
            <w:r>
              <w:rPr>
                <w:rFonts w:cs="Times New Roman"/>
              </w:rPr>
              <w:t xml:space="preserve">52.0 </w:t>
            </w:r>
          </w:p>
        </w:tc>
        <w:tc>
          <w:tcPr>
            <w:tcW w:w="238" w:type="pct"/>
            <w:vAlign w:val="center"/>
          </w:tcPr>
          <w:p>
            <w:pPr>
              <w:pStyle w:val="105"/>
              <w:jc w:val="center"/>
            </w:pPr>
            <w:r>
              <w:rPr>
                <w:rFonts w:cs="Times New Roman"/>
              </w:rPr>
              <w:t xml:space="preserve">50.5 </w:t>
            </w:r>
          </w:p>
        </w:tc>
        <w:tc>
          <w:tcPr>
            <w:tcW w:w="238" w:type="pct"/>
            <w:vAlign w:val="center"/>
          </w:tcPr>
          <w:p>
            <w:pPr>
              <w:pStyle w:val="105"/>
              <w:jc w:val="center"/>
            </w:pPr>
            <w:r>
              <w:rPr>
                <w:rFonts w:cs="Times New Roman"/>
              </w:rPr>
              <w:t xml:space="preserve">49.3 </w:t>
            </w:r>
          </w:p>
        </w:tc>
        <w:tc>
          <w:tcPr>
            <w:tcW w:w="238" w:type="pct"/>
            <w:vAlign w:val="center"/>
          </w:tcPr>
          <w:p>
            <w:pPr>
              <w:pStyle w:val="105"/>
              <w:jc w:val="center"/>
            </w:pPr>
            <w:r>
              <w:rPr>
                <w:rFonts w:cs="Times New Roman"/>
              </w:rPr>
              <w:t xml:space="preserve">48.4 </w:t>
            </w:r>
          </w:p>
        </w:tc>
        <w:tc>
          <w:tcPr>
            <w:tcW w:w="238" w:type="pct"/>
            <w:vAlign w:val="center"/>
          </w:tcPr>
          <w:p>
            <w:pPr>
              <w:pStyle w:val="105"/>
              <w:jc w:val="center"/>
            </w:pPr>
            <w:r>
              <w:rPr>
                <w:rFonts w:cs="Times New Roman"/>
              </w:rPr>
              <w:t xml:space="preserve">46.9 </w:t>
            </w:r>
          </w:p>
        </w:tc>
        <w:tc>
          <w:tcPr>
            <w:tcW w:w="301" w:type="pct"/>
            <w:vAlign w:val="center"/>
          </w:tcPr>
          <w:p>
            <w:pPr>
              <w:pStyle w:val="105"/>
              <w:jc w:val="center"/>
            </w:pPr>
            <w:r>
              <w:rPr>
                <w:rFonts w:cs="Times New Roman"/>
              </w:rPr>
              <w:t xml:space="preserve">45.8 </w:t>
            </w:r>
          </w:p>
        </w:tc>
        <w:tc>
          <w:tcPr>
            <w:tcW w:w="364" w:type="pct"/>
            <w:vAlign w:val="center"/>
          </w:tcPr>
          <w:p>
            <w:pPr>
              <w:pStyle w:val="105"/>
              <w:jc w:val="center"/>
            </w:pPr>
            <w:r>
              <w:rPr>
                <w:rFonts w:cs="Times New Roman"/>
              </w:rPr>
              <w:t xml:space="preserve">10.0 </w:t>
            </w:r>
          </w:p>
        </w:tc>
        <w:tc>
          <w:tcPr>
            <w:tcW w:w="368" w:type="pct"/>
            <w:vAlign w:val="center"/>
          </w:tcPr>
          <w:p>
            <w:pPr>
              <w:pStyle w:val="105"/>
              <w:jc w:val="center"/>
            </w:pPr>
            <w:r>
              <w:rPr>
                <w:rFonts w:cs="Times New Roman"/>
              </w:rPr>
              <w:t xml:space="preserve">4.0 </w:t>
            </w:r>
          </w:p>
        </w:tc>
        <w:tc>
          <w:tcPr>
            <w:tcW w:w="305" w:type="pct"/>
            <w:vAlign w:val="center"/>
          </w:tcPr>
          <w:p>
            <w:pPr>
              <w:pStyle w:val="105"/>
              <w:jc w:val="center"/>
            </w:pPr>
            <w:r>
              <w:rPr>
                <w:rFonts w:cs="Times New Roman"/>
              </w:rPr>
              <w:t xml:space="preserve">19.4 </w:t>
            </w:r>
          </w:p>
        </w:tc>
        <w:tc>
          <w:tcPr>
            <w:tcW w:w="339" w:type="pct"/>
            <w:vAlign w:val="center"/>
          </w:tcPr>
          <w:p>
            <w:pPr>
              <w:pStyle w:val="105"/>
              <w:jc w:val="center"/>
            </w:pPr>
            <w:r>
              <w:rPr>
                <w:rFonts w:cs="Times New Roman"/>
              </w:rPr>
              <w:t xml:space="preserve">13.4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84" w:hRule="atLeast"/>
          <w:tblHeader/>
          <w:jc w:val="center"/>
        </w:trPr>
        <w:tc>
          <w:tcPr>
            <w:tcW w:w="212" w:type="pct"/>
            <w:vMerge w:val="continue"/>
            <w:vAlign w:val="center"/>
          </w:tcPr>
          <w:p>
            <w:pPr>
              <w:pStyle w:val="105"/>
              <w:jc w:val="center"/>
            </w:pPr>
          </w:p>
        </w:tc>
        <w:tc>
          <w:tcPr>
            <w:tcW w:w="196" w:type="pct"/>
            <w:vMerge w:val="continue"/>
            <w:vAlign w:val="center"/>
          </w:tcPr>
          <w:p>
            <w:pPr>
              <w:pStyle w:val="105"/>
              <w:jc w:val="center"/>
            </w:pPr>
          </w:p>
        </w:tc>
        <w:tc>
          <w:tcPr>
            <w:tcW w:w="271" w:type="pct"/>
            <w:vAlign w:val="center"/>
          </w:tcPr>
          <w:p>
            <w:pPr>
              <w:pStyle w:val="105"/>
              <w:jc w:val="center"/>
            </w:pPr>
            <w:r>
              <w:t>夜间</w:t>
            </w:r>
          </w:p>
        </w:tc>
        <w:tc>
          <w:tcPr>
            <w:tcW w:w="416" w:type="pct"/>
            <w:vAlign w:val="center"/>
          </w:tcPr>
          <w:p>
            <w:pPr>
              <w:pStyle w:val="105"/>
              <w:jc w:val="center"/>
              <w:rPr>
                <w:rFonts w:cs="Times New Roman"/>
              </w:rPr>
            </w:pPr>
            <w:r>
              <w:rPr>
                <w:rFonts w:cs="Times New Roman"/>
              </w:rPr>
              <w:t xml:space="preserve">55.7 </w:t>
            </w:r>
          </w:p>
        </w:tc>
        <w:tc>
          <w:tcPr>
            <w:tcW w:w="324" w:type="pct"/>
            <w:vAlign w:val="center"/>
          </w:tcPr>
          <w:p>
            <w:pPr>
              <w:pStyle w:val="105"/>
              <w:jc w:val="center"/>
            </w:pPr>
            <w:r>
              <w:rPr>
                <w:rFonts w:cs="Times New Roman"/>
              </w:rPr>
              <w:t xml:space="preserve">50.0 </w:t>
            </w:r>
          </w:p>
        </w:tc>
        <w:tc>
          <w:tcPr>
            <w:tcW w:w="238" w:type="pct"/>
            <w:vAlign w:val="center"/>
          </w:tcPr>
          <w:p>
            <w:pPr>
              <w:pStyle w:val="105"/>
              <w:jc w:val="center"/>
            </w:pPr>
            <w:r>
              <w:rPr>
                <w:rFonts w:cs="Times New Roman"/>
              </w:rPr>
              <w:t xml:space="preserve">45.7 </w:t>
            </w:r>
          </w:p>
        </w:tc>
        <w:tc>
          <w:tcPr>
            <w:tcW w:w="238" w:type="pct"/>
            <w:vAlign w:val="center"/>
          </w:tcPr>
          <w:p>
            <w:pPr>
              <w:pStyle w:val="105"/>
              <w:jc w:val="center"/>
            </w:pPr>
            <w:r>
              <w:rPr>
                <w:rFonts w:cs="Times New Roman"/>
              </w:rPr>
              <w:t xml:space="preserve">43.2 </w:t>
            </w:r>
          </w:p>
        </w:tc>
        <w:tc>
          <w:tcPr>
            <w:tcW w:w="238" w:type="pct"/>
            <w:vAlign w:val="center"/>
          </w:tcPr>
          <w:p>
            <w:pPr>
              <w:pStyle w:val="105"/>
              <w:jc w:val="center"/>
            </w:pPr>
            <w:r>
              <w:rPr>
                <w:rFonts w:cs="Times New Roman"/>
              </w:rPr>
              <w:t xml:space="preserve">41.3 </w:t>
            </w:r>
          </w:p>
        </w:tc>
        <w:tc>
          <w:tcPr>
            <w:tcW w:w="238" w:type="pct"/>
            <w:vAlign w:val="center"/>
          </w:tcPr>
          <w:p>
            <w:pPr>
              <w:pStyle w:val="105"/>
              <w:jc w:val="center"/>
            </w:pPr>
            <w:r>
              <w:rPr>
                <w:rFonts w:cs="Times New Roman"/>
              </w:rPr>
              <w:t xml:space="preserve">39.9 </w:t>
            </w:r>
          </w:p>
        </w:tc>
        <w:tc>
          <w:tcPr>
            <w:tcW w:w="238" w:type="pct"/>
            <w:vAlign w:val="center"/>
          </w:tcPr>
          <w:p>
            <w:pPr>
              <w:pStyle w:val="105"/>
              <w:jc w:val="center"/>
            </w:pPr>
            <w:r>
              <w:rPr>
                <w:rFonts w:cs="Times New Roman"/>
              </w:rPr>
              <w:t xml:space="preserve">37.7 </w:t>
            </w:r>
          </w:p>
        </w:tc>
        <w:tc>
          <w:tcPr>
            <w:tcW w:w="238" w:type="pct"/>
            <w:vAlign w:val="center"/>
          </w:tcPr>
          <w:p>
            <w:pPr>
              <w:pStyle w:val="105"/>
              <w:jc w:val="center"/>
            </w:pPr>
            <w:r>
              <w:rPr>
                <w:rFonts w:cs="Times New Roman"/>
              </w:rPr>
              <w:t xml:space="preserve">36.1 </w:t>
            </w:r>
          </w:p>
        </w:tc>
        <w:tc>
          <w:tcPr>
            <w:tcW w:w="238" w:type="pct"/>
            <w:vAlign w:val="center"/>
          </w:tcPr>
          <w:p>
            <w:pPr>
              <w:pStyle w:val="105"/>
              <w:jc w:val="center"/>
            </w:pPr>
            <w:r>
              <w:rPr>
                <w:rFonts w:cs="Times New Roman"/>
              </w:rPr>
              <w:t xml:space="preserve">34.7 </w:t>
            </w:r>
          </w:p>
        </w:tc>
        <w:tc>
          <w:tcPr>
            <w:tcW w:w="238" w:type="pct"/>
            <w:vAlign w:val="center"/>
          </w:tcPr>
          <w:p>
            <w:pPr>
              <w:pStyle w:val="105"/>
              <w:jc w:val="center"/>
            </w:pPr>
            <w:r>
              <w:rPr>
                <w:rFonts w:cs="Times New Roman"/>
              </w:rPr>
              <w:t xml:space="preserve">32.6 </w:t>
            </w:r>
          </w:p>
        </w:tc>
        <w:tc>
          <w:tcPr>
            <w:tcW w:w="301" w:type="pct"/>
            <w:vAlign w:val="center"/>
          </w:tcPr>
          <w:p>
            <w:pPr>
              <w:pStyle w:val="105"/>
              <w:jc w:val="center"/>
            </w:pPr>
            <w:r>
              <w:rPr>
                <w:rFonts w:cs="Times New Roman"/>
              </w:rPr>
              <w:t xml:space="preserve">31.0 </w:t>
            </w:r>
          </w:p>
        </w:tc>
        <w:tc>
          <w:tcPr>
            <w:tcW w:w="364" w:type="pct"/>
            <w:vAlign w:val="center"/>
          </w:tcPr>
          <w:p>
            <w:pPr>
              <w:pStyle w:val="105"/>
              <w:jc w:val="center"/>
            </w:pPr>
            <w:r>
              <w:rPr>
                <w:rFonts w:cs="Times New Roman"/>
              </w:rPr>
              <w:t xml:space="preserve">14.0 </w:t>
            </w:r>
          </w:p>
        </w:tc>
        <w:tc>
          <w:tcPr>
            <w:tcW w:w="368" w:type="pct"/>
            <w:vAlign w:val="center"/>
          </w:tcPr>
          <w:p>
            <w:pPr>
              <w:pStyle w:val="105"/>
              <w:jc w:val="center"/>
            </w:pPr>
            <w:r>
              <w:rPr>
                <w:rFonts w:cs="Times New Roman"/>
              </w:rPr>
              <w:t xml:space="preserve">8.0 </w:t>
            </w:r>
          </w:p>
        </w:tc>
        <w:tc>
          <w:tcPr>
            <w:tcW w:w="305" w:type="pct"/>
            <w:vAlign w:val="center"/>
          </w:tcPr>
          <w:p>
            <w:pPr>
              <w:pStyle w:val="105"/>
              <w:jc w:val="center"/>
            </w:pPr>
            <w:r>
              <w:rPr>
                <w:rFonts w:cs="Times New Roman"/>
              </w:rPr>
              <w:t xml:space="preserve">20.0 </w:t>
            </w:r>
          </w:p>
        </w:tc>
        <w:tc>
          <w:tcPr>
            <w:tcW w:w="339" w:type="pct"/>
            <w:vAlign w:val="center"/>
          </w:tcPr>
          <w:p>
            <w:pPr>
              <w:pStyle w:val="105"/>
              <w:jc w:val="center"/>
            </w:pPr>
            <w:r>
              <w:rPr>
                <w:rFonts w:cs="Times New Roman"/>
              </w:rPr>
              <w:t xml:space="preserve">14.0 </w:t>
            </w:r>
          </w:p>
        </w:tc>
      </w:tr>
    </w:tbl>
    <w:p>
      <w:pPr>
        <w:pStyle w:val="124"/>
        <w:spacing w:before="163"/>
        <w:ind w:firstLine="482"/>
      </w:pPr>
      <w:r>
        <w:rPr>
          <w:rFonts w:hint="eastAsia"/>
          <w:b/>
          <w:bCs/>
        </w:rPr>
        <w:t>②路面噪声控制：</w:t>
      </w:r>
      <w:r>
        <w:rPr>
          <w:rFonts w:hint="eastAsia"/>
        </w:rPr>
        <w:t>公路路面一般有沥青混凝土路面和水泥混凝土路面。与水泥混凝土路面相比，沥青路面表面平整无接缝，行车振动小，噪音低，开放交通快，养护简便。故本工程采用了沥青混凝土路面，以降低行车噪声等。</w:t>
      </w:r>
    </w:p>
    <w:p>
      <w:pPr>
        <w:ind w:firstLine="482"/>
      </w:pPr>
      <w:r>
        <w:rPr>
          <w:rFonts w:hint="eastAsia"/>
          <w:b/>
          <w:bCs/>
        </w:rPr>
        <w:t>③异常噪声：</w:t>
      </w:r>
      <w:r>
        <w:rPr>
          <w:rFonts w:hint="eastAsia"/>
        </w:rPr>
        <w:t>公路交通异常噪声主要为路面沉降造成的跳车异常噪声和司机人员频繁鸣笛尤为明显。因此，加强公路管理及路面养护，保持道路良好运营状态，减少路面沉降造成的跳车异常噪声现象。</w:t>
      </w:r>
    </w:p>
    <w:p>
      <w:pPr>
        <w:pStyle w:val="118"/>
      </w:pPr>
      <w:r>
        <w:rPr>
          <w:rFonts w:hint="eastAsia"/>
        </w:rPr>
        <w:t>传声途径噪声削减措施</w:t>
      </w:r>
    </w:p>
    <w:p>
      <w:pPr>
        <w:ind w:firstLine="480"/>
      </w:pPr>
      <w:r>
        <w:rPr>
          <w:rFonts w:hint="eastAsia"/>
        </w:rPr>
        <w:t>传声途径噪声削减措施主要为绿化林带降噪、声屏障及利用自然地形物降低噪声。</w:t>
      </w:r>
    </w:p>
    <w:p>
      <w:pPr>
        <w:ind w:firstLine="480"/>
      </w:pPr>
      <w:r>
        <w:rPr>
          <w:rFonts w:hint="eastAsia"/>
        </w:rPr>
        <w:t>（1）绿化林带降噪：根据导则推算，采用倍频带中心频率为 500Hz 时对应的衰减系数0.05dB(A)/m，50m 绿化林带引起的噪声衰减量可取 2.5dB(A)，但由于林带降噪效果受高度、疏密程度、林木种类等因素影响明显，实际效果差异较大，本项目沿线分布有大量基本农田，不具备绿化林带降噪的条件。</w:t>
      </w:r>
    </w:p>
    <w:p>
      <w:pPr>
        <w:ind w:firstLine="480"/>
      </w:pPr>
      <w:r>
        <w:rPr>
          <w:rFonts w:hint="eastAsia"/>
        </w:rPr>
        <w:t>（2）声屏障：声屏障适合于敏感点分布较密集且距道路较近的情况，相对于其他措施，声屏障具有容易实施，操作性强的优点，通常可降低1</w:t>
      </w:r>
      <w:r>
        <w:t>0</w:t>
      </w:r>
      <w:r>
        <w:rPr>
          <w:rFonts w:hint="eastAsia"/>
        </w:rPr>
        <w:t>～</w:t>
      </w:r>
      <w:r>
        <w:t>20</w:t>
      </w:r>
      <w:r>
        <w:rPr>
          <w:rFonts w:hint="eastAsia"/>
        </w:rPr>
        <w:t>dB(A)，但其费用也较高，且对公路形成隔断，并且</w:t>
      </w:r>
      <w:r>
        <w:t>某些形式的声屏障对景观</w:t>
      </w:r>
      <w:r>
        <w:rPr>
          <w:rFonts w:hint="eastAsia"/>
        </w:rPr>
        <w:t>有影</w:t>
      </w:r>
      <w:r>
        <w:t>响。</w:t>
      </w:r>
    </w:p>
    <w:p>
      <w:pPr>
        <w:ind w:firstLine="480"/>
      </w:pPr>
      <w:r>
        <w:rPr>
          <w:rFonts w:hint="eastAsia"/>
        </w:rPr>
        <w:t>根据沿线声环境敏感目标调查，本项目主要声环境敏感目标虽然局部分布相对集中，但由于沿线均为村庄，结合村民出行习惯、预测结果中远期超标量小、声屏障阻隔隔断等因素，因此，本项目不推荐设置声屏障。</w:t>
      </w:r>
    </w:p>
    <w:p>
      <w:pPr>
        <w:pStyle w:val="118"/>
      </w:pPr>
      <w:r>
        <w:rPr>
          <w:rFonts w:hint="eastAsia"/>
        </w:rPr>
        <w:t>敏感点噪声防护</w:t>
      </w:r>
    </w:p>
    <w:p>
      <w:pPr>
        <w:ind w:firstLine="480"/>
      </w:pPr>
      <w:r>
        <w:rPr>
          <w:rFonts w:hint="eastAsia"/>
        </w:rPr>
        <w:t>敏感点噪声防护主要有声环境保护目标搬迁、建筑物使用功能变更和对敏感建筑物进行噪声防护三种途径。目前国内常用的敏感点降噪措施主要有搬迁、隔声窗等，几种措施降噪效果详见</w:t>
      </w:r>
      <w:r>
        <w:fldChar w:fldCharType="begin"/>
      </w:r>
      <w:r>
        <w:instrText xml:space="preserve"> </w:instrText>
      </w:r>
      <w:r>
        <w:rPr>
          <w:rFonts w:hint="eastAsia"/>
        </w:rPr>
        <w:instrText xml:space="preserve">REF _Ref150758494 \r \h</w:instrText>
      </w:r>
      <w:r>
        <w:instrText xml:space="preserve">  \* MERGEFORMAT </w:instrText>
      </w:r>
      <w:r>
        <w:fldChar w:fldCharType="separate"/>
      </w:r>
      <w:r>
        <w:rPr>
          <w:rFonts w:hint="eastAsia"/>
        </w:rPr>
        <w:t>表7.4-3</w:t>
      </w:r>
      <w:r>
        <w:fldChar w:fldCharType="end"/>
      </w:r>
      <w:r>
        <w:rPr>
          <w:rFonts w:hint="eastAsia"/>
        </w:rPr>
        <w:t>。</w:t>
      </w:r>
    </w:p>
    <w:p>
      <w:pPr>
        <w:pStyle w:val="87"/>
        <w:spacing w:before="163"/>
        <w:ind w:left="480" w:firstLine="480"/>
      </w:pPr>
      <w:bookmarkStart w:id="571" w:name="_Ref150758494"/>
      <w:r>
        <w:t>噪声环保措施方案比较</w:t>
      </w:r>
      <w:bookmarkEnd w:id="571"/>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0"/>
        <w:gridCol w:w="2203"/>
        <w:gridCol w:w="885"/>
        <w:gridCol w:w="1926"/>
        <w:gridCol w:w="2453"/>
        <w:gridCol w:w="1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56" w:type="pct"/>
            <w:vAlign w:val="center"/>
          </w:tcPr>
          <w:p>
            <w:pPr>
              <w:pStyle w:val="105"/>
            </w:pPr>
            <w:r>
              <w:t>措施名称</w:t>
            </w:r>
          </w:p>
        </w:tc>
        <w:tc>
          <w:tcPr>
            <w:tcW w:w="1207" w:type="pct"/>
            <w:vAlign w:val="center"/>
          </w:tcPr>
          <w:p>
            <w:pPr>
              <w:pStyle w:val="105"/>
            </w:pPr>
            <w:r>
              <w:t>适用情况</w:t>
            </w:r>
          </w:p>
        </w:tc>
        <w:tc>
          <w:tcPr>
            <w:tcW w:w="485" w:type="pct"/>
            <w:vAlign w:val="center"/>
          </w:tcPr>
          <w:p>
            <w:pPr>
              <w:pStyle w:val="105"/>
            </w:pPr>
            <w:r>
              <w:t>降噪效果</w:t>
            </w:r>
          </w:p>
        </w:tc>
        <w:tc>
          <w:tcPr>
            <w:tcW w:w="1055" w:type="pct"/>
            <w:vAlign w:val="center"/>
          </w:tcPr>
          <w:p>
            <w:pPr>
              <w:pStyle w:val="105"/>
            </w:pPr>
            <w:r>
              <w:t>优点</w:t>
            </w:r>
          </w:p>
        </w:tc>
        <w:tc>
          <w:tcPr>
            <w:tcW w:w="1344" w:type="pct"/>
            <w:vAlign w:val="center"/>
          </w:tcPr>
          <w:p>
            <w:pPr>
              <w:pStyle w:val="105"/>
            </w:pPr>
            <w:r>
              <w:t>缺点</w:t>
            </w:r>
          </w:p>
        </w:tc>
        <w:tc>
          <w:tcPr>
            <w:tcW w:w="553" w:type="pct"/>
            <w:vAlign w:val="center"/>
          </w:tcPr>
          <w:p>
            <w:pPr>
              <w:pStyle w:val="105"/>
            </w:pPr>
            <w:r>
              <w:t>实施费用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56" w:type="pct"/>
            <w:vAlign w:val="center"/>
          </w:tcPr>
          <w:p>
            <w:pPr>
              <w:pStyle w:val="105"/>
            </w:pPr>
            <w:r>
              <w:t>搬迁</w:t>
            </w:r>
          </w:p>
        </w:tc>
        <w:tc>
          <w:tcPr>
            <w:tcW w:w="1207" w:type="pct"/>
            <w:vAlign w:val="center"/>
          </w:tcPr>
          <w:p>
            <w:pPr>
              <w:pStyle w:val="105"/>
            </w:pPr>
            <w:r>
              <w:t>超标严重的个别用户搬迁到不受影响的地方</w:t>
            </w:r>
          </w:p>
        </w:tc>
        <w:tc>
          <w:tcPr>
            <w:tcW w:w="485" w:type="pct"/>
            <w:vAlign w:val="center"/>
          </w:tcPr>
          <w:p>
            <w:pPr>
              <w:pStyle w:val="105"/>
            </w:pPr>
            <w:r>
              <w:rPr>
                <w:rFonts w:hint="eastAsia"/>
              </w:rPr>
              <w:t>消除影响</w:t>
            </w:r>
          </w:p>
        </w:tc>
        <w:tc>
          <w:tcPr>
            <w:tcW w:w="1055" w:type="pct"/>
            <w:vAlign w:val="center"/>
          </w:tcPr>
          <w:p>
            <w:pPr>
              <w:pStyle w:val="105"/>
            </w:pPr>
            <w:r>
              <w:t>降噪彻底，可以完全消除噪声影响</w:t>
            </w:r>
          </w:p>
        </w:tc>
        <w:tc>
          <w:tcPr>
            <w:tcW w:w="1344" w:type="pct"/>
            <w:vAlign w:val="center"/>
          </w:tcPr>
          <w:p>
            <w:pPr>
              <w:pStyle w:val="105"/>
            </w:pPr>
            <w:r>
              <w:t>考虑重新征用土地进行开发建设，综合投资巨大，同时实施搬迁也会产生新的环境问题</w:t>
            </w:r>
          </w:p>
        </w:tc>
        <w:tc>
          <w:tcPr>
            <w:tcW w:w="553" w:type="pct"/>
            <w:vAlign w:val="center"/>
          </w:tcPr>
          <w:p>
            <w:pPr>
              <w:pStyle w:val="105"/>
            </w:pPr>
            <w:r>
              <w:t>按</w:t>
            </w:r>
            <w:r>
              <w:rPr>
                <w:rFonts w:hint="eastAsia"/>
              </w:rPr>
              <w:t>50万～100万</w:t>
            </w:r>
            <w:r>
              <w:t>元/户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56" w:type="pct"/>
            <w:vAlign w:val="center"/>
          </w:tcPr>
          <w:p>
            <w:pPr>
              <w:pStyle w:val="105"/>
            </w:pPr>
            <w:r>
              <w:rPr>
                <w:rFonts w:hint="eastAsia"/>
              </w:rPr>
              <w:t>普通隔声</w:t>
            </w:r>
          </w:p>
          <w:p>
            <w:pPr>
              <w:pStyle w:val="105"/>
            </w:pPr>
            <w:r>
              <w:rPr>
                <w:rFonts w:hint="eastAsia"/>
              </w:rPr>
              <w:t>窗</w:t>
            </w:r>
          </w:p>
        </w:tc>
        <w:tc>
          <w:tcPr>
            <w:tcW w:w="1207" w:type="pct"/>
            <w:vAlign w:val="center"/>
          </w:tcPr>
          <w:p>
            <w:pPr>
              <w:pStyle w:val="105"/>
            </w:pPr>
            <w:r>
              <w:rPr>
                <w:rFonts w:hint="eastAsia"/>
              </w:rPr>
              <w:t>超标严重、分布分散、距离公路稍远的居民点或学校、医院。</w:t>
            </w:r>
          </w:p>
        </w:tc>
        <w:tc>
          <w:tcPr>
            <w:tcW w:w="485" w:type="pct"/>
            <w:vAlign w:val="center"/>
          </w:tcPr>
          <w:p>
            <w:pPr>
              <w:pStyle w:val="105"/>
            </w:pPr>
            <w:r>
              <w:t>6-15dB(A)</w:t>
            </w:r>
          </w:p>
        </w:tc>
        <w:tc>
          <w:tcPr>
            <w:tcW w:w="1055" w:type="pct"/>
            <w:vAlign w:val="center"/>
          </w:tcPr>
          <w:p>
            <w:pPr>
              <w:pStyle w:val="105"/>
            </w:pPr>
            <w:r>
              <w:rPr>
                <w:rFonts w:hint="eastAsia"/>
              </w:rPr>
              <w:t>降噪效果较好，费用适中，适用性强，对居民生活影响小。</w:t>
            </w:r>
          </w:p>
        </w:tc>
        <w:tc>
          <w:tcPr>
            <w:tcW w:w="1344" w:type="pct"/>
            <w:vAlign w:val="center"/>
          </w:tcPr>
          <w:p>
            <w:pPr>
              <w:pStyle w:val="105"/>
            </w:pPr>
            <w:r>
              <w:rPr>
                <w:rFonts w:hint="eastAsia"/>
              </w:rPr>
              <w:t>不通风，特别是夏天影响居民纳凉，实施较难，特别是农村地区。</w:t>
            </w:r>
          </w:p>
        </w:tc>
        <w:tc>
          <w:tcPr>
            <w:tcW w:w="553" w:type="pct"/>
            <w:vAlign w:val="center"/>
          </w:tcPr>
          <w:p>
            <w:pPr>
              <w:pStyle w:val="105"/>
            </w:pPr>
            <w:r>
              <w:t>4</w:t>
            </w:r>
            <w:r>
              <w:rPr>
                <w:rFonts w:hint="eastAsia"/>
              </w:rPr>
              <w:t>00-</w:t>
            </w:r>
            <w:r>
              <w:t>6</w:t>
            </w:r>
            <w:r>
              <w:rPr>
                <w:rFonts w:hint="eastAsia"/>
              </w:rPr>
              <w:t>00 元/m</w:t>
            </w:r>
            <w:r>
              <w:rPr>
                <w:rFonts w:hint="eastAsia"/>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56" w:type="pct"/>
            <w:vAlign w:val="center"/>
          </w:tcPr>
          <w:p>
            <w:pPr>
              <w:pStyle w:val="105"/>
            </w:pPr>
            <w:r>
              <w:rPr>
                <w:rFonts w:hint="eastAsia"/>
              </w:rPr>
              <w:t>通风隔声窗</w:t>
            </w:r>
          </w:p>
        </w:tc>
        <w:tc>
          <w:tcPr>
            <w:tcW w:w="1207" w:type="pct"/>
            <w:vAlign w:val="center"/>
          </w:tcPr>
          <w:p>
            <w:pPr>
              <w:pStyle w:val="105"/>
            </w:pPr>
            <w:r>
              <w:rPr>
                <w:rFonts w:hint="eastAsia"/>
              </w:rPr>
              <w:t>超标严重、分布分散、距离公路较远的居民点或学校、医院。</w:t>
            </w:r>
          </w:p>
        </w:tc>
        <w:tc>
          <w:tcPr>
            <w:tcW w:w="485" w:type="pct"/>
            <w:vAlign w:val="center"/>
          </w:tcPr>
          <w:p>
            <w:pPr>
              <w:pStyle w:val="105"/>
            </w:pPr>
            <w:r>
              <w:t>20~30dB(A)</w:t>
            </w:r>
          </w:p>
        </w:tc>
        <w:tc>
          <w:tcPr>
            <w:tcW w:w="1055" w:type="pct"/>
            <w:vAlign w:val="center"/>
          </w:tcPr>
          <w:p>
            <w:pPr>
              <w:pStyle w:val="105"/>
            </w:pPr>
            <w:r>
              <w:rPr>
                <w:rFonts w:hint="eastAsia"/>
              </w:rPr>
              <w:t>效果较好，降噪同时兼顾通风，费用适中。</w:t>
            </w:r>
          </w:p>
        </w:tc>
        <w:tc>
          <w:tcPr>
            <w:tcW w:w="1344" w:type="pct"/>
            <w:vAlign w:val="center"/>
          </w:tcPr>
          <w:p>
            <w:pPr>
              <w:pStyle w:val="105"/>
            </w:pPr>
            <w:r>
              <w:rPr>
                <w:rFonts w:hint="eastAsia"/>
              </w:rPr>
              <w:t>实施较难，特别是农</w:t>
            </w:r>
          </w:p>
          <w:p>
            <w:pPr>
              <w:pStyle w:val="105"/>
            </w:pPr>
            <w:r>
              <w:rPr>
                <w:rFonts w:hint="eastAsia"/>
              </w:rPr>
              <w:t>村地区。</w:t>
            </w:r>
          </w:p>
        </w:tc>
        <w:tc>
          <w:tcPr>
            <w:tcW w:w="553" w:type="pct"/>
            <w:vAlign w:val="center"/>
          </w:tcPr>
          <w:p>
            <w:pPr>
              <w:pStyle w:val="105"/>
            </w:pPr>
            <w:r>
              <w:t>800</w:t>
            </w:r>
            <w:r>
              <w:rPr>
                <w:rFonts w:hint="eastAsia"/>
              </w:rPr>
              <w:t>-</w:t>
            </w:r>
            <w:r>
              <w:t>12</w:t>
            </w:r>
            <w:r>
              <w:rPr>
                <w:rFonts w:hint="eastAsia"/>
              </w:rPr>
              <w:t>00 元/m</w:t>
            </w:r>
            <w:r>
              <w:rPr>
                <w:rFonts w:hint="eastAsia"/>
                <w:vertAlign w:val="superscript"/>
              </w:rPr>
              <w:t>2</w:t>
            </w:r>
          </w:p>
        </w:tc>
      </w:tr>
    </w:tbl>
    <w:p>
      <w:pPr>
        <w:pStyle w:val="851"/>
        <w:spacing w:before="163"/>
        <w:ind w:firstLine="480"/>
        <w:rPr>
          <w:color w:val="auto"/>
          <w:highlight w:val="yellow"/>
        </w:rPr>
      </w:pPr>
      <w:bookmarkStart w:id="572" w:name="_Hlk153908122"/>
      <w:bookmarkStart w:id="573" w:name="_Toc439084321"/>
      <w:r>
        <w:rPr>
          <w:rFonts w:hint="eastAsia"/>
          <w:color w:val="auto"/>
        </w:rPr>
        <w:t>从预测结果可以看出，项目运营期沿线敏感目标受交通噪声影响不大，仅临路第一排部分敏感点夜间出现部分超标，主要有牌边村新桥、上张村王房、联华村后郑、联华村西山近中远期夜间均出现不用程度超标，超标量近中远分别为</w:t>
      </w:r>
      <w:r>
        <w:rPr>
          <w:color w:val="auto"/>
        </w:rPr>
        <w:t>3.5~8.1</w:t>
      </w:r>
      <w:r>
        <w:rPr>
          <w:rFonts w:hint="eastAsia"/>
          <w:color w:val="auto"/>
        </w:rPr>
        <w:t>dB（A）、</w:t>
      </w:r>
      <w:r>
        <w:rPr>
          <w:color w:val="auto"/>
        </w:rPr>
        <w:t>3.9~8.1</w:t>
      </w:r>
      <w:r>
        <w:rPr>
          <w:rFonts w:hint="eastAsia"/>
          <w:color w:val="auto"/>
        </w:rPr>
        <w:t>dB（A）、</w:t>
      </w:r>
      <w:r>
        <w:rPr>
          <w:color w:val="auto"/>
        </w:rPr>
        <w:t>4.1 ~8.1</w:t>
      </w:r>
      <w:r>
        <w:rPr>
          <w:rFonts w:hint="eastAsia"/>
          <w:color w:val="auto"/>
        </w:rPr>
        <w:t>dB（A）。因此，本项目针对近中远夜间超标的牌边村新桥、上张村王房、联华村后郑、联华村西山设置通风隔声窗，同时预留资金，用于中远期跟踪监测。</w:t>
      </w:r>
      <w:bookmarkEnd w:id="572"/>
    </w:p>
    <w:p>
      <w:pPr>
        <w:pStyle w:val="118"/>
      </w:pPr>
      <w:r>
        <w:rPr>
          <w:rFonts w:hint="eastAsia"/>
        </w:rPr>
        <w:t>工程及管理措施</w:t>
      </w:r>
    </w:p>
    <w:p>
      <w:pPr>
        <w:ind w:firstLine="480"/>
      </w:pPr>
      <w:r>
        <w:rPr>
          <w:rFonts w:hint="eastAsia"/>
        </w:rPr>
        <w:t>①完善公路警示标志，临近村庄路段设立禁鸣、禁停等标志，以提醒过往车辆禁止鸣笛，不随意停车。</w:t>
      </w:r>
    </w:p>
    <w:p>
      <w:pPr>
        <w:ind w:firstLine="480"/>
      </w:pPr>
      <w:r>
        <w:rPr>
          <w:rFonts w:hint="eastAsia"/>
        </w:rPr>
        <w:t>②加强公路的维修保养，保持路面平整，尽可能减少路面下沉、裂缝、凹凸不平现象，减少汽车刹车、启动过程中产生的高声级，减少交通噪声扰民事件的发生。</w:t>
      </w:r>
    </w:p>
    <w:p>
      <w:pPr>
        <w:ind w:firstLine="480"/>
      </w:pPr>
      <w:r>
        <w:rPr>
          <w:rFonts w:hint="eastAsia"/>
        </w:rPr>
        <w:t>③加强运营期沿线敏感点的噪声监测，根据实际监测结果及时调整和完善噪声防治措施。</w:t>
      </w:r>
    </w:p>
    <w:p>
      <w:pPr>
        <w:pStyle w:val="118"/>
      </w:pPr>
      <w:r>
        <w:rPr>
          <w:rFonts w:hint="eastAsia"/>
        </w:rPr>
        <w:t>小结</w:t>
      </w:r>
    </w:p>
    <w:p>
      <w:pPr>
        <w:ind w:firstLine="480"/>
        <w:rPr>
          <w:highlight w:val="yellow"/>
        </w:rPr>
      </w:pPr>
      <w:r>
        <w:rPr>
          <w:rFonts w:hint="eastAsia"/>
        </w:rPr>
        <w:t>项目运营期沿线敏感目标受交通噪声影响不大，仅部分敏感点夜间出现部分超标，因此，本项目针对超标敏感目标设置通风隔声窗，同时预留资金，用于中远期跟踪监测。</w:t>
      </w:r>
    </w:p>
    <w:p>
      <w:pPr>
        <w:pStyle w:val="124"/>
        <w:spacing w:before="163"/>
        <w:rPr>
          <w:highlight w:val="yellow"/>
        </w:rPr>
        <w:sectPr>
          <w:pgSz w:w="11906" w:h="16838"/>
          <w:pgMar w:top="1418" w:right="1418" w:bottom="1418" w:left="1418" w:header="851" w:footer="850" w:gutter="0"/>
          <w:cols w:space="425" w:num="1"/>
          <w:docGrid w:type="lines" w:linePitch="326" w:charSpace="0"/>
        </w:sectPr>
      </w:pPr>
    </w:p>
    <w:p>
      <w:pPr>
        <w:pStyle w:val="124"/>
        <w:spacing w:before="163"/>
        <w:rPr>
          <w:highlight w:val="yellow"/>
        </w:rPr>
        <w:sectPr>
          <w:type w:val="continuous"/>
          <w:pgSz w:w="11906" w:h="16838"/>
          <w:pgMar w:top="1418" w:right="1418" w:bottom="1418" w:left="1418" w:header="851" w:footer="850" w:gutter="0"/>
          <w:cols w:space="425" w:num="1"/>
          <w:docGrid w:type="lines" w:linePitch="326" w:charSpace="0"/>
        </w:sectPr>
      </w:pPr>
    </w:p>
    <w:p>
      <w:pPr>
        <w:pStyle w:val="87"/>
        <w:spacing w:before="163"/>
        <w:ind w:left="480" w:firstLine="480"/>
      </w:pPr>
      <w:r>
        <w:rPr>
          <w:rFonts w:hint="eastAsia"/>
        </w:rPr>
        <w:t>公路交通噪声控制措施及投资表</w:t>
      </w:r>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79"/>
        <w:gridCol w:w="1481"/>
        <w:gridCol w:w="1291"/>
        <w:gridCol w:w="770"/>
        <w:gridCol w:w="762"/>
        <w:gridCol w:w="1005"/>
        <w:gridCol w:w="484"/>
        <w:gridCol w:w="518"/>
        <w:gridCol w:w="518"/>
        <w:gridCol w:w="521"/>
        <w:gridCol w:w="605"/>
        <w:gridCol w:w="605"/>
        <w:gridCol w:w="610"/>
        <w:gridCol w:w="554"/>
        <w:gridCol w:w="975"/>
        <w:gridCol w:w="664"/>
        <w:gridCol w:w="1210"/>
        <w:gridCol w:w="9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50" w:hRule="atLeast"/>
          <w:tblHeader/>
          <w:jc w:val="center"/>
        </w:trPr>
        <w:tc>
          <w:tcPr>
            <w:tcW w:w="171" w:type="pct"/>
            <w:vMerge w:val="restart"/>
            <w:vAlign w:val="center"/>
          </w:tcPr>
          <w:p>
            <w:pPr>
              <w:pStyle w:val="105"/>
              <w:jc w:val="center"/>
              <w:rPr>
                <w:sz w:val="18"/>
                <w:szCs w:val="18"/>
              </w:rPr>
            </w:pPr>
            <w:r>
              <w:rPr>
                <w:rFonts w:hint="eastAsia"/>
                <w:sz w:val="18"/>
                <w:szCs w:val="18"/>
              </w:rPr>
              <w:t>序号</w:t>
            </w:r>
          </w:p>
        </w:tc>
        <w:tc>
          <w:tcPr>
            <w:tcW w:w="529" w:type="pct"/>
            <w:vMerge w:val="restart"/>
            <w:vAlign w:val="center"/>
          </w:tcPr>
          <w:p>
            <w:pPr>
              <w:pStyle w:val="105"/>
              <w:jc w:val="center"/>
              <w:rPr>
                <w:sz w:val="18"/>
                <w:szCs w:val="18"/>
              </w:rPr>
            </w:pPr>
            <w:r>
              <w:rPr>
                <w:rFonts w:hint="eastAsia"/>
                <w:sz w:val="18"/>
                <w:szCs w:val="18"/>
              </w:rPr>
              <w:t>声环境</w:t>
            </w:r>
          </w:p>
          <w:p>
            <w:pPr>
              <w:pStyle w:val="105"/>
              <w:jc w:val="center"/>
              <w:rPr>
                <w:sz w:val="18"/>
                <w:szCs w:val="18"/>
              </w:rPr>
            </w:pPr>
            <w:r>
              <w:rPr>
                <w:rFonts w:hint="eastAsia"/>
                <w:sz w:val="18"/>
                <w:szCs w:val="18"/>
              </w:rPr>
              <w:t>保护目</w:t>
            </w:r>
          </w:p>
          <w:p>
            <w:pPr>
              <w:pStyle w:val="105"/>
              <w:jc w:val="center"/>
              <w:rPr>
                <w:sz w:val="18"/>
                <w:szCs w:val="18"/>
              </w:rPr>
            </w:pPr>
            <w:r>
              <w:rPr>
                <w:rFonts w:hint="eastAsia"/>
                <w:sz w:val="18"/>
                <w:szCs w:val="18"/>
              </w:rPr>
              <w:t>标名称</w:t>
            </w:r>
          </w:p>
        </w:tc>
        <w:tc>
          <w:tcPr>
            <w:tcW w:w="461" w:type="pct"/>
            <w:vMerge w:val="restart"/>
            <w:vAlign w:val="center"/>
          </w:tcPr>
          <w:p>
            <w:pPr>
              <w:pStyle w:val="105"/>
              <w:jc w:val="center"/>
              <w:rPr>
                <w:sz w:val="18"/>
                <w:szCs w:val="18"/>
              </w:rPr>
            </w:pPr>
            <w:r>
              <w:rPr>
                <w:rFonts w:hint="eastAsia"/>
                <w:sz w:val="18"/>
                <w:szCs w:val="18"/>
              </w:rPr>
              <w:t>里程</w:t>
            </w:r>
          </w:p>
          <w:p>
            <w:pPr>
              <w:pStyle w:val="105"/>
              <w:jc w:val="center"/>
              <w:rPr>
                <w:sz w:val="18"/>
                <w:szCs w:val="18"/>
              </w:rPr>
            </w:pPr>
            <w:r>
              <w:rPr>
                <w:rFonts w:hint="eastAsia"/>
                <w:sz w:val="18"/>
                <w:szCs w:val="18"/>
              </w:rPr>
              <w:t>范围</w:t>
            </w:r>
          </w:p>
        </w:tc>
        <w:tc>
          <w:tcPr>
            <w:tcW w:w="275" w:type="pct"/>
            <w:vMerge w:val="restart"/>
            <w:vAlign w:val="center"/>
          </w:tcPr>
          <w:p>
            <w:pPr>
              <w:pStyle w:val="105"/>
              <w:jc w:val="center"/>
              <w:rPr>
                <w:sz w:val="18"/>
                <w:szCs w:val="18"/>
              </w:rPr>
            </w:pPr>
            <w:r>
              <w:rPr>
                <w:rFonts w:hint="eastAsia"/>
                <w:sz w:val="18"/>
                <w:szCs w:val="18"/>
              </w:rPr>
              <w:t>距离路中心线/m</w:t>
            </w:r>
          </w:p>
        </w:tc>
        <w:tc>
          <w:tcPr>
            <w:tcW w:w="272" w:type="pct"/>
            <w:vMerge w:val="restart"/>
            <w:vAlign w:val="center"/>
          </w:tcPr>
          <w:p>
            <w:pPr>
              <w:pStyle w:val="105"/>
              <w:jc w:val="center"/>
              <w:rPr>
                <w:sz w:val="18"/>
                <w:szCs w:val="18"/>
              </w:rPr>
            </w:pPr>
            <w:r>
              <w:rPr>
                <w:rFonts w:hint="eastAsia"/>
                <w:sz w:val="18"/>
                <w:szCs w:val="18"/>
              </w:rPr>
              <w:t>高差/m</w:t>
            </w:r>
          </w:p>
        </w:tc>
        <w:tc>
          <w:tcPr>
            <w:tcW w:w="359" w:type="pct"/>
            <w:vMerge w:val="restart"/>
            <w:vAlign w:val="center"/>
          </w:tcPr>
          <w:p>
            <w:pPr>
              <w:pStyle w:val="105"/>
              <w:jc w:val="center"/>
              <w:rPr>
                <w:sz w:val="18"/>
                <w:szCs w:val="18"/>
              </w:rPr>
            </w:pPr>
            <w:r>
              <w:rPr>
                <w:rFonts w:hint="eastAsia"/>
                <w:sz w:val="18"/>
                <w:szCs w:val="18"/>
              </w:rPr>
              <w:t>声环境</w:t>
            </w:r>
          </w:p>
          <w:p>
            <w:pPr>
              <w:pStyle w:val="105"/>
              <w:jc w:val="center"/>
              <w:rPr>
                <w:sz w:val="18"/>
                <w:szCs w:val="18"/>
              </w:rPr>
            </w:pPr>
            <w:r>
              <w:rPr>
                <w:rFonts w:hint="eastAsia"/>
                <w:sz w:val="18"/>
                <w:szCs w:val="18"/>
              </w:rPr>
              <w:t>功能区划</w:t>
            </w:r>
          </w:p>
        </w:tc>
        <w:tc>
          <w:tcPr>
            <w:tcW w:w="173" w:type="pct"/>
            <w:vMerge w:val="restart"/>
            <w:vAlign w:val="center"/>
          </w:tcPr>
          <w:p>
            <w:pPr>
              <w:pStyle w:val="105"/>
              <w:jc w:val="center"/>
              <w:rPr>
                <w:sz w:val="18"/>
                <w:szCs w:val="18"/>
              </w:rPr>
            </w:pPr>
            <w:r>
              <w:rPr>
                <w:rFonts w:hint="eastAsia"/>
                <w:sz w:val="18"/>
                <w:szCs w:val="18"/>
              </w:rPr>
              <w:t>时段</w:t>
            </w:r>
          </w:p>
        </w:tc>
        <w:tc>
          <w:tcPr>
            <w:tcW w:w="556" w:type="pct"/>
            <w:gridSpan w:val="3"/>
            <w:vAlign w:val="center"/>
          </w:tcPr>
          <w:p>
            <w:pPr>
              <w:pStyle w:val="105"/>
              <w:jc w:val="center"/>
              <w:rPr>
                <w:sz w:val="18"/>
                <w:szCs w:val="18"/>
              </w:rPr>
            </w:pPr>
            <w:r>
              <w:rPr>
                <w:rFonts w:hint="eastAsia"/>
                <w:sz w:val="18"/>
                <w:szCs w:val="18"/>
              </w:rPr>
              <w:t>噪声预测值</w:t>
            </w:r>
            <w:r>
              <w:rPr>
                <w:sz w:val="18"/>
                <w:szCs w:val="18"/>
              </w:rPr>
              <w:t>/dB</w:t>
            </w:r>
          </w:p>
        </w:tc>
        <w:tc>
          <w:tcPr>
            <w:tcW w:w="650" w:type="pct"/>
            <w:gridSpan w:val="3"/>
            <w:vAlign w:val="center"/>
          </w:tcPr>
          <w:p>
            <w:pPr>
              <w:pStyle w:val="105"/>
              <w:jc w:val="center"/>
              <w:rPr>
                <w:sz w:val="18"/>
                <w:szCs w:val="18"/>
              </w:rPr>
            </w:pPr>
            <w:r>
              <w:rPr>
                <w:rFonts w:hint="eastAsia"/>
                <w:sz w:val="18"/>
                <w:szCs w:val="18"/>
              </w:rPr>
              <w:t>运营期超标量/dB</w:t>
            </w:r>
          </w:p>
        </w:tc>
        <w:tc>
          <w:tcPr>
            <w:tcW w:w="198" w:type="pct"/>
            <w:vMerge w:val="restart"/>
            <w:vAlign w:val="center"/>
          </w:tcPr>
          <w:p>
            <w:pPr>
              <w:pStyle w:val="105"/>
              <w:jc w:val="center"/>
              <w:rPr>
                <w:sz w:val="18"/>
                <w:szCs w:val="18"/>
              </w:rPr>
            </w:pPr>
            <w:r>
              <w:rPr>
                <w:rFonts w:hint="eastAsia"/>
                <w:sz w:val="18"/>
                <w:szCs w:val="18"/>
              </w:rPr>
              <w:t>受影响户数/户</w:t>
            </w:r>
          </w:p>
        </w:tc>
        <w:tc>
          <w:tcPr>
            <w:tcW w:w="1356" w:type="pct"/>
            <w:gridSpan w:val="4"/>
            <w:vAlign w:val="center"/>
          </w:tcPr>
          <w:p>
            <w:pPr>
              <w:pStyle w:val="105"/>
              <w:jc w:val="center"/>
              <w:rPr>
                <w:sz w:val="18"/>
                <w:szCs w:val="18"/>
              </w:rPr>
            </w:pPr>
            <w:r>
              <w:rPr>
                <w:rFonts w:hint="eastAsia"/>
                <w:sz w:val="18"/>
                <w:szCs w:val="18"/>
              </w:rPr>
              <w:t>噪声防治措施及投资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50" w:hRule="atLeast"/>
          <w:tblHeader/>
          <w:jc w:val="center"/>
        </w:trPr>
        <w:tc>
          <w:tcPr>
            <w:tcW w:w="171" w:type="pct"/>
            <w:vMerge w:val="continue"/>
            <w:vAlign w:val="center"/>
          </w:tcPr>
          <w:p>
            <w:pPr>
              <w:pStyle w:val="105"/>
              <w:jc w:val="center"/>
              <w:rPr>
                <w:sz w:val="18"/>
                <w:szCs w:val="18"/>
              </w:rPr>
            </w:pPr>
          </w:p>
        </w:tc>
        <w:tc>
          <w:tcPr>
            <w:tcW w:w="529" w:type="pct"/>
            <w:vMerge w:val="continue"/>
            <w:vAlign w:val="center"/>
          </w:tcPr>
          <w:p>
            <w:pPr>
              <w:pStyle w:val="105"/>
              <w:jc w:val="center"/>
              <w:rPr>
                <w:sz w:val="18"/>
                <w:szCs w:val="18"/>
              </w:rPr>
            </w:pPr>
          </w:p>
        </w:tc>
        <w:tc>
          <w:tcPr>
            <w:tcW w:w="461" w:type="pct"/>
            <w:vMerge w:val="continue"/>
            <w:vAlign w:val="center"/>
          </w:tcPr>
          <w:p>
            <w:pPr>
              <w:pStyle w:val="105"/>
              <w:jc w:val="center"/>
              <w:rPr>
                <w:sz w:val="18"/>
                <w:szCs w:val="18"/>
              </w:rPr>
            </w:pPr>
          </w:p>
        </w:tc>
        <w:tc>
          <w:tcPr>
            <w:tcW w:w="275" w:type="pct"/>
            <w:vMerge w:val="continue"/>
            <w:vAlign w:val="center"/>
          </w:tcPr>
          <w:p>
            <w:pPr>
              <w:pStyle w:val="105"/>
              <w:jc w:val="center"/>
              <w:rPr>
                <w:sz w:val="18"/>
                <w:szCs w:val="18"/>
              </w:rPr>
            </w:pPr>
          </w:p>
        </w:tc>
        <w:tc>
          <w:tcPr>
            <w:tcW w:w="272" w:type="pct"/>
            <w:vMerge w:val="continue"/>
            <w:vAlign w:val="center"/>
          </w:tcPr>
          <w:p>
            <w:pPr>
              <w:pStyle w:val="105"/>
              <w:jc w:val="center"/>
              <w:rPr>
                <w:sz w:val="18"/>
                <w:szCs w:val="18"/>
              </w:rPr>
            </w:pPr>
          </w:p>
        </w:tc>
        <w:tc>
          <w:tcPr>
            <w:tcW w:w="359" w:type="pct"/>
            <w:vMerge w:val="continue"/>
            <w:vAlign w:val="center"/>
          </w:tcPr>
          <w:p>
            <w:pPr>
              <w:pStyle w:val="105"/>
              <w:jc w:val="center"/>
              <w:rPr>
                <w:sz w:val="18"/>
                <w:szCs w:val="18"/>
              </w:rPr>
            </w:pPr>
          </w:p>
        </w:tc>
        <w:tc>
          <w:tcPr>
            <w:tcW w:w="173" w:type="pct"/>
            <w:vMerge w:val="continue"/>
            <w:vAlign w:val="center"/>
          </w:tcPr>
          <w:p>
            <w:pPr>
              <w:pStyle w:val="105"/>
              <w:jc w:val="center"/>
              <w:rPr>
                <w:sz w:val="18"/>
                <w:szCs w:val="18"/>
              </w:rPr>
            </w:pPr>
          </w:p>
        </w:tc>
        <w:tc>
          <w:tcPr>
            <w:tcW w:w="185" w:type="pct"/>
            <w:vAlign w:val="center"/>
          </w:tcPr>
          <w:p>
            <w:pPr>
              <w:pStyle w:val="105"/>
              <w:jc w:val="center"/>
              <w:rPr>
                <w:sz w:val="18"/>
                <w:szCs w:val="18"/>
              </w:rPr>
            </w:pPr>
            <w:r>
              <w:rPr>
                <w:rFonts w:hint="eastAsia"/>
                <w:sz w:val="18"/>
                <w:szCs w:val="18"/>
              </w:rPr>
              <w:t>近期</w:t>
            </w:r>
          </w:p>
        </w:tc>
        <w:tc>
          <w:tcPr>
            <w:tcW w:w="185" w:type="pct"/>
            <w:vAlign w:val="center"/>
          </w:tcPr>
          <w:p>
            <w:pPr>
              <w:pStyle w:val="105"/>
              <w:jc w:val="center"/>
              <w:rPr>
                <w:sz w:val="18"/>
                <w:szCs w:val="18"/>
              </w:rPr>
            </w:pPr>
            <w:r>
              <w:rPr>
                <w:rFonts w:hint="eastAsia"/>
                <w:sz w:val="18"/>
                <w:szCs w:val="18"/>
              </w:rPr>
              <w:t>中期</w:t>
            </w:r>
          </w:p>
        </w:tc>
        <w:tc>
          <w:tcPr>
            <w:tcW w:w="186" w:type="pct"/>
            <w:vAlign w:val="center"/>
          </w:tcPr>
          <w:p>
            <w:pPr>
              <w:pStyle w:val="105"/>
              <w:jc w:val="center"/>
              <w:rPr>
                <w:sz w:val="18"/>
                <w:szCs w:val="18"/>
              </w:rPr>
            </w:pPr>
            <w:r>
              <w:rPr>
                <w:rFonts w:hint="eastAsia"/>
                <w:sz w:val="18"/>
                <w:szCs w:val="18"/>
              </w:rPr>
              <w:t>远期</w:t>
            </w:r>
          </w:p>
        </w:tc>
        <w:tc>
          <w:tcPr>
            <w:tcW w:w="216" w:type="pct"/>
            <w:vAlign w:val="center"/>
          </w:tcPr>
          <w:p>
            <w:pPr>
              <w:pStyle w:val="105"/>
              <w:jc w:val="center"/>
              <w:rPr>
                <w:sz w:val="18"/>
                <w:szCs w:val="18"/>
              </w:rPr>
            </w:pPr>
            <w:r>
              <w:rPr>
                <w:rFonts w:hint="eastAsia"/>
                <w:sz w:val="18"/>
                <w:szCs w:val="18"/>
              </w:rPr>
              <w:t>近期</w:t>
            </w:r>
          </w:p>
        </w:tc>
        <w:tc>
          <w:tcPr>
            <w:tcW w:w="216" w:type="pct"/>
            <w:vAlign w:val="center"/>
          </w:tcPr>
          <w:p>
            <w:pPr>
              <w:pStyle w:val="105"/>
              <w:jc w:val="center"/>
              <w:rPr>
                <w:sz w:val="18"/>
                <w:szCs w:val="18"/>
              </w:rPr>
            </w:pPr>
            <w:r>
              <w:rPr>
                <w:rFonts w:hint="eastAsia"/>
                <w:sz w:val="18"/>
                <w:szCs w:val="18"/>
              </w:rPr>
              <w:t>中期</w:t>
            </w:r>
          </w:p>
        </w:tc>
        <w:tc>
          <w:tcPr>
            <w:tcW w:w="218" w:type="pct"/>
            <w:vAlign w:val="center"/>
          </w:tcPr>
          <w:p>
            <w:pPr>
              <w:pStyle w:val="105"/>
              <w:jc w:val="center"/>
              <w:rPr>
                <w:sz w:val="18"/>
                <w:szCs w:val="18"/>
              </w:rPr>
            </w:pPr>
            <w:r>
              <w:rPr>
                <w:rFonts w:hint="eastAsia"/>
                <w:sz w:val="18"/>
                <w:szCs w:val="18"/>
              </w:rPr>
              <w:t>远期</w:t>
            </w:r>
          </w:p>
        </w:tc>
        <w:tc>
          <w:tcPr>
            <w:tcW w:w="198" w:type="pct"/>
            <w:vMerge w:val="continue"/>
            <w:vAlign w:val="center"/>
          </w:tcPr>
          <w:p>
            <w:pPr>
              <w:pStyle w:val="105"/>
              <w:jc w:val="center"/>
              <w:rPr>
                <w:sz w:val="18"/>
                <w:szCs w:val="18"/>
              </w:rPr>
            </w:pPr>
          </w:p>
        </w:tc>
        <w:tc>
          <w:tcPr>
            <w:tcW w:w="348" w:type="pct"/>
            <w:vAlign w:val="center"/>
          </w:tcPr>
          <w:p>
            <w:pPr>
              <w:pStyle w:val="105"/>
              <w:jc w:val="center"/>
              <w:rPr>
                <w:sz w:val="18"/>
                <w:szCs w:val="18"/>
              </w:rPr>
            </w:pPr>
            <w:r>
              <w:rPr>
                <w:rFonts w:hint="eastAsia"/>
                <w:sz w:val="18"/>
                <w:szCs w:val="18"/>
              </w:rPr>
              <w:t>类型</w:t>
            </w:r>
          </w:p>
        </w:tc>
        <w:tc>
          <w:tcPr>
            <w:tcW w:w="237" w:type="pct"/>
            <w:vAlign w:val="center"/>
          </w:tcPr>
          <w:p>
            <w:pPr>
              <w:pStyle w:val="105"/>
              <w:jc w:val="center"/>
              <w:rPr>
                <w:sz w:val="18"/>
                <w:szCs w:val="18"/>
              </w:rPr>
            </w:pPr>
            <w:r>
              <w:rPr>
                <w:rFonts w:hint="eastAsia"/>
                <w:sz w:val="18"/>
                <w:szCs w:val="18"/>
              </w:rPr>
              <w:t>规模</w:t>
            </w:r>
          </w:p>
        </w:tc>
        <w:tc>
          <w:tcPr>
            <w:tcW w:w="432" w:type="pct"/>
            <w:vAlign w:val="center"/>
          </w:tcPr>
          <w:p>
            <w:pPr>
              <w:pStyle w:val="105"/>
              <w:jc w:val="center"/>
              <w:rPr>
                <w:sz w:val="18"/>
                <w:szCs w:val="18"/>
              </w:rPr>
            </w:pPr>
            <w:r>
              <w:rPr>
                <w:rFonts w:hint="eastAsia"/>
                <w:sz w:val="18"/>
                <w:szCs w:val="18"/>
              </w:rPr>
              <w:t>噪声控制措施效果</w:t>
            </w:r>
          </w:p>
        </w:tc>
        <w:tc>
          <w:tcPr>
            <w:tcW w:w="338" w:type="pct"/>
            <w:vAlign w:val="center"/>
          </w:tcPr>
          <w:p>
            <w:pPr>
              <w:pStyle w:val="105"/>
              <w:jc w:val="center"/>
              <w:rPr>
                <w:sz w:val="18"/>
                <w:szCs w:val="18"/>
              </w:rPr>
            </w:pPr>
            <w:r>
              <w:rPr>
                <w:rFonts w:hint="eastAsia"/>
                <w:sz w:val="18"/>
                <w:szCs w:val="18"/>
              </w:rPr>
              <w:t>措施投资</w:t>
            </w:r>
          </w:p>
          <w:p>
            <w:pPr>
              <w:pStyle w:val="105"/>
              <w:jc w:val="center"/>
              <w:rPr>
                <w:sz w:val="18"/>
                <w:szCs w:val="18"/>
              </w:rPr>
            </w:pPr>
            <w:r>
              <w:rPr>
                <w:rFonts w:hint="eastAsia"/>
                <w:sz w:val="18"/>
                <w:szCs w:val="18"/>
              </w:rPr>
              <w:t>/万元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71" w:hRule="atLeast"/>
          <w:tblHeader/>
          <w:jc w:val="center"/>
        </w:trPr>
        <w:tc>
          <w:tcPr>
            <w:tcW w:w="171" w:type="pct"/>
            <w:vMerge w:val="restart"/>
            <w:vAlign w:val="center"/>
          </w:tcPr>
          <w:p>
            <w:pPr>
              <w:pStyle w:val="105"/>
              <w:jc w:val="center"/>
              <w:rPr>
                <w:sz w:val="18"/>
                <w:szCs w:val="18"/>
              </w:rPr>
            </w:pPr>
            <w:r>
              <w:rPr>
                <w:rFonts w:hint="eastAsia"/>
                <w:sz w:val="18"/>
                <w:szCs w:val="18"/>
              </w:rPr>
              <w:t>1</w:t>
            </w:r>
          </w:p>
        </w:tc>
        <w:tc>
          <w:tcPr>
            <w:tcW w:w="529" w:type="pct"/>
            <w:vMerge w:val="restart"/>
            <w:vAlign w:val="center"/>
          </w:tcPr>
          <w:p>
            <w:pPr>
              <w:pStyle w:val="105"/>
              <w:jc w:val="center"/>
              <w:rPr>
                <w:sz w:val="18"/>
                <w:szCs w:val="18"/>
              </w:rPr>
            </w:pPr>
            <w:r>
              <w:rPr>
                <w:rFonts w:hint="eastAsia"/>
                <w:sz w:val="18"/>
                <w:szCs w:val="18"/>
              </w:rPr>
              <w:t>牌边村新桥临——拟建公路第一排（G</w:t>
            </w:r>
            <w:r>
              <w:rPr>
                <w:sz w:val="18"/>
                <w:szCs w:val="18"/>
              </w:rPr>
              <w:t>324</w:t>
            </w:r>
            <w:r>
              <w:rPr>
                <w:rFonts w:hint="eastAsia"/>
                <w:sz w:val="18"/>
                <w:szCs w:val="18"/>
              </w:rPr>
              <w:t>国道后排）</w:t>
            </w:r>
          </w:p>
        </w:tc>
        <w:tc>
          <w:tcPr>
            <w:tcW w:w="461" w:type="pct"/>
            <w:vMerge w:val="restart"/>
            <w:vAlign w:val="center"/>
          </w:tcPr>
          <w:p>
            <w:pPr>
              <w:pStyle w:val="105"/>
              <w:jc w:val="center"/>
              <w:rPr>
                <w:sz w:val="18"/>
                <w:szCs w:val="18"/>
              </w:rPr>
            </w:pPr>
            <w:r>
              <w:rPr>
                <w:rFonts w:hint="eastAsia"/>
                <w:sz w:val="18"/>
                <w:szCs w:val="18"/>
              </w:rPr>
              <w:t>起点~K0+140</w:t>
            </w:r>
          </w:p>
        </w:tc>
        <w:tc>
          <w:tcPr>
            <w:tcW w:w="275" w:type="pct"/>
            <w:vMerge w:val="restart"/>
            <w:vAlign w:val="center"/>
          </w:tcPr>
          <w:p>
            <w:pPr>
              <w:pStyle w:val="105"/>
              <w:jc w:val="center"/>
              <w:rPr>
                <w:sz w:val="18"/>
                <w:szCs w:val="18"/>
              </w:rPr>
            </w:pPr>
            <w:r>
              <w:rPr>
                <w:sz w:val="18"/>
                <w:szCs w:val="18"/>
              </w:rPr>
              <w:t>13</w:t>
            </w:r>
          </w:p>
        </w:tc>
        <w:tc>
          <w:tcPr>
            <w:tcW w:w="272" w:type="pct"/>
            <w:vMerge w:val="restart"/>
            <w:vAlign w:val="center"/>
          </w:tcPr>
          <w:p>
            <w:pPr>
              <w:pStyle w:val="105"/>
              <w:jc w:val="center"/>
              <w:rPr>
                <w:sz w:val="18"/>
                <w:szCs w:val="18"/>
              </w:rPr>
            </w:pPr>
            <w:r>
              <w:rPr>
                <w:rFonts w:hint="eastAsia"/>
                <w:sz w:val="18"/>
                <w:szCs w:val="18"/>
              </w:rPr>
              <w:t>0</w:t>
            </w:r>
            <w:r>
              <w:rPr>
                <w:sz w:val="18"/>
                <w:szCs w:val="18"/>
              </w:rPr>
              <w:t>~2</w:t>
            </w:r>
          </w:p>
        </w:tc>
        <w:tc>
          <w:tcPr>
            <w:tcW w:w="359" w:type="pct"/>
            <w:vMerge w:val="restart"/>
            <w:vAlign w:val="center"/>
          </w:tcPr>
          <w:p>
            <w:pPr>
              <w:pStyle w:val="105"/>
              <w:jc w:val="center"/>
              <w:rPr>
                <w:sz w:val="18"/>
                <w:szCs w:val="18"/>
              </w:rPr>
            </w:pPr>
            <w:r>
              <w:rPr>
                <w:sz w:val="18"/>
                <w:szCs w:val="18"/>
              </w:rPr>
              <w:t>4</w:t>
            </w:r>
            <w:r>
              <w:rPr>
                <w:rFonts w:hint="eastAsia"/>
                <w:sz w:val="18"/>
                <w:szCs w:val="18"/>
              </w:rPr>
              <w:t>a类区</w:t>
            </w:r>
          </w:p>
        </w:tc>
        <w:tc>
          <w:tcPr>
            <w:tcW w:w="173" w:type="pct"/>
            <w:vAlign w:val="center"/>
          </w:tcPr>
          <w:p>
            <w:pPr>
              <w:pStyle w:val="105"/>
              <w:jc w:val="center"/>
              <w:rPr>
                <w:sz w:val="18"/>
                <w:szCs w:val="18"/>
              </w:rPr>
            </w:pPr>
            <w:r>
              <w:rPr>
                <w:rFonts w:hint="eastAsia"/>
                <w:sz w:val="18"/>
                <w:szCs w:val="18"/>
              </w:rPr>
              <w:t>昼间</w:t>
            </w:r>
          </w:p>
        </w:tc>
        <w:tc>
          <w:tcPr>
            <w:tcW w:w="185" w:type="pct"/>
            <w:vAlign w:val="center"/>
          </w:tcPr>
          <w:p>
            <w:pPr>
              <w:pStyle w:val="105"/>
              <w:jc w:val="center"/>
            </w:pPr>
            <w:r>
              <w:t>66.7</w:t>
            </w:r>
          </w:p>
        </w:tc>
        <w:tc>
          <w:tcPr>
            <w:tcW w:w="185" w:type="pct"/>
            <w:vAlign w:val="center"/>
          </w:tcPr>
          <w:p>
            <w:pPr>
              <w:pStyle w:val="105"/>
              <w:jc w:val="center"/>
            </w:pPr>
            <w:r>
              <w:t>68.3</w:t>
            </w:r>
          </w:p>
        </w:tc>
        <w:tc>
          <w:tcPr>
            <w:tcW w:w="186" w:type="pct"/>
            <w:vAlign w:val="center"/>
          </w:tcPr>
          <w:p>
            <w:pPr>
              <w:pStyle w:val="105"/>
              <w:jc w:val="center"/>
            </w:pPr>
            <w:r>
              <w:t>68.6</w:t>
            </w:r>
          </w:p>
        </w:tc>
        <w:tc>
          <w:tcPr>
            <w:tcW w:w="216" w:type="pct"/>
            <w:vAlign w:val="center"/>
          </w:tcPr>
          <w:p>
            <w:pPr>
              <w:pStyle w:val="105"/>
              <w:jc w:val="center"/>
            </w:pPr>
            <w:r>
              <w:t>/</w:t>
            </w:r>
          </w:p>
        </w:tc>
        <w:tc>
          <w:tcPr>
            <w:tcW w:w="216" w:type="pct"/>
            <w:vAlign w:val="center"/>
          </w:tcPr>
          <w:p>
            <w:pPr>
              <w:pStyle w:val="105"/>
              <w:jc w:val="center"/>
            </w:pPr>
            <w:r>
              <w:t>/</w:t>
            </w:r>
          </w:p>
        </w:tc>
        <w:tc>
          <w:tcPr>
            <w:tcW w:w="218" w:type="pct"/>
            <w:vAlign w:val="center"/>
          </w:tcPr>
          <w:p>
            <w:pPr>
              <w:pStyle w:val="105"/>
              <w:jc w:val="center"/>
            </w:pPr>
            <w:r>
              <w:t>/</w:t>
            </w:r>
          </w:p>
        </w:tc>
        <w:tc>
          <w:tcPr>
            <w:tcW w:w="198" w:type="pct"/>
            <w:vMerge w:val="restart"/>
            <w:vAlign w:val="center"/>
          </w:tcPr>
          <w:p>
            <w:pPr>
              <w:pStyle w:val="105"/>
              <w:jc w:val="center"/>
              <w:rPr>
                <w:sz w:val="18"/>
                <w:szCs w:val="18"/>
              </w:rPr>
            </w:pPr>
            <w:r>
              <w:rPr>
                <w:sz w:val="18"/>
                <w:szCs w:val="18"/>
              </w:rPr>
              <w:t>6</w:t>
            </w:r>
            <w:r>
              <w:rPr>
                <w:rFonts w:hint="eastAsia"/>
                <w:sz w:val="18"/>
                <w:szCs w:val="18"/>
              </w:rPr>
              <w:t>户自建房</w:t>
            </w:r>
          </w:p>
        </w:tc>
        <w:tc>
          <w:tcPr>
            <w:tcW w:w="348" w:type="pct"/>
            <w:vMerge w:val="restart"/>
            <w:vAlign w:val="center"/>
          </w:tcPr>
          <w:p>
            <w:pPr>
              <w:pStyle w:val="105"/>
              <w:jc w:val="center"/>
              <w:rPr>
                <w:sz w:val="18"/>
                <w:szCs w:val="18"/>
              </w:rPr>
            </w:pPr>
            <w:r>
              <w:rPr>
                <w:rFonts w:hint="eastAsia"/>
                <w:sz w:val="18"/>
                <w:szCs w:val="18"/>
              </w:rPr>
              <w:t>通风隔声窗</w:t>
            </w:r>
          </w:p>
        </w:tc>
        <w:tc>
          <w:tcPr>
            <w:tcW w:w="237" w:type="pct"/>
            <w:vMerge w:val="restart"/>
            <w:vAlign w:val="center"/>
          </w:tcPr>
          <w:p>
            <w:pPr>
              <w:pStyle w:val="105"/>
              <w:jc w:val="center"/>
              <w:rPr>
                <w:sz w:val="18"/>
                <w:szCs w:val="18"/>
              </w:rPr>
            </w:pPr>
            <w:r>
              <w:rPr>
                <w:sz w:val="18"/>
                <w:szCs w:val="18"/>
              </w:rPr>
              <w:t>60</w:t>
            </w:r>
            <w:r>
              <w:rPr>
                <w:rFonts w:hint="eastAsia"/>
                <w:sz w:val="18"/>
                <w:szCs w:val="18"/>
              </w:rPr>
              <w:t>m</w:t>
            </w:r>
            <w:r>
              <w:rPr>
                <w:sz w:val="18"/>
                <w:szCs w:val="18"/>
                <w:vertAlign w:val="superscript"/>
              </w:rPr>
              <w:t>2</w:t>
            </w:r>
            <w:r>
              <w:rPr>
                <w:rFonts w:hint="eastAsia"/>
                <w:sz w:val="18"/>
                <w:szCs w:val="18"/>
              </w:rPr>
              <w:t>隔声窗</w:t>
            </w:r>
          </w:p>
        </w:tc>
        <w:tc>
          <w:tcPr>
            <w:tcW w:w="432" w:type="pct"/>
            <w:vMerge w:val="restart"/>
            <w:vAlign w:val="center"/>
          </w:tcPr>
          <w:p>
            <w:pPr>
              <w:pStyle w:val="105"/>
              <w:jc w:val="center"/>
              <w:rPr>
                <w:sz w:val="18"/>
                <w:szCs w:val="18"/>
              </w:rPr>
            </w:pPr>
            <w:r>
              <w:rPr>
                <w:rFonts w:hint="eastAsia"/>
                <w:sz w:val="18"/>
                <w:szCs w:val="18"/>
              </w:rPr>
              <w:t>隔声量≥</w:t>
            </w:r>
            <w:r>
              <w:rPr>
                <w:sz w:val="18"/>
                <w:szCs w:val="18"/>
              </w:rPr>
              <w:t>20</w:t>
            </w:r>
            <w:r>
              <w:rPr>
                <w:rFonts w:hint="eastAsia"/>
                <w:sz w:val="18"/>
                <w:szCs w:val="18"/>
              </w:rPr>
              <w:t>dB</w:t>
            </w:r>
          </w:p>
        </w:tc>
        <w:tc>
          <w:tcPr>
            <w:tcW w:w="338" w:type="pct"/>
            <w:vMerge w:val="restart"/>
            <w:vAlign w:val="center"/>
          </w:tcPr>
          <w:p>
            <w:pPr>
              <w:pStyle w:val="105"/>
              <w:jc w:val="center"/>
              <w:rPr>
                <w:sz w:val="18"/>
                <w:szCs w:val="18"/>
              </w:rPr>
            </w:pPr>
            <w:r>
              <w:rPr>
                <w:sz w:val="18"/>
                <w:szCs w:val="18"/>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51" w:hRule="atLeast"/>
          <w:tblHeader/>
          <w:jc w:val="center"/>
        </w:trPr>
        <w:tc>
          <w:tcPr>
            <w:tcW w:w="171" w:type="pct"/>
            <w:vMerge w:val="continue"/>
            <w:vAlign w:val="center"/>
          </w:tcPr>
          <w:p>
            <w:pPr>
              <w:pStyle w:val="105"/>
              <w:jc w:val="center"/>
              <w:rPr>
                <w:sz w:val="18"/>
                <w:szCs w:val="18"/>
              </w:rPr>
            </w:pPr>
          </w:p>
        </w:tc>
        <w:tc>
          <w:tcPr>
            <w:tcW w:w="529" w:type="pct"/>
            <w:vMerge w:val="continue"/>
            <w:vAlign w:val="center"/>
          </w:tcPr>
          <w:p>
            <w:pPr>
              <w:pStyle w:val="105"/>
              <w:jc w:val="center"/>
              <w:rPr>
                <w:sz w:val="18"/>
                <w:szCs w:val="18"/>
              </w:rPr>
            </w:pPr>
          </w:p>
        </w:tc>
        <w:tc>
          <w:tcPr>
            <w:tcW w:w="461" w:type="pct"/>
            <w:vMerge w:val="continue"/>
            <w:vAlign w:val="center"/>
          </w:tcPr>
          <w:p>
            <w:pPr>
              <w:pStyle w:val="105"/>
              <w:jc w:val="center"/>
              <w:rPr>
                <w:sz w:val="18"/>
                <w:szCs w:val="18"/>
              </w:rPr>
            </w:pPr>
          </w:p>
        </w:tc>
        <w:tc>
          <w:tcPr>
            <w:tcW w:w="275" w:type="pct"/>
            <w:vMerge w:val="continue"/>
            <w:vAlign w:val="center"/>
          </w:tcPr>
          <w:p>
            <w:pPr>
              <w:pStyle w:val="105"/>
              <w:jc w:val="center"/>
              <w:rPr>
                <w:sz w:val="18"/>
                <w:szCs w:val="18"/>
              </w:rPr>
            </w:pPr>
          </w:p>
        </w:tc>
        <w:tc>
          <w:tcPr>
            <w:tcW w:w="272" w:type="pct"/>
            <w:vMerge w:val="continue"/>
            <w:vAlign w:val="center"/>
          </w:tcPr>
          <w:p>
            <w:pPr>
              <w:pStyle w:val="105"/>
              <w:jc w:val="center"/>
              <w:rPr>
                <w:sz w:val="18"/>
                <w:szCs w:val="18"/>
              </w:rPr>
            </w:pPr>
          </w:p>
        </w:tc>
        <w:tc>
          <w:tcPr>
            <w:tcW w:w="359" w:type="pct"/>
            <w:vMerge w:val="continue"/>
            <w:vAlign w:val="center"/>
          </w:tcPr>
          <w:p>
            <w:pPr>
              <w:pStyle w:val="105"/>
              <w:jc w:val="center"/>
              <w:rPr>
                <w:sz w:val="18"/>
                <w:szCs w:val="18"/>
              </w:rPr>
            </w:pPr>
          </w:p>
        </w:tc>
        <w:tc>
          <w:tcPr>
            <w:tcW w:w="173" w:type="pct"/>
            <w:vAlign w:val="center"/>
          </w:tcPr>
          <w:p>
            <w:pPr>
              <w:pStyle w:val="105"/>
              <w:jc w:val="center"/>
              <w:rPr>
                <w:sz w:val="18"/>
                <w:szCs w:val="18"/>
              </w:rPr>
            </w:pPr>
            <w:r>
              <w:rPr>
                <w:rFonts w:hint="eastAsia"/>
                <w:sz w:val="18"/>
                <w:szCs w:val="18"/>
              </w:rPr>
              <w:t>夜间</w:t>
            </w:r>
          </w:p>
        </w:tc>
        <w:tc>
          <w:tcPr>
            <w:tcW w:w="185" w:type="pct"/>
            <w:vAlign w:val="center"/>
          </w:tcPr>
          <w:p>
            <w:pPr>
              <w:pStyle w:val="105"/>
              <w:jc w:val="center"/>
            </w:pPr>
            <w:r>
              <w:t>59.2</w:t>
            </w:r>
          </w:p>
        </w:tc>
        <w:tc>
          <w:tcPr>
            <w:tcW w:w="185" w:type="pct"/>
            <w:vAlign w:val="center"/>
          </w:tcPr>
          <w:p>
            <w:pPr>
              <w:pStyle w:val="105"/>
              <w:jc w:val="center"/>
            </w:pPr>
            <w:r>
              <w:t>59.6</w:t>
            </w:r>
          </w:p>
        </w:tc>
        <w:tc>
          <w:tcPr>
            <w:tcW w:w="186" w:type="pct"/>
            <w:vAlign w:val="center"/>
          </w:tcPr>
          <w:p>
            <w:pPr>
              <w:pStyle w:val="105"/>
              <w:jc w:val="center"/>
            </w:pPr>
            <w:r>
              <w:t>59.9</w:t>
            </w:r>
          </w:p>
        </w:tc>
        <w:tc>
          <w:tcPr>
            <w:tcW w:w="216" w:type="pct"/>
            <w:vAlign w:val="center"/>
          </w:tcPr>
          <w:p>
            <w:pPr>
              <w:pStyle w:val="105"/>
              <w:jc w:val="center"/>
            </w:pPr>
            <w:r>
              <w:t xml:space="preserve">4.2 </w:t>
            </w:r>
          </w:p>
        </w:tc>
        <w:tc>
          <w:tcPr>
            <w:tcW w:w="216" w:type="pct"/>
            <w:vAlign w:val="center"/>
          </w:tcPr>
          <w:p>
            <w:pPr>
              <w:pStyle w:val="105"/>
              <w:jc w:val="center"/>
            </w:pPr>
            <w:r>
              <w:t>4.6</w:t>
            </w:r>
          </w:p>
        </w:tc>
        <w:tc>
          <w:tcPr>
            <w:tcW w:w="218" w:type="pct"/>
            <w:vAlign w:val="center"/>
          </w:tcPr>
          <w:p>
            <w:pPr>
              <w:pStyle w:val="105"/>
              <w:jc w:val="center"/>
            </w:pPr>
            <w:r>
              <w:t>4.9</w:t>
            </w:r>
          </w:p>
        </w:tc>
        <w:tc>
          <w:tcPr>
            <w:tcW w:w="198" w:type="pct"/>
            <w:vMerge w:val="continue"/>
            <w:vAlign w:val="center"/>
          </w:tcPr>
          <w:p>
            <w:pPr>
              <w:pStyle w:val="105"/>
              <w:jc w:val="center"/>
              <w:rPr>
                <w:sz w:val="18"/>
                <w:szCs w:val="18"/>
              </w:rPr>
            </w:pPr>
          </w:p>
        </w:tc>
        <w:tc>
          <w:tcPr>
            <w:tcW w:w="348" w:type="pct"/>
            <w:vMerge w:val="continue"/>
            <w:vAlign w:val="center"/>
          </w:tcPr>
          <w:p>
            <w:pPr>
              <w:pStyle w:val="105"/>
              <w:jc w:val="center"/>
              <w:rPr>
                <w:sz w:val="18"/>
                <w:szCs w:val="18"/>
              </w:rPr>
            </w:pPr>
          </w:p>
        </w:tc>
        <w:tc>
          <w:tcPr>
            <w:tcW w:w="237" w:type="pct"/>
            <w:vMerge w:val="continue"/>
            <w:vAlign w:val="center"/>
          </w:tcPr>
          <w:p>
            <w:pPr>
              <w:pStyle w:val="105"/>
              <w:jc w:val="center"/>
              <w:rPr>
                <w:sz w:val="18"/>
                <w:szCs w:val="18"/>
              </w:rPr>
            </w:pPr>
          </w:p>
        </w:tc>
        <w:tc>
          <w:tcPr>
            <w:tcW w:w="432" w:type="pct"/>
            <w:vMerge w:val="continue"/>
            <w:vAlign w:val="center"/>
          </w:tcPr>
          <w:p>
            <w:pPr>
              <w:pStyle w:val="105"/>
              <w:jc w:val="center"/>
              <w:rPr>
                <w:sz w:val="18"/>
                <w:szCs w:val="18"/>
              </w:rPr>
            </w:pPr>
          </w:p>
        </w:tc>
        <w:tc>
          <w:tcPr>
            <w:tcW w:w="338"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1" w:type="pct"/>
            <w:vMerge w:val="restart"/>
            <w:vAlign w:val="center"/>
          </w:tcPr>
          <w:p>
            <w:pPr>
              <w:pStyle w:val="105"/>
              <w:jc w:val="center"/>
              <w:rPr>
                <w:sz w:val="18"/>
                <w:szCs w:val="18"/>
              </w:rPr>
            </w:pPr>
            <w:r>
              <w:rPr>
                <w:rFonts w:hint="eastAsia"/>
                <w:sz w:val="18"/>
                <w:szCs w:val="18"/>
              </w:rPr>
              <w:t>2</w:t>
            </w:r>
          </w:p>
        </w:tc>
        <w:tc>
          <w:tcPr>
            <w:tcW w:w="529" w:type="pct"/>
            <w:vMerge w:val="restart"/>
            <w:vAlign w:val="center"/>
          </w:tcPr>
          <w:p>
            <w:pPr>
              <w:pStyle w:val="105"/>
              <w:jc w:val="center"/>
              <w:rPr>
                <w:sz w:val="18"/>
                <w:szCs w:val="18"/>
              </w:rPr>
            </w:pPr>
            <w:r>
              <w:rPr>
                <w:rFonts w:hint="eastAsia"/>
                <w:sz w:val="18"/>
                <w:szCs w:val="18"/>
              </w:rPr>
              <w:t>牌边村新桥——临G</w:t>
            </w:r>
            <w:r>
              <w:rPr>
                <w:sz w:val="18"/>
                <w:szCs w:val="18"/>
              </w:rPr>
              <w:t>324</w:t>
            </w:r>
            <w:r>
              <w:rPr>
                <w:rFonts w:hint="eastAsia"/>
                <w:sz w:val="18"/>
                <w:szCs w:val="18"/>
              </w:rPr>
              <w:t>国道第一排</w:t>
            </w:r>
          </w:p>
        </w:tc>
        <w:tc>
          <w:tcPr>
            <w:tcW w:w="461" w:type="pct"/>
            <w:vMerge w:val="restart"/>
            <w:vAlign w:val="center"/>
          </w:tcPr>
          <w:p>
            <w:pPr>
              <w:pStyle w:val="105"/>
              <w:jc w:val="center"/>
              <w:rPr>
                <w:sz w:val="18"/>
                <w:szCs w:val="18"/>
              </w:rPr>
            </w:pPr>
            <w:r>
              <w:rPr>
                <w:rFonts w:hint="eastAsia"/>
                <w:sz w:val="18"/>
                <w:szCs w:val="18"/>
              </w:rPr>
              <w:t>起点左侧</w:t>
            </w:r>
          </w:p>
        </w:tc>
        <w:tc>
          <w:tcPr>
            <w:tcW w:w="275" w:type="pct"/>
            <w:vMerge w:val="restart"/>
            <w:vAlign w:val="center"/>
          </w:tcPr>
          <w:p>
            <w:pPr>
              <w:pStyle w:val="105"/>
              <w:jc w:val="center"/>
              <w:rPr>
                <w:sz w:val="18"/>
                <w:szCs w:val="18"/>
              </w:rPr>
            </w:pPr>
            <w:r>
              <w:rPr>
                <w:sz w:val="18"/>
                <w:szCs w:val="18"/>
              </w:rPr>
              <w:t>57</w:t>
            </w:r>
          </w:p>
        </w:tc>
        <w:tc>
          <w:tcPr>
            <w:tcW w:w="272" w:type="pct"/>
            <w:vMerge w:val="restart"/>
            <w:vAlign w:val="center"/>
          </w:tcPr>
          <w:p>
            <w:pPr>
              <w:pStyle w:val="105"/>
              <w:jc w:val="center"/>
              <w:rPr>
                <w:sz w:val="18"/>
                <w:szCs w:val="18"/>
              </w:rPr>
            </w:pPr>
            <w:r>
              <w:rPr>
                <w:rFonts w:hint="eastAsia"/>
                <w:sz w:val="18"/>
                <w:szCs w:val="18"/>
              </w:rPr>
              <w:t>0</w:t>
            </w:r>
            <w:r>
              <w:rPr>
                <w:sz w:val="18"/>
                <w:szCs w:val="18"/>
              </w:rPr>
              <w:t>~2</w:t>
            </w:r>
          </w:p>
        </w:tc>
        <w:tc>
          <w:tcPr>
            <w:tcW w:w="359" w:type="pct"/>
            <w:vMerge w:val="restart"/>
            <w:vAlign w:val="center"/>
          </w:tcPr>
          <w:p>
            <w:pPr>
              <w:pStyle w:val="105"/>
              <w:jc w:val="center"/>
              <w:rPr>
                <w:sz w:val="18"/>
                <w:szCs w:val="18"/>
              </w:rPr>
            </w:pPr>
            <w:r>
              <w:rPr>
                <w:sz w:val="18"/>
                <w:szCs w:val="18"/>
              </w:rPr>
              <w:t>4</w:t>
            </w:r>
            <w:r>
              <w:rPr>
                <w:rFonts w:hint="eastAsia"/>
                <w:sz w:val="18"/>
                <w:szCs w:val="18"/>
              </w:rPr>
              <w:t>a类区</w:t>
            </w:r>
          </w:p>
        </w:tc>
        <w:tc>
          <w:tcPr>
            <w:tcW w:w="173" w:type="pct"/>
            <w:vAlign w:val="center"/>
          </w:tcPr>
          <w:p>
            <w:pPr>
              <w:pStyle w:val="105"/>
              <w:jc w:val="center"/>
              <w:rPr>
                <w:sz w:val="18"/>
                <w:szCs w:val="18"/>
              </w:rPr>
            </w:pPr>
            <w:r>
              <w:rPr>
                <w:rFonts w:hint="eastAsia"/>
                <w:sz w:val="18"/>
                <w:szCs w:val="18"/>
              </w:rPr>
              <w:t>昼间</w:t>
            </w:r>
          </w:p>
        </w:tc>
        <w:tc>
          <w:tcPr>
            <w:tcW w:w="185" w:type="pct"/>
            <w:vAlign w:val="center"/>
          </w:tcPr>
          <w:p>
            <w:pPr>
              <w:pStyle w:val="105"/>
              <w:jc w:val="center"/>
            </w:pPr>
            <w:r>
              <w:t>68.1</w:t>
            </w:r>
          </w:p>
        </w:tc>
        <w:tc>
          <w:tcPr>
            <w:tcW w:w="185" w:type="pct"/>
            <w:vAlign w:val="center"/>
          </w:tcPr>
          <w:p>
            <w:pPr>
              <w:pStyle w:val="105"/>
              <w:jc w:val="center"/>
            </w:pPr>
            <w:r>
              <w:t>68.3</w:t>
            </w:r>
          </w:p>
        </w:tc>
        <w:tc>
          <w:tcPr>
            <w:tcW w:w="186" w:type="pct"/>
            <w:vAlign w:val="center"/>
          </w:tcPr>
          <w:p>
            <w:pPr>
              <w:pStyle w:val="105"/>
              <w:jc w:val="center"/>
            </w:pPr>
            <w:r>
              <w:t>68.3</w:t>
            </w:r>
          </w:p>
        </w:tc>
        <w:tc>
          <w:tcPr>
            <w:tcW w:w="216" w:type="pct"/>
            <w:vAlign w:val="center"/>
          </w:tcPr>
          <w:p>
            <w:pPr>
              <w:pStyle w:val="105"/>
              <w:jc w:val="center"/>
            </w:pPr>
            <w:r>
              <w:t>/</w:t>
            </w:r>
          </w:p>
        </w:tc>
        <w:tc>
          <w:tcPr>
            <w:tcW w:w="216" w:type="pct"/>
            <w:vAlign w:val="center"/>
          </w:tcPr>
          <w:p>
            <w:pPr>
              <w:pStyle w:val="105"/>
              <w:jc w:val="center"/>
            </w:pPr>
            <w:r>
              <w:t>/</w:t>
            </w:r>
          </w:p>
        </w:tc>
        <w:tc>
          <w:tcPr>
            <w:tcW w:w="218" w:type="pct"/>
            <w:vAlign w:val="center"/>
          </w:tcPr>
          <w:p>
            <w:pPr>
              <w:pStyle w:val="105"/>
              <w:jc w:val="center"/>
            </w:pPr>
            <w:r>
              <w:t>/</w:t>
            </w:r>
          </w:p>
        </w:tc>
        <w:tc>
          <w:tcPr>
            <w:tcW w:w="198" w:type="pct"/>
            <w:vMerge w:val="restart"/>
            <w:vAlign w:val="center"/>
          </w:tcPr>
          <w:p>
            <w:pPr>
              <w:pStyle w:val="105"/>
              <w:jc w:val="center"/>
              <w:rPr>
                <w:sz w:val="18"/>
                <w:szCs w:val="18"/>
              </w:rPr>
            </w:pPr>
            <w:r>
              <w:rPr>
                <w:rFonts w:hint="eastAsia"/>
                <w:sz w:val="18"/>
                <w:szCs w:val="18"/>
              </w:rPr>
              <w:t>7户自建房</w:t>
            </w:r>
          </w:p>
        </w:tc>
        <w:tc>
          <w:tcPr>
            <w:tcW w:w="1356" w:type="pct"/>
            <w:gridSpan w:val="4"/>
            <w:vMerge w:val="restart"/>
            <w:vAlign w:val="center"/>
          </w:tcPr>
          <w:p>
            <w:pPr>
              <w:pStyle w:val="105"/>
              <w:jc w:val="center"/>
              <w:rPr>
                <w:sz w:val="18"/>
                <w:szCs w:val="18"/>
              </w:rPr>
            </w:pPr>
            <w:r>
              <w:rPr>
                <w:rFonts w:hint="eastAsia"/>
                <w:sz w:val="18"/>
                <w:szCs w:val="18"/>
              </w:rPr>
              <w:t>受现有国道G</w:t>
            </w:r>
            <w:r>
              <w:rPr>
                <w:sz w:val="18"/>
                <w:szCs w:val="18"/>
              </w:rPr>
              <w:t>324</w:t>
            </w:r>
            <w:r>
              <w:rPr>
                <w:rFonts w:hint="eastAsia"/>
                <w:sz w:val="18"/>
                <w:szCs w:val="18"/>
              </w:rPr>
              <w:t>影响，现状已超标，并已自行采取隔声窗，隔声量≥</w:t>
            </w:r>
            <w:r>
              <w:rPr>
                <w:sz w:val="18"/>
                <w:szCs w:val="18"/>
              </w:rPr>
              <w:t>20</w:t>
            </w:r>
            <w:r>
              <w:rPr>
                <w:rFonts w:hint="eastAsia"/>
                <w:sz w:val="18"/>
                <w:szCs w:val="18"/>
              </w:rPr>
              <w:t>dB。本项目对其影响增量仅为0</w:t>
            </w:r>
            <w:r>
              <w:rPr>
                <w:sz w:val="18"/>
                <w:szCs w:val="18"/>
              </w:rPr>
              <w:t>.1dB</w:t>
            </w:r>
            <w:r>
              <w:rPr>
                <w:rFonts w:hint="eastAsia"/>
                <w:sz w:val="18"/>
                <w:szCs w:val="18"/>
              </w:rPr>
              <w:t>，超标不属于本项目责任范围。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1" w:type="pct"/>
            <w:vMerge w:val="continue"/>
            <w:vAlign w:val="center"/>
          </w:tcPr>
          <w:p>
            <w:pPr>
              <w:pStyle w:val="105"/>
              <w:jc w:val="center"/>
              <w:rPr>
                <w:sz w:val="18"/>
                <w:szCs w:val="18"/>
              </w:rPr>
            </w:pPr>
          </w:p>
        </w:tc>
        <w:tc>
          <w:tcPr>
            <w:tcW w:w="529" w:type="pct"/>
            <w:vMerge w:val="continue"/>
            <w:vAlign w:val="center"/>
          </w:tcPr>
          <w:p>
            <w:pPr>
              <w:pStyle w:val="105"/>
              <w:jc w:val="center"/>
              <w:rPr>
                <w:sz w:val="18"/>
                <w:szCs w:val="18"/>
              </w:rPr>
            </w:pPr>
          </w:p>
        </w:tc>
        <w:tc>
          <w:tcPr>
            <w:tcW w:w="461" w:type="pct"/>
            <w:vMerge w:val="continue"/>
            <w:vAlign w:val="center"/>
          </w:tcPr>
          <w:p>
            <w:pPr>
              <w:pStyle w:val="105"/>
              <w:jc w:val="center"/>
              <w:rPr>
                <w:sz w:val="18"/>
                <w:szCs w:val="18"/>
              </w:rPr>
            </w:pPr>
          </w:p>
        </w:tc>
        <w:tc>
          <w:tcPr>
            <w:tcW w:w="275" w:type="pct"/>
            <w:vMerge w:val="continue"/>
            <w:vAlign w:val="center"/>
          </w:tcPr>
          <w:p>
            <w:pPr>
              <w:pStyle w:val="105"/>
              <w:jc w:val="center"/>
              <w:rPr>
                <w:sz w:val="18"/>
                <w:szCs w:val="18"/>
              </w:rPr>
            </w:pPr>
          </w:p>
        </w:tc>
        <w:tc>
          <w:tcPr>
            <w:tcW w:w="272" w:type="pct"/>
            <w:vMerge w:val="continue"/>
            <w:vAlign w:val="center"/>
          </w:tcPr>
          <w:p>
            <w:pPr>
              <w:pStyle w:val="105"/>
              <w:jc w:val="center"/>
              <w:rPr>
                <w:sz w:val="18"/>
                <w:szCs w:val="18"/>
              </w:rPr>
            </w:pPr>
          </w:p>
        </w:tc>
        <w:tc>
          <w:tcPr>
            <w:tcW w:w="359" w:type="pct"/>
            <w:vMerge w:val="continue"/>
            <w:vAlign w:val="center"/>
          </w:tcPr>
          <w:p>
            <w:pPr>
              <w:pStyle w:val="105"/>
              <w:jc w:val="center"/>
              <w:rPr>
                <w:sz w:val="18"/>
                <w:szCs w:val="18"/>
              </w:rPr>
            </w:pPr>
          </w:p>
        </w:tc>
        <w:tc>
          <w:tcPr>
            <w:tcW w:w="173" w:type="pct"/>
            <w:vAlign w:val="center"/>
          </w:tcPr>
          <w:p>
            <w:pPr>
              <w:pStyle w:val="105"/>
              <w:jc w:val="center"/>
              <w:rPr>
                <w:sz w:val="18"/>
                <w:szCs w:val="18"/>
              </w:rPr>
            </w:pPr>
            <w:r>
              <w:rPr>
                <w:rFonts w:hint="eastAsia"/>
                <w:sz w:val="18"/>
                <w:szCs w:val="18"/>
              </w:rPr>
              <w:t>夜间</w:t>
            </w:r>
          </w:p>
        </w:tc>
        <w:tc>
          <w:tcPr>
            <w:tcW w:w="185" w:type="pct"/>
            <w:vAlign w:val="center"/>
          </w:tcPr>
          <w:p>
            <w:pPr>
              <w:pStyle w:val="105"/>
              <w:jc w:val="center"/>
            </w:pPr>
            <w:r>
              <w:t>63.1</w:t>
            </w:r>
          </w:p>
        </w:tc>
        <w:tc>
          <w:tcPr>
            <w:tcW w:w="185" w:type="pct"/>
            <w:vAlign w:val="center"/>
          </w:tcPr>
          <w:p>
            <w:pPr>
              <w:pStyle w:val="105"/>
              <w:jc w:val="center"/>
            </w:pPr>
            <w:r>
              <w:t>63.1</w:t>
            </w:r>
          </w:p>
        </w:tc>
        <w:tc>
          <w:tcPr>
            <w:tcW w:w="186" w:type="pct"/>
            <w:vAlign w:val="center"/>
          </w:tcPr>
          <w:p>
            <w:pPr>
              <w:pStyle w:val="105"/>
              <w:jc w:val="center"/>
            </w:pPr>
            <w:r>
              <w:t>63.1</w:t>
            </w:r>
          </w:p>
        </w:tc>
        <w:tc>
          <w:tcPr>
            <w:tcW w:w="216" w:type="pct"/>
            <w:vAlign w:val="center"/>
          </w:tcPr>
          <w:p>
            <w:pPr>
              <w:pStyle w:val="105"/>
              <w:jc w:val="center"/>
              <w:rPr>
                <w:highlight w:val="yellow"/>
              </w:rPr>
            </w:pPr>
            <w:r>
              <w:t>8.1</w:t>
            </w:r>
          </w:p>
        </w:tc>
        <w:tc>
          <w:tcPr>
            <w:tcW w:w="216" w:type="pct"/>
            <w:vAlign w:val="center"/>
          </w:tcPr>
          <w:p>
            <w:pPr>
              <w:pStyle w:val="105"/>
              <w:jc w:val="center"/>
              <w:rPr>
                <w:highlight w:val="yellow"/>
              </w:rPr>
            </w:pPr>
            <w:r>
              <w:t xml:space="preserve">8.1 </w:t>
            </w:r>
          </w:p>
        </w:tc>
        <w:tc>
          <w:tcPr>
            <w:tcW w:w="218" w:type="pct"/>
            <w:vAlign w:val="center"/>
          </w:tcPr>
          <w:p>
            <w:pPr>
              <w:pStyle w:val="105"/>
              <w:jc w:val="center"/>
            </w:pPr>
            <w:r>
              <w:t xml:space="preserve">8.1 </w:t>
            </w:r>
          </w:p>
        </w:tc>
        <w:tc>
          <w:tcPr>
            <w:tcW w:w="198" w:type="pct"/>
            <w:vMerge w:val="continue"/>
            <w:vAlign w:val="center"/>
          </w:tcPr>
          <w:p>
            <w:pPr>
              <w:pStyle w:val="105"/>
              <w:jc w:val="center"/>
              <w:rPr>
                <w:sz w:val="18"/>
                <w:szCs w:val="18"/>
              </w:rPr>
            </w:pPr>
          </w:p>
        </w:tc>
        <w:tc>
          <w:tcPr>
            <w:tcW w:w="1356" w:type="pct"/>
            <w:gridSpan w:val="4"/>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1" w:type="pct"/>
            <w:vMerge w:val="restart"/>
            <w:vAlign w:val="center"/>
          </w:tcPr>
          <w:p>
            <w:pPr>
              <w:pStyle w:val="105"/>
              <w:jc w:val="center"/>
              <w:rPr>
                <w:sz w:val="18"/>
                <w:szCs w:val="18"/>
              </w:rPr>
            </w:pPr>
            <w:r>
              <w:rPr>
                <w:rFonts w:hint="eastAsia"/>
                <w:sz w:val="18"/>
                <w:szCs w:val="18"/>
              </w:rPr>
              <w:t>3</w:t>
            </w:r>
          </w:p>
        </w:tc>
        <w:tc>
          <w:tcPr>
            <w:tcW w:w="529" w:type="pct"/>
            <w:vMerge w:val="restart"/>
            <w:vAlign w:val="center"/>
          </w:tcPr>
          <w:p>
            <w:pPr>
              <w:pStyle w:val="105"/>
              <w:jc w:val="center"/>
              <w:rPr>
                <w:sz w:val="18"/>
                <w:szCs w:val="18"/>
              </w:rPr>
            </w:pPr>
            <w:bookmarkStart w:id="574" w:name="_Hlk193727041"/>
            <w:r>
              <w:rPr>
                <w:rFonts w:hint="eastAsia"/>
                <w:sz w:val="18"/>
                <w:szCs w:val="18"/>
              </w:rPr>
              <w:t>上张村王房</w:t>
            </w:r>
            <w:bookmarkEnd w:id="574"/>
            <w:r>
              <w:rPr>
                <w:rFonts w:hint="eastAsia"/>
                <w:sz w:val="18"/>
                <w:szCs w:val="18"/>
              </w:rPr>
              <w:t>——临拟建公路第一排</w:t>
            </w:r>
          </w:p>
        </w:tc>
        <w:tc>
          <w:tcPr>
            <w:tcW w:w="461" w:type="pct"/>
            <w:vMerge w:val="restart"/>
            <w:vAlign w:val="center"/>
          </w:tcPr>
          <w:p>
            <w:pPr>
              <w:pStyle w:val="105"/>
              <w:jc w:val="center"/>
              <w:rPr>
                <w:sz w:val="18"/>
                <w:szCs w:val="18"/>
              </w:rPr>
            </w:pPr>
            <w:r>
              <w:rPr>
                <w:sz w:val="18"/>
                <w:szCs w:val="18"/>
              </w:rPr>
              <w:t>K1+200~ K1+550</w:t>
            </w:r>
          </w:p>
        </w:tc>
        <w:tc>
          <w:tcPr>
            <w:tcW w:w="275" w:type="pct"/>
            <w:vMerge w:val="restart"/>
            <w:vAlign w:val="center"/>
          </w:tcPr>
          <w:p>
            <w:pPr>
              <w:pStyle w:val="105"/>
              <w:jc w:val="center"/>
              <w:rPr>
                <w:sz w:val="18"/>
                <w:szCs w:val="18"/>
              </w:rPr>
            </w:pPr>
            <w:r>
              <w:rPr>
                <w:rFonts w:hint="eastAsia"/>
                <w:sz w:val="18"/>
                <w:szCs w:val="18"/>
              </w:rPr>
              <w:t>1</w:t>
            </w:r>
            <w:r>
              <w:rPr>
                <w:sz w:val="18"/>
                <w:szCs w:val="18"/>
              </w:rPr>
              <w:t>4</w:t>
            </w:r>
          </w:p>
        </w:tc>
        <w:tc>
          <w:tcPr>
            <w:tcW w:w="272" w:type="pct"/>
            <w:vMerge w:val="restart"/>
            <w:vAlign w:val="center"/>
          </w:tcPr>
          <w:p>
            <w:pPr>
              <w:pStyle w:val="105"/>
              <w:jc w:val="center"/>
              <w:rPr>
                <w:sz w:val="18"/>
                <w:szCs w:val="18"/>
              </w:rPr>
            </w:pPr>
            <w:r>
              <w:rPr>
                <w:rFonts w:hint="eastAsia"/>
                <w:sz w:val="18"/>
                <w:szCs w:val="18"/>
              </w:rPr>
              <w:t>+</w:t>
            </w:r>
            <w:r>
              <w:rPr>
                <w:sz w:val="18"/>
                <w:szCs w:val="18"/>
              </w:rPr>
              <w:t>1</w:t>
            </w:r>
          </w:p>
        </w:tc>
        <w:tc>
          <w:tcPr>
            <w:tcW w:w="359" w:type="pct"/>
            <w:vMerge w:val="restart"/>
            <w:vAlign w:val="center"/>
          </w:tcPr>
          <w:p>
            <w:pPr>
              <w:pStyle w:val="105"/>
              <w:jc w:val="center"/>
              <w:rPr>
                <w:sz w:val="18"/>
                <w:szCs w:val="18"/>
              </w:rPr>
            </w:pPr>
            <w:r>
              <w:rPr>
                <w:sz w:val="18"/>
                <w:szCs w:val="18"/>
              </w:rPr>
              <w:t>4</w:t>
            </w:r>
            <w:r>
              <w:rPr>
                <w:rFonts w:hint="eastAsia"/>
                <w:sz w:val="18"/>
                <w:szCs w:val="18"/>
              </w:rPr>
              <w:t>a类</w:t>
            </w:r>
          </w:p>
        </w:tc>
        <w:tc>
          <w:tcPr>
            <w:tcW w:w="173" w:type="pct"/>
            <w:vAlign w:val="center"/>
          </w:tcPr>
          <w:p>
            <w:pPr>
              <w:pStyle w:val="105"/>
              <w:jc w:val="center"/>
              <w:rPr>
                <w:sz w:val="18"/>
                <w:szCs w:val="18"/>
              </w:rPr>
            </w:pPr>
            <w:r>
              <w:rPr>
                <w:rFonts w:hint="eastAsia"/>
                <w:sz w:val="18"/>
                <w:szCs w:val="18"/>
              </w:rPr>
              <w:t>昼间</w:t>
            </w:r>
          </w:p>
        </w:tc>
        <w:tc>
          <w:tcPr>
            <w:tcW w:w="185" w:type="pct"/>
            <w:vAlign w:val="center"/>
          </w:tcPr>
          <w:p>
            <w:pPr>
              <w:pStyle w:val="105"/>
              <w:jc w:val="center"/>
            </w:pPr>
            <w:r>
              <w:t>66.6</w:t>
            </w:r>
          </w:p>
        </w:tc>
        <w:tc>
          <w:tcPr>
            <w:tcW w:w="185" w:type="pct"/>
            <w:vAlign w:val="center"/>
          </w:tcPr>
          <w:p>
            <w:pPr>
              <w:pStyle w:val="105"/>
              <w:jc w:val="center"/>
            </w:pPr>
            <w:r>
              <w:t>68.2</w:t>
            </w:r>
          </w:p>
        </w:tc>
        <w:tc>
          <w:tcPr>
            <w:tcW w:w="186" w:type="pct"/>
            <w:vAlign w:val="center"/>
          </w:tcPr>
          <w:p>
            <w:pPr>
              <w:pStyle w:val="105"/>
              <w:jc w:val="center"/>
            </w:pPr>
            <w:r>
              <w:t>68.4</w:t>
            </w:r>
          </w:p>
        </w:tc>
        <w:tc>
          <w:tcPr>
            <w:tcW w:w="216" w:type="pct"/>
            <w:vAlign w:val="center"/>
          </w:tcPr>
          <w:p>
            <w:pPr>
              <w:pStyle w:val="105"/>
              <w:jc w:val="center"/>
              <w:rPr>
                <w:highlight w:val="yellow"/>
              </w:rPr>
            </w:pPr>
            <w:r>
              <w:t>/</w:t>
            </w:r>
          </w:p>
        </w:tc>
        <w:tc>
          <w:tcPr>
            <w:tcW w:w="216" w:type="pct"/>
            <w:vAlign w:val="center"/>
          </w:tcPr>
          <w:p>
            <w:pPr>
              <w:pStyle w:val="105"/>
              <w:jc w:val="center"/>
              <w:rPr>
                <w:highlight w:val="yellow"/>
              </w:rPr>
            </w:pPr>
            <w:r>
              <w:t>/</w:t>
            </w:r>
          </w:p>
        </w:tc>
        <w:tc>
          <w:tcPr>
            <w:tcW w:w="218" w:type="pct"/>
            <w:vAlign w:val="center"/>
          </w:tcPr>
          <w:p>
            <w:pPr>
              <w:pStyle w:val="105"/>
              <w:jc w:val="center"/>
              <w:rPr>
                <w:highlight w:val="yellow"/>
              </w:rPr>
            </w:pPr>
            <w:r>
              <w:t>/</w:t>
            </w:r>
          </w:p>
        </w:tc>
        <w:tc>
          <w:tcPr>
            <w:tcW w:w="198" w:type="pct"/>
            <w:vMerge w:val="restart"/>
            <w:vAlign w:val="center"/>
          </w:tcPr>
          <w:p>
            <w:pPr>
              <w:pStyle w:val="105"/>
              <w:jc w:val="center"/>
              <w:rPr>
                <w:sz w:val="18"/>
                <w:szCs w:val="18"/>
              </w:rPr>
            </w:pPr>
            <w:r>
              <w:rPr>
                <w:sz w:val="18"/>
                <w:szCs w:val="18"/>
              </w:rPr>
              <w:t>2</w:t>
            </w:r>
            <w:r>
              <w:rPr>
                <w:rFonts w:hint="eastAsia"/>
                <w:sz w:val="18"/>
                <w:szCs w:val="18"/>
              </w:rPr>
              <w:t>户自建房</w:t>
            </w:r>
          </w:p>
        </w:tc>
        <w:tc>
          <w:tcPr>
            <w:tcW w:w="348" w:type="pct"/>
            <w:vMerge w:val="restart"/>
            <w:vAlign w:val="center"/>
          </w:tcPr>
          <w:p>
            <w:pPr>
              <w:pStyle w:val="105"/>
              <w:jc w:val="center"/>
              <w:rPr>
                <w:sz w:val="18"/>
                <w:szCs w:val="18"/>
              </w:rPr>
            </w:pPr>
            <w:r>
              <w:rPr>
                <w:rFonts w:hint="eastAsia"/>
                <w:sz w:val="18"/>
                <w:szCs w:val="18"/>
              </w:rPr>
              <w:t>通风隔声窗</w:t>
            </w:r>
          </w:p>
        </w:tc>
        <w:tc>
          <w:tcPr>
            <w:tcW w:w="237" w:type="pct"/>
            <w:vMerge w:val="restart"/>
            <w:vAlign w:val="center"/>
          </w:tcPr>
          <w:p>
            <w:pPr>
              <w:pStyle w:val="105"/>
              <w:jc w:val="center"/>
              <w:rPr>
                <w:sz w:val="18"/>
                <w:szCs w:val="18"/>
              </w:rPr>
            </w:pPr>
            <w:r>
              <w:rPr>
                <w:sz w:val="18"/>
                <w:szCs w:val="18"/>
              </w:rPr>
              <w:t>30</w:t>
            </w:r>
            <w:r>
              <w:rPr>
                <w:rFonts w:hint="eastAsia"/>
                <w:sz w:val="18"/>
                <w:szCs w:val="18"/>
              </w:rPr>
              <w:t>m</w:t>
            </w:r>
            <w:r>
              <w:rPr>
                <w:sz w:val="18"/>
                <w:szCs w:val="18"/>
                <w:vertAlign w:val="superscript"/>
              </w:rPr>
              <w:t>2</w:t>
            </w:r>
            <w:r>
              <w:rPr>
                <w:rFonts w:hint="eastAsia"/>
                <w:sz w:val="18"/>
                <w:szCs w:val="18"/>
              </w:rPr>
              <w:t>隔声窗</w:t>
            </w:r>
          </w:p>
        </w:tc>
        <w:tc>
          <w:tcPr>
            <w:tcW w:w="432" w:type="pct"/>
            <w:vMerge w:val="restart"/>
            <w:vAlign w:val="center"/>
          </w:tcPr>
          <w:p>
            <w:pPr>
              <w:pStyle w:val="105"/>
              <w:jc w:val="center"/>
              <w:rPr>
                <w:sz w:val="18"/>
                <w:szCs w:val="18"/>
              </w:rPr>
            </w:pPr>
            <w:r>
              <w:rPr>
                <w:rFonts w:hint="eastAsia"/>
                <w:sz w:val="18"/>
                <w:szCs w:val="18"/>
              </w:rPr>
              <w:t>隔声量≥</w:t>
            </w:r>
            <w:r>
              <w:rPr>
                <w:sz w:val="18"/>
                <w:szCs w:val="18"/>
              </w:rPr>
              <w:t>20</w:t>
            </w:r>
            <w:r>
              <w:rPr>
                <w:rFonts w:hint="eastAsia"/>
                <w:sz w:val="18"/>
                <w:szCs w:val="18"/>
              </w:rPr>
              <w:t>dB</w:t>
            </w:r>
          </w:p>
        </w:tc>
        <w:tc>
          <w:tcPr>
            <w:tcW w:w="338" w:type="pct"/>
            <w:vMerge w:val="restart"/>
            <w:vAlign w:val="center"/>
          </w:tcPr>
          <w:p>
            <w:pPr>
              <w:pStyle w:val="105"/>
              <w:jc w:val="center"/>
              <w:rPr>
                <w:sz w:val="18"/>
                <w:szCs w:val="18"/>
              </w:rPr>
            </w:pPr>
            <w:r>
              <w:rPr>
                <w:sz w:val="18"/>
                <w:szCs w:val="18"/>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1" w:type="pct"/>
            <w:vMerge w:val="continue"/>
            <w:vAlign w:val="center"/>
          </w:tcPr>
          <w:p>
            <w:pPr>
              <w:pStyle w:val="105"/>
              <w:jc w:val="center"/>
              <w:rPr>
                <w:sz w:val="18"/>
                <w:szCs w:val="18"/>
              </w:rPr>
            </w:pPr>
          </w:p>
        </w:tc>
        <w:tc>
          <w:tcPr>
            <w:tcW w:w="529" w:type="pct"/>
            <w:vMerge w:val="continue"/>
            <w:vAlign w:val="center"/>
          </w:tcPr>
          <w:p>
            <w:pPr>
              <w:pStyle w:val="105"/>
              <w:jc w:val="center"/>
              <w:rPr>
                <w:sz w:val="18"/>
                <w:szCs w:val="18"/>
              </w:rPr>
            </w:pPr>
          </w:p>
        </w:tc>
        <w:tc>
          <w:tcPr>
            <w:tcW w:w="461" w:type="pct"/>
            <w:vMerge w:val="continue"/>
            <w:vAlign w:val="center"/>
          </w:tcPr>
          <w:p>
            <w:pPr>
              <w:pStyle w:val="105"/>
              <w:jc w:val="center"/>
              <w:rPr>
                <w:sz w:val="18"/>
                <w:szCs w:val="18"/>
              </w:rPr>
            </w:pPr>
          </w:p>
        </w:tc>
        <w:tc>
          <w:tcPr>
            <w:tcW w:w="275" w:type="pct"/>
            <w:vMerge w:val="continue"/>
            <w:vAlign w:val="center"/>
          </w:tcPr>
          <w:p>
            <w:pPr>
              <w:pStyle w:val="105"/>
              <w:jc w:val="center"/>
              <w:rPr>
                <w:sz w:val="18"/>
                <w:szCs w:val="18"/>
              </w:rPr>
            </w:pPr>
          </w:p>
        </w:tc>
        <w:tc>
          <w:tcPr>
            <w:tcW w:w="272" w:type="pct"/>
            <w:vMerge w:val="continue"/>
            <w:vAlign w:val="center"/>
          </w:tcPr>
          <w:p>
            <w:pPr>
              <w:pStyle w:val="105"/>
              <w:jc w:val="center"/>
              <w:rPr>
                <w:sz w:val="18"/>
                <w:szCs w:val="18"/>
              </w:rPr>
            </w:pPr>
          </w:p>
        </w:tc>
        <w:tc>
          <w:tcPr>
            <w:tcW w:w="359" w:type="pct"/>
            <w:vMerge w:val="continue"/>
            <w:vAlign w:val="center"/>
          </w:tcPr>
          <w:p>
            <w:pPr>
              <w:pStyle w:val="105"/>
              <w:jc w:val="center"/>
              <w:rPr>
                <w:sz w:val="18"/>
                <w:szCs w:val="18"/>
              </w:rPr>
            </w:pPr>
          </w:p>
        </w:tc>
        <w:tc>
          <w:tcPr>
            <w:tcW w:w="173" w:type="pct"/>
            <w:vAlign w:val="center"/>
          </w:tcPr>
          <w:p>
            <w:pPr>
              <w:pStyle w:val="105"/>
              <w:jc w:val="center"/>
              <w:rPr>
                <w:sz w:val="18"/>
                <w:szCs w:val="18"/>
              </w:rPr>
            </w:pPr>
            <w:r>
              <w:rPr>
                <w:rFonts w:hint="eastAsia"/>
                <w:sz w:val="18"/>
                <w:szCs w:val="18"/>
              </w:rPr>
              <w:t>夜间</w:t>
            </w:r>
          </w:p>
        </w:tc>
        <w:tc>
          <w:tcPr>
            <w:tcW w:w="185" w:type="pct"/>
            <w:vAlign w:val="center"/>
          </w:tcPr>
          <w:p>
            <w:pPr>
              <w:pStyle w:val="105"/>
              <w:jc w:val="center"/>
            </w:pPr>
            <w:r>
              <w:t>58.5</w:t>
            </w:r>
          </w:p>
        </w:tc>
        <w:tc>
          <w:tcPr>
            <w:tcW w:w="185" w:type="pct"/>
            <w:vAlign w:val="center"/>
          </w:tcPr>
          <w:p>
            <w:pPr>
              <w:pStyle w:val="105"/>
              <w:jc w:val="center"/>
            </w:pPr>
            <w:r>
              <w:t>58.9</w:t>
            </w:r>
          </w:p>
        </w:tc>
        <w:tc>
          <w:tcPr>
            <w:tcW w:w="186" w:type="pct"/>
            <w:vAlign w:val="center"/>
          </w:tcPr>
          <w:p>
            <w:pPr>
              <w:pStyle w:val="105"/>
              <w:jc w:val="center"/>
            </w:pPr>
            <w:r>
              <w:t>59.2</w:t>
            </w:r>
          </w:p>
        </w:tc>
        <w:tc>
          <w:tcPr>
            <w:tcW w:w="216" w:type="pct"/>
            <w:vAlign w:val="center"/>
          </w:tcPr>
          <w:p>
            <w:pPr>
              <w:pStyle w:val="105"/>
              <w:jc w:val="center"/>
              <w:rPr>
                <w:highlight w:val="yellow"/>
              </w:rPr>
            </w:pPr>
            <w:r>
              <w:t>3.5</w:t>
            </w:r>
          </w:p>
        </w:tc>
        <w:tc>
          <w:tcPr>
            <w:tcW w:w="216" w:type="pct"/>
            <w:vAlign w:val="center"/>
          </w:tcPr>
          <w:p>
            <w:pPr>
              <w:pStyle w:val="105"/>
              <w:jc w:val="center"/>
              <w:rPr>
                <w:highlight w:val="yellow"/>
              </w:rPr>
            </w:pPr>
            <w:r>
              <w:t>3.9</w:t>
            </w:r>
          </w:p>
        </w:tc>
        <w:tc>
          <w:tcPr>
            <w:tcW w:w="218" w:type="pct"/>
            <w:vAlign w:val="center"/>
          </w:tcPr>
          <w:p>
            <w:pPr>
              <w:pStyle w:val="105"/>
              <w:jc w:val="center"/>
              <w:rPr>
                <w:highlight w:val="yellow"/>
              </w:rPr>
            </w:pPr>
            <w:r>
              <w:t xml:space="preserve">4.1 </w:t>
            </w:r>
          </w:p>
        </w:tc>
        <w:tc>
          <w:tcPr>
            <w:tcW w:w="198" w:type="pct"/>
            <w:vMerge w:val="continue"/>
            <w:vAlign w:val="center"/>
          </w:tcPr>
          <w:p>
            <w:pPr>
              <w:pStyle w:val="105"/>
              <w:jc w:val="center"/>
              <w:rPr>
                <w:sz w:val="18"/>
                <w:szCs w:val="18"/>
              </w:rPr>
            </w:pPr>
          </w:p>
        </w:tc>
        <w:tc>
          <w:tcPr>
            <w:tcW w:w="348" w:type="pct"/>
            <w:vMerge w:val="continue"/>
            <w:vAlign w:val="center"/>
          </w:tcPr>
          <w:p>
            <w:pPr>
              <w:pStyle w:val="105"/>
              <w:jc w:val="center"/>
              <w:rPr>
                <w:sz w:val="18"/>
                <w:szCs w:val="18"/>
              </w:rPr>
            </w:pPr>
          </w:p>
        </w:tc>
        <w:tc>
          <w:tcPr>
            <w:tcW w:w="237" w:type="pct"/>
            <w:vMerge w:val="continue"/>
            <w:vAlign w:val="center"/>
          </w:tcPr>
          <w:p>
            <w:pPr>
              <w:pStyle w:val="105"/>
              <w:jc w:val="center"/>
              <w:rPr>
                <w:sz w:val="18"/>
                <w:szCs w:val="18"/>
              </w:rPr>
            </w:pPr>
          </w:p>
        </w:tc>
        <w:tc>
          <w:tcPr>
            <w:tcW w:w="432" w:type="pct"/>
            <w:vMerge w:val="continue"/>
            <w:vAlign w:val="center"/>
          </w:tcPr>
          <w:p>
            <w:pPr>
              <w:pStyle w:val="105"/>
              <w:jc w:val="center"/>
              <w:rPr>
                <w:sz w:val="18"/>
                <w:szCs w:val="18"/>
              </w:rPr>
            </w:pPr>
          </w:p>
        </w:tc>
        <w:tc>
          <w:tcPr>
            <w:tcW w:w="338"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1" w:type="pct"/>
            <w:vMerge w:val="restart"/>
            <w:vAlign w:val="center"/>
          </w:tcPr>
          <w:p>
            <w:pPr>
              <w:pStyle w:val="105"/>
              <w:jc w:val="center"/>
              <w:rPr>
                <w:sz w:val="18"/>
                <w:szCs w:val="18"/>
              </w:rPr>
            </w:pPr>
            <w:r>
              <w:rPr>
                <w:rFonts w:hint="eastAsia"/>
                <w:sz w:val="18"/>
                <w:szCs w:val="18"/>
              </w:rPr>
              <w:t>4</w:t>
            </w:r>
          </w:p>
        </w:tc>
        <w:tc>
          <w:tcPr>
            <w:tcW w:w="529" w:type="pct"/>
            <w:vMerge w:val="restart"/>
            <w:vAlign w:val="center"/>
          </w:tcPr>
          <w:p>
            <w:pPr>
              <w:pStyle w:val="105"/>
              <w:jc w:val="center"/>
              <w:rPr>
                <w:sz w:val="18"/>
                <w:szCs w:val="18"/>
              </w:rPr>
            </w:pPr>
            <w:r>
              <w:rPr>
                <w:rFonts w:hint="eastAsia"/>
                <w:sz w:val="18"/>
                <w:szCs w:val="18"/>
              </w:rPr>
              <w:t>联华村后郑</w:t>
            </w:r>
          </w:p>
        </w:tc>
        <w:tc>
          <w:tcPr>
            <w:tcW w:w="461" w:type="pct"/>
            <w:vMerge w:val="restart"/>
            <w:vAlign w:val="center"/>
          </w:tcPr>
          <w:p>
            <w:pPr>
              <w:pStyle w:val="105"/>
              <w:jc w:val="center"/>
              <w:rPr>
                <w:sz w:val="18"/>
                <w:szCs w:val="18"/>
              </w:rPr>
            </w:pPr>
            <w:r>
              <w:rPr>
                <w:rFonts w:hint="eastAsia"/>
                <w:sz w:val="18"/>
                <w:szCs w:val="18"/>
              </w:rPr>
              <w:t>K</w:t>
            </w:r>
            <w:r>
              <w:rPr>
                <w:sz w:val="18"/>
                <w:szCs w:val="18"/>
              </w:rPr>
              <w:t>1+560~K1+820</w:t>
            </w:r>
          </w:p>
        </w:tc>
        <w:tc>
          <w:tcPr>
            <w:tcW w:w="275" w:type="pct"/>
            <w:vMerge w:val="restart"/>
            <w:vAlign w:val="center"/>
          </w:tcPr>
          <w:p>
            <w:pPr>
              <w:pStyle w:val="105"/>
              <w:jc w:val="center"/>
              <w:rPr>
                <w:sz w:val="18"/>
                <w:szCs w:val="18"/>
              </w:rPr>
            </w:pPr>
            <w:r>
              <w:rPr>
                <w:rFonts w:hint="eastAsia"/>
                <w:sz w:val="18"/>
                <w:szCs w:val="18"/>
              </w:rPr>
              <w:t>1</w:t>
            </w:r>
            <w:r>
              <w:rPr>
                <w:sz w:val="18"/>
                <w:szCs w:val="18"/>
              </w:rPr>
              <w:t>1</w:t>
            </w:r>
          </w:p>
        </w:tc>
        <w:tc>
          <w:tcPr>
            <w:tcW w:w="272" w:type="pct"/>
            <w:vMerge w:val="restart"/>
            <w:vAlign w:val="center"/>
          </w:tcPr>
          <w:p>
            <w:pPr>
              <w:pStyle w:val="105"/>
              <w:jc w:val="center"/>
              <w:rPr>
                <w:sz w:val="18"/>
                <w:szCs w:val="18"/>
              </w:rPr>
            </w:pPr>
            <w:r>
              <w:rPr>
                <w:rFonts w:hint="eastAsia"/>
                <w:sz w:val="18"/>
                <w:szCs w:val="18"/>
              </w:rPr>
              <w:t>0</w:t>
            </w:r>
          </w:p>
        </w:tc>
        <w:tc>
          <w:tcPr>
            <w:tcW w:w="359" w:type="pct"/>
            <w:vMerge w:val="restart"/>
            <w:vAlign w:val="center"/>
          </w:tcPr>
          <w:p>
            <w:pPr>
              <w:pStyle w:val="105"/>
              <w:jc w:val="center"/>
              <w:rPr>
                <w:sz w:val="18"/>
                <w:szCs w:val="18"/>
              </w:rPr>
            </w:pPr>
            <w:r>
              <w:rPr>
                <w:sz w:val="18"/>
                <w:szCs w:val="18"/>
              </w:rPr>
              <w:t>4</w:t>
            </w:r>
            <w:r>
              <w:rPr>
                <w:rFonts w:hint="eastAsia"/>
                <w:sz w:val="18"/>
                <w:szCs w:val="18"/>
              </w:rPr>
              <w:t>a类</w:t>
            </w:r>
          </w:p>
        </w:tc>
        <w:tc>
          <w:tcPr>
            <w:tcW w:w="173" w:type="pct"/>
            <w:vAlign w:val="center"/>
          </w:tcPr>
          <w:p>
            <w:pPr>
              <w:pStyle w:val="105"/>
              <w:jc w:val="center"/>
              <w:rPr>
                <w:sz w:val="18"/>
                <w:szCs w:val="18"/>
              </w:rPr>
            </w:pPr>
            <w:r>
              <w:rPr>
                <w:rFonts w:hint="eastAsia"/>
                <w:sz w:val="18"/>
                <w:szCs w:val="18"/>
              </w:rPr>
              <w:t>昼间</w:t>
            </w:r>
          </w:p>
        </w:tc>
        <w:tc>
          <w:tcPr>
            <w:tcW w:w="185" w:type="pct"/>
            <w:vAlign w:val="center"/>
          </w:tcPr>
          <w:p>
            <w:pPr>
              <w:pStyle w:val="105"/>
              <w:jc w:val="center"/>
            </w:pPr>
            <w:r>
              <w:t>67.8</w:t>
            </w:r>
          </w:p>
        </w:tc>
        <w:tc>
          <w:tcPr>
            <w:tcW w:w="185" w:type="pct"/>
            <w:vAlign w:val="center"/>
          </w:tcPr>
          <w:p>
            <w:pPr>
              <w:pStyle w:val="105"/>
              <w:jc w:val="center"/>
            </w:pPr>
            <w:r>
              <w:t>69.1</w:t>
            </w:r>
          </w:p>
        </w:tc>
        <w:tc>
          <w:tcPr>
            <w:tcW w:w="186" w:type="pct"/>
            <w:vAlign w:val="center"/>
          </w:tcPr>
          <w:p>
            <w:pPr>
              <w:pStyle w:val="105"/>
              <w:jc w:val="center"/>
            </w:pPr>
            <w:r>
              <w:t>69.3</w:t>
            </w:r>
          </w:p>
        </w:tc>
        <w:tc>
          <w:tcPr>
            <w:tcW w:w="216" w:type="pct"/>
            <w:vAlign w:val="center"/>
          </w:tcPr>
          <w:p>
            <w:pPr>
              <w:pStyle w:val="105"/>
              <w:jc w:val="center"/>
              <w:rPr>
                <w:highlight w:val="yellow"/>
              </w:rPr>
            </w:pPr>
            <w:r>
              <w:t>/</w:t>
            </w:r>
          </w:p>
        </w:tc>
        <w:tc>
          <w:tcPr>
            <w:tcW w:w="216" w:type="pct"/>
            <w:vAlign w:val="center"/>
          </w:tcPr>
          <w:p>
            <w:pPr>
              <w:pStyle w:val="105"/>
              <w:jc w:val="center"/>
              <w:rPr>
                <w:highlight w:val="yellow"/>
              </w:rPr>
            </w:pPr>
            <w:r>
              <w:t>/</w:t>
            </w:r>
          </w:p>
        </w:tc>
        <w:tc>
          <w:tcPr>
            <w:tcW w:w="218" w:type="pct"/>
            <w:vAlign w:val="center"/>
          </w:tcPr>
          <w:p>
            <w:pPr>
              <w:pStyle w:val="105"/>
              <w:jc w:val="center"/>
              <w:rPr>
                <w:highlight w:val="yellow"/>
              </w:rPr>
            </w:pPr>
            <w:r>
              <w:t>/</w:t>
            </w:r>
          </w:p>
        </w:tc>
        <w:tc>
          <w:tcPr>
            <w:tcW w:w="198" w:type="pct"/>
            <w:vMerge w:val="restart"/>
            <w:vAlign w:val="center"/>
          </w:tcPr>
          <w:p>
            <w:pPr>
              <w:pStyle w:val="105"/>
              <w:jc w:val="center"/>
              <w:rPr>
                <w:sz w:val="18"/>
                <w:szCs w:val="18"/>
              </w:rPr>
            </w:pPr>
            <w:r>
              <w:rPr>
                <w:sz w:val="18"/>
                <w:szCs w:val="18"/>
              </w:rPr>
              <w:t>2</w:t>
            </w:r>
            <w:r>
              <w:rPr>
                <w:rFonts w:hint="eastAsia"/>
                <w:sz w:val="18"/>
                <w:szCs w:val="18"/>
              </w:rPr>
              <w:t>户自建房</w:t>
            </w:r>
          </w:p>
        </w:tc>
        <w:tc>
          <w:tcPr>
            <w:tcW w:w="348" w:type="pct"/>
            <w:vMerge w:val="restart"/>
            <w:vAlign w:val="center"/>
          </w:tcPr>
          <w:p>
            <w:pPr>
              <w:pStyle w:val="105"/>
              <w:jc w:val="center"/>
              <w:rPr>
                <w:sz w:val="18"/>
                <w:szCs w:val="18"/>
              </w:rPr>
            </w:pPr>
            <w:r>
              <w:rPr>
                <w:rFonts w:hint="eastAsia"/>
                <w:sz w:val="18"/>
                <w:szCs w:val="18"/>
              </w:rPr>
              <w:t>通风隔声窗</w:t>
            </w:r>
          </w:p>
        </w:tc>
        <w:tc>
          <w:tcPr>
            <w:tcW w:w="237" w:type="pct"/>
            <w:vMerge w:val="restart"/>
            <w:vAlign w:val="center"/>
          </w:tcPr>
          <w:p>
            <w:pPr>
              <w:pStyle w:val="105"/>
              <w:jc w:val="center"/>
              <w:rPr>
                <w:sz w:val="18"/>
                <w:szCs w:val="18"/>
              </w:rPr>
            </w:pPr>
            <w:r>
              <w:rPr>
                <w:sz w:val="18"/>
                <w:szCs w:val="18"/>
              </w:rPr>
              <w:t>30</w:t>
            </w:r>
            <w:r>
              <w:rPr>
                <w:rFonts w:hint="eastAsia"/>
                <w:sz w:val="18"/>
                <w:szCs w:val="18"/>
              </w:rPr>
              <w:t>m</w:t>
            </w:r>
            <w:r>
              <w:rPr>
                <w:sz w:val="18"/>
                <w:szCs w:val="18"/>
                <w:vertAlign w:val="superscript"/>
              </w:rPr>
              <w:t>2</w:t>
            </w:r>
            <w:r>
              <w:rPr>
                <w:rFonts w:hint="eastAsia"/>
                <w:sz w:val="18"/>
                <w:szCs w:val="18"/>
              </w:rPr>
              <w:t>隔声窗</w:t>
            </w:r>
          </w:p>
        </w:tc>
        <w:tc>
          <w:tcPr>
            <w:tcW w:w="432" w:type="pct"/>
            <w:vMerge w:val="restart"/>
            <w:vAlign w:val="center"/>
          </w:tcPr>
          <w:p>
            <w:pPr>
              <w:pStyle w:val="105"/>
              <w:jc w:val="center"/>
              <w:rPr>
                <w:sz w:val="18"/>
                <w:szCs w:val="18"/>
              </w:rPr>
            </w:pPr>
            <w:r>
              <w:rPr>
                <w:rFonts w:hint="eastAsia"/>
                <w:sz w:val="18"/>
                <w:szCs w:val="18"/>
              </w:rPr>
              <w:t>隔声量≥</w:t>
            </w:r>
            <w:r>
              <w:rPr>
                <w:sz w:val="18"/>
                <w:szCs w:val="18"/>
              </w:rPr>
              <w:t>20</w:t>
            </w:r>
            <w:r>
              <w:rPr>
                <w:rFonts w:hint="eastAsia"/>
                <w:sz w:val="18"/>
                <w:szCs w:val="18"/>
              </w:rPr>
              <w:t>dB</w:t>
            </w:r>
          </w:p>
        </w:tc>
        <w:tc>
          <w:tcPr>
            <w:tcW w:w="338" w:type="pct"/>
            <w:vMerge w:val="restart"/>
            <w:vAlign w:val="center"/>
          </w:tcPr>
          <w:p>
            <w:pPr>
              <w:pStyle w:val="105"/>
              <w:jc w:val="center"/>
              <w:rPr>
                <w:sz w:val="18"/>
                <w:szCs w:val="18"/>
              </w:rPr>
            </w:pPr>
            <w:r>
              <w:rPr>
                <w:sz w:val="18"/>
                <w:szCs w:val="18"/>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1" w:type="pct"/>
            <w:vMerge w:val="continue"/>
            <w:vAlign w:val="center"/>
          </w:tcPr>
          <w:p>
            <w:pPr>
              <w:pStyle w:val="105"/>
              <w:jc w:val="center"/>
              <w:rPr>
                <w:sz w:val="18"/>
                <w:szCs w:val="18"/>
              </w:rPr>
            </w:pPr>
          </w:p>
        </w:tc>
        <w:tc>
          <w:tcPr>
            <w:tcW w:w="529" w:type="pct"/>
            <w:vMerge w:val="continue"/>
            <w:vAlign w:val="center"/>
          </w:tcPr>
          <w:p>
            <w:pPr>
              <w:pStyle w:val="105"/>
              <w:jc w:val="center"/>
              <w:rPr>
                <w:sz w:val="18"/>
                <w:szCs w:val="18"/>
              </w:rPr>
            </w:pPr>
          </w:p>
        </w:tc>
        <w:tc>
          <w:tcPr>
            <w:tcW w:w="461" w:type="pct"/>
            <w:vMerge w:val="continue"/>
            <w:vAlign w:val="center"/>
          </w:tcPr>
          <w:p>
            <w:pPr>
              <w:pStyle w:val="105"/>
              <w:jc w:val="center"/>
              <w:rPr>
                <w:sz w:val="18"/>
                <w:szCs w:val="18"/>
              </w:rPr>
            </w:pPr>
          </w:p>
        </w:tc>
        <w:tc>
          <w:tcPr>
            <w:tcW w:w="275" w:type="pct"/>
            <w:vMerge w:val="continue"/>
            <w:vAlign w:val="center"/>
          </w:tcPr>
          <w:p>
            <w:pPr>
              <w:pStyle w:val="105"/>
              <w:jc w:val="center"/>
              <w:rPr>
                <w:sz w:val="18"/>
                <w:szCs w:val="18"/>
              </w:rPr>
            </w:pPr>
          </w:p>
        </w:tc>
        <w:tc>
          <w:tcPr>
            <w:tcW w:w="272" w:type="pct"/>
            <w:vMerge w:val="continue"/>
            <w:vAlign w:val="center"/>
          </w:tcPr>
          <w:p>
            <w:pPr>
              <w:pStyle w:val="105"/>
              <w:jc w:val="center"/>
              <w:rPr>
                <w:sz w:val="18"/>
                <w:szCs w:val="18"/>
              </w:rPr>
            </w:pPr>
          </w:p>
        </w:tc>
        <w:tc>
          <w:tcPr>
            <w:tcW w:w="359" w:type="pct"/>
            <w:vMerge w:val="continue"/>
            <w:vAlign w:val="center"/>
          </w:tcPr>
          <w:p>
            <w:pPr>
              <w:pStyle w:val="105"/>
              <w:jc w:val="center"/>
              <w:rPr>
                <w:sz w:val="18"/>
                <w:szCs w:val="18"/>
              </w:rPr>
            </w:pPr>
          </w:p>
        </w:tc>
        <w:tc>
          <w:tcPr>
            <w:tcW w:w="173" w:type="pct"/>
            <w:vAlign w:val="center"/>
          </w:tcPr>
          <w:p>
            <w:pPr>
              <w:pStyle w:val="105"/>
              <w:jc w:val="center"/>
              <w:rPr>
                <w:sz w:val="18"/>
                <w:szCs w:val="18"/>
              </w:rPr>
            </w:pPr>
            <w:r>
              <w:rPr>
                <w:rFonts w:hint="eastAsia"/>
                <w:sz w:val="18"/>
                <w:szCs w:val="18"/>
              </w:rPr>
              <w:t>夜间</w:t>
            </w:r>
          </w:p>
        </w:tc>
        <w:tc>
          <w:tcPr>
            <w:tcW w:w="185" w:type="pct"/>
            <w:vAlign w:val="center"/>
          </w:tcPr>
          <w:p>
            <w:pPr>
              <w:pStyle w:val="105"/>
              <w:jc w:val="center"/>
            </w:pPr>
            <w:r>
              <w:t>60.3</w:t>
            </w:r>
          </w:p>
        </w:tc>
        <w:tc>
          <w:tcPr>
            <w:tcW w:w="185" w:type="pct"/>
            <w:vAlign w:val="center"/>
          </w:tcPr>
          <w:p>
            <w:pPr>
              <w:pStyle w:val="105"/>
              <w:jc w:val="center"/>
            </w:pPr>
            <w:r>
              <w:t>60.8</w:t>
            </w:r>
          </w:p>
        </w:tc>
        <w:tc>
          <w:tcPr>
            <w:tcW w:w="186" w:type="pct"/>
            <w:vAlign w:val="center"/>
          </w:tcPr>
          <w:p>
            <w:pPr>
              <w:pStyle w:val="105"/>
              <w:jc w:val="center"/>
            </w:pPr>
            <w:r>
              <w:t>61.0</w:t>
            </w:r>
          </w:p>
        </w:tc>
        <w:tc>
          <w:tcPr>
            <w:tcW w:w="216" w:type="pct"/>
            <w:vAlign w:val="center"/>
          </w:tcPr>
          <w:p>
            <w:pPr>
              <w:pStyle w:val="105"/>
              <w:jc w:val="center"/>
              <w:rPr>
                <w:highlight w:val="yellow"/>
              </w:rPr>
            </w:pPr>
            <w:r>
              <w:t>5.3</w:t>
            </w:r>
          </w:p>
        </w:tc>
        <w:tc>
          <w:tcPr>
            <w:tcW w:w="216" w:type="pct"/>
            <w:vAlign w:val="center"/>
          </w:tcPr>
          <w:p>
            <w:pPr>
              <w:pStyle w:val="105"/>
              <w:jc w:val="center"/>
              <w:rPr>
                <w:highlight w:val="yellow"/>
              </w:rPr>
            </w:pPr>
            <w:r>
              <w:t xml:space="preserve">5.8 </w:t>
            </w:r>
          </w:p>
        </w:tc>
        <w:tc>
          <w:tcPr>
            <w:tcW w:w="218" w:type="pct"/>
            <w:vAlign w:val="center"/>
          </w:tcPr>
          <w:p>
            <w:pPr>
              <w:pStyle w:val="105"/>
              <w:jc w:val="center"/>
              <w:rPr>
                <w:highlight w:val="yellow"/>
              </w:rPr>
            </w:pPr>
            <w:r>
              <w:t>6.0</w:t>
            </w:r>
          </w:p>
        </w:tc>
        <w:tc>
          <w:tcPr>
            <w:tcW w:w="198" w:type="pct"/>
            <w:vMerge w:val="continue"/>
            <w:vAlign w:val="center"/>
          </w:tcPr>
          <w:p>
            <w:pPr>
              <w:pStyle w:val="105"/>
              <w:jc w:val="center"/>
              <w:rPr>
                <w:sz w:val="18"/>
                <w:szCs w:val="18"/>
              </w:rPr>
            </w:pPr>
          </w:p>
        </w:tc>
        <w:tc>
          <w:tcPr>
            <w:tcW w:w="348" w:type="pct"/>
            <w:vMerge w:val="continue"/>
            <w:vAlign w:val="center"/>
          </w:tcPr>
          <w:p>
            <w:pPr>
              <w:pStyle w:val="105"/>
              <w:jc w:val="center"/>
              <w:rPr>
                <w:sz w:val="18"/>
                <w:szCs w:val="18"/>
              </w:rPr>
            </w:pPr>
          </w:p>
        </w:tc>
        <w:tc>
          <w:tcPr>
            <w:tcW w:w="237" w:type="pct"/>
            <w:vMerge w:val="continue"/>
            <w:vAlign w:val="center"/>
          </w:tcPr>
          <w:p>
            <w:pPr>
              <w:pStyle w:val="105"/>
              <w:jc w:val="center"/>
              <w:rPr>
                <w:sz w:val="18"/>
                <w:szCs w:val="18"/>
              </w:rPr>
            </w:pPr>
          </w:p>
        </w:tc>
        <w:tc>
          <w:tcPr>
            <w:tcW w:w="432" w:type="pct"/>
            <w:vMerge w:val="continue"/>
            <w:vAlign w:val="center"/>
          </w:tcPr>
          <w:p>
            <w:pPr>
              <w:pStyle w:val="105"/>
              <w:jc w:val="center"/>
              <w:rPr>
                <w:sz w:val="18"/>
                <w:szCs w:val="18"/>
              </w:rPr>
            </w:pPr>
          </w:p>
        </w:tc>
        <w:tc>
          <w:tcPr>
            <w:tcW w:w="338" w:type="pct"/>
            <w:vMerge w:val="continue"/>
            <w:vAlign w:val="center"/>
          </w:tcPr>
          <w:p>
            <w:pPr>
              <w:pStyle w:val="105"/>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1" w:type="pct"/>
            <w:vMerge w:val="restart"/>
            <w:vAlign w:val="center"/>
          </w:tcPr>
          <w:p>
            <w:pPr>
              <w:pStyle w:val="105"/>
              <w:jc w:val="center"/>
              <w:rPr>
                <w:sz w:val="18"/>
                <w:szCs w:val="18"/>
              </w:rPr>
            </w:pPr>
            <w:r>
              <w:rPr>
                <w:rFonts w:hint="eastAsia"/>
                <w:sz w:val="18"/>
                <w:szCs w:val="18"/>
              </w:rPr>
              <w:t>5</w:t>
            </w:r>
          </w:p>
        </w:tc>
        <w:tc>
          <w:tcPr>
            <w:tcW w:w="529" w:type="pct"/>
            <w:vMerge w:val="restart"/>
            <w:vAlign w:val="center"/>
          </w:tcPr>
          <w:p>
            <w:pPr>
              <w:pStyle w:val="105"/>
              <w:jc w:val="center"/>
              <w:rPr>
                <w:sz w:val="18"/>
                <w:szCs w:val="18"/>
              </w:rPr>
            </w:pPr>
            <w:r>
              <w:rPr>
                <w:rFonts w:hint="eastAsia"/>
                <w:sz w:val="18"/>
                <w:szCs w:val="18"/>
              </w:rPr>
              <w:t>联华村西山</w:t>
            </w:r>
          </w:p>
        </w:tc>
        <w:tc>
          <w:tcPr>
            <w:tcW w:w="461" w:type="pct"/>
            <w:vMerge w:val="restart"/>
            <w:vAlign w:val="center"/>
          </w:tcPr>
          <w:p>
            <w:pPr>
              <w:pStyle w:val="105"/>
              <w:jc w:val="center"/>
              <w:rPr>
                <w:sz w:val="18"/>
                <w:szCs w:val="18"/>
              </w:rPr>
            </w:pPr>
            <w:r>
              <w:rPr>
                <w:rFonts w:hint="eastAsia"/>
                <w:sz w:val="18"/>
                <w:szCs w:val="18"/>
              </w:rPr>
              <w:t>K</w:t>
            </w:r>
            <w:r>
              <w:rPr>
                <w:sz w:val="18"/>
                <w:szCs w:val="18"/>
              </w:rPr>
              <w:t>2+940~</w:t>
            </w:r>
            <w:r>
              <w:rPr>
                <w:rFonts w:hint="eastAsia"/>
                <w:sz w:val="18"/>
                <w:szCs w:val="18"/>
              </w:rPr>
              <w:t xml:space="preserve"> K</w:t>
            </w:r>
            <w:r>
              <w:rPr>
                <w:sz w:val="18"/>
                <w:szCs w:val="18"/>
              </w:rPr>
              <w:t>3+540</w:t>
            </w:r>
          </w:p>
        </w:tc>
        <w:tc>
          <w:tcPr>
            <w:tcW w:w="275" w:type="pct"/>
            <w:vMerge w:val="restart"/>
            <w:vAlign w:val="center"/>
          </w:tcPr>
          <w:p>
            <w:pPr>
              <w:pStyle w:val="105"/>
              <w:jc w:val="center"/>
              <w:rPr>
                <w:sz w:val="18"/>
                <w:szCs w:val="18"/>
              </w:rPr>
            </w:pPr>
            <w:r>
              <w:rPr>
                <w:rFonts w:hint="eastAsia"/>
                <w:sz w:val="18"/>
                <w:szCs w:val="18"/>
              </w:rPr>
              <w:t>1</w:t>
            </w:r>
            <w:r>
              <w:rPr>
                <w:sz w:val="18"/>
                <w:szCs w:val="18"/>
              </w:rPr>
              <w:t>0</w:t>
            </w:r>
          </w:p>
        </w:tc>
        <w:tc>
          <w:tcPr>
            <w:tcW w:w="272" w:type="pct"/>
            <w:vMerge w:val="restart"/>
            <w:vAlign w:val="center"/>
          </w:tcPr>
          <w:p>
            <w:pPr>
              <w:pStyle w:val="105"/>
              <w:jc w:val="center"/>
              <w:rPr>
                <w:sz w:val="18"/>
                <w:szCs w:val="18"/>
              </w:rPr>
            </w:pPr>
            <w:r>
              <w:rPr>
                <w:rFonts w:hint="eastAsia"/>
                <w:sz w:val="18"/>
                <w:szCs w:val="18"/>
              </w:rPr>
              <w:t>0</w:t>
            </w:r>
          </w:p>
        </w:tc>
        <w:tc>
          <w:tcPr>
            <w:tcW w:w="359" w:type="pct"/>
            <w:vMerge w:val="restart"/>
            <w:vAlign w:val="center"/>
          </w:tcPr>
          <w:p>
            <w:pPr>
              <w:pStyle w:val="105"/>
              <w:jc w:val="center"/>
              <w:rPr>
                <w:sz w:val="18"/>
                <w:szCs w:val="18"/>
              </w:rPr>
            </w:pPr>
            <w:r>
              <w:rPr>
                <w:sz w:val="18"/>
                <w:szCs w:val="18"/>
              </w:rPr>
              <w:t>4</w:t>
            </w:r>
            <w:r>
              <w:rPr>
                <w:rFonts w:hint="eastAsia"/>
                <w:sz w:val="18"/>
                <w:szCs w:val="18"/>
              </w:rPr>
              <w:t>a类</w:t>
            </w:r>
          </w:p>
        </w:tc>
        <w:tc>
          <w:tcPr>
            <w:tcW w:w="173" w:type="pct"/>
            <w:vAlign w:val="center"/>
          </w:tcPr>
          <w:p>
            <w:pPr>
              <w:pStyle w:val="105"/>
              <w:jc w:val="center"/>
              <w:rPr>
                <w:sz w:val="18"/>
                <w:szCs w:val="18"/>
              </w:rPr>
            </w:pPr>
            <w:r>
              <w:rPr>
                <w:rFonts w:hint="eastAsia"/>
                <w:sz w:val="18"/>
                <w:szCs w:val="18"/>
              </w:rPr>
              <w:t>昼间</w:t>
            </w:r>
          </w:p>
        </w:tc>
        <w:tc>
          <w:tcPr>
            <w:tcW w:w="185" w:type="pct"/>
            <w:vAlign w:val="center"/>
          </w:tcPr>
          <w:p>
            <w:pPr>
              <w:pStyle w:val="105"/>
              <w:jc w:val="center"/>
            </w:pPr>
            <w:r>
              <w:t>68.4</w:t>
            </w:r>
          </w:p>
        </w:tc>
        <w:tc>
          <w:tcPr>
            <w:tcW w:w="185" w:type="pct"/>
            <w:vAlign w:val="center"/>
          </w:tcPr>
          <w:p>
            <w:pPr>
              <w:pStyle w:val="105"/>
              <w:jc w:val="center"/>
            </w:pPr>
            <w:r>
              <w:t>69.5</w:t>
            </w:r>
          </w:p>
        </w:tc>
        <w:tc>
          <w:tcPr>
            <w:tcW w:w="186" w:type="pct"/>
            <w:vAlign w:val="center"/>
          </w:tcPr>
          <w:p>
            <w:pPr>
              <w:pStyle w:val="105"/>
              <w:jc w:val="center"/>
            </w:pPr>
            <w:r>
              <w:t>69.5</w:t>
            </w:r>
          </w:p>
        </w:tc>
        <w:tc>
          <w:tcPr>
            <w:tcW w:w="216" w:type="pct"/>
            <w:vAlign w:val="center"/>
          </w:tcPr>
          <w:p>
            <w:pPr>
              <w:pStyle w:val="105"/>
              <w:jc w:val="center"/>
              <w:rPr>
                <w:highlight w:val="yellow"/>
              </w:rPr>
            </w:pPr>
            <w:r>
              <w:t>/</w:t>
            </w:r>
          </w:p>
        </w:tc>
        <w:tc>
          <w:tcPr>
            <w:tcW w:w="216" w:type="pct"/>
            <w:vAlign w:val="center"/>
          </w:tcPr>
          <w:p>
            <w:pPr>
              <w:pStyle w:val="105"/>
              <w:jc w:val="center"/>
              <w:rPr>
                <w:highlight w:val="yellow"/>
              </w:rPr>
            </w:pPr>
            <w:r>
              <w:t>/</w:t>
            </w:r>
          </w:p>
        </w:tc>
        <w:tc>
          <w:tcPr>
            <w:tcW w:w="218" w:type="pct"/>
            <w:vAlign w:val="center"/>
          </w:tcPr>
          <w:p>
            <w:pPr>
              <w:pStyle w:val="105"/>
              <w:jc w:val="center"/>
              <w:rPr>
                <w:highlight w:val="yellow"/>
              </w:rPr>
            </w:pPr>
            <w:r>
              <w:t>/</w:t>
            </w:r>
          </w:p>
        </w:tc>
        <w:tc>
          <w:tcPr>
            <w:tcW w:w="198" w:type="pct"/>
            <w:vMerge w:val="restart"/>
            <w:vAlign w:val="center"/>
          </w:tcPr>
          <w:p>
            <w:pPr>
              <w:pStyle w:val="105"/>
              <w:jc w:val="center"/>
              <w:rPr>
                <w:sz w:val="18"/>
                <w:szCs w:val="18"/>
              </w:rPr>
            </w:pPr>
            <w:r>
              <w:rPr>
                <w:rFonts w:hint="eastAsia"/>
                <w:sz w:val="18"/>
                <w:szCs w:val="18"/>
              </w:rPr>
              <w:t>4户自建房</w:t>
            </w:r>
          </w:p>
        </w:tc>
        <w:tc>
          <w:tcPr>
            <w:tcW w:w="348" w:type="pct"/>
            <w:vMerge w:val="restart"/>
            <w:vAlign w:val="center"/>
          </w:tcPr>
          <w:p>
            <w:pPr>
              <w:pStyle w:val="105"/>
              <w:jc w:val="center"/>
              <w:rPr>
                <w:sz w:val="18"/>
                <w:szCs w:val="18"/>
              </w:rPr>
            </w:pPr>
            <w:r>
              <w:rPr>
                <w:rFonts w:hint="eastAsia"/>
                <w:sz w:val="18"/>
                <w:szCs w:val="18"/>
              </w:rPr>
              <w:t>通风隔声窗</w:t>
            </w:r>
          </w:p>
        </w:tc>
        <w:tc>
          <w:tcPr>
            <w:tcW w:w="237" w:type="pct"/>
            <w:vMerge w:val="restart"/>
            <w:vAlign w:val="center"/>
          </w:tcPr>
          <w:p>
            <w:pPr>
              <w:pStyle w:val="105"/>
              <w:jc w:val="center"/>
              <w:rPr>
                <w:sz w:val="18"/>
                <w:szCs w:val="18"/>
              </w:rPr>
            </w:pPr>
            <w:r>
              <w:rPr>
                <w:sz w:val="18"/>
                <w:szCs w:val="18"/>
              </w:rPr>
              <w:t>40</w:t>
            </w:r>
            <w:r>
              <w:rPr>
                <w:rFonts w:hint="eastAsia"/>
                <w:sz w:val="18"/>
                <w:szCs w:val="18"/>
              </w:rPr>
              <w:t>m</w:t>
            </w:r>
            <w:r>
              <w:rPr>
                <w:sz w:val="18"/>
                <w:szCs w:val="18"/>
                <w:vertAlign w:val="superscript"/>
              </w:rPr>
              <w:t>2</w:t>
            </w:r>
            <w:r>
              <w:rPr>
                <w:rFonts w:hint="eastAsia"/>
                <w:sz w:val="18"/>
                <w:szCs w:val="18"/>
              </w:rPr>
              <w:t>隔声窗</w:t>
            </w:r>
          </w:p>
        </w:tc>
        <w:tc>
          <w:tcPr>
            <w:tcW w:w="432" w:type="pct"/>
            <w:vMerge w:val="restart"/>
            <w:vAlign w:val="center"/>
          </w:tcPr>
          <w:p>
            <w:pPr>
              <w:pStyle w:val="105"/>
              <w:jc w:val="center"/>
              <w:rPr>
                <w:sz w:val="18"/>
                <w:szCs w:val="18"/>
              </w:rPr>
            </w:pPr>
            <w:r>
              <w:rPr>
                <w:rFonts w:hint="eastAsia"/>
                <w:sz w:val="18"/>
                <w:szCs w:val="18"/>
              </w:rPr>
              <w:t>隔声量≥</w:t>
            </w:r>
            <w:r>
              <w:rPr>
                <w:sz w:val="18"/>
                <w:szCs w:val="18"/>
              </w:rPr>
              <w:t>20</w:t>
            </w:r>
            <w:r>
              <w:rPr>
                <w:rFonts w:hint="eastAsia"/>
                <w:sz w:val="18"/>
                <w:szCs w:val="18"/>
              </w:rPr>
              <w:t>dB</w:t>
            </w:r>
          </w:p>
        </w:tc>
        <w:tc>
          <w:tcPr>
            <w:tcW w:w="338" w:type="pct"/>
            <w:vMerge w:val="restart"/>
            <w:vAlign w:val="center"/>
          </w:tcPr>
          <w:p>
            <w:pPr>
              <w:pStyle w:val="105"/>
              <w:jc w:val="center"/>
              <w:rPr>
                <w:sz w:val="18"/>
                <w:szCs w:val="18"/>
              </w:rPr>
            </w:pPr>
            <w:r>
              <w:rPr>
                <w:sz w:val="18"/>
                <w:szCs w:val="18"/>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71" w:type="pct"/>
            <w:vMerge w:val="continue"/>
            <w:vAlign w:val="center"/>
          </w:tcPr>
          <w:p>
            <w:pPr>
              <w:pStyle w:val="105"/>
              <w:jc w:val="center"/>
              <w:rPr>
                <w:sz w:val="18"/>
                <w:szCs w:val="18"/>
              </w:rPr>
            </w:pPr>
          </w:p>
        </w:tc>
        <w:tc>
          <w:tcPr>
            <w:tcW w:w="529" w:type="pct"/>
            <w:vMerge w:val="continue"/>
            <w:vAlign w:val="center"/>
          </w:tcPr>
          <w:p>
            <w:pPr>
              <w:pStyle w:val="105"/>
              <w:jc w:val="center"/>
              <w:rPr>
                <w:sz w:val="18"/>
                <w:szCs w:val="18"/>
              </w:rPr>
            </w:pPr>
          </w:p>
        </w:tc>
        <w:tc>
          <w:tcPr>
            <w:tcW w:w="461" w:type="pct"/>
            <w:vMerge w:val="continue"/>
            <w:vAlign w:val="center"/>
          </w:tcPr>
          <w:p>
            <w:pPr>
              <w:pStyle w:val="105"/>
              <w:jc w:val="center"/>
              <w:rPr>
                <w:sz w:val="18"/>
                <w:szCs w:val="18"/>
              </w:rPr>
            </w:pPr>
          </w:p>
        </w:tc>
        <w:tc>
          <w:tcPr>
            <w:tcW w:w="275" w:type="pct"/>
            <w:vMerge w:val="continue"/>
            <w:vAlign w:val="center"/>
          </w:tcPr>
          <w:p>
            <w:pPr>
              <w:pStyle w:val="105"/>
              <w:jc w:val="center"/>
              <w:rPr>
                <w:sz w:val="18"/>
                <w:szCs w:val="18"/>
              </w:rPr>
            </w:pPr>
          </w:p>
        </w:tc>
        <w:tc>
          <w:tcPr>
            <w:tcW w:w="272" w:type="pct"/>
            <w:vMerge w:val="continue"/>
            <w:vAlign w:val="center"/>
          </w:tcPr>
          <w:p>
            <w:pPr>
              <w:pStyle w:val="105"/>
              <w:jc w:val="center"/>
              <w:rPr>
                <w:sz w:val="18"/>
                <w:szCs w:val="18"/>
              </w:rPr>
            </w:pPr>
          </w:p>
        </w:tc>
        <w:tc>
          <w:tcPr>
            <w:tcW w:w="359" w:type="pct"/>
            <w:vMerge w:val="continue"/>
            <w:vAlign w:val="center"/>
          </w:tcPr>
          <w:p>
            <w:pPr>
              <w:pStyle w:val="105"/>
              <w:jc w:val="center"/>
              <w:rPr>
                <w:sz w:val="18"/>
                <w:szCs w:val="18"/>
              </w:rPr>
            </w:pPr>
          </w:p>
        </w:tc>
        <w:tc>
          <w:tcPr>
            <w:tcW w:w="173" w:type="pct"/>
            <w:vAlign w:val="center"/>
          </w:tcPr>
          <w:p>
            <w:pPr>
              <w:pStyle w:val="105"/>
              <w:jc w:val="center"/>
              <w:rPr>
                <w:sz w:val="18"/>
                <w:szCs w:val="18"/>
              </w:rPr>
            </w:pPr>
            <w:r>
              <w:rPr>
                <w:rFonts w:hint="eastAsia"/>
                <w:sz w:val="18"/>
                <w:szCs w:val="18"/>
              </w:rPr>
              <w:t>夜间</w:t>
            </w:r>
          </w:p>
        </w:tc>
        <w:tc>
          <w:tcPr>
            <w:tcW w:w="185" w:type="pct"/>
            <w:vAlign w:val="center"/>
          </w:tcPr>
          <w:p>
            <w:pPr>
              <w:pStyle w:val="105"/>
              <w:jc w:val="center"/>
            </w:pPr>
            <w:r>
              <w:t>60.8</w:t>
            </w:r>
          </w:p>
        </w:tc>
        <w:tc>
          <w:tcPr>
            <w:tcW w:w="185" w:type="pct"/>
            <w:vAlign w:val="center"/>
          </w:tcPr>
          <w:p>
            <w:pPr>
              <w:pStyle w:val="105"/>
              <w:jc w:val="center"/>
            </w:pPr>
            <w:r>
              <w:t>61.3</w:t>
            </w:r>
          </w:p>
        </w:tc>
        <w:tc>
          <w:tcPr>
            <w:tcW w:w="186" w:type="pct"/>
            <w:vAlign w:val="center"/>
          </w:tcPr>
          <w:p>
            <w:pPr>
              <w:pStyle w:val="105"/>
              <w:jc w:val="center"/>
            </w:pPr>
            <w:r>
              <w:t>61.3</w:t>
            </w:r>
          </w:p>
        </w:tc>
        <w:tc>
          <w:tcPr>
            <w:tcW w:w="216" w:type="pct"/>
            <w:vAlign w:val="center"/>
          </w:tcPr>
          <w:p>
            <w:pPr>
              <w:pStyle w:val="105"/>
              <w:jc w:val="center"/>
              <w:rPr>
                <w:highlight w:val="yellow"/>
              </w:rPr>
            </w:pPr>
            <w:r>
              <w:t xml:space="preserve">5.8 </w:t>
            </w:r>
          </w:p>
        </w:tc>
        <w:tc>
          <w:tcPr>
            <w:tcW w:w="216" w:type="pct"/>
            <w:vAlign w:val="center"/>
          </w:tcPr>
          <w:p>
            <w:pPr>
              <w:pStyle w:val="105"/>
              <w:jc w:val="center"/>
              <w:rPr>
                <w:highlight w:val="yellow"/>
              </w:rPr>
            </w:pPr>
            <w:r>
              <w:t xml:space="preserve">6.3 </w:t>
            </w:r>
          </w:p>
        </w:tc>
        <w:tc>
          <w:tcPr>
            <w:tcW w:w="218" w:type="pct"/>
            <w:vAlign w:val="center"/>
          </w:tcPr>
          <w:p>
            <w:pPr>
              <w:pStyle w:val="105"/>
              <w:jc w:val="center"/>
              <w:rPr>
                <w:highlight w:val="yellow"/>
              </w:rPr>
            </w:pPr>
            <w:r>
              <w:t>6.5</w:t>
            </w:r>
          </w:p>
        </w:tc>
        <w:tc>
          <w:tcPr>
            <w:tcW w:w="198" w:type="pct"/>
            <w:vMerge w:val="continue"/>
            <w:vAlign w:val="center"/>
          </w:tcPr>
          <w:p>
            <w:pPr>
              <w:pStyle w:val="105"/>
              <w:jc w:val="center"/>
              <w:rPr>
                <w:sz w:val="18"/>
                <w:szCs w:val="18"/>
              </w:rPr>
            </w:pPr>
          </w:p>
        </w:tc>
        <w:tc>
          <w:tcPr>
            <w:tcW w:w="348" w:type="pct"/>
            <w:vMerge w:val="continue"/>
            <w:vAlign w:val="center"/>
          </w:tcPr>
          <w:p>
            <w:pPr>
              <w:pStyle w:val="105"/>
              <w:jc w:val="center"/>
              <w:rPr>
                <w:sz w:val="18"/>
                <w:szCs w:val="18"/>
              </w:rPr>
            </w:pPr>
          </w:p>
        </w:tc>
        <w:tc>
          <w:tcPr>
            <w:tcW w:w="237" w:type="pct"/>
            <w:vMerge w:val="continue"/>
            <w:vAlign w:val="center"/>
          </w:tcPr>
          <w:p>
            <w:pPr>
              <w:pStyle w:val="105"/>
              <w:jc w:val="center"/>
              <w:rPr>
                <w:sz w:val="18"/>
                <w:szCs w:val="18"/>
              </w:rPr>
            </w:pPr>
          </w:p>
        </w:tc>
        <w:tc>
          <w:tcPr>
            <w:tcW w:w="432" w:type="pct"/>
            <w:vMerge w:val="continue"/>
            <w:vAlign w:val="center"/>
          </w:tcPr>
          <w:p>
            <w:pPr>
              <w:pStyle w:val="105"/>
              <w:jc w:val="center"/>
              <w:rPr>
                <w:sz w:val="18"/>
                <w:szCs w:val="18"/>
              </w:rPr>
            </w:pPr>
          </w:p>
        </w:tc>
        <w:tc>
          <w:tcPr>
            <w:tcW w:w="338" w:type="pct"/>
            <w:vMerge w:val="continue"/>
            <w:vAlign w:val="center"/>
          </w:tcPr>
          <w:p>
            <w:pPr>
              <w:pStyle w:val="105"/>
              <w:jc w:val="center"/>
              <w:rPr>
                <w:sz w:val="18"/>
                <w:szCs w:val="18"/>
              </w:rPr>
            </w:pPr>
          </w:p>
        </w:tc>
      </w:tr>
    </w:tbl>
    <w:p>
      <w:pPr>
        <w:pStyle w:val="124"/>
        <w:spacing w:before="163"/>
      </w:pPr>
    </w:p>
    <w:p>
      <w:pPr>
        <w:pStyle w:val="124"/>
        <w:spacing w:before="163"/>
      </w:pPr>
    </w:p>
    <w:p>
      <w:pPr>
        <w:pStyle w:val="124"/>
        <w:spacing w:before="163"/>
      </w:pPr>
    </w:p>
    <w:p>
      <w:pPr>
        <w:pStyle w:val="124"/>
        <w:spacing w:before="163"/>
        <w:sectPr>
          <w:pgSz w:w="16838" w:h="11906" w:orient="landscape"/>
          <w:pgMar w:top="1418" w:right="1418" w:bottom="1418" w:left="1418" w:header="851" w:footer="850" w:gutter="0"/>
          <w:cols w:space="425" w:num="1"/>
          <w:docGrid w:type="lines" w:linePitch="326" w:charSpace="0"/>
        </w:sectPr>
      </w:pPr>
    </w:p>
    <w:bookmarkEnd w:id="573"/>
    <w:p>
      <w:pPr>
        <w:pStyle w:val="116"/>
      </w:pPr>
      <w:bookmarkStart w:id="575" w:name="_Toc154668066"/>
      <w:bookmarkStart w:id="576" w:name="_Toc152236631"/>
      <w:bookmarkStart w:id="577" w:name="_Toc159405490"/>
      <w:bookmarkStart w:id="578" w:name="_Toc204676262"/>
      <w:r>
        <w:rPr>
          <w:rFonts w:hint="eastAsia"/>
        </w:rPr>
        <w:t>固体废物防治措施</w:t>
      </w:r>
      <w:bookmarkEnd w:id="575"/>
      <w:bookmarkEnd w:id="576"/>
      <w:bookmarkEnd w:id="577"/>
      <w:bookmarkEnd w:id="578"/>
    </w:p>
    <w:p>
      <w:pPr>
        <w:pStyle w:val="120"/>
        <w:rPr>
          <w:color w:val="auto"/>
        </w:rPr>
      </w:pPr>
      <w:r>
        <w:rPr>
          <w:rFonts w:hint="eastAsia"/>
          <w:color w:val="auto"/>
        </w:rPr>
        <w:t>施工期固体废物处置措施</w:t>
      </w:r>
    </w:p>
    <w:p>
      <w:pPr>
        <w:ind w:firstLine="480"/>
      </w:pPr>
      <w:r>
        <w:rPr>
          <w:rFonts w:hint="eastAsia"/>
        </w:rPr>
        <w:t>（</w:t>
      </w:r>
      <w:r>
        <w:t>1</w:t>
      </w:r>
      <w:r>
        <w:rPr>
          <w:rFonts w:hint="eastAsia"/>
        </w:rPr>
        <w:t>）施工产生的固体废弃物应采用减量化、无害化、资源化的原则进行处理，产生的固废如不能利用，应及时进行清理，避免长时间暴露。应加强固体废物管理，生活垃圾与建筑垃圾应分开堆置。</w:t>
      </w:r>
    </w:p>
    <w:p>
      <w:pPr>
        <w:ind w:firstLine="480"/>
      </w:pPr>
      <w:r>
        <w:rPr>
          <w:rFonts w:hint="eastAsia"/>
        </w:rPr>
        <w:t>（2）施工中产生的建筑材料下脚料、断残管材、包装袋以及建筑碎料、石子、沙子等固体废物，断残钢筋、管材、管件等金属废物，可由废品回收部门回收再生利用，不可再生利用的施工垃圾可运送至指定建筑垃圾收集点堆存。</w:t>
      </w:r>
    </w:p>
    <w:p>
      <w:pPr>
        <w:ind w:firstLine="480"/>
      </w:pPr>
      <w:r>
        <w:rPr>
          <w:rFonts w:hint="eastAsia"/>
        </w:rPr>
        <w:t xml:space="preserve">（3）施工现场应当设置废物收集桶（或其他容器）用于及时清理、收集生产和生活废物，禁止随意抛洒；集中收集后送入垃圾处理场。施工营地的生活垃圾设置垃圾箱全部收集，定期清运。 </w:t>
      </w:r>
    </w:p>
    <w:p>
      <w:pPr>
        <w:ind w:firstLine="480"/>
      </w:pPr>
      <w:r>
        <w:rPr>
          <w:rFonts w:hint="eastAsia"/>
        </w:rPr>
        <w:t>（4）施工单位应将产生的含油抹布、废油等危废交由有资质的危废处理单位妥善处置。</w:t>
      </w:r>
    </w:p>
    <w:p>
      <w:pPr>
        <w:ind w:firstLine="480"/>
      </w:pPr>
      <w:r>
        <w:rPr>
          <w:rFonts w:hint="eastAsia"/>
        </w:rPr>
        <w:t>（</w:t>
      </w:r>
      <w:r>
        <w:t>5</w:t>
      </w:r>
      <w:r>
        <w:rPr>
          <w:rFonts w:hint="eastAsia"/>
        </w:rPr>
        <w:t xml:space="preserve">）拆迁建筑垃圾应尽可能回用，对于不能回收利用的垃圾应运至指定的建筑垃圾处理场处理，严禁乱丢乱弃。 </w:t>
      </w:r>
    </w:p>
    <w:p>
      <w:pPr>
        <w:ind w:firstLine="480"/>
      </w:pPr>
      <w:r>
        <w:rPr>
          <w:rFonts w:hint="eastAsia"/>
        </w:rPr>
        <w:t>（</w:t>
      </w:r>
      <w:r>
        <w:t>6</w:t>
      </w:r>
      <w:r>
        <w:rPr>
          <w:rFonts w:hint="eastAsia"/>
        </w:rPr>
        <w:t>）施工结束后，施工单位应立即拆除各种临时施工设施，并负责将工地的剩余建筑垃圾、工程渣土处理干净。</w:t>
      </w:r>
    </w:p>
    <w:p>
      <w:pPr>
        <w:ind w:firstLine="480"/>
      </w:pPr>
      <w:r>
        <w:t>（7）</w:t>
      </w:r>
      <w:r>
        <w:rPr>
          <w:spacing w:val="-3"/>
        </w:rPr>
        <w:t>土石方、物料等运输车辆应有遮盖或密闭措施，减少砂石土途中的遗撒、尽量避</w:t>
      </w:r>
      <w:r>
        <w:t>免产生不必要的固废。施工场地内的表土应集中放置妥善保存，以后可作为绿化用土，以充分利用土地资源。</w:t>
      </w:r>
    </w:p>
    <w:p>
      <w:pPr>
        <w:ind w:firstLine="480"/>
      </w:pPr>
      <w:r>
        <w:t>（8）</w:t>
      </w:r>
      <w:r>
        <w:rPr>
          <w:spacing w:val="-3"/>
        </w:rPr>
        <w:t>强化施工期的环境管理，倡导文明施工。施工期间产生的建筑、生活垃圾在分拣</w:t>
      </w:r>
      <w:r>
        <w:t>回收可利用部分后，不得随意堆放和抛弃，应定点堆放收集、及时清运。禁止向周边</w:t>
      </w:r>
      <w:r>
        <w:rPr>
          <w:rFonts w:hint="eastAsia"/>
        </w:rPr>
        <w:t>水域、</w:t>
      </w:r>
      <w:r>
        <w:t>农田、生态林地等随意倾倒垃圾。</w:t>
      </w:r>
    </w:p>
    <w:p>
      <w:pPr>
        <w:pStyle w:val="120"/>
        <w:rPr>
          <w:color w:val="auto"/>
        </w:rPr>
      </w:pPr>
      <w:r>
        <w:rPr>
          <w:rFonts w:hint="eastAsia"/>
          <w:color w:val="auto"/>
        </w:rPr>
        <w:t>运营期固体废物防治措施</w:t>
      </w:r>
    </w:p>
    <w:p>
      <w:pPr>
        <w:ind w:firstLine="480"/>
      </w:pPr>
      <w:r>
        <w:rPr>
          <w:rFonts w:hint="eastAsia"/>
        </w:rPr>
        <w:t>（</w:t>
      </w:r>
      <w:r>
        <w:t>1</w:t>
      </w:r>
      <w:r>
        <w:rPr>
          <w:rFonts w:hint="eastAsia"/>
        </w:rPr>
        <w:t>）经环卫部门负责定期清除、收集、外运，保证日产日清、路面清洁；</w:t>
      </w:r>
    </w:p>
    <w:p>
      <w:pPr>
        <w:ind w:firstLine="480"/>
      </w:pPr>
      <w:r>
        <w:rPr>
          <w:rFonts w:hint="eastAsia"/>
        </w:rPr>
        <w:t>（</w:t>
      </w:r>
      <w:r>
        <w:t>2</w:t>
      </w:r>
      <w:r>
        <w:rPr>
          <w:rFonts w:hint="eastAsia"/>
        </w:rPr>
        <w:t>）强化公路沿线的固体废弃物污染治理的监督工作，向司乘人员和行人加强宣传教育工作。</w:t>
      </w:r>
    </w:p>
    <w:p>
      <w:pPr>
        <w:ind w:firstLine="480"/>
        <w:sectPr>
          <w:pgSz w:w="11906" w:h="16838"/>
          <w:pgMar w:top="1418" w:right="1418" w:bottom="1418" w:left="1418" w:header="851" w:footer="850" w:gutter="0"/>
          <w:cols w:space="425" w:num="1"/>
          <w:docGrid w:type="lines" w:linePitch="326" w:charSpace="0"/>
        </w:sectPr>
      </w:pPr>
    </w:p>
    <w:p>
      <w:pPr>
        <w:pStyle w:val="116"/>
      </w:pPr>
      <w:bookmarkStart w:id="579" w:name="_Toc152236632"/>
      <w:bookmarkStart w:id="580" w:name="_Toc154668067"/>
      <w:bookmarkStart w:id="581" w:name="_Toc159405491"/>
      <w:bookmarkStart w:id="582" w:name="_Toc204676263"/>
      <w:bookmarkStart w:id="583" w:name="_Toc146524996"/>
      <w:r>
        <w:rPr>
          <w:rFonts w:hint="eastAsia"/>
        </w:rPr>
        <w:t>环保投资估算</w:t>
      </w:r>
      <w:bookmarkEnd w:id="579"/>
      <w:bookmarkEnd w:id="580"/>
      <w:bookmarkEnd w:id="581"/>
      <w:bookmarkEnd w:id="582"/>
      <w:bookmarkEnd w:id="583"/>
    </w:p>
    <w:p>
      <w:pPr>
        <w:ind w:firstLine="480"/>
      </w:pPr>
      <w:r>
        <w:rPr>
          <w:rFonts w:hint="eastAsia"/>
        </w:rPr>
        <w:t>本项目总投资为</w:t>
      </w:r>
      <w:r>
        <w:t>27556.8</w:t>
      </w:r>
      <w:r>
        <w:rPr>
          <w:rFonts w:hint="eastAsia"/>
        </w:rPr>
        <w:t>万元，其中环保投资为</w:t>
      </w:r>
      <w:bookmarkStart w:id="584" w:name="_Hlk153097945"/>
      <w:r>
        <w:t>321</w:t>
      </w:r>
      <w:r>
        <w:rPr>
          <w:rFonts w:hint="eastAsia"/>
        </w:rPr>
        <w:t>万元</w:t>
      </w:r>
      <w:bookmarkEnd w:id="584"/>
      <w:r>
        <w:rPr>
          <w:rFonts w:hint="eastAsia"/>
        </w:rPr>
        <w:t>，占总投资的</w:t>
      </w:r>
      <w:r>
        <w:t>1.16</w:t>
      </w:r>
      <w:r>
        <w:rPr>
          <w:rFonts w:hint="eastAsia"/>
        </w:rPr>
        <w:t>%，具体投资项目和费用见</w:t>
      </w:r>
      <w:r>
        <w:fldChar w:fldCharType="begin"/>
      </w:r>
      <w:r>
        <w:instrText xml:space="preserve"> </w:instrText>
      </w:r>
      <w:r>
        <w:rPr>
          <w:rFonts w:hint="eastAsia"/>
        </w:rPr>
        <w:instrText xml:space="preserve">REF _Ref535081026 \r \h</w:instrText>
      </w:r>
      <w:r>
        <w:instrText xml:space="preserve">  \* MERGEFORMAT </w:instrText>
      </w:r>
      <w:r>
        <w:fldChar w:fldCharType="separate"/>
      </w:r>
      <w:r>
        <w:rPr>
          <w:rFonts w:hint="eastAsia"/>
        </w:rPr>
        <w:t>表7.6-1</w:t>
      </w:r>
      <w:r>
        <w:fldChar w:fldCharType="end"/>
      </w:r>
      <w:r>
        <w:rPr>
          <w:rFonts w:hint="eastAsia"/>
        </w:rPr>
        <w:t>。</w:t>
      </w:r>
    </w:p>
    <w:p>
      <w:pPr>
        <w:pStyle w:val="87"/>
        <w:spacing w:before="120"/>
      </w:pPr>
      <w:bookmarkStart w:id="585" w:name="_Ref535081026"/>
      <w:bookmarkStart w:id="586" w:name="_Toc66109054"/>
      <w:bookmarkStart w:id="587" w:name="_Toc61517123"/>
      <w:r>
        <w:t>环保投资估算表</w:t>
      </w:r>
      <w:r>
        <w:rPr>
          <w:rFonts w:hint="eastAsia"/>
        </w:rPr>
        <w:t xml:space="preserve"> </w:t>
      </w:r>
      <w:r>
        <w:t xml:space="preserve">  单位：万元</w:t>
      </w:r>
      <w:bookmarkEnd w:id="585"/>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241"/>
        <w:gridCol w:w="5869"/>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shd w:val="clear" w:color="auto" w:fill="auto"/>
            <w:vAlign w:val="center"/>
          </w:tcPr>
          <w:p>
            <w:pPr>
              <w:pStyle w:val="105"/>
            </w:pPr>
            <w:r>
              <w:t>序号</w:t>
            </w:r>
          </w:p>
        </w:tc>
        <w:tc>
          <w:tcPr>
            <w:tcW w:w="668" w:type="pct"/>
            <w:shd w:val="clear" w:color="auto" w:fill="auto"/>
            <w:vAlign w:val="center"/>
          </w:tcPr>
          <w:p>
            <w:pPr>
              <w:pStyle w:val="105"/>
            </w:pPr>
            <w:r>
              <w:t>类别</w:t>
            </w:r>
          </w:p>
        </w:tc>
        <w:tc>
          <w:tcPr>
            <w:tcW w:w="3159" w:type="pct"/>
            <w:shd w:val="clear" w:color="auto" w:fill="auto"/>
            <w:vAlign w:val="center"/>
          </w:tcPr>
          <w:p>
            <w:pPr>
              <w:pStyle w:val="105"/>
            </w:pPr>
            <w:r>
              <w:t>环保措施名称</w:t>
            </w:r>
          </w:p>
        </w:tc>
        <w:tc>
          <w:tcPr>
            <w:tcW w:w="747" w:type="pct"/>
            <w:shd w:val="clear" w:color="auto" w:fill="auto"/>
            <w:vAlign w:val="center"/>
          </w:tcPr>
          <w:p>
            <w:pPr>
              <w:pStyle w:val="105"/>
            </w:pPr>
            <w:r>
              <w:t>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4"/>
            <w:shd w:val="clear" w:color="auto" w:fill="auto"/>
            <w:vAlign w:val="center"/>
          </w:tcPr>
          <w:p>
            <w:pPr>
              <w:pStyle w:val="105"/>
            </w:pPr>
            <w:r>
              <w:t>施工期污染防治措施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restart"/>
            <w:shd w:val="clear" w:color="auto" w:fill="auto"/>
            <w:vAlign w:val="center"/>
          </w:tcPr>
          <w:p>
            <w:pPr>
              <w:pStyle w:val="105"/>
            </w:pPr>
            <w:r>
              <w:t>1</w:t>
            </w:r>
          </w:p>
        </w:tc>
        <w:tc>
          <w:tcPr>
            <w:tcW w:w="668" w:type="pct"/>
            <w:vMerge w:val="restart"/>
            <w:shd w:val="clear" w:color="auto" w:fill="auto"/>
            <w:vAlign w:val="center"/>
          </w:tcPr>
          <w:p>
            <w:pPr>
              <w:pStyle w:val="105"/>
            </w:pPr>
            <w:r>
              <w:t>施工废水</w:t>
            </w:r>
          </w:p>
        </w:tc>
        <w:tc>
          <w:tcPr>
            <w:tcW w:w="3159" w:type="pct"/>
            <w:shd w:val="clear" w:color="auto" w:fill="auto"/>
            <w:vAlign w:val="center"/>
          </w:tcPr>
          <w:p>
            <w:pPr>
              <w:pStyle w:val="105"/>
            </w:pPr>
            <w:r>
              <w:rPr>
                <w:rFonts w:hint="eastAsia"/>
              </w:rPr>
              <w:t>施工废水隔油沉淀设施</w:t>
            </w:r>
            <w:r>
              <w:t>2</w:t>
            </w:r>
            <w:r>
              <w:rPr>
                <w:rFonts w:hint="eastAsia"/>
              </w:rPr>
              <w:t>处，洗车平台沉淀池</w:t>
            </w:r>
            <w:r>
              <w:t>2</w:t>
            </w:r>
            <w:r>
              <w:rPr>
                <w:rFonts w:hint="eastAsia"/>
              </w:rPr>
              <w:t>处</w:t>
            </w:r>
          </w:p>
        </w:tc>
        <w:tc>
          <w:tcPr>
            <w:tcW w:w="747" w:type="pct"/>
            <w:shd w:val="clear" w:color="auto" w:fill="auto"/>
            <w:vAlign w:val="center"/>
          </w:tcPr>
          <w:p>
            <w:pPr>
              <w:pStyle w:val="105"/>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b/>
                <w:bCs/>
              </w:rPr>
              <w:t>桥梁、改河等涉水工程围堰、导流</w:t>
            </w:r>
          </w:p>
        </w:tc>
        <w:tc>
          <w:tcPr>
            <w:tcW w:w="747" w:type="pct"/>
            <w:shd w:val="clear" w:color="auto" w:fill="auto"/>
            <w:vAlign w:val="center"/>
          </w:tcPr>
          <w:p>
            <w:pPr>
              <w:pStyle w:val="105"/>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施工场地办公区设置临时化粪池及委托清运肥田</w:t>
            </w:r>
          </w:p>
        </w:tc>
        <w:tc>
          <w:tcPr>
            <w:tcW w:w="747" w:type="pct"/>
            <w:shd w:val="clear" w:color="auto" w:fill="auto"/>
            <w:vAlign w:val="center"/>
          </w:tcPr>
          <w:p>
            <w:pPr>
              <w:pStyle w:val="105"/>
            </w:pP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临时工程导流沟、截水沟、沉沙池等</w:t>
            </w:r>
          </w:p>
        </w:tc>
        <w:tc>
          <w:tcPr>
            <w:tcW w:w="747" w:type="pct"/>
            <w:shd w:val="clear" w:color="auto" w:fill="auto"/>
            <w:vAlign w:val="center"/>
          </w:tcPr>
          <w:p>
            <w:pPr>
              <w:pStyle w:val="105"/>
            </w:pPr>
            <w:r>
              <w:rPr>
                <w:rFonts w:hint="eastAsia"/>
              </w:rPr>
              <w:t>纳入水保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restart"/>
            <w:shd w:val="clear" w:color="auto" w:fill="auto"/>
            <w:vAlign w:val="center"/>
          </w:tcPr>
          <w:p>
            <w:pPr>
              <w:pStyle w:val="105"/>
            </w:pPr>
            <w:r>
              <w:t>2</w:t>
            </w:r>
          </w:p>
        </w:tc>
        <w:tc>
          <w:tcPr>
            <w:tcW w:w="668" w:type="pct"/>
            <w:vMerge w:val="restart"/>
            <w:shd w:val="clear" w:color="auto" w:fill="auto"/>
            <w:vAlign w:val="center"/>
          </w:tcPr>
          <w:p>
            <w:pPr>
              <w:pStyle w:val="105"/>
            </w:pPr>
            <w:r>
              <w:t>施工扬尘</w:t>
            </w:r>
          </w:p>
        </w:tc>
        <w:tc>
          <w:tcPr>
            <w:tcW w:w="3159" w:type="pct"/>
            <w:shd w:val="clear" w:color="auto" w:fill="auto"/>
            <w:vAlign w:val="center"/>
          </w:tcPr>
          <w:p>
            <w:pPr>
              <w:pStyle w:val="105"/>
            </w:pPr>
            <w:r>
              <w:rPr>
                <w:rFonts w:hint="eastAsia"/>
              </w:rPr>
              <w:t>施工现场清扫、洒水车及运行费</w:t>
            </w:r>
          </w:p>
        </w:tc>
        <w:tc>
          <w:tcPr>
            <w:tcW w:w="747" w:type="pct"/>
            <w:shd w:val="clear" w:color="auto" w:fill="auto"/>
            <w:vAlign w:val="center"/>
          </w:tcPr>
          <w:p>
            <w:pPr>
              <w:pStyle w:val="105"/>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预制场等除尘设施、施工围挡、封闭设施</w:t>
            </w:r>
          </w:p>
        </w:tc>
        <w:tc>
          <w:tcPr>
            <w:tcW w:w="747" w:type="pct"/>
            <w:shd w:val="clear" w:color="auto" w:fill="auto"/>
            <w:vAlign w:val="center"/>
          </w:tcPr>
          <w:p>
            <w:pPr>
              <w:pStyle w:val="105"/>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施工场地围挡</w:t>
            </w:r>
          </w:p>
        </w:tc>
        <w:tc>
          <w:tcPr>
            <w:tcW w:w="747" w:type="pct"/>
            <w:shd w:val="clear" w:color="auto" w:fill="auto"/>
            <w:vAlign w:val="center"/>
          </w:tcPr>
          <w:p>
            <w:pPr>
              <w:pStyle w:val="105"/>
            </w:pP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运输车辆、</w:t>
            </w:r>
            <w:r>
              <w:t>施工物料遮盖措施（</w:t>
            </w:r>
            <w:r>
              <w:rPr>
                <w:rFonts w:hint="eastAsia"/>
              </w:rPr>
              <w:t>防尘布、防尘网</w:t>
            </w:r>
            <w:r>
              <w:t>）</w:t>
            </w:r>
          </w:p>
        </w:tc>
        <w:tc>
          <w:tcPr>
            <w:tcW w:w="747" w:type="pct"/>
            <w:shd w:val="clear" w:color="auto" w:fill="auto"/>
            <w:vAlign w:val="center"/>
          </w:tcPr>
          <w:p>
            <w:pPr>
              <w:pStyle w:val="105"/>
            </w:pP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restart"/>
            <w:shd w:val="clear" w:color="auto" w:fill="auto"/>
            <w:vAlign w:val="center"/>
          </w:tcPr>
          <w:p>
            <w:pPr>
              <w:pStyle w:val="105"/>
            </w:pPr>
            <w:r>
              <w:t>3</w:t>
            </w:r>
          </w:p>
        </w:tc>
        <w:tc>
          <w:tcPr>
            <w:tcW w:w="668" w:type="pct"/>
            <w:vMerge w:val="restart"/>
            <w:shd w:val="clear" w:color="auto" w:fill="auto"/>
            <w:vAlign w:val="center"/>
          </w:tcPr>
          <w:p>
            <w:pPr>
              <w:pStyle w:val="105"/>
            </w:pPr>
            <w:r>
              <w:t>施工噪声</w:t>
            </w:r>
          </w:p>
        </w:tc>
        <w:tc>
          <w:tcPr>
            <w:tcW w:w="3159" w:type="pct"/>
            <w:shd w:val="clear" w:color="auto" w:fill="auto"/>
            <w:vAlign w:val="center"/>
          </w:tcPr>
          <w:p>
            <w:pPr>
              <w:pStyle w:val="105"/>
            </w:pPr>
            <w:r>
              <w:t>选用低噪声施工机械设备；机械设备维护和保养</w:t>
            </w:r>
          </w:p>
        </w:tc>
        <w:tc>
          <w:tcPr>
            <w:tcW w:w="747" w:type="pct"/>
            <w:shd w:val="clear" w:color="auto" w:fill="auto"/>
            <w:vAlign w:val="center"/>
          </w:tcPr>
          <w:p>
            <w:pPr>
              <w:pStyle w:val="105"/>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大型设置加装减振机座，临近居民区一侧按照临时声屏障</w:t>
            </w:r>
          </w:p>
        </w:tc>
        <w:tc>
          <w:tcPr>
            <w:tcW w:w="747" w:type="pct"/>
            <w:shd w:val="clear" w:color="auto" w:fill="auto"/>
            <w:vAlign w:val="center"/>
          </w:tcPr>
          <w:p>
            <w:pPr>
              <w:pStyle w:val="105"/>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t>合理安排施工作业时间，避免夜间施工；合理安排施工运输时间</w:t>
            </w:r>
          </w:p>
        </w:tc>
        <w:tc>
          <w:tcPr>
            <w:tcW w:w="747" w:type="pct"/>
            <w:shd w:val="clear" w:color="auto" w:fill="auto"/>
            <w:vAlign w:val="center"/>
          </w:tcPr>
          <w:p>
            <w:pPr>
              <w:pStyle w:val="105"/>
            </w:pP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restart"/>
            <w:shd w:val="clear" w:color="auto" w:fill="auto"/>
            <w:vAlign w:val="center"/>
          </w:tcPr>
          <w:p>
            <w:pPr>
              <w:pStyle w:val="105"/>
            </w:pPr>
            <w:r>
              <w:t>4</w:t>
            </w:r>
          </w:p>
        </w:tc>
        <w:tc>
          <w:tcPr>
            <w:tcW w:w="668" w:type="pct"/>
            <w:vMerge w:val="restart"/>
            <w:shd w:val="clear" w:color="auto" w:fill="auto"/>
            <w:vAlign w:val="center"/>
          </w:tcPr>
          <w:p>
            <w:pPr>
              <w:pStyle w:val="105"/>
            </w:pPr>
            <w:r>
              <w:t>施工固废</w:t>
            </w:r>
          </w:p>
        </w:tc>
        <w:tc>
          <w:tcPr>
            <w:tcW w:w="3159" w:type="pct"/>
            <w:shd w:val="clear" w:color="auto" w:fill="auto"/>
            <w:vAlign w:val="center"/>
          </w:tcPr>
          <w:p>
            <w:pPr>
              <w:pStyle w:val="105"/>
            </w:pPr>
            <w:r>
              <w:t>生活垃圾收集及清运；不可回用的建筑垃圾委托有资质单位运送、处置</w:t>
            </w:r>
          </w:p>
        </w:tc>
        <w:tc>
          <w:tcPr>
            <w:tcW w:w="747" w:type="pct"/>
            <w:shd w:val="clear" w:color="auto" w:fill="auto"/>
            <w:vAlign w:val="center"/>
          </w:tcPr>
          <w:p>
            <w:pPr>
              <w:pStyle w:val="105"/>
            </w:pPr>
            <w: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弃方转运</w:t>
            </w:r>
          </w:p>
        </w:tc>
        <w:tc>
          <w:tcPr>
            <w:tcW w:w="747" w:type="pct"/>
            <w:shd w:val="clear" w:color="auto" w:fill="auto"/>
            <w:vAlign w:val="center"/>
          </w:tcPr>
          <w:p>
            <w:pPr>
              <w:pStyle w:val="105"/>
            </w:pPr>
            <w:r>
              <w:rPr>
                <w:rFonts w:hint="eastAsia"/>
              </w:rPr>
              <w:t>主设纳入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restart"/>
            <w:shd w:val="clear" w:color="auto" w:fill="auto"/>
            <w:vAlign w:val="center"/>
          </w:tcPr>
          <w:p>
            <w:pPr>
              <w:pStyle w:val="105"/>
            </w:pPr>
            <w:r>
              <w:t>5</w:t>
            </w:r>
          </w:p>
        </w:tc>
        <w:tc>
          <w:tcPr>
            <w:tcW w:w="668" w:type="pct"/>
            <w:vMerge w:val="restart"/>
            <w:shd w:val="clear" w:color="auto" w:fill="auto"/>
            <w:vAlign w:val="center"/>
          </w:tcPr>
          <w:p>
            <w:pPr>
              <w:pStyle w:val="105"/>
            </w:pPr>
            <w:r>
              <w:t>生态环境</w:t>
            </w:r>
          </w:p>
        </w:tc>
        <w:tc>
          <w:tcPr>
            <w:tcW w:w="3159" w:type="pct"/>
            <w:shd w:val="clear" w:color="auto" w:fill="auto"/>
            <w:vAlign w:val="center"/>
          </w:tcPr>
          <w:p>
            <w:pPr>
              <w:pStyle w:val="105"/>
            </w:pPr>
            <w:r>
              <w:rPr>
                <w:rFonts w:hint="eastAsia"/>
              </w:rPr>
              <w:t>水土保持措施及绿化工程、苫盖措施、临时工程导流</w:t>
            </w:r>
          </w:p>
        </w:tc>
        <w:tc>
          <w:tcPr>
            <w:tcW w:w="747" w:type="pct"/>
            <w:shd w:val="clear" w:color="auto" w:fill="auto"/>
            <w:vAlign w:val="center"/>
          </w:tcPr>
          <w:p>
            <w:pPr>
              <w:pStyle w:val="105"/>
            </w:pPr>
            <w:r>
              <w:rPr>
                <w:rFonts w:hint="eastAsia"/>
              </w:rPr>
              <w:t>纳入水保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施工迹地恢复地貌、植被恢复</w:t>
            </w:r>
          </w:p>
        </w:tc>
        <w:tc>
          <w:tcPr>
            <w:tcW w:w="747" w:type="pct"/>
            <w:shd w:val="clear" w:color="auto" w:fill="auto"/>
            <w:vAlign w:val="center"/>
          </w:tcPr>
          <w:p>
            <w:pPr>
              <w:pStyle w:val="105"/>
            </w:pPr>
            <w: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shd w:val="clear" w:color="auto" w:fill="auto"/>
            <w:vAlign w:val="center"/>
          </w:tcPr>
          <w:p>
            <w:pPr>
              <w:pStyle w:val="105"/>
            </w:pPr>
            <w:r>
              <w:rPr>
                <w:rFonts w:hint="eastAsia"/>
              </w:rPr>
              <w:t>6</w:t>
            </w:r>
          </w:p>
        </w:tc>
        <w:tc>
          <w:tcPr>
            <w:tcW w:w="668" w:type="pct"/>
            <w:shd w:val="clear" w:color="auto" w:fill="auto"/>
            <w:vAlign w:val="center"/>
          </w:tcPr>
          <w:p>
            <w:pPr>
              <w:pStyle w:val="105"/>
            </w:pPr>
            <w:r>
              <w:rPr>
                <w:rFonts w:hint="eastAsia"/>
              </w:rPr>
              <w:t>环境管理/</w:t>
            </w:r>
            <w:r>
              <w:t>监测</w:t>
            </w:r>
          </w:p>
        </w:tc>
        <w:tc>
          <w:tcPr>
            <w:tcW w:w="3159" w:type="pct"/>
            <w:shd w:val="clear" w:color="auto" w:fill="auto"/>
            <w:vAlign w:val="center"/>
          </w:tcPr>
          <w:p>
            <w:pPr>
              <w:pStyle w:val="105"/>
            </w:pPr>
            <w:r>
              <w:rPr>
                <w:rFonts w:hint="eastAsia"/>
              </w:rPr>
              <w:t>监督环保措施、施工期环境监测</w:t>
            </w:r>
          </w:p>
        </w:tc>
        <w:tc>
          <w:tcPr>
            <w:tcW w:w="747" w:type="pct"/>
            <w:shd w:val="clear" w:color="auto" w:fill="auto"/>
            <w:vAlign w:val="center"/>
          </w:tcPr>
          <w:p>
            <w:pPr>
              <w:pStyle w:val="105"/>
            </w:pP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4"/>
            <w:shd w:val="clear" w:color="auto" w:fill="auto"/>
            <w:vAlign w:val="center"/>
          </w:tcPr>
          <w:p>
            <w:pPr>
              <w:pStyle w:val="105"/>
            </w:pPr>
            <w:r>
              <w:t>运营期污染防治措施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restart"/>
            <w:shd w:val="clear" w:color="auto" w:fill="auto"/>
            <w:vAlign w:val="center"/>
          </w:tcPr>
          <w:p>
            <w:pPr>
              <w:pStyle w:val="105"/>
            </w:pPr>
            <w:r>
              <w:t>7</w:t>
            </w:r>
          </w:p>
        </w:tc>
        <w:tc>
          <w:tcPr>
            <w:tcW w:w="668" w:type="pct"/>
            <w:vMerge w:val="restart"/>
            <w:shd w:val="clear" w:color="auto" w:fill="auto"/>
            <w:vAlign w:val="center"/>
          </w:tcPr>
          <w:p>
            <w:pPr>
              <w:pStyle w:val="105"/>
            </w:pPr>
            <w:r>
              <w:rPr>
                <w:rFonts w:hint="eastAsia"/>
              </w:rPr>
              <w:t>噪声</w:t>
            </w:r>
          </w:p>
        </w:tc>
        <w:tc>
          <w:tcPr>
            <w:tcW w:w="3159" w:type="pct"/>
            <w:shd w:val="clear" w:color="auto" w:fill="auto"/>
            <w:vAlign w:val="center"/>
          </w:tcPr>
          <w:p>
            <w:pPr>
              <w:pStyle w:val="105"/>
            </w:pPr>
            <w:r>
              <w:rPr>
                <w:rFonts w:hint="eastAsia"/>
              </w:rPr>
              <w:t>限速、禁鸣标识牌、工程告示牌</w:t>
            </w:r>
          </w:p>
        </w:tc>
        <w:tc>
          <w:tcPr>
            <w:tcW w:w="747" w:type="pct"/>
            <w:shd w:val="clear" w:color="auto" w:fill="auto"/>
            <w:vAlign w:val="center"/>
          </w:tcPr>
          <w:p>
            <w:pPr>
              <w:pStyle w:val="105"/>
            </w:pPr>
            <w:r>
              <w:rPr>
                <w:rFonts w:hint="eastAsia"/>
              </w:rPr>
              <w:t>5</w:t>
            </w: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通风隔声窗1</w:t>
            </w:r>
            <w:r>
              <w:t>60</w:t>
            </w:r>
            <w:r>
              <w:rPr>
                <w:rFonts w:hint="eastAsia"/>
              </w:rPr>
              <w:t>m</w:t>
            </w:r>
            <w:r>
              <w:rPr>
                <w:vertAlign w:val="superscript"/>
              </w:rPr>
              <w:t>2</w:t>
            </w:r>
          </w:p>
        </w:tc>
        <w:tc>
          <w:tcPr>
            <w:tcW w:w="747" w:type="pct"/>
            <w:shd w:val="clear" w:color="auto" w:fill="auto"/>
            <w:vAlign w:val="center"/>
          </w:tcPr>
          <w:p>
            <w:pPr>
              <w:pStyle w:val="105"/>
            </w:pPr>
            <w:r>
              <w:rPr>
                <w:rFonts w:hint="eastAsia"/>
              </w:rPr>
              <w:t>1</w:t>
            </w:r>
            <w: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远期预留降噪资金</w:t>
            </w:r>
          </w:p>
        </w:tc>
        <w:tc>
          <w:tcPr>
            <w:tcW w:w="747" w:type="pct"/>
            <w:shd w:val="clear" w:color="auto" w:fill="auto"/>
            <w:vAlign w:val="center"/>
          </w:tcPr>
          <w:p>
            <w:pPr>
              <w:pStyle w:val="105"/>
            </w:pPr>
            <w:r>
              <w:rPr>
                <w:rFonts w:hint="eastAsia"/>
              </w:rPr>
              <w:t>1</w:t>
            </w: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vMerge w:val="continue"/>
            <w:shd w:val="clear" w:color="auto" w:fill="auto"/>
            <w:vAlign w:val="center"/>
          </w:tcPr>
          <w:p>
            <w:pPr>
              <w:pStyle w:val="105"/>
            </w:pPr>
          </w:p>
        </w:tc>
        <w:tc>
          <w:tcPr>
            <w:tcW w:w="668" w:type="pct"/>
            <w:vMerge w:val="continue"/>
            <w:shd w:val="clear" w:color="auto" w:fill="auto"/>
            <w:vAlign w:val="center"/>
          </w:tcPr>
          <w:p>
            <w:pPr>
              <w:pStyle w:val="105"/>
            </w:pPr>
          </w:p>
        </w:tc>
        <w:tc>
          <w:tcPr>
            <w:tcW w:w="3159" w:type="pct"/>
            <w:shd w:val="clear" w:color="auto" w:fill="auto"/>
            <w:vAlign w:val="center"/>
          </w:tcPr>
          <w:p>
            <w:pPr>
              <w:pStyle w:val="105"/>
            </w:pPr>
            <w:r>
              <w:rPr>
                <w:rFonts w:hint="eastAsia"/>
              </w:rPr>
              <w:t>典型声环境保护目标设监测点</w:t>
            </w:r>
          </w:p>
        </w:tc>
        <w:tc>
          <w:tcPr>
            <w:tcW w:w="747" w:type="pct"/>
            <w:shd w:val="clear" w:color="auto" w:fill="auto"/>
            <w:vAlign w:val="center"/>
          </w:tcPr>
          <w:p>
            <w:pPr>
              <w:pStyle w:val="105"/>
            </w:pP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pct"/>
            <w:shd w:val="clear" w:color="auto" w:fill="auto"/>
            <w:vAlign w:val="center"/>
          </w:tcPr>
          <w:p>
            <w:pPr>
              <w:pStyle w:val="105"/>
            </w:pPr>
            <w:r>
              <w:t>9</w:t>
            </w:r>
          </w:p>
        </w:tc>
        <w:tc>
          <w:tcPr>
            <w:tcW w:w="668" w:type="pct"/>
            <w:shd w:val="clear" w:color="auto" w:fill="auto"/>
            <w:vAlign w:val="center"/>
          </w:tcPr>
          <w:p>
            <w:pPr>
              <w:pStyle w:val="105"/>
            </w:pPr>
            <w:r>
              <w:t>环境监测</w:t>
            </w:r>
          </w:p>
        </w:tc>
        <w:tc>
          <w:tcPr>
            <w:tcW w:w="3159" w:type="pct"/>
            <w:shd w:val="clear" w:color="auto" w:fill="auto"/>
            <w:vAlign w:val="center"/>
          </w:tcPr>
          <w:p>
            <w:pPr>
              <w:pStyle w:val="105"/>
            </w:pPr>
            <w:r>
              <w:t>运营期环境监测计划</w:t>
            </w:r>
          </w:p>
        </w:tc>
        <w:tc>
          <w:tcPr>
            <w:tcW w:w="747" w:type="pct"/>
            <w:shd w:val="clear" w:color="auto" w:fill="auto"/>
            <w:vAlign w:val="center"/>
          </w:tcPr>
          <w:p>
            <w:pPr>
              <w:pStyle w:val="105"/>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53" w:type="pct"/>
            <w:gridSpan w:val="3"/>
            <w:shd w:val="clear" w:color="auto" w:fill="auto"/>
            <w:vAlign w:val="center"/>
          </w:tcPr>
          <w:p>
            <w:pPr>
              <w:pStyle w:val="105"/>
            </w:pPr>
            <w:r>
              <w:t>合计</w:t>
            </w:r>
          </w:p>
        </w:tc>
        <w:tc>
          <w:tcPr>
            <w:tcW w:w="747" w:type="pct"/>
            <w:shd w:val="clear" w:color="auto" w:fill="auto"/>
            <w:vAlign w:val="center"/>
          </w:tcPr>
          <w:p>
            <w:pPr>
              <w:pStyle w:val="105"/>
            </w:pPr>
            <w:r>
              <w:rPr>
                <w:rFonts w:hint="eastAsia"/>
              </w:rPr>
              <w:t>3</w:t>
            </w:r>
            <w:r>
              <w:t>21</w:t>
            </w:r>
          </w:p>
        </w:tc>
      </w:tr>
      <w:bookmarkEnd w:id="586"/>
      <w:bookmarkEnd w:id="587"/>
    </w:tbl>
    <w:p>
      <w:pPr>
        <w:ind w:firstLine="480"/>
      </w:pPr>
    </w:p>
    <w:p>
      <w:pPr>
        <w:ind w:firstLine="480"/>
      </w:pPr>
    </w:p>
    <w:p>
      <w:pPr>
        <w:ind w:firstLine="480"/>
        <w:rPr>
          <w:rFonts w:cs="Times New Roman"/>
          <w:iCs/>
          <w:szCs w:val="24"/>
        </w:rPr>
        <w:sectPr>
          <w:pgSz w:w="11910" w:h="16840"/>
          <w:pgMar w:top="1418" w:right="1418" w:bottom="1418" w:left="1418" w:header="851" w:footer="851" w:gutter="0"/>
          <w:cols w:space="720" w:num="1"/>
        </w:sectPr>
      </w:pPr>
      <w:bookmarkStart w:id="588" w:name="6.2.4施工期水环境保护措施"/>
      <w:bookmarkEnd w:id="588"/>
      <w:bookmarkStart w:id="589" w:name="6.2.6施工期生态环境保护措施"/>
      <w:bookmarkEnd w:id="589"/>
      <w:bookmarkStart w:id="590" w:name="6.2.3施工期环境空气保护措施"/>
      <w:bookmarkEnd w:id="590"/>
      <w:bookmarkStart w:id="591" w:name="6.2.5施工期固体废物控制措施"/>
      <w:bookmarkEnd w:id="591"/>
    </w:p>
    <w:p>
      <w:pPr>
        <w:pStyle w:val="114"/>
      </w:pPr>
      <w:bookmarkStart w:id="592" w:name="6.2.7水土流失措施"/>
      <w:bookmarkEnd w:id="592"/>
      <w:bookmarkStart w:id="593" w:name="6.3营运期环境保护措施及建议"/>
      <w:bookmarkEnd w:id="593"/>
      <w:bookmarkStart w:id="594" w:name="7环境影响经济损益分析"/>
      <w:bookmarkEnd w:id="594"/>
      <w:bookmarkStart w:id="595" w:name="6.4.2环保运行费用"/>
      <w:bookmarkEnd w:id="595"/>
      <w:bookmarkStart w:id="596" w:name="6.4环境保护投资情况"/>
      <w:bookmarkEnd w:id="596"/>
      <w:bookmarkStart w:id="597" w:name="_Toc159405492"/>
      <w:bookmarkStart w:id="598" w:name="_Toc1129"/>
      <w:bookmarkStart w:id="599" w:name="_Toc204676264"/>
      <w:r>
        <w:t>环境影响经济损益分析</w:t>
      </w:r>
      <w:bookmarkEnd w:id="597"/>
      <w:bookmarkEnd w:id="598"/>
      <w:bookmarkEnd w:id="599"/>
    </w:p>
    <w:p>
      <w:pPr>
        <w:pStyle w:val="116"/>
      </w:pPr>
      <w:bookmarkStart w:id="600" w:name="7.1环境经济效益损益分析"/>
      <w:bookmarkEnd w:id="600"/>
      <w:bookmarkStart w:id="601" w:name="7.1.1国民经济效益分析"/>
      <w:bookmarkEnd w:id="601"/>
      <w:bookmarkStart w:id="602" w:name="_Toc204676265"/>
      <w:bookmarkStart w:id="603" w:name="_Toc159405493"/>
      <w:r>
        <w:t>国民经济效益分析</w:t>
      </w:r>
      <w:bookmarkEnd w:id="602"/>
      <w:bookmarkEnd w:id="603"/>
    </w:p>
    <w:p>
      <w:pPr>
        <w:ind w:firstLine="480"/>
      </w:pPr>
      <w:r>
        <w:rPr>
          <w:rFonts w:hint="eastAsia"/>
        </w:rPr>
        <w:t>根据本项目工可，本项目经济内部收益率（EIRR） 10.63%，大于8%社会折现率；在效益减少10%，同时费用上浮10%不利情况下，项目经济内部收益率仍能大于8%。</w:t>
      </w:r>
      <w:r>
        <w:rPr>
          <w:rFonts w:ascii="Segoe UI" w:hAnsi="Segoe UI" w:cs="Segoe UI"/>
        </w:rPr>
        <w:t>从国民经济角度来看</w:t>
      </w:r>
      <w:r>
        <w:rPr>
          <w:rFonts w:hint="eastAsia"/>
        </w:rPr>
        <w:t>，本项目经济可行，且具有一定的抗风险能力。</w:t>
      </w:r>
    </w:p>
    <w:p>
      <w:pPr>
        <w:pStyle w:val="116"/>
      </w:pPr>
      <w:bookmarkStart w:id="604" w:name="7.1.2社会经济效益分析"/>
      <w:bookmarkEnd w:id="604"/>
      <w:bookmarkStart w:id="605" w:name="_Toc159405494"/>
      <w:bookmarkStart w:id="606" w:name="_Toc204676266"/>
      <w:r>
        <w:t>社会经济效益分析</w:t>
      </w:r>
      <w:bookmarkEnd w:id="605"/>
      <w:bookmarkEnd w:id="606"/>
    </w:p>
    <w:p>
      <w:pPr>
        <w:ind w:firstLine="480"/>
      </w:pPr>
      <w:r>
        <w:t>（1）交通基础设施是经济建设、旅游发展、对外交流的制约因素，本项目的建设</w:t>
      </w:r>
      <w:r>
        <w:rPr>
          <w:rFonts w:hint="eastAsia"/>
        </w:rPr>
        <w:t>能够</w:t>
      </w:r>
      <w:r>
        <w:t>满足区域</w:t>
      </w:r>
      <w:r>
        <w:rPr>
          <w:rFonts w:hint="eastAsia"/>
        </w:rPr>
        <w:t>旅游出行的</w:t>
      </w:r>
      <w:r>
        <w:t>需求，</w:t>
      </w:r>
      <w:r>
        <w:rPr>
          <w:rFonts w:hint="eastAsia"/>
          <w:lang w:val="zh-CN"/>
        </w:rPr>
        <w:t>项目的建设对于改善黄檗山万福寺及沿线交通出行条件、整合旅游资源、完善交通网络、缓解交通压力等都具有重要的作用</w:t>
      </w:r>
      <w:r>
        <w:t>。</w:t>
      </w:r>
    </w:p>
    <w:p>
      <w:pPr>
        <w:ind w:firstLine="480"/>
      </w:pPr>
      <w:r>
        <w:t>（2）本项目的建设能够完善沿线功能合理布局，对促进沿线土地的开发利用具有重要意义。</w:t>
      </w:r>
    </w:p>
    <w:p>
      <w:pPr>
        <w:ind w:firstLine="480"/>
      </w:pPr>
      <w:r>
        <w:t>（3）本项目的实施，对拉动当地经济，增加农民收入，调整产业结构及良种良法推广，</w:t>
      </w:r>
      <w:r>
        <w:rPr>
          <w:rFonts w:hint="eastAsia"/>
        </w:rPr>
        <w:t>促进资源转化为经济价值</w:t>
      </w:r>
      <w:r>
        <w:t>，对扶持沿线群众脱贫致富起到关键作用。</w:t>
      </w:r>
    </w:p>
    <w:p>
      <w:pPr>
        <w:ind w:firstLine="480"/>
      </w:pPr>
      <w:r>
        <w:t>（4）本工程的建成，提高了该区的交通条件，推进了地区环境整治和城市化进程，促进区域的经济发展，创造就业机会，提高村民生活水平均</w:t>
      </w:r>
      <w:r>
        <w:rPr>
          <w:rFonts w:hint="eastAsia"/>
        </w:rPr>
        <w:t>具</w:t>
      </w:r>
      <w:r>
        <w:t>有积极的作用。</w:t>
      </w:r>
    </w:p>
    <w:p>
      <w:pPr>
        <w:ind w:firstLine="480"/>
      </w:pPr>
      <w:r>
        <w:t>因此，本项目的建设具有较好的社会效益。</w:t>
      </w:r>
    </w:p>
    <w:p>
      <w:pPr>
        <w:pStyle w:val="116"/>
      </w:pPr>
      <w:bookmarkStart w:id="607" w:name="7.2环境保护投资效益分析"/>
      <w:bookmarkEnd w:id="607"/>
      <w:bookmarkStart w:id="608" w:name="_Toc204676267"/>
      <w:bookmarkStart w:id="609" w:name="_Toc159405495"/>
      <w:bookmarkStart w:id="610" w:name="_Toc20035"/>
      <w:r>
        <w:t>环境保护投资效益分析</w:t>
      </w:r>
      <w:bookmarkEnd w:id="608"/>
      <w:bookmarkEnd w:id="609"/>
      <w:bookmarkEnd w:id="610"/>
    </w:p>
    <w:p>
      <w:pPr>
        <w:pStyle w:val="120"/>
        <w:numPr>
          <w:ilvl w:val="2"/>
          <w:numId w:val="18"/>
        </w:numPr>
        <w:rPr>
          <w:color w:val="auto"/>
        </w:rPr>
      </w:pPr>
      <w:r>
        <w:rPr>
          <w:rFonts w:hint="eastAsia"/>
          <w:color w:val="auto"/>
        </w:rPr>
        <w:t xml:space="preserve">环保投资估算 </w:t>
      </w:r>
    </w:p>
    <w:p>
      <w:pPr>
        <w:ind w:firstLine="480"/>
      </w:pPr>
      <w:r>
        <w:rPr>
          <w:rFonts w:hint="eastAsia"/>
        </w:rPr>
        <w:t>本项目总投资为</w:t>
      </w:r>
      <w:r>
        <w:rPr>
          <w:rFonts w:cs="Times New Roman"/>
          <w:szCs w:val="24"/>
        </w:rPr>
        <w:t>27556.8</w:t>
      </w:r>
      <w:r>
        <w:rPr>
          <w:rFonts w:hint="eastAsia"/>
        </w:rPr>
        <w:t>万元，其中环保投资为</w:t>
      </w:r>
      <w:r>
        <w:t>321</w:t>
      </w:r>
      <w:r>
        <w:rPr>
          <w:rFonts w:hint="eastAsia"/>
        </w:rPr>
        <w:t>万元，占总投资的</w:t>
      </w:r>
      <w:r>
        <w:t>1.16</w:t>
      </w:r>
      <w:r>
        <w:rPr>
          <w:rFonts w:hint="eastAsia"/>
        </w:rPr>
        <w:t>%。</w:t>
      </w:r>
    </w:p>
    <w:p>
      <w:pPr>
        <w:pStyle w:val="120"/>
        <w:rPr>
          <w:color w:val="auto"/>
        </w:rPr>
      </w:pPr>
      <w:r>
        <w:rPr>
          <w:rFonts w:hint="eastAsia"/>
          <w:color w:val="auto"/>
        </w:rPr>
        <w:t>环保投资的效益简析</w:t>
      </w:r>
    </w:p>
    <w:p>
      <w:pPr>
        <w:ind w:firstLine="480"/>
      </w:pPr>
      <w:r>
        <w:rPr>
          <w:rFonts w:hint="eastAsia"/>
        </w:rPr>
        <w:t>（1）直接效益</w:t>
      </w:r>
    </w:p>
    <w:p>
      <w:pPr>
        <w:ind w:firstLine="480"/>
      </w:pPr>
      <w:r>
        <w:rPr>
          <w:rFonts w:hint="eastAsia"/>
        </w:rPr>
        <w:t>本项目在施工和运营期间对项目沿线区域所引起的环境问题是多方面的。因此，采取操作性强、切实可行的环保措施后，每年所挽回的经济损失，亦即环保投资的直接效益是显而易见的，但目前很难用具</w:t>
      </w:r>
      <w:r>
        <w:rPr>
          <w:rFonts w:ascii="Segoe UI" w:hAnsi="Segoe UI" w:cs="Segoe UI"/>
        </w:rPr>
        <w:t>体货币量化</w:t>
      </w:r>
      <w:r>
        <w:rPr>
          <w:rFonts w:hint="eastAsia"/>
        </w:rPr>
        <w:t>。只能对若不采取措施时，因工程建设而导致的生态环境、水环境、声环境和环境空气质量的变化所引起的对沿线人体健康、生活质量以及农业生产等方面的经济损失作粗略计算或定性分析用以反馈环保投资的直接经济效益。</w:t>
      </w:r>
    </w:p>
    <w:p>
      <w:pPr>
        <w:ind w:firstLine="480"/>
      </w:pPr>
      <w:r>
        <w:rPr>
          <w:rFonts w:hint="eastAsia"/>
        </w:rPr>
        <w:t>（2）间接效益</w:t>
      </w:r>
    </w:p>
    <w:p>
      <w:pPr>
        <w:ind w:firstLine="480"/>
      </w:pPr>
      <w:r>
        <w:rPr>
          <w:rFonts w:hint="eastAsia"/>
        </w:rPr>
        <w:t>在实施有效的环保措施后，会产生以下间接效益：保证沿线居民的生活质量和正常生活秩序，维持居民的环境心理健康和减轻居民的烦躁情绪，减少社会不稳定的诱发因素等。所有这些间接效益在目前很难用货币形式来度量，但可以肯定的是，它是环保投资所获取的社会效益的主要组成部分。</w:t>
      </w:r>
    </w:p>
    <w:p>
      <w:pPr>
        <w:ind w:firstLine="480"/>
      </w:pPr>
      <w:r>
        <w:rPr>
          <w:rFonts w:hint="eastAsia"/>
        </w:rPr>
        <w:t>鉴于环保投资的直接效益和间接效益均难以量化，在此仅对本项目环保投资所带来的环境、社会经济及综合效益做简要定性分析，见</w:t>
      </w:r>
      <w:r>
        <w:fldChar w:fldCharType="begin"/>
      </w:r>
      <w:r>
        <w:instrText xml:space="preserve"> </w:instrText>
      </w:r>
      <w:r>
        <w:rPr>
          <w:rFonts w:hint="eastAsia"/>
        </w:rPr>
        <w:instrText xml:space="preserve">REF _Ref148709803 \r \h</w:instrText>
      </w:r>
      <w:r>
        <w:instrText xml:space="preserve">  \* MERGEFORMAT </w:instrText>
      </w:r>
      <w:r>
        <w:fldChar w:fldCharType="separate"/>
      </w:r>
      <w:r>
        <w:rPr>
          <w:rFonts w:hint="eastAsia"/>
        </w:rPr>
        <w:t>表8.3-1</w:t>
      </w:r>
      <w:r>
        <w:fldChar w:fldCharType="end"/>
      </w:r>
      <w:r>
        <w:rPr>
          <w:rFonts w:hint="eastAsia"/>
        </w:rPr>
        <w:t>。</w:t>
      </w:r>
    </w:p>
    <w:p>
      <w:pPr>
        <w:pStyle w:val="87"/>
        <w:spacing w:before="120"/>
      </w:pPr>
      <w:bookmarkStart w:id="611" w:name="_Ref148709803"/>
      <w:r>
        <w:t>主要环保措施及效益分析</w:t>
      </w:r>
      <w:bookmarkEnd w:id="611"/>
    </w:p>
    <w:tbl>
      <w:tblPr>
        <w:tblStyle w:val="836"/>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34"/>
        <w:gridCol w:w="2977"/>
        <w:gridCol w:w="2835"/>
        <w:gridCol w:w="21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pPr>
              <w:pStyle w:val="105"/>
              <w:spacing w:line="240" w:lineRule="atLeast"/>
              <w:jc w:val="center"/>
            </w:pPr>
            <w:r>
              <w:rPr>
                <w:rFonts w:hint="eastAsia"/>
              </w:rPr>
              <w:t>环保投资分类</w:t>
            </w:r>
          </w:p>
        </w:tc>
        <w:tc>
          <w:tcPr>
            <w:tcW w:w="2977" w:type="dxa"/>
            <w:vAlign w:val="center"/>
          </w:tcPr>
          <w:p>
            <w:pPr>
              <w:pStyle w:val="105"/>
              <w:spacing w:line="240" w:lineRule="atLeast"/>
              <w:jc w:val="center"/>
            </w:pPr>
            <w:r>
              <w:rPr>
                <w:rFonts w:hint="eastAsia"/>
              </w:rPr>
              <w:t>环境效益</w:t>
            </w:r>
          </w:p>
        </w:tc>
        <w:tc>
          <w:tcPr>
            <w:tcW w:w="2835" w:type="dxa"/>
            <w:vAlign w:val="center"/>
          </w:tcPr>
          <w:p>
            <w:pPr>
              <w:pStyle w:val="105"/>
              <w:spacing w:line="240" w:lineRule="atLeast"/>
              <w:jc w:val="center"/>
            </w:pPr>
            <w:r>
              <w:rPr>
                <w:rFonts w:hint="eastAsia"/>
              </w:rPr>
              <w:t>社会经济效益</w:t>
            </w:r>
          </w:p>
        </w:tc>
        <w:tc>
          <w:tcPr>
            <w:tcW w:w="2124" w:type="dxa"/>
            <w:vAlign w:val="center"/>
          </w:tcPr>
          <w:p>
            <w:pPr>
              <w:pStyle w:val="105"/>
              <w:spacing w:line="240" w:lineRule="atLeast"/>
              <w:jc w:val="center"/>
            </w:pPr>
            <w:r>
              <w:rPr>
                <w:rFonts w:hint="eastAsia"/>
              </w:rPr>
              <w:t>综合效益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pPr>
              <w:pStyle w:val="105"/>
              <w:spacing w:line="240" w:lineRule="atLeast"/>
              <w:jc w:val="center"/>
            </w:pPr>
            <w:r>
              <w:rPr>
                <w:rFonts w:hint="eastAsia"/>
              </w:rPr>
              <w:t>施工期环保措施</w:t>
            </w:r>
          </w:p>
        </w:tc>
        <w:tc>
          <w:tcPr>
            <w:tcW w:w="2977" w:type="dxa"/>
            <w:vAlign w:val="center"/>
          </w:tcPr>
          <w:p>
            <w:pPr>
              <w:pStyle w:val="105"/>
              <w:spacing w:line="240" w:lineRule="atLeast"/>
              <w:jc w:val="center"/>
            </w:pPr>
            <w:r>
              <w:rPr>
                <w:rFonts w:hint="eastAsia"/>
              </w:rPr>
              <w:t>1.防止噪声扰民</w:t>
            </w:r>
          </w:p>
          <w:p>
            <w:pPr>
              <w:pStyle w:val="105"/>
              <w:spacing w:line="240" w:lineRule="atLeast"/>
              <w:jc w:val="center"/>
            </w:pPr>
            <w:r>
              <w:rPr>
                <w:rFonts w:hint="eastAsia"/>
              </w:rPr>
              <w:t>2.防止水环境污染</w:t>
            </w:r>
          </w:p>
          <w:p>
            <w:pPr>
              <w:pStyle w:val="105"/>
              <w:spacing w:line="240" w:lineRule="atLeast"/>
              <w:jc w:val="center"/>
            </w:pPr>
            <w:r>
              <w:rPr>
                <w:rFonts w:hint="eastAsia"/>
              </w:rPr>
              <w:t>3.防止空气污染</w:t>
            </w:r>
          </w:p>
          <w:p>
            <w:pPr>
              <w:pStyle w:val="105"/>
              <w:spacing w:line="240" w:lineRule="atLeast"/>
              <w:jc w:val="center"/>
            </w:pPr>
            <w:r>
              <w:rPr>
                <w:rFonts w:hint="eastAsia"/>
              </w:rPr>
              <w:t>4.保护耕地</w:t>
            </w:r>
          </w:p>
          <w:p>
            <w:pPr>
              <w:pStyle w:val="105"/>
              <w:spacing w:line="240" w:lineRule="atLeast"/>
              <w:jc w:val="center"/>
            </w:pPr>
            <w:r>
              <w:rPr>
                <w:rFonts w:hint="eastAsia"/>
              </w:rPr>
              <w:t>5.保护动、植物</w:t>
            </w:r>
          </w:p>
          <w:p>
            <w:pPr>
              <w:pStyle w:val="105"/>
              <w:spacing w:line="240" w:lineRule="atLeast"/>
              <w:jc w:val="center"/>
            </w:pPr>
            <w:r>
              <w:rPr>
                <w:rFonts w:hint="eastAsia"/>
              </w:rPr>
              <w:t>6.保护公众安全、出入方便</w:t>
            </w:r>
          </w:p>
        </w:tc>
        <w:tc>
          <w:tcPr>
            <w:tcW w:w="2835" w:type="dxa"/>
            <w:vAlign w:val="center"/>
          </w:tcPr>
          <w:p>
            <w:pPr>
              <w:pStyle w:val="105"/>
              <w:spacing w:line="240" w:lineRule="atLeast"/>
              <w:jc w:val="center"/>
            </w:pPr>
            <w:r>
              <w:rPr>
                <w:rFonts w:hint="eastAsia"/>
              </w:rPr>
              <w:t>1.保护人们生活、生产环境</w:t>
            </w:r>
          </w:p>
          <w:p>
            <w:pPr>
              <w:pStyle w:val="105"/>
              <w:spacing w:line="240" w:lineRule="atLeast"/>
              <w:jc w:val="center"/>
            </w:pPr>
            <w:r>
              <w:rPr>
                <w:rFonts w:hint="eastAsia"/>
              </w:rPr>
              <w:t>2.保护土地、农业、林业、植被等</w:t>
            </w:r>
          </w:p>
          <w:p>
            <w:pPr>
              <w:pStyle w:val="105"/>
              <w:spacing w:line="240" w:lineRule="atLeast"/>
              <w:jc w:val="center"/>
            </w:pPr>
            <w:r>
              <w:rPr>
                <w:rFonts w:hint="eastAsia"/>
              </w:rPr>
              <w:t>3.保护国家财产安全、公众人身安全</w:t>
            </w:r>
          </w:p>
        </w:tc>
        <w:tc>
          <w:tcPr>
            <w:tcW w:w="2124" w:type="dxa"/>
            <w:vAlign w:val="center"/>
          </w:tcPr>
          <w:p>
            <w:pPr>
              <w:pStyle w:val="105"/>
              <w:spacing w:line="240" w:lineRule="atLeast"/>
              <w:jc w:val="center"/>
            </w:pPr>
            <w:r>
              <w:rPr>
                <w:rFonts w:hint="eastAsia"/>
              </w:rPr>
              <w:t>1.使施工期对环境的不利影响降低到最小程度</w:t>
            </w:r>
          </w:p>
          <w:p>
            <w:pPr>
              <w:pStyle w:val="105"/>
              <w:spacing w:line="240" w:lineRule="atLeast"/>
              <w:jc w:val="center"/>
            </w:pPr>
            <w:r>
              <w:rPr>
                <w:rFonts w:hint="eastAsia"/>
              </w:rPr>
              <w:t>2.公路建设得到社会公众的支持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pPr>
              <w:pStyle w:val="105"/>
              <w:spacing w:line="240" w:lineRule="atLeast"/>
              <w:jc w:val="center"/>
            </w:pPr>
            <w:r>
              <w:rPr>
                <w:rFonts w:hint="eastAsia"/>
              </w:rPr>
              <w:t>公路用地、绿化</w:t>
            </w:r>
          </w:p>
        </w:tc>
        <w:tc>
          <w:tcPr>
            <w:tcW w:w="2977" w:type="dxa"/>
            <w:vAlign w:val="center"/>
          </w:tcPr>
          <w:p>
            <w:pPr>
              <w:pStyle w:val="105"/>
              <w:spacing w:line="240" w:lineRule="atLeast"/>
              <w:jc w:val="center"/>
            </w:pPr>
            <w:r>
              <w:rPr>
                <w:rFonts w:hint="eastAsia"/>
              </w:rPr>
              <w:t>1.公路景观</w:t>
            </w:r>
          </w:p>
          <w:p>
            <w:pPr>
              <w:pStyle w:val="105"/>
              <w:spacing w:line="240" w:lineRule="atLeast"/>
              <w:jc w:val="center"/>
            </w:pPr>
            <w:r>
              <w:rPr>
                <w:rFonts w:hint="eastAsia"/>
              </w:rPr>
              <w:t>2.水土保持</w:t>
            </w:r>
          </w:p>
          <w:p>
            <w:pPr>
              <w:pStyle w:val="105"/>
              <w:spacing w:line="240" w:lineRule="atLeast"/>
              <w:jc w:val="center"/>
            </w:pPr>
            <w:r>
              <w:rPr>
                <w:rFonts w:hint="eastAsia"/>
              </w:rPr>
              <w:t>3.恢复或补偿植被</w:t>
            </w:r>
          </w:p>
          <w:p>
            <w:pPr>
              <w:pStyle w:val="105"/>
              <w:spacing w:line="240" w:lineRule="atLeast"/>
              <w:jc w:val="center"/>
            </w:pPr>
            <w:r>
              <w:rPr>
                <w:rFonts w:hint="eastAsia"/>
              </w:rPr>
              <w:t>4.农田补偿</w:t>
            </w:r>
          </w:p>
        </w:tc>
        <w:tc>
          <w:tcPr>
            <w:tcW w:w="2835" w:type="dxa"/>
            <w:vAlign w:val="center"/>
          </w:tcPr>
          <w:p>
            <w:pPr>
              <w:pStyle w:val="105"/>
              <w:spacing w:line="240" w:lineRule="atLeast"/>
              <w:jc w:val="center"/>
            </w:pPr>
            <w:r>
              <w:rPr>
                <w:rFonts w:hint="eastAsia"/>
              </w:rPr>
              <w:t>1. 提高土地使用价值</w:t>
            </w:r>
          </w:p>
          <w:p>
            <w:pPr>
              <w:pStyle w:val="105"/>
              <w:spacing w:line="240" w:lineRule="atLeast"/>
              <w:jc w:val="center"/>
            </w:pPr>
            <w:r>
              <w:rPr>
                <w:rFonts w:hint="eastAsia"/>
              </w:rPr>
              <w:t>2.防止土壤侵蚀进一步扩大</w:t>
            </w:r>
          </w:p>
          <w:p>
            <w:pPr>
              <w:pStyle w:val="105"/>
              <w:spacing w:line="240" w:lineRule="atLeast"/>
              <w:jc w:val="center"/>
            </w:pPr>
            <w:r>
              <w:rPr>
                <w:rFonts w:hint="eastAsia"/>
              </w:rPr>
              <w:t>3.路基稳定性</w:t>
            </w:r>
          </w:p>
          <w:p>
            <w:pPr>
              <w:pStyle w:val="105"/>
              <w:spacing w:line="240" w:lineRule="atLeast"/>
              <w:jc w:val="center"/>
            </w:pPr>
            <w:r>
              <w:rPr>
                <w:rFonts w:hint="eastAsia"/>
              </w:rPr>
              <w:t>4.保护土地资源和耕地动态平衡</w:t>
            </w:r>
            <w:r>
              <w:t xml:space="preserve"> </w:t>
            </w:r>
          </w:p>
        </w:tc>
        <w:tc>
          <w:tcPr>
            <w:tcW w:w="2124" w:type="dxa"/>
            <w:vAlign w:val="center"/>
          </w:tcPr>
          <w:p>
            <w:pPr>
              <w:pStyle w:val="105"/>
              <w:spacing w:line="240" w:lineRule="atLeast"/>
              <w:jc w:val="center"/>
            </w:pPr>
            <w:r>
              <w:rPr>
                <w:rFonts w:hint="eastAsia"/>
              </w:rPr>
              <w:t>1.改善地区生态环境</w:t>
            </w:r>
          </w:p>
          <w:p>
            <w:pPr>
              <w:pStyle w:val="105"/>
              <w:spacing w:line="240" w:lineRule="atLeast"/>
              <w:jc w:val="center"/>
            </w:pPr>
            <w:r>
              <w:rPr>
                <w:rFonts w:hint="eastAsia"/>
              </w:rPr>
              <w:t>2.保障公路运输安全</w:t>
            </w:r>
          </w:p>
          <w:p>
            <w:pPr>
              <w:pStyle w:val="105"/>
              <w:spacing w:line="240" w:lineRule="atLeast"/>
              <w:jc w:val="center"/>
            </w:pPr>
            <w:r>
              <w:rPr>
                <w:rFonts w:hint="eastAsia"/>
              </w:rPr>
              <w:t>3.增加旅行安全和舒适感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pPr>
              <w:pStyle w:val="105"/>
              <w:spacing w:line="240" w:lineRule="atLeast"/>
              <w:jc w:val="center"/>
            </w:pPr>
            <w:r>
              <w:rPr>
                <w:rFonts w:hint="eastAsia"/>
              </w:rPr>
              <w:t>噪声防治工程</w:t>
            </w:r>
          </w:p>
        </w:tc>
        <w:tc>
          <w:tcPr>
            <w:tcW w:w="2977" w:type="dxa"/>
            <w:vAlign w:val="center"/>
          </w:tcPr>
          <w:p>
            <w:pPr>
              <w:pStyle w:val="105"/>
              <w:spacing w:line="240" w:lineRule="atLeast"/>
              <w:jc w:val="center"/>
            </w:pPr>
            <w:r>
              <w:rPr>
                <w:rFonts w:hint="eastAsia"/>
              </w:rPr>
              <w:t>防止交通噪声对沿线地区环境的污染</w:t>
            </w:r>
          </w:p>
        </w:tc>
        <w:tc>
          <w:tcPr>
            <w:tcW w:w="2835" w:type="dxa"/>
            <w:vAlign w:val="center"/>
          </w:tcPr>
          <w:p>
            <w:pPr>
              <w:pStyle w:val="105"/>
              <w:spacing w:line="240" w:lineRule="atLeast"/>
              <w:jc w:val="center"/>
            </w:pPr>
            <w:r>
              <w:rPr>
                <w:rFonts w:hint="eastAsia"/>
              </w:rPr>
              <w:t>保护村镇居民生活环境</w:t>
            </w:r>
          </w:p>
        </w:tc>
        <w:tc>
          <w:tcPr>
            <w:tcW w:w="2124" w:type="dxa"/>
            <w:vAlign w:val="center"/>
          </w:tcPr>
          <w:p>
            <w:pPr>
              <w:pStyle w:val="105"/>
              <w:spacing w:line="240" w:lineRule="atLeast"/>
              <w:jc w:val="center"/>
            </w:pPr>
            <w:r>
              <w:rPr>
                <w:rFonts w:hint="eastAsia"/>
              </w:rPr>
              <w:t>保护人们生产、生活环境质量及身体健康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pPr>
              <w:pStyle w:val="105"/>
              <w:spacing w:line="240" w:lineRule="atLeast"/>
              <w:jc w:val="center"/>
            </w:pPr>
            <w:r>
              <w:rPr>
                <w:rFonts w:hint="eastAsia"/>
              </w:rPr>
              <w:t>排水、防护工程</w:t>
            </w:r>
          </w:p>
        </w:tc>
        <w:tc>
          <w:tcPr>
            <w:tcW w:w="2977" w:type="dxa"/>
            <w:vAlign w:val="center"/>
          </w:tcPr>
          <w:p>
            <w:pPr>
              <w:pStyle w:val="105"/>
              <w:spacing w:line="240" w:lineRule="atLeast"/>
              <w:jc w:val="center"/>
            </w:pPr>
            <w:r>
              <w:rPr>
                <w:rFonts w:hint="eastAsia"/>
              </w:rPr>
              <w:t>保护公路沿线地区河道的水质</w:t>
            </w:r>
          </w:p>
        </w:tc>
        <w:tc>
          <w:tcPr>
            <w:tcW w:w="2835" w:type="dxa"/>
            <w:vAlign w:val="center"/>
          </w:tcPr>
          <w:p>
            <w:pPr>
              <w:pStyle w:val="105"/>
              <w:spacing w:line="240" w:lineRule="atLeast"/>
              <w:jc w:val="center"/>
            </w:pPr>
            <w:r>
              <w:rPr>
                <w:rFonts w:hint="eastAsia"/>
              </w:rPr>
              <w:t>水土保持</w:t>
            </w:r>
          </w:p>
        </w:tc>
        <w:tc>
          <w:tcPr>
            <w:tcW w:w="2124" w:type="dxa"/>
            <w:vAlign w:val="center"/>
          </w:tcPr>
          <w:p>
            <w:pPr>
              <w:pStyle w:val="105"/>
              <w:spacing w:line="240" w:lineRule="atLeast"/>
              <w:jc w:val="center"/>
            </w:pPr>
            <w:r>
              <w:rPr>
                <w:rFonts w:hint="eastAsia"/>
              </w:rPr>
              <w:t>保护水资源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pPr>
              <w:pStyle w:val="105"/>
              <w:spacing w:line="240" w:lineRule="atLeast"/>
              <w:jc w:val="center"/>
            </w:pPr>
            <w:r>
              <w:rPr>
                <w:rFonts w:hint="eastAsia"/>
              </w:rPr>
              <w:t>环境监测、环境管理</w:t>
            </w:r>
          </w:p>
        </w:tc>
        <w:tc>
          <w:tcPr>
            <w:tcW w:w="2977" w:type="dxa"/>
            <w:vAlign w:val="center"/>
          </w:tcPr>
          <w:p>
            <w:pPr>
              <w:pStyle w:val="105"/>
              <w:spacing w:line="240" w:lineRule="atLeast"/>
              <w:jc w:val="center"/>
            </w:pPr>
            <w:r>
              <w:rPr>
                <w:rFonts w:hint="eastAsia"/>
              </w:rPr>
              <w:t>1.监测沿线地区环境质量</w:t>
            </w:r>
          </w:p>
          <w:p>
            <w:pPr>
              <w:pStyle w:val="105"/>
              <w:spacing w:line="240" w:lineRule="atLeast"/>
              <w:jc w:val="center"/>
            </w:pPr>
            <w:r>
              <w:rPr>
                <w:rFonts w:hint="eastAsia"/>
              </w:rPr>
              <w:t>2.保护沿线地区环境</w:t>
            </w:r>
          </w:p>
        </w:tc>
        <w:tc>
          <w:tcPr>
            <w:tcW w:w="2835" w:type="dxa"/>
            <w:vAlign w:val="center"/>
          </w:tcPr>
          <w:p>
            <w:pPr>
              <w:pStyle w:val="105"/>
              <w:spacing w:line="240" w:lineRule="atLeast"/>
              <w:jc w:val="center"/>
            </w:pPr>
            <w:r>
              <w:rPr>
                <w:rFonts w:hint="eastAsia"/>
              </w:rPr>
              <w:t>保护人类及生物生存环境</w:t>
            </w:r>
          </w:p>
        </w:tc>
        <w:tc>
          <w:tcPr>
            <w:tcW w:w="2124" w:type="dxa"/>
            <w:vAlign w:val="center"/>
          </w:tcPr>
          <w:p>
            <w:pPr>
              <w:pStyle w:val="105"/>
              <w:spacing w:line="240" w:lineRule="atLeast"/>
              <w:jc w:val="center"/>
            </w:pPr>
            <w:r>
              <w:rPr>
                <w:rFonts w:hint="eastAsia"/>
              </w:rPr>
              <w:t>经济与环境可持续发展</w:t>
            </w:r>
          </w:p>
        </w:tc>
      </w:tr>
    </w:tbl>
    <w:p>
      <w:pPr>
        <w:pStyle w:val="120"/>
        <w:spacing w:before="240"/>
        <w:rPr>
          <w:color w:val="auto"/>
        </w:rPr>
      </w:pPr>
      <w:bookmarkStart w:id="612" w:name="7.3环境影响经济损益分析"/>
      <w:bookmarkEnd w:id="612"/>
      <w:bookmarkStart w:id="613" w:name="_Toc19404"/>
      <w:r>
        <w:rPr>
          <w:color w:val="auto"/>
        </w:rPr>
        <w:t>环境影响经济损益分析</w:t>
      </w:r>
      <w:bookmarkEnd w:id="613"/>
    </w:p>
    <w:p>
      <w:pPr>
        <w:pStyle w:val="67"/>
        <w:numPr>
          <w:ilvl w:val="4"/>
          <w:numId w:val="0"/>
        </w:numPr>
        <w:tabs>
          <w:tab w:val="left" w:pos="1488"/>
        </w:tabs>
        <w:ind w:firstLine="468" w:firstLineChars="200"/>
        <w:rPr>
          <w:rFonts w:ascii="Times New Roman" w:hAnsi="Times New Roman" w:cs="Times New Roman"/>
          <w:spacing w:val="-3"/>
        </w:rPr>
      </w:pPr>
      <w:r>
        <w:rPr>
          <w:rFonts w:ascii="Times New Roman" w:hAnsi="Times New Roman" w:cs="Times New Roman"/>
          <w:spacing w:val="-3"/>
        </w:rPr>
        <w:t>对受本项工程影响的主要环境因素，分别采用补偿法、专家打分法等分析方法对拟建项目的环境损益进行了定性，其结果见表8.3-2。</w:t>
      </w:r>
    </w:p>
    <w:p>
      <w:pPr>
        <w:pStyle w:val="67"/>
        <w:numPr>
          <w:ilvl w:val="4"/>
          <w:numId w:val="0"/>
        </w:numPr>
        <w:tabs>
          <w:tab w:val="left" w:pos="1488"/>
        </w:tabs>
        <w:ind w:firstLine="468" w:firstLineChars="200"/>
        <w:rPr>
          <w:rFonts w:ascii="Times New Roman" w:hAnsi="Times New Roman" w:cs="Times New Roman"/>
          <w:spacing w:val="-3"/>
        </w:rPr>
      </w:pPr>
    </w:p>
    <w:p>
      <w:pPr>
        <w:pStyle w:val="67"/>
        <w:numPr>
          <w:ilvl w:val="4"/>
          <w:numId w:val="0"/>
        </w:numPr>
        <w:tabs>
          <w:tab w:val="left" w:pos="1488"/>
        </w:tabs>
        <w:ind w:firstLine="468" w:firstLineChars="200"/>
        <w:rPr>
          <w:rFonts w:ascii="Times New Roman" w:hAnsi="Times New Roman" w:cs="Times New Roman"/>
          <w:spacing w:val="-3"/>
        </w:rPr>
      </w:pPr>
    </w:p>
    <w:p>
      <w:pPr>
        <w:pStyle w:val="67"/>
        <w:numPr>
          <w:ilvl w:val="4"/>
          <w:numId w:val="0"/>
        </w:numPr>
        <w:tabs>
          <w:tab w:val="left" w:pos="1488"/>
        </w:tabs>
        <w:ind w:firstLine="468" w:firstLineChars="200"/>
        <w:rPr>
          <w:rFonts w:ascii="Times New Roman" w:hAnsi="Times New Roman" w:cs="Times New Roman"/>
          <w:spacing w:val="-3"/>
        </w:rPr>
      </w:pPr>
    </w:p>
    <w:p>
      <w:pPr>
        <w:pStyle w:val="67"/>
        <w:numPr>
          <w:ilvl w:val="4"/>
          <w:numId w:val="0"/>
        </w:numPr>
        <w:tabs>
          <w:tab w:val="left" w:pos="1488"/>
        </w:tabs>
        <w:ind w:firstLine="468" w:firstLineChars="200"/>
        <w:rPr>
          <w:rFonts w:ascii="Times New Roman" w:hAnsi="Times New Roman" w:cs="Times New Roman"/>
          <w:spacing w:val="-3"/>
        </w:rPr>
      </w:pPr>
    </w:p>
    <w:p>
      <w:pPr>
        <w:pStyle w:val="87"/>
        <w:spacing w:before="120"/>
      </w:pPr>
      <w:r>
        <w:tab/>
      </w:r>
      <w:r>
        <w:t>拟建项目环境影响的经济损益分析表</w:t>
      </w:r>
    </w:p>
    <w:tbl>
      <w:tblPr>
        <w:tblStyle w:val="53"/>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autofit"/>
        <w:tblCellMar>
          <w:top w:w="0" w:type="dxa"/>
          <w:left w:w="0" w:type="dxa"/>
          <w:bottom w:w="0" w:type="dxa"/>
          <w:right w:w="0" w:type="dxa"/>
        </w:tblCellMar>
      </w:tblPr>
      <w:tblGrid>
        <w:gridCol w:w="669"/>
        <w:gridCol w:w="1883"/>
        <w:gridCol w:w="4863"/>
        <w:gridCol w:w="698"/>
        <w:gridCol w:w="957"/>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09" w:hRule="atLeast"/>
        </w:trPr>
        <w:tc>
          <w:tcPr>
            <w:tcW w:w="369" w:type="pct"/>
            <w:tcBorders>
              <w:tl2br w:val="nil"/>
              <w:tr2bl w:val="nil"/>
            </w:tcBorders>
            <w:vAlign w:val="center"/>
          </w:tcPr>
          <w:p>
            <w:pPr>
              <w:pStyle w:val="105"/>
              <w:jc w:val="center"/>
            </w:pPr>
            <w:r>
              <w:t>序号</w:t>
            </w:r>
          </w:p>
        </w:tc>
        <w:tc>
          <w:tcPr>
            <w:tcW w:w="1038" w:type="pct"/>
            <w:tcBorders>
              <w:tl2br w:val="nil"/>
              <w:tr2bl w:val="nil"/>
            </w:tcBorders>
            <w:vAlign w:val="center"/>
          </w:tcPr>
          <w:p>
            <w:pPr>
              <w:pStyle w:val="105"/>
              <w:jc w:val="center"/>
            </w:pPr>
            <w:r>
              <w:t>环境要素</w:t>
            </w:r>
          </w:p>
        </w:tc>
        <w:tc>
          <w:tcPr>
            <w:tcW w:w="2681" w:type="pct"/>
            <w:tcBorders>
              <w:tl2br w:val="nil"/>
              <w:tr2bl w:val="nil"/>
            </w:tcBorders>
            <w:vAlign w:val="center"/>
          </w:tcPr>
          <w:p>
            <w:pPr>
              <w:pStyle w:val="105"/>
              <w:jc w:val="center"/>
            </w:pPr>
            <w:r>
              <w:t>影响、措施及投资</w:t>
            </w:r>
          </w:p>
        </w:tc>
        <w:tc>
          <w:tcPr>
            <w:tcW w:w="385" w:type="pct"/>
            <w:tcBorders>
              <w:tl2br w:val="nil"/>
              <w:tr2bl w:val="nil"/>
            </w:tcBorders>
            <w:vAlign w:val="center"/>
          </w:tcPr>
          <w:p>
            <w:pPr>
              <w:pStyle w:val="105"/>
              <w:jc w:val="center"/>
            </w:pPr>
            <w:r>
              <w:t>效益</w:t>
            </w:r>
          </w:p>
        </w:tc>
        <w:tc>
          <w:tcPr>
            <w:tcW w:w="527" w:type="pct"/>
            <w:tcBorders>
              <w:tl2br w:val="nil"/>
              <w:tr2bl w:val="nil"/>
            </w:tcBorders>
            <w:vAlign w:val="center"/>
          </w:tcPr>
          <w:p>
            <w:pPr>
              <w:pStyle w:val="105"/>
            </w:pPr>
            <w:r>
              <w:t>备注</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856" w:hRule="atLeast"/>
        </w:trPr>
        <w:tc>
          <w:tcPr>
            <w:tcW w:w="369" w:type="pct"/>
            <w:tcBorders>
              <w:tl2br w:val="nil"/>
              <w:tr2bl w:val="nil"/>
            </w:tcBorders>
            <w:vAlign w:val="center"/>
          </w:tcPr>
          <w:p>
            <w:pPr>
              <w:pStyle w:val="105"/>
              <w:jc w:val="center"/>
            </w:pPr>
            <w:r>
              <w:t>1</w:t>
            </w:r>
          </w:p>
        </w:tc>
        <w:tc>
          <w:tcPr>
            <w:tcW w:w="1038" w:type="pct"/>
            <w:tcBorders>
              <w:tl2br w:val="nil"/>
              <w:tr2bl w:val="nil"/>
            </w:tcBorders>
            <w:vAlign w:val="center"/>
          </w:tcPr>
          <w:p>
            <w:pPr>
              <w:pStyle w:val="105"/>
              <w:jc w:val="center"/>
            </w:pPr>
            <w:r>
              <w:t>声环境、</w:t>
            </w:r>
          </w:p>
          <w:p>
            <w:pPr>
              <w:pStyle w:val="105"/>
              <w:jc w:val="center"/>
            </w:pPr>
            <w:r>
              <w:t>环境空气</w:t>
            </w:r>
          </w:p>
        </w:tc>
        <w:tc>
          <w:tcPr>
            <w:tcW w:w="2681" w:type="pct"/>
            <w:tcBorders>
              <w:tl2br w:val="nil"/>
              <w:tr2bl w:val="nil"/>
            </w:tcBorders>
            <w:vAlign w:val="center"/>
          </w:tcPr>
          <w:p>
            <w:pPr>
              <w:pStyle w:val="105"/>
              <w:jc w:val="center"/>
            </w:pPr>
            <w:r>
              <w:t>拟建项目沿线声、气环境质量下降（-3）；</w:t>
            </w:r>
          </w:p>
          <w:p>
            <w:pPr>
              <w:pStyle w:val="105"/>
              <w:jc w:val="center"/>
            </w:pPr>
            <w:r>
              <w:t>乡镇及现有公路两侧声、气环境好转（+1）</w:t>
            </w:r>
          </w:p>
        </w:tc>
        <w:tc>
          <w:tcPr>
            <w:tcW w:w="385" w:type="pct"/>
            <w:tcBorders>
              <w:tl2br w:val="nil"/>
              <w:tr2bl w:val="nil"/>
            </w:tcBorders>
            <w:vAlign w:val="center"/>
          </w:tcPr>
          <w:p>
            <w:pPr>
              <w:pStyle w:val="105"/>
              <w:jc w:val="center"/>
            </w:pPr>
            <w:r>
              <w:t>-2</w:t>
            </w:r>
          </w:p>
        </w:tc>
        <w:tc>
          <w:tcPr>
            <w:tcW w:w="527" w:type="pct"/>
            <w:vMerge w:val="restart"/>
            <w:tcBorders>
              <w:tl2br w:val="nil"/>
              <w:tr2bl w:val="nil"/>
            </w:tcBorders>
            <w:vAlign w:val="center"/>
          </w:tcPr>
          <w:p>
            <w:pPr>
              <w:pStyle w:val="105"/>
            </w:pPr>
            <w:r>
              <w:t>按影响程度由小到大分别打1、2、3等分；“+”</w:t>
            </w:r>
          </w:p>
          <w:p>
            <w:pPr>
              <w:pStyle w:val="105"/>
            </w:pPr>
            <w:r>
              <w:t>表示正效益；“</w:t>
            </w:r>
            <w:r>
              <w:rPr>
                <w:rFonts w:hint="eastAsia"/>
              </w:rPr>
              <w:t>－</w:t>
            </w:r>
            <w:r>
              <w:t>”</w:t>
            </w:r>
          </w:p>
          <w:p>
            <w:pPr>
              <w:pStyle w:val="105"/>
            </w:pPr>
            <w:r>
              <w:t>表示负效益。</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9" w:hRule="atLeast"/>
        </w:trPr>
        <w:tc>
          <w:tcPr>
            <w:tcW w:w="369" w:type="pct"/>
            <w:tcBorders>
              <w:tl2br w:val="nil"/>
              <w:tr2bl w:val="nil"/>
            </w:tcBorders>
            <w:vAlign w:val="center"/>
          </w:tcPr>
          <w:p>
            <w:pPr>
              <w:pStyle w:val="105"/>
              <w:jc w:val="center"/>
            </w:pPr>
            <w:r>
              <w:t>2</w:t>
            </w:r>
          </w:p>
        </w:tc>
        <w:tc>
          <w:tcPr>
            <w:tcW w:w="1038" w:type="pct"/>
            <w:tcBorders>
              <w:tl2br w:val="nil"/>
              <w:tr2bl w:val="nil"/>
            </w:tcBorders>
            <w:vAlign w:val="center"/>
          </w:tcPr>
          <w:p>
            <w:pPr>
              <w:pStyle w:val="105"/>
              <w:jc w:val="center"/>
            </w:pPr>
            <w:r>
              <w:t>水环境</w:t>
            </w:r>
          </w:p>
        </w:tc>
        <w:tc>
          <w:tcPr>
            <w:tcW w:w="2681" w:type="pct"/>
            <w:tcBorders>
              <w:tl2br w:val="nil"/>
              <w:tr2bl w:val="nil"/>
            </w:tcBorders>
            <w:vAlign w:val="center"/>
          </w:tcPr>
          <w:p>
            <w:pPr>
              <w:pStyle w:val="105"/>
              <w:jc w:val="center"/>
            </w:pPr>
            <w:r>
              <w:t>施工期对沿线水环境产生负面影响</w:t>
            </w:r>
          </w:p>
        </w:tc>
        <w:tc>
          <w:tcPr>
            <w:tcW w:w="385" w:type="pct"/>
            <w:tcBorders>
              <w:tl2br w:val="nil"/>
              <w:tr2bl w:val="nil"/>
            </w:tcBorders>
            <w:vAlign w:val="center"/>
          </w:tcPr>
          <w:p>
            <w:pPr>
              <w:pStyle w:val="105"/>
              <w:jc w:val="center"/>
            </w:pPr>
            <w:r>
              <w:t>-1</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9" w:hRule="atLeast"/>
        </w:trPr>
        <w:tc>
          <w:tcPr>
            <w:tcW w:w="369" w:type="pct"/>
            <w:tcBorders>
              <w:tl2br w:val="nil"/>
              <w:tr2bl w:val="nil"/>
            </w:tcBorders>
            <w:vAlign w:val="center"/>
          </w:tcPr>
          <w:p>
            <w:pPr>
              <w:pStyle w:val="105"/>
              <w:jc w:val="center"/>
            </w:pPr>
            <w:r>
              <w:t>3</w:t>
            </w:r>
          </w:p>
        </w:tc>
        <w:tc>
          <w:tcPr>
            <w:tcW w:w="1038" w:type="pct"/>
            <w:tcBorders>
              <w:tl2br w:val="nil"/>
              <w:tr2bl w:val="nil"/>
            </w:tcBorders>
            <w:vAlign w:val="center"/>
          </w:tcPr>
          <w:p>
            <w:pPr>
              <w:pStyle w:val="105"/>
              <w:jc w:val="center"/>
            </w:pPr>
            <w:r>
              <w:t>人群健康</w:t>
            </w:r>
          </w:p>
        </w:tc>
        <w:tc>
          <w:tcPr>
            <w:tcW w:w="2681" w:type="pct"/>
            <w:tcBorders>
              <w:tl2br w:val="nil"/>
              <w:tr2bl w:val="nil"/>
            </w:tcBorders>
            <w:vAlign w:val="center"/>
          </w:tcPr>
          <w:p>
            <w:pPr>
              <w:pStyle w:val="105"/>
              <w:jc w:val="center"/>
            </w:pPr>
            <w:r>
              <w:t>无显著不利影响，交通方便利于出行</w:t>
            </w:r>
          </w:p>
        </w:tc>
        <w:tc>
          <w:tcPr>
            <w:tcW w:w="385" w:type="pct"/>
            <w:tcBorders>
              <w:tl2br w:val="nil"/>
              <w:tr2bl w:val="nil"/>
            </w:tcBorders>
            <w:vAlign w:val="center"/>
          </w:tcPr>
          <w:p>
            <w:pPr>
              <w:pStyle w:val="105"/>
              <w:jc w:val="center"/>
            </w:pPr>
            <w:r>
              <w:t>+1</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9" w:hRule="atLeast"/>
        </w:trPr>
        <w:tc>
          <w:tcPr>
            <w:tcW w:w="369" w:type="pct"/>
            <w:tcBorders>
              <w:tl2br w:val="nil"/>
              <w:tr2bl w:val="nil"/>
            </w:tcBorders>
            <w:vAlign w:val="center"/>
          </w:tcPr>
          <w:p>
            <w:pPr>
              <w:pStyle w:val="105"/>
              <w:jc w:val="center"/>
            </w:pPr>
            <w:r>
              <w:t>4</w:t>
            </w:r>
          </w:p>
        </w:tc>
        <w:tc>
          <w:tcPr>
            <w:tcW w:w="1038" w:type="pct"/>
            <w:tcBorders>
              <w:tl2br w:val="nil"/>
              <w:tr2bl w:val="nil"/>
            </w:tcBorders>
            <w:vAlign w:val="center"/>
          </w:tcPr>
          <w:p>
            <w:pPr>
              <w:pStyle w:val="105"/>
              <w:jc w:val="center"/>
            </w:pPr>
            <w:r>
              <w:t>人民生活水平</w:t>
            </w:r>
          </w:p>
        </w:tc>
        <w:tc>
          <w:tcPr>
            <w:tcW w:w="2681" w:type="pct"/>
            <w:tcBorders>
              <w:tl2br w:val="nil"/>
              <w:tr2bl w:val="nil"/>
            </w:tcBorders>
            <w:vAlign w:val="center"/>
          </w:tcPr>
          <w:p>
            <w:pPr>
              <w:pStyle w:val="105"/>
              <w:jc w:val="center"/>
            </w:pPr>
            <w:r>
              <w:t>提供部分就业机会，改善当地人民生活水平</w:t>
            </w:r>
          </w:p>
        </w:tc>
        <w:tc>
          <w:tcPr>
            <w:tcW w:w="385" w:type="pct"/>
            <w:tcBorders>
              <w:tl2br w:val="nil"/>
              <w:tr2bl w:val="nil"/>
            </w:tcBorders>
            <w:vAlign w:val="center"/>
          </w:tcPr>
          <w:p>
            <w:pPr>
              <w:pStyle w:val="105"/>
              <w:jc w:val="center"/>
            </w:pPr>
            <w:r>
              <w:t>+1</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8" w:hRule="atLeast"/>
        </w:trPr>
        <w:tc>
          <w:tcPr>
            <w:tcW w:w="369" w:type="pct"/>
            <w:tcBorders>
              <w:tl2br w:val="nil"/>
              <w:tr2bl w:val="nil"/>
            </w:tcBorders>
            <w:vAlign w:val="center"/>
          </w:tcPr>
          <w:p>
            <w:pPr>
              <w:pStyle w:val="105"/>
              <w:jc w:val="center"/>
            </w:pPr>
            <w:r>
              <w:t>5</w:t>
            </w:r>
          </w:p>
        </w:tc>
        <w:tc>
          <w:tcPr>
            <w:tcW w:w="1038" w:type="pct"/>
            <w:tcBorders>
              <w:tl2br w:val="nil"/>
              <w:tr2bl w:val="nil"/>
            </w:tcBorders>
            <w:vAlign w:val="center"/>
          </w:tcPr>
          <w:p>
            <w:pPr>
              <w:pStyle w:val="105"/>
              <w:jc w:val="center"/>
            </w:pPr>
            <w:r>
              <w:t>植物及动物</w:t>
            </w:r>
          </w:p>
        </w:tc>
        <w:tc>
          <w:tcPr>
            <w:tcW w:w="2681" w:type="pct"/>
            <w:tcBorders>
              <w:tl2br w:val="nil"/>
              <w:tr2bl w:val="nil"/>
            </w:tcBorders>
            <w:vAlign w:val="center"/>
          </w:tcPr>
          <w:p>
            <w:pPr>
              <w:pStyle w:val="105"/>
              <w:jc w:val="center"/>
            </w:pPr>
            <w:r>
              <w:t>破坏部分植被、动物短暂骚扰</w:t>
            </w:r>
          </w:p>
        </w:tc>
        <w:tc>
          <w:tcPr>
            <w:tcW w:w="385" w:type="pct"/>
            <w:tcBorders>
              <w:tl2br w:val="nil"/>
              <w:tr2bl w:val="nil"/>
            </w:tcBorders>
            <w:vAlign w:val="center"/>
          </w:tcPr>
          <w:p>
            <w:pPr>
              <w:pStyle w:val="105"/>
              <w:jc w:val="center"/>
            </w:pPr>
            <w:r>
              <w:t>-1</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8" w:hRule="atLeast"/>
        </w:trPr>
        <w:tc>
          <w:tcPr>
            <w:tcW w:w="369" w:type="pct"/>
            <w:tcBorders>
              <w:tl2br w:val="nil"/>
              <w:tr2bl w:val="nil"/>
            </w:tcBorders>
            <w:vAlign w:val="center"/>
          </w:tcPr>
          <w:p>
            <w:pPr>
              <w:pStyle w:val="105"/>
              <w:jc w:val="center"/>
            </w:pPr>
            <w:r>
              <w:t>6</w:t>
            </w:r>
          </w:p>
        </w:tc>
        <w:tc>
          <w:tcPr>
            <w:tcW w:w="1038" w:type="pct"/>
            <w:tcBorders>
              <w:tl2br w:val="nil"/>
              <w:tr2bl w:val="nil"/>
            </w:tcBorders>
            <w:vAlign w:val="center"/>
          </w:tcPr>
          <w:p>
            <w:pPr>
              <w:pStyle w:val="105"/>
              <w:jc w:val="center"/>
            </w:pPr>
            <w:r>
              <w:t>农业生产</w:t>
            </w:r>
          </w:p>
        </w:tc>
        <w:tc>
          <w:tcPr>
            <w:tcW w:w="2681" w:type="pct"/>
            <w:tcBorders>
              <w:tl2br w:val="nil"/>
              <w:tr2bl w:val="nil"/>
            </w:tcBorders>
            <w:vAlign w:val="center"/>
          </w:tcPr>
          <w:p>
            <w:pPr>
              <w:pStyle w:val="105"/>
              <w:jc w:val="center"/>
            </w:pPr>
            <w:r>
              <w:t>占地减少耕种面积，加速地区间的物流交换</w:t>
            </w:r>
          </w:p>
        </w:tc>
        <w:tc>
          <w:tcPr>
            <w:tcW w:w="385" w:type="pct"/>
            <w:tcBorders>
              <w:tl2br w:val="nil"/>
              <w:tr2bl w:val="nil"/>
            </w:tcBorders>
            <w:vAlign w:val="center"/>
          </w:tcPr>
          <w:p>
            <w:pPr>
              <w:pStyle w:val="105"/>
              <w:jc w:val="center"/>
            </w:pPr>
            <w:r>
              <w:t>-1</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9" w:hRule="atLeast"/>
        </w:trPr>
        <w:tc>
          <w:tcPr>
            <w:tcW w:w="369" w:type="pct"/>
            <w:tcBorders>
              <w:tl2br w:val="nil"/>
              <w:tr2bl w:val="nil"/>
            </w:tcBorders>
            <w:vAlign w:val="center"/>
          </w:tcPr>
          <w:p>
            <w:pPr>
              <w:pStyle w:val="105"/>
              <w:jc w:val="center"/>
            </w:pPr>
            <w:r>
              <w:t>7</w:t>
            </w:r>
          </w:p>
        </w:tc>
        <w:tc>
          <w:tcPr>
            <w:tcW w:w="1038" w:type="pct"/>
            <w:tcBorders>
              <w:tl2br w:val="nil"/>
              <w:tr2bl w:val="nil"/>
            </w:tcBorders>
            <w:vAlign w:val="center"/>
          </w:tcPr>
          <w:p>
            <w:pPr>
              <w:pStyle w:val="105"/>
              <w:jc w:val="center"/>
            </w:pPr>
            <w:r>
              <w:t>旅游资源</w:t>
            </w:r>
          </w:p>
        </w:tc>
        <w:tc>
          <w:tcPr>
            <w:tcW w:w="2681" w:type="pct"/>
            <w:tcBorders>
              <w:tl2br w:val="nil"/>
              <w:tr2bl w:val="nil"/>
            </w:tcBorders>
            <w:vAlign w:val="center"/>
          </w:tcPr>
          <w:p>
            <w:pPr>
              <w:pStyle w:val="105"/>
              <w:jc w:val="center"/>
            </w:pPr>
            <w:r>
              <w:t>无显著不利影响，交通方便利于带动旅游业的发展</w:t>
            </w:r>
          </w:p>
        </w:tc>
        <w:tc>
          <w:tcPr>
            <w:tcW w:w="385" w:type="pct"/>
            <w:tcBorders>
              <w:tl2br w:val="nil"/>
              <w:tr2bl w:val="nil"/>
            </w:tcBorders>
            <w:vAlign w:val="center"/>
          </w:tcPr>
          <w:p>
            <w:pPr>
              <w:pStyle w:val="105"/>
              <w:jc w:val="center"/>
            </w:pPr>
            <w:r>
              <w:t>+2</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8" w:hRule="atLeast"/>
        </w:trPr>
        <w:tc>
          <w:tcPr>
            <w:tcW w:w="369" w:type="pct"/>
            <w:tcBorders>
              <w:tl2br w:val="nil"/>
              <w:tr2bl w:val="nil"/>
            </w:tcBorders>
            <w:vAlign w:val="center"/>
          </w:tcPr>
          <w:p>
            <w:pPr>
              <w:pStyle w:val="105"/>
              <w:jc w:val="center"/>
            </w:pPr>
            <w:r>
              <w:t>8</w:t>
            </w:r>
          </w:p>
        </w:tc>
        <w:tc>
          <w:tcPr>
            <w:tcW w:w="1038" w:type="pct"/>
            <w:tcBorders>
              <w:tl2br w:val="nil"/>
              <w:tr2bl w:val="nil"/>
            </w:tcBorders>
            <w:vAlign w:val="center"/>
          </w:tcPr>
          <w:p>
            <w:pPr>
              <w:pStyle w:val="105"/>
              <w:jc w:val="center"/>
            </w:pPr>
            <w:r>
              <w:t>乡镇规划</w:t>
            </w:r>
          </w:p>
        </w:tc>
        <w:tc>
          <w:tcPr>
            <w:tcW w:w="2681" w:type="pct"/>
            <w:tcBorders>
              <w:tl2br w:val="nil"/>
              <w:tr2bl w:val="nil"/>
            </w:tcBorders>
            <w:vAlign w:val="center"/>
          </w:tcPr>
          <w:p>
            <w:pPr>
              <w:pStyle w:val="105"/>
              <w:jc w:val="center"/>
            </w:pPr>
            <w:r>
              <w:t>无显著不利影响，有利于乡镇、社会发展</w:t>
            </w:r>
          </w:p>
        </w:tc>
        <w:tc>
          <w:tcPr>
            <w:tcW w:w="385" w:type="pct"/>
            <w:tcBorders>
              <w:tl2br w:val="nil"/>
              <w:tr2bl w:val="nil"/>
            </w:tcBorders>
            <w:vAlign w:val="center"/>
          </w:tcPr>
          <w:p>
            <w:pPr>
              <w:pStyle w:val="105"/>
              <w:jc w:val="center"/>
            </w:pPr>
            <w:r>
              <w:t>+2</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9" w:hRule="atLeast"/>
        </w:trPr>
        <w:tc>
          <w:tcPr>
            <w:tcW w:w="369" w:type="pct"/>
            <w:tcBorders>
              <w:tl2br w:val="nil"/>
              <w:tr2bl w:val="nil"/>
            </w:tcBorders>
            <w:vAlign w:val="center"/>
          </w:tcPr>
          <w:p>
            <w:pPr>
              <w:pStyle w:val="105"/>
              <w:jc w:val="center"/>
            </w:pPr>
            <w:r>
              <w:t>9</w:t>
            </w:r>
          </w:p>
        </w:tc>
        <w:tc>
          <w:tcPr>
            <w:tcW w:w="1038" w:type="pct"/>
            <w:tcBorders>
              <w:tl2br w:val="nil"/>
              <w:tr2bl w:val="nil"/>
            </w:tcBorders>
            <w:vAlign w:val="center"/>
          </w:tcPr>
          <w:p>
            <w:pPr>
              <w:pStyle w:val="105"/>
              <w:jc w:val="center"/>
            </w:pPr>
            <w:r>
              <w:t>景观绿化美化</w:t>
            </w:r>
          </w:p>
        </w:tc>
        <w:tc>
          <w:tcPr>
            <w:tcW w:w="2681" w:type="pct"/>
            <w:tcBorders>
              <w:tl2br w:val="nil"/>
              <w:tr2bl w:val="nil"/>
            </w:tcBorders>
            <w:vAlign w:val="center"/>
          </w:tcPr>
          <w:p>
            <w:pPr>
              <w:pStyle w:val="105"/>
              <w:jc w:val="center"/>
            </w:pPr>
            <w:r>
              <w:t>无显著不利影响，增加环保投资，改善沿线环境质量</w:t>
            </w:r>
          </w:p>
        </w:tc>
        <w:tc>
          <w:tcPr>
            <w:tcW w:w="385" w:type="pct"/>
            <w:tcBorders>
              <w:tl2br w:val="nil"/>
              <w:tr2bl w:val="nil"/>
            </w:tcBorders>
            <w:vAlign w:val="center"/>
          </w:tcPr>
          <w:p>
            <w:pPr>
              <w:pStyle w:val="105"/>
              <w:jc w:val="center"/>
            </w:pPr>
            <w:r>
              <w:t>+1</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8" w:hRule="atLeast"/>
        </w:trPr>
        <w:tc>
          <w:tcPr>
            <w:tcW w:w="369" w:type="pct"/>
            <w:tcBorders>
              <w:tl2br w:val="nil"/>
              <w:tr2bl w:val="nil"/>
            </w:tcBorders>
            <w:vAlign w:val="center"/>
          </w:tcPr>
          <w:p>
            <w:pPr>
              <w:pStyle w:val="105"/>
              <w:jc w:val="center"/>
            </w:pPr>
            <w:r>
              <w:t>10</w:t>
            </w:r>
          </w:p>
        </w:tc>
        <w:tc>
          <w:tcPr>
            <w:tcW w:w="1038" w:type="pct"/>
            <w:tcBorders>
              <w:tl2br w:val="nil"/>
              <w:tr2bl w:val="nil"/>
            </w:tcBorders>
            <w:vAlign w:val="center"/>
          </w:tcPr>
          <w:p>
            <w:pPr>
              <w:pStyle w:val="105"/>
              <w:jc w:val="center"/>
            </w:pPr>
            <w:r>
              <w:t>拆迁安置</w:t>
            </w:r>
          </w:p>
        </w:tc>
        <w:tc>
          <w:tcPr>
            <w:tcW w:w="2681" w:type="pct"/>
            <w:tcBorders>
              <w:tl2br w:val="nil"/>
              <w:tr2bl w:val="nil"/>
            </w:tcBorders>
            <w:vAlign w:val="center"/>
          </w:tcPr>
          <w:p>
            <w:pPr>
              <w:pStyle w:val="105"/>
              <w:jc w:val="center"/>
            </w:pPr>
            <w:r>
              <w:t>拆迁货币补偿，对部分居民有一定的影响</w:t>
            </w:r>
          </w:p>
        </w:tc>
        <w:tc>
          <w:tcPr>
            <w:tcW w:w="385" w:type="pct"/>
            <w:tcBorders>
              <w:tl2br w:val="nil"/>
              <w:tr2bl w:val="nil"/>
            </w:tcBorders>
            <w:vAlign w:val="center"/>
          </w:tcPr>
          <w:p>
            <w:pPr>
              <w:pStyle w:val="105"/>
              <w:jc w:val="center"/>
            </w:pPr>
            <w:r>
              <w:t>-1</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8" w:hRule="atLeast"/>
        </w:trPr>
        <w:tc>
          <w:tcPr>
            <w:tcW w:w="369" w:type="pct"/>
            <w:tcBorders>
              <w:tl2br w:val="nil"/>
              <w:tr2bl w:val="nil"/>
            </w:tcBorders>
            <w:vAlign w:val="center"/>
          </w:tcPr>
          <w:p>
            <w:pPr>
              <w:pStyle w:val="105"/>
              <w:jc w:val="center"/>
            </w:pPr>
            <w:r>
              <w:t>11</w:t>
            </w:r>
          </w:p>
        </w:tc>
        <w:tc>
          <w:tcPr>
            <w:tcW w:w="1038" w:type="pct"/>
            <w:tcBorders>
              <w:tl2br w:val="nil"/>
              <w:tr2bl w:val="nil"/>
            </w:tcBorders>
            <w:vAlign w:val="center"/>
          </w:tcPr>
          <w:p>
            <w:pPr>
              <w:pStyle w:val="105"/>
              <w:jc w:val="center"/>
            </w:pPr>
            <w:r>
              <w:t>土地价值</w:t>
            </w:r>
          </w:p>
        </w:tc>
        <w:tc>
          <w:tcPr>
            <w:tcW w:w="2681" w:type="pct"/>
            <w:tcBorders>
              <w:tl2br w:val="nil"/>
              <w:tr2bl w:val="nil"/>
            </w:tcBorders>
            <w:vAlign w:val="center"/>
          </w:tcPr>
          <w:p>
            <w:pPr>
              <w:pStyle w:val="105"/>
              <w:jc w:val="center"/>
            </w:pPr>
            <w:r>
              <w:t>利用价值转换，利</w:t>
            </w:r>
            <w:r>
              <w:rPr>
                <w:rFonts w:hint="eastAsia"/>
              </w:rPr>
              <w:t>大于</w:t>
            </w:r>
            <w:r>
              <w:t>弊</w:t>
            </w:r>
            <w:r>
              <w:rPr>
                <w:rFonts w:hint="eastAsia"/>
              </w:rPr>
              <w:t>，利于乡镇拓展</w:t>
            </w:r>
          </w:p>
        </w:tc>
        <w:tc>
          <w:tcPr>
            <w:tcW w:w="385" w:type="pct"/>
            <w:tcBorders>
              <w:tl2br w:val="nil"/>
              <w:tr2bl w:val="nil"/>
            </w:tcBorders>
            <w:vAlign w:val="center"/>
          </w:tcPr>
          <w:p>
            <w:pPr>
              <w:pStyle w:val="105"/>
              <w:jc w:val="center"/>
            </w:pPr>
            <w:r>
              <w:t>+2</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44" w:hRule="atLeast"/>
        </w:trPr>
        <w:tc>
          <w:tcPr>
            <w:tcW w:w="369" w:type="pct"/>
            <w:tcBorders>
              <w:tl2br w:val="nil"/>
              <w:tr2bl w:val="nil"/>
            </w:tcBorders>
            <w:vAlign w:val="center"/>
          </w:tcPr>
          <w:p>
            <w:pPr>
              <w:pStyle w:val="105"/>
              <w:jc w:val="center"/>
            </w:pPr>
            <w:r>
              <w:t>12</w:t>
            </w:r>
          </w:p>
        </w:tc>
        <w:tc>
          <w:tcPr>
            <w:tcW w:w="1038" w:type="pct"/>
            <w:tcBorders>
              <w:tl2br w:val="nil"/>
              <w:tr2bl w:val="nil"/>
            </w:tcBorders>
            <w:vAlign w:val="center"/>
          </w:tcPr>
          <w:p>
            <w:pPr>
              <w:pStyle w:val="105"/>
              <w:jc w:val="center"/>
            </w:pPr>
            <w:r>
              <w:t>直接效益</w:t>
            </w:r>
          </w:p>
        </w:tc>
        <w:tc>
          <w:tcPr>
            <w:tcW w:w="2681" w:type="pct"/>
            <w:tcBorders>
              <w:tl2br w:val="nil"/>
              <w:tr2bl w:val="nil"/>
            </w:tcBorders>
            <w:vAlign w:val="center"/>
          </w:tcPr>
          <w:p>
            <w:pPr>
              <w:pStyle w:val="105"/>
              <w:jc w:val="center"/>
            </w:pPr>
            <w:r>
              <w:t>缩短里程、节约在途时间、降低油耗、运输成本、提高舒适、安全性等效益</w:t>
            </w:r>
          </w:p>
        </w:tc>
        <w:tc>
          <w:tcPr>
            <w:tcW w:w="385" w:type="pct"/>
            <w:tcBorders>
              <w:tl2br w:val="nil"/>
              <w:tr2bl w:val="nil"/>
            </w:tcBorders>
            <w:vAlign w:val="center"/>
          </w:tcPr>
          <w:p>
            <w:pPr>
              <w:pStyle w:val="105"/>
              <w:jc w:val="center"/>
            </w:pPr>
            <w:r>
              <w:t>+</w:t>
            </w:r>
            <w:r>
              <w:rPr>
                <w:rFonts w:hint="eastAsia"/>
              </w:rPr>
              <w:t>2</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46" w:hRule="atLeast"/>
        </w:trPr>
        <w:tc>
          <w:tcPr>
            <w:tcW w:w="369" w:type="pct"/>
            <w:tcBorders>
              <w:tl2br w:val="nil"/>
              <w:tr2bl w:val="nil"/>
            </w:tcBorders>
            <w:vAlign w:val="center"/>
          </w:tcPr>
          <w:p>
            <w:pPr>
              <w:pStyle w:val="105"/>
              <w:jc w:val="center"/>
            </w:pPr>
            <w:r>
              <w:t>13</w:t>
            </w:r>
          </w:p>
        </w:tc>
        <w:tc>
          <w:tcPr>
            <w:tcW w:w="1038" w:type="pct"/>
            <w:tcBorders>
              <w:tl2br w:val="nil"/>
              <w:tr2bl w:val="nil"/>
            </w:tcBorders>
            <w:vAlign w:val="center"/>
          </w:tcPr>
          <w:p>
            <w:pPr>
              <w:pStyle w:val="105"/>
              <w:jc w:val="center"/>
            </w:pPr>
            <w:r>
              <w:t>间接效益</w:t>
            </w:r>
          </w:p>
        </w:tc>
        <w:tc>
          <w:tcPr>
            <w:tcW w:w="2681" w:type="pct"/>
            <w:tcBorders>
              <w:tl2br w:val="nil"/>
              <w:tr2bl w:val="nil"/>
            </w:tcBorders>
            <w:vAlign w:val="center"/>
          </w:tcPr>
          <w:p>
            <w:pPr>
              <w:pStyle w:val="105"/>
              <w:jc w:val="center"/>
            </w:pPr>
            <w:r>
              <w:t>促进城镇建设、社会文明进步、带动相关产业发展、提高全民环境保护意识等</w:t>
            </w:r>
          </w:p>
        </w:tc>
        <w:tc>
          <w:tcPr>
            <w:tcW w:w="385" w:type="pct"/>
            <w:tcBorders>
              <w:tl2br w:val="nil"/>
              <w:tr2bl w:val="nil"/>
            </w:tcBorders>
            <w:vAlign w:val="center"/>
          </w:tcPr>
          <w:p>
            <w:pPr>
              <w:pStyle w:val="105"/>
              <w:jc w:val="center"/>
            </w:pPr>
            <w:r>
              <w:t>+2</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88" w:hRule="atLeast"/>
        </w:trPr>
        <w:tc>
          <w:tcPr>
            <w:tcW w:w="369" w:type="pct"/>
            <w:tcBorders>
              <w:tl2br w:val="nil"/>
              <w:tr2bl w:val="nil"/>
            </w:tcBorders>
            <w:vAlign w:val="center"/>
          </w:tcPr>
          <w:p>
            <w:pPr>
              <w:pStyle w:val="105"/>
              <w:jc w:val="center"/>
            </w:pPr>
            <w:r>
              <w:t>14</w:t>
            </w:r>
          </w:p>
        </w:tc>
        <w:tc>
          <w:tcPr>
            <w:tcW w:w="1038" w:type="pct"/>
            <w:tcBorders>
              <w:tl2br w:val="nil"/>
              <w:tr2bl w:val="nil"/>
            </w:tcBorders>
            <w:vAlign w:val="center"/>
          </w:tcPr>
          <w:p>
            <w:pPr>
              <w:pStyle w:val="105"/>
              <w:jc w:val="center"/>
            </w:pPr>
            <w:r>
              <w:t>环保措施</w:t>
            </w:r>
          </w:p>
        </w:tc>
        <w:tc>
          <w:tcPr>
            <w:tcW w:w="2681" w:type="pct"/>
            <w:tcBorders>
              <w:tl2br w:val="nil"/>
              <w:tr2bl w:val="nil"/>
            </w:tcBorders>
            <w:vAlign w:val="center"/>
          </w:tcPr>
          <w:p>
            <w:pPr>
              <w:pStyle w:val="105"/>
              <w:jc w:val="center"/>
            </w:pPr>
            <w:r>
              <w:t>增加工程环保投资和维护管理成本</w:t>
            </w:r>
          </w:p>
        </w:tc>
        <w:tc>
          <w:tcPr>
            <w:tcW w:w="385" w:type="pct"/>
            <w:tcBorders>
              <w:tl2br w:val="nil"/>
              <w:tr2bl w:val="nil"/>
            </w:tcBorders>
            <w:vAlign w:val="center"/>
          </w:tcPr>
          <w:p>
            <w:pPr>
              <w:pStyle w:val="105"/>
              <w:jc w:val="center"/>
            </w:pPr>
            <w:r>
              <w:t>-</w:t>
            </w:r>
            <w:r>
              <w:rPr>
                <w:rFonts w:hint="eastAsia"/>
              </w:rPr>
              <w:t>1</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51" w:hRule="atLeast"/>
        </w:trPr>
        <w:tc>
          <w:tcPr>
            <w:tcW w:w="1407" w:type="pct"/>
            <w:gridSpan w:val="2"/>
            <w:vMerge w:val="restart"/>
            <w:tcBorders>
              <w:tl2br w:val="nil"/>
              <w:tr2bl w:val="nil"/>
            </w:tcBorders>
            <w:vAlign w:val="center"/>
          </w:tcPr>
          <w:p>
            <w:pPr>
              <w:pStyle w:val="105"/>
              <w:jc w:val="center"/>
            </w:pPr>
            <w:r>
              <w:t>合计</w:t>
            </w:r>
          </w:p>
        </w:tc>
        <w:tc>
          <w:tcPr>
            <w:tcW w:w="2681" w:type="pct"/>
            <w:tcBorders>
              <w:tl2br w:val="nil"/>
              <w:tr2bl w:val="nil"/>
            </w:tcBorders>
            <w:vAlign w:val="center"/>
          </w:tcPr>
          <w:p>
            <w:pPr>
              <w:pStyle w:val="105"/>
              <w:jc w:val="center"/>
            </w:pPr>
            <w:r>
              <w:t>正效益：（+16）；负效益：（-5）；</w:t>
            </w:r>
          </w:p>
        </w:tc>
        <w:tc>
          <w:tcPr>
            <w:tcW w:w="385" w:type="pct"/>
            <w:vMerge w:val="restart"/>
            <w:tcBorders>
              <w:tl2br w:val="nil"/>
              <w:tr2bl w:val="nil"/>
            </w:tcBorders>
            <w:vAlign w:val="center"/>
          </w:tcPr>
          <w:p>
            <w:pPr>
              <w:pStyle w:val="105"/>
              <w:jc w:val="center"/>
            </w:pPr>
            <w:r>
              <w:t>+5</w:t>
            </w:r>
          </w:p>
        </w:tc>
        <w:tc>
          <w:tcPr>
            <w:tcW w:w="527" w:type="pct"/>
            <w:vMerge w:val="continue"/>
            <w:tcBorders>
              <w:tl2br w:val="nil"/>
              <w:tr2bl w:val="nil"/>
            </w:tcBorders>
            <w:vAlign w:val="center"/>
          </w:tcPr>
          <w:p>
            <w:pPr>
              <w:pStyle w:val="105"/>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52" w:hRule="atLeast"/>
        </w:trPr>
        <w:tc>
          <w:tcPr>
            <w:tcW w:w="1407" w:type="pct"/>
            <w:gridSpan w:val="2"/>
            <w:vMerge w:val="continue"/>
            <w:tcBorders>
              <w:tl2br w:val="nil"/>
              <w:tr2bl w:val="nil"/>
            </w:tcBorders>
            <w:vAlign w:val="center"/>
          </w:tcPr>
          <w:p>
            <w:pPr>
              <w:pStyle w:val="105"/>
              <w:jc w:val="center"/>
            </w:pPr>
          </w:p>
        </w:tc>
        <w:tc>
          <w:tcPr>
            <w:tcW w:w="2681" w:type="pct"/>
            <w:tcBorders>
              <w:tl2br w:val="nil"/>
              <w:tr2bl w:val="nil"/>
            </w:tcBorders>
            <w:vAlign w:val="center"/>
          </w:tcPr>
          <w:p>
            <w:pPr>
              <w:pStyle w:val="105"/>
              <w:jc w:val="center"/>
            </w:pPr>
            <w:r>
              <w:t>正效益/负效益＝</w:t>
            </w:r>
            <w:r>
              <w:rPr>
                <w:rFonts w:hint="eastAsia"/>
              </w:rPr>
              <w:t>1</w:t>
            </w:r>
            <w:r>
              <w:t>.86</w:t>
            </w:r>
          </w:p>
        </w:tc>
        <w:tc>
          <w:tcPr>
            <w:tcW w:w="385" w:type="pct"/>
            <w:vMerge w:val="continue"/>
            <w:tcBorders>
              <w:tl2br w:val="nil"/>
              <w:tr2bl w:val="nil"/>
            </w:tcBorders>
            <w:vAlign w:val="center"/>
          </w:tcPr>
          <w:p>
            <w:pPr>
              <w:pStyle w:val="105"/>
            </w:pPr>
          </w:p>
        </w:tc>
        <w:tc>
          <w:tcPr>
            <w:tcW w:w="527" w:type="pct"/>
            <w:vMerge w:val="continue"/>
            <w:tcBorders>
              <w:tl2br w:val="nil"/>
              <w:tr2bl w:val="nil"/>
            </w:tcBorders>
            <w:vAlign w:val="center"/>
          </w:tcPr>
          <w:p>
            <w:pPr>
              <w:pStyle w:val="105"/>
            </w:pPr>
          </w:p>
        </w:tc>
      </w:tr>
    </w:tbl>
    <w:p>
      <w:pPr>
        <w:pStyle w:val="124"/>
      </w:pPr>
      <w:r>
        <w:t>环境损益分析结果表明，拟建公路环境正效益分别是负效益的1.86倍，说明拟建项目所产生的环境经济的正效益占主导地位，从环保角度来看该项目是可行的。</w:t>
      </w:r>
    </w:p>
    <w:p>
      <w:pPr>
        <w:pStyle w:val="116"/>
      </w:pPr>
      <w:bookmarkStart w:id="614" w:name="_Toc154668073"/>
      <w:bookmarkStart w:id="615" w:name="_Toc434828828"/>
      <w:bookmarkStart w:id="616" w:name="_Toc477789400"/>
      <w:bookmarkStart w:id="617" w:name="_Toc434828500"/>
      <w:bookmarkStart w:id="618" w:name="_Toc204676268"/>
      <w:bookmarkStart w:id="619" w:name="_Toc159405496"/>
      <w:bookmarkStart w:id="620" w:name="_Toc434829316"/>
      <w:bookmarkStart w:id="621" w:name="_Toc350866588"/>
      <w:bookmarkStart w:id="622" w:name="_Toc149645969"/>
      <w:bookmarkStart w:id="623" w:name="_Toc437962208"/>
      <w:bookmarkStart w:id="624" w:name="_Toc268722160"/>
      <w:bookmarkStart w:id="625" w:name="_Toc434828952"/>
      <w:bookmarkStart w:id="626" w:name="_Toc268722004"/>
      <w:bookmarkStart w:id="627" w:name="_Toc339883017"/>
      <w:r>
        <w:t>效益分析小结</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ind w:firstLine="480"/>
      </w:pPr>
      <w:r>
        <w:rPr>
          <w:rFonts w:hint="eastAsia"/>
        </w:rPr>
        <w:t>项目建设将带来较大的社会、经济效益。特别在社会经济方面，对国民经济具有明显的拉动作用。环境损失以永久性占用土地，使农业和生态环境受到一些负面影响。经环境影响损益分析，环境损益效益为正效益，说明项目在评价期内，效益大于损失，从环境经济角度考虑，项目建设基本可行。</w:t>
      </w:r>
    </w:p>
    <w:p>
      <w:pPr>
        <w:pStyle w:val="67"/>
        <w:numPr>
          <w:ilvl w:val="4"/>
          <w:numId w:val="0"/>
        </w:numPr>
        <w:tabs>
          <w:tab w:val="left" w:pos="1488"/>
        </w:tabs>
        <w:ind w:firstLine="468" w:firstLineChars="200"/>
        <w:rPr>
          <w:rFonts w:ascii="Times New Roman" w:hAnsi="Times New Roman" w:cs="Times New Roman"/>
          <w:spacing w:val="-3"/>
        </w:rPr>
        <w:sectPr>
          <w:pgSz w:w="11910" w:h="16840"/>
          <w:pgMar w:top="1418" w:right="1418" w:bottom="1418" w:left="1418" w:header="851" w:footer="851" w:gutter="0"/>
          <w:cols w:space="720" w:num="1"/>
        </w:sectPr>
      </w:pPr>
    </w:p>
    <w:p>
      <w:pPr>
        <w:pStyle w:val="114"/>
      </w:pPr>
      <w:bookmarkStart w:id="628" w:name="8环境管理与监测计划"/>
      <w:bookmarkEnd w:id="628"/>
      <w:bookmarkStart w:id="629" w:name="_Toc22516"/>
      <w:bookmarkStart w:id="630" w:name="_Toc204676269"/>
      <w:bookmarkStart w:id="631" w:name="_Toc159405497"/>
      <w:r>
        <w:t>环境管理与监测计划</w:t>
      </w:r>
      <w:bookmarkEnd w:id="629"/>
      <w:bookmarkEnd w:id="630"/>
      <w:bookmarkEnd w:id="631"/>
    </w:p>
    <w:p>
      <w:pPr>
        <w:pStyle w:val="116"/>
      </w:pPr>
      <w:bookmarkStart w:id="632" w:name="8.1环境保护管理计划"/>
      <w:bookmarkEnd w:id="632"/>
      <w:bookmarkStart w:id="633" w:name="_Toc159405498"/>
      <w:bookmarkStart w:id="634" w:name="_Toc204676270"/>
      <w:bookmarkStart w:id="635" w:name="_Toc20262"/>
      <w:r>
        <w:t>环境保护管理计划</w:t>
      </w:r>
      <w:bookmarkEnd w:id="633"/>
      <w:bookmarkEnd w:id="634"/>
      <w:bookmarkEnd w:id="635"/>
    </w:p>
    <w:p>
      <w:pPr>
        <w:pStyle w:val="120"/>
        <w:rPr>
          <w:color w:val="auto"/>
        </w:rPr>
      </w:pPr>
      <w:bookmarkStart w:id="636" w:name="8.1.1环境管理计划目标"/>
      <w:bookmarkEnd w:id="636"/>
      <w:r>
        <w:rPr>
          <w:color w:val="auto"/>
        </w:rPr>
        <w:t>环境管理计划目标</w:t>
      </w:r>
    </w:p>
    <w:p>
      <w:pPr>
        <w:pStyle w:val="67"/>
        <w:numPr>
          <w:ilvl w:val="4"/>
          <w:numId w:val="0"/>
        </w:numPr>
        <w:tabs>
          <w:tab w:val="left" w:pos="1488"/>
        </w:tabs>
        <w:ind w:firstLine="468" w:firstLineChars="200"/>
        <w:rPr>
          <w:rFonts w:ascii="Times New Roman" w:hAnsi="Times New Roman" w:cs="Times New Roman"/>
          <w:spacing w:val="-3"/>
        </w:rPr>
      </w:pPr>
      <w:r>
        <w:rPr>
          <w:rFonts w:ascii="Times New Roman" w:hAnsi="Times New Roman" w:cs="Times New Roman"/>
          <w:spacing w:val="-3"/>
        </w:rPr>
        <w:t>通过制定系统的、科学的环境管理计划，使本报告书针对</w:t>
      </w:r>
      <w:r>
        <w:rPr>
          <w:rFonts w:hint="eastAsia" w:ascii="Times New Roman" w:hAnsi="Times New Roman" w:cs="Times New Roman"/>
          <w:spacing w:val="-3"/>
        </w:rPr>
        <w:t>黄檗山万福寺</w:t>
      </w:r>
      <w:r>
        <w:rPr>
          <w:rFonts w:ascii="Times New Roman" w:hAnsi="Times New Roman" w:cs="Times New Roman"/>
          <w:spacing w:val="-3"/>
        </w:rPr>
        <w:t>旅游公路建设过程中产生的负面环境影响所提出的防治或减缓措施，在该项目的设计、施工和</w:t>
      </w:r>
      <w:r>
        <w:rPr>
          <w:rFonts w:hint="eastAsia" w:ascii="Times New Roman" w:hAnsi="Times New Roman" w:cs="Times New Roman"/>
          <w:spacing w:val="-3"/>
        </w:rPr>
        <w:t>运营</w:t>
      </w:r>
      <w:r>
        <w:rPr>
          <w:rFonts w:ascii="Times New Roman" w:hAnsi="Times New Roman" w:cs="Times New Roman"/>
          <w:spacing w:val="-3"/>
        </w:rPr>
        <w:t>中逐步得到落实，从而使得环境建设和公路主体工程建设符合国家同步设计、同步实施和同步投产使用的“三同时”制度要求。为环境保护措施得以有计划</w:t>
      </w:r>
      <w:r>
        <w:rPr>
          <w:rFonts w:hint="eastAsia" w:ascii="Times New Roman" w:hAnsi="Times New Roman" w:cs="Times New Roman"/>
          <w:spacing w:val="-3"/>
        </w:rPr>
        <w:t>地</w:t>
      </w:r>
      <w:r>
        <w:rPr>
          <w:rFonts w:ascii="Times New Roman" w:hAnsi="Times New Roman" w:cs="Times New Roman"/>
          <w:spacing w:val="-3"/>
        </w:rPr>
        <w:t>落实和地方环保部门对其进行监督提供依据。通过环境管理计划的实施，将拟建公路对沿线环境带来的不利影响减缓到相应法规和标准限值要求之内，使工程建设的经济效益和环境效益得以协调、持续和稳定发展。</w:t>
      </w:r>
    </w:p>
    <w:p>
      <w:pPr>
        <w:pStyle w:val="120"/>
        <w:rPr>
          <w:color w:val="auto"/>
        </w:rPr>
      </w:pPr>
      <w:bookmarkStart w:id="637" w:name="8.1.2环境保护管理机构及职责"/>
      <w:bookmarkEnd w:id="637"/>
      <w:r>
        <w:rPr>
          <w:color w:val="auto"/>
        </w:rPr>
        <w:t>环境保护管理机构及职责</w:t>
      </w:r>
    </w:p>
    <w:p>
      <w:pPr>
        <w:pStyle w:val="67"/>
        <w:numPr>
          <w:ilvl w:val="4"/>
          <w:numId w:val="0"/>
        </w:numPr>
        <w:tabs>
          <w:tab w:val="left" w:pos="1488"/>
        </w:tabs>
        <w:ind w:firstLine="468" w:firstLineChars="200"/>
        <w:rPr>
          <w:rFonts w:ascii="Times New Roman" w:hAnsi="Times New Roman" w:cs="Times New Roman"/>
          <w:spacing w:val="-3"/>
        </w:rPr>
      </w:pPr>
      <w:r>
        <w:rPr>
          <w:rFonts w:ascii="Times New Roman" w:hAnsi="Times New Roman" w:cs="Times New Roman"/>
          <w:spacing w:val="-3"/>
        </w:rPr>
        <w:t>为保证环境管理任务的顺利实施，建设单位应设立专门的环保机构和专职负责人，负责本项目的施工期和运营期的环境管理工作，负责贯彻、执行国家和福建省各项环保方针、政策、法规和地方环境保护管理规定。</w:t>
      </w:r>
      <w:r>
        <w:rPr>
          <w:rFonts w:hint="eastAsia" w:ascii="Times New Roman" w:hAnsi="Times New Roman" w:cs="Times New Roman"/>
          <w:spacing w:val="-3"/>
        </w:rPr>
        <w:t>福清市交通建设投资集团有限公司</w:t>
      </w:r>
      <w:r>
        <w:rPr>
          <w:rFonts w:ascii="Times New Roman" w:hAnsi="Times New Roman" w:cs="Times New Roman"/>
          <w:spacing w:val="-3"/>
        </w:rPr>
        <w:t>为本项目的建设实施单位</w:t>
      </w:r>
      <w:r>
        <w:rPr>
          <w:rFonts w:hint="eastAsia" w:ascii="Times New Roman" w:hAnsi="Times New Roman" w:cs="Times New Roman"/>
          <w:spacing w:val="-3"/>
        </w:rPr>
        <w:t>，</w:t>
      </w:r>
      <w:r>
        <w:rPr>
          <w:rFonts w:ascii="Times New Roman" w:hAnsi="Times New Roman" w:cs="Times New Roman"/>
          <w:spacing w:val="-3"/>
        </w:rPr>
        <w:t>并负责本项目的</w:t>
      </w:r>
      <w:r>
        <w:rPr>
          <w:rFonts w:hint="eastAsia" w:ascii="Times New Roman" w:hAnsi="Times New Roman" w:cs="Times New Roman"/>
          <w:spacing w:val="-3"/>
        </w:rPr>
        <w:t>运营</w:t>
      </w:r>
      <w:r>
        <w:rPr>
          <w:rFonts w:ascii="Times New Roman" w:hAnsi="Times New Roman" w:cs="Times New Roman"/>
          <w:spacing w:val="-3"/>
        </w:rPr>
        <w:t>管理。本评价建议拟建公路必须根据项目特点建立环境管理和监测体系。该项目的环境管理体系可分为管理机构与监督机构，管理机构见图9.1-1，监督机构为当地生态环境局。</w:t>
      </w:r>
    </w:p>
    <w:p>
      <w:pPr>
        <w:pStyle w:val="105"/>
        <w:jc w:val="center"/>
        <w:rPr>
          <w:rFonts w:hint="eastAsia" w:eastAsia="宋体" w:cs="Times New Roman"/>
          <w:sz w:val="6"/>
          <w:lang w:eastAsia="zh-CN"/>
        </w:rPr>
      </w:pPr>
    </w:p>
    <w:p>
      <w:pPr>
        <w:pStyle w:val="122"/>
      </w:pPr>
      <w:r>
        <w:t>环境管理机构示意图</w:t>
      </w:r>
    </w:p>
    <w:p>
      <w:pPr>
        <w:pStyle w:val="19"/>
        <w:spacing w:before="2"/>
        <w:ind w:firstLine="480"/>
        <w:jc w:val="center"/>
        <w:rPr>
          <w:rFonts w:ascii="Times New Roman" w:hAnsi="Times New Roman" w:eastAsia="黑体" w:cs="Times New Roman"/>
          <w:bCs/>
        </w:rPr>
        <w:sectPr>
          <w:pgSz w:w="11910" w:h="16840"/>
          <w:pgMar w:top="1418" w:right="1418" w:bottom="1418" w:left="1418" w:header="851" w:footer="851" w:gutter="0"/>
          <w:cols w:space="720" w:num="1"/>
        </w:sectPr>
      </w:pPr>
    </w:p>
    <w:p>
      <w:pPr>
        <w:ind w:firstLine="480"/>
      </w:pPr>
      <w:r>
        <w:t>各级环境管理机构在本项目环境保护管理工作中的具体职责见表9.1-1。</w:t>
      </w:r>
    </w:p>
    <w:p>
      <w:pPr>
        <w:pStyle w:val="87"/>
        <w:spacing w:before="120"/>
      </w:pPr>
      <w:r>
        <w:tab/>
      </w:r>
      <w:r>
        <w:t>环境管理机构及其职责</w:t>
      </w:r>
    </w:p>
    <w:tbl>
      <w:tblPr>
        <w:tblStyle w:val="1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85"/>
        <w:gridCol w:w="3827"/>
        <w:gridCol w:w="32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4" w:hRule="atLeast"/>
          <w:tblHeader/>
          <w:jc w:val="center"/>
        </w:trPr>
        <w:tc>
          <w:tcPr>
            <w:tcW w:w="1094" w:type="pct"/>
            <w:vAlign w:val="center"/>
          </w:tcPr>
          <w:p>
            <w:pPr>
              <w:pStyle w:val="105"/>
              <w:jc w:val="center"/>
            </w:pPr>
            <w:r>
              <w:rPr>
                <w:rFonts w:hint="eastAsia"/>
              </w:rPr>
              <w:t>机构名称</w:t>
            </w:r>
          </w:p>
        </w:tc>
        <w:tc>
          <w:tcPr>
            <w:tcW w:w="2109" w:type="pct"/>
            <w:vAlign w:val="center"/>
          </w:tcPr>
          <w:p>
            <w:pPr>
              <w:pStyle w:val="105"/>
              <w:jc w:val="center"/>
            </w:pPr>
            <w:r>
              <w:rPr>
                <w:rFonts w:hint="eastAsia"/>
              </w:rPr>
              <w:t>机构职责</w:t>
            </w:r>
          </w:p>
        </w:tc>
        <w:tc>
          <w:tcPr>
            <w:tcW w:w="1797" w:type="pct"/>
            <w:vAlign w:val="center"/>
          </w:tcPr>
          <w:p>
            <w:pPr>
              <w:pStyle w:val="105"/>
              <w:jc w:val="center"/>
            </w:pPr>
            <w:r>
              <w:rPr>
                <w:rFonts w:hint="eastAsia"/>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644" w:hRule="atLeast"/>
          <w:tblHeader/>
          <w:jc w:val="center"/>
        </w:trPr>
        <w:tc>
          <w:tcPr>
            <w:tcW w:w="1094" w:type="pct"/>
            <w:vMerge w:val="restart"/>
            <w:vAlign w:val="center"/>
          </w:tcPr>
          <w:p>
            <w:pPr>
              <w:pStyle w:val="105"/>
              <w:jc w:val="center"/>
            </w:pPr>
            <w:r>
              <w:rPr>
                <w:rFonts w:hint="eastAsia"/>
              </w:rPr>
              <w:t>建设单位</w:t>
            </w:r>
          </w:p>
        </w:tc>
        <w:tc>
          <w:tcPr>
            <w:tcW w:w="2109" w:type="pct"/>
            <w:vAlign w:val="center"/>
          </w:tcPr>
          <w:p>
            <w:pPr>
              <w:pStyle w:val="105"/>
              <w:jc w:val="center"/>
            </w:pPr>
            <w:r>
              <w:rPr>
                <w:rFonts w:hint="eastAsia"/>
              </w:rPr>
              <w:t>负责本项目施工期环境计划的实施与管理工作。</w:t>
            </w:r>
          </w:p>
        </w:tc>
        <w:tc>
          <w:tcPr>
            <w:tcW w:w="1797" w:type="pct"/>
            <w:vAlign w:val="center"/>
          </w:tcPr>
          <w:p>
            <w:pPr>
              <w:pStyle w:val="105"/>
              <w:jc w:val="center"/>
            </w:pPr>
            <w:r>
              <w:rPr>
                <w:rFonts w:hint="eastAsia"/>
              </w:rPr>
              <w:t>施工期成立环保领导小组，下设环保办，具体负责施工期环境管理工作。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17" w:hRule="atLeast"/>
          <w:tblHeader/>
          <w:jc w:val="center"/>
        </w:trPr>
        <w:tc>
          <w:tcPr>
            <w:tcW w:w="1094" w:type="pct"/>
            <w:vMerge w:val="continue"/>
            <w:vAlign w:val="center"/>
          </w:tcPr>
          <w:p>
            <w:pPr>
              <w:pStyle w:val="105"/>
              <w:jc w:val="center"/>
            </w:pPr>
          </w:p>
        </w:tc>
        <w:tc>
          <w:tcPr>
            <w:tcW w:w="2109" w:type="pct"/>
            <w:vAlign w:val="center"/>
          </w:tcPr>
          <w:p>
            <w:pPr>
              <w:pStyle w:val="105"/>
              <w:jc w:val="center"/>
            </w:pPr>
            <w:r>
              <w:rPr>
                <w:rFonts w:hint="eastAsia"/>
              </w:rPr>
              <w:t>负责竣工环境保护验收</w:t>
            </w:r>
          </w:p>
        </w:tc>
        <w:tc>
          <w:tcPr>
            <w:tcW w:w="1797" w:type="pct"/>
            <w:vAlign w:val="center"/>
          </w:tcPr>
          <w:p>
            <w:pPr>
              <w:pStyle w:val="105"/>
              <w:jc w:val="center"/>
            </w:pPr>
            <w:r>
              <w:rPr>
                <w:rFonts w:hint="eastAsia"/>
              </w:rPr>
              <w:t>组织竣工环境保护自验工作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27" w:hRule="atLeast"/>
          <w:tblHeader/>
          <w:jc w:val="center"/>
        </w:trPr>
        <w:tc>
          <w:tcPr>
            <w:tcW w:w="1094" w:type="pct"/>
            <w:vMerge w:val="continue"/>
            <w:vAlign w:val="center"/>
          </w:tcPr>
          <w:p>
            <w:pPr>
              <w:pStyle w:val="105"/>
              <w:jc w:val="center"/>
            </w:pPr>
          </w:p>
        </w:tc>
        <w:tc>
          <w:tcPr>
            <w:tcW w:w="2109" w:type="pct"/>
            <w:vAlign w:val="center"/>
          </w:tcPr>
          <w:p>
            <w:pPr>
              <w:pStyle w:val="105"/>
              <w:jc w:val="center"/>
            </w:pPr>
            <w:r>
              <w:rPr>
                <w:rFonts w:hint="eastAsia"/>
              </w:rPr>
              <w:t>负责项目竣工环境运营期环境保护工作。</w:t>
            </w:r>
          </w:p>
        </w:tc>
        <w:tc>
          <w:tcPr>
            <w:tcW w:w="1797" w:type="pct"/>
            <w:vAlign w:val="center"/>
          </w:tcPr>
          <w:p>
            <w:pPr>
              <w:pStyle w:val="105"/>
              <w:jc w:val="center"/>
            </w:pPr>
            <w:r>
              <w:rPr>
                <w:rFonts w:hint="eastAsia"/>
              </w:rPr>
              <w:t>运营期设立环保科。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34" w:hRule="atLeast"/>
          <w:tblHeader/>
          <w:jc w:val="center"/>
        </w:trPr>
        <w:tc>
          <w:tcPr>
            <w:tcW w:w="1094" w:type="pct"/>
            <w:vAlign w:val="center"/>
          </w:tcPr>
          <w:p>
            <w:pPr>
              <w:pStyle w:val="105"/>
              <w:jc w:val="center"/>
            </w:pPr>
            <w:r>
              <w:rPr>
                <w:rFonts w:hint="eastAsia"/>
              </w:rPr>
              <w:t>主体工程设计单位</w:t>
            </w:r>
          </w:p>
        </w:tc>
        <w:tc>
          <w:tcPr>
            <w:tcW w:w="2109" w:type="pct"/>
            <w:vAlign w:val="center"/>
          </w:tcPr>
          <w:p>
            <w:pPr>
              <w:pStyle w:val="105"/>
              <w:jc w:val="center"/>
            </w:pPr>
            <w:r>
              <w:rPr>
                <w:rFonts w:hint="eastAsia"/>
              </w:rPr>
              <w:t>根据环评报告书提出的环保措施与要求，在设计文件中落实。</w:t>
            </w:r>
          </w:p>
        </w:tc>
        <w:tc>
          <w:tcPr>
            <w:tcW w:w="1797"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27" w:hRule="atLeast"/>
          <w:tblHeader/>
          <w:jc w:val="center"/>
        </w:trPr>
        <w:tc>
          <w:tcPr>
            <w:tcW w:w="1094" w:type="pct"/>
            <w:vAlign w:val="center"/>
          </w:tcPr>
          <w:p>
            <w:pPr>
              <w:pStyle w:val="105"/>
              <w:jc w:val="center"/>
            </w:pPr>
            <w:r>
              <w:rPr>
                <w:rFonts w:hint="eastAsia"/>
              </w:rPr>
              <w:t>环保工程设计单位</w:t>
            </w:r>
          </w:p>
        </w:tc>
        <w:tc>
          <w:tcPr>
            <w:tcW w:w="2109" w:type="pct"/>
            <w:vAlign w:val="center"/>
          </w:tcPr>
          <w:p>
            <w:pPr>
              <w:pStyle w:val="105"/>
              <w:jc w:val="center"/>
            </w:pPr>
            <w:r>
              <w:rPr>
                <w:rFonts w:hint="eastAsia"/>
              </w:rPr>
              <w:t>负责绿化工程、植被恢复等环保工程的设计。</w:t>
            </w:r>
          </w:p>
        </w:tc>
        <w:tc>
          <w:tcPr>
            <w:tcW w:w="1797"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27" w:hRule="atLeast"/>
          <w:tblHeader/>
          <w:jc w:val="center"/>
        </w:trPr>
        <w:tc>
          <w:tcPr>
            <w:tcW w:w="1094" w:type="pct"/>
            <w:vAlign w:val="center"/>
          </w:tcPr>
          <w:p>
            <w:pPr>
              <w:pStyle w:val="105"/>
              <w:jc w:val="center"/>
            </w:pPr>
            <w:r>
              <w:rPr>
                <w:rFonts w:hint="eastAsia"/>
              </w:rPr>
              <w:t>环境监测机构</w:t>
            </w:r>
          </w:p>
        </w:tc>
        <w:tc>
          <w:tcPr>
            <w:tcW w:w="2109" w:type="pct"/>
            <w:vAlign w:val="center"/>
          </w:tcPr>
          <w:p>
            <w:pPr>
              <w:pStyle w:val="105"/>
              <w:jc w:val="center"/>
            </w:pPr>
            <w:r>
              <w:rPr>
                <w:rFonts w:hint="eastAsia"/>
              </w:rPr>
              <w:t>承担本项目施工期与运营期的环境监测工作。</w:t>
            </w:r>
          </w:p>
        </w:tc>
        <w:tc>
          <w:tcPr>
            <w:tcW w:w="1797" w:type="pct"/>
            <w:vAlign w:val="center"/>
          </w:tcPr>
          <w:p>
            <w:pPr>
              <w:pStyle w:val="105"/>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644" w:hRule="atLeast"/>
          <w:tblHeader/>
          <w:jc w:val="center"/>
        </w:trPr>
        <w:tc>
          <w:tcPr>
            <w:tcW w:w="1094" w:type="pct"/>
            <w:vAlign w:val="center"/>
          </w:tcPr>
          <w:p>
            <w:pPr>
              <w:pStyle w:val="105"/>
              <w:jc w:val="center"/>
            </w:pPr>
            <w:r>
              <w:rPr>
                <w:rFonts w:hint="eastAsia"/>
              </w:rPr>
              <w:t>施工单位</w:t>
            </w:r>
          </w:p>
        </w:tc>
        <w:tc>
          <w:tcPr>
            <w:tcW w:w="2109" w:type="pct"/>
            <w:vAlign w:val="center"/>
          </w:tcPr>
          <w:p>
            <w:pPr>
              <w:pStyle w:val="105"/>
              <w:jc w:val="center"/>
            </w:pPr>
            <w:r>
              <w:rPr>
                <w:rFonts w:hint="eastAsia"/>
              </w:rPr>
              <w:t>负责本单位施工标段内的环境保护工作，具体落实环评报告书中提出的环保措施及要求。</w:t>
            </w:r>
          </w:p>
        </w:tc>
        <w:tc>
          <w:tcPr>
            <w:tcW w:w="1797" w:type="pct"/>
            <w:vAlign w:val="center"/>
          </w:tcPr>
          <w:p>
            <w:pPr>
              <w:pStyle w:val="105"/>
              <w:jc w:val="center"/>
            </w:pPr>
            <w:r>
              <w:rPr>
                <w:rFonts w:hint="eastAsia"/>
              </w:rPr>
              <w:t>项目部成立环保小组，由某一部门兼环保办，配备</w:t>
            </w:r>
            <w:r>
              <w:t>1</w:t>
            </w:r>
            <w:r>
              <w:rPr>
                <w:rFonts w:hint="eastAsia"/>
              </w:rPr>
              <w:t>名以上专职环保人员。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24" w:hRule="atLeast"/>
          <w:tblHeader/>
          <w:jc w:val="center"/>
        </w:trPr>
        <w:tc>
          <w:tcPr>
            <w:tcW w:w="1094" w:type="pct"/>
            <w:vAlign w:val="center"/>
          </w:tcPr>
          <w:p>
            <w:pPr>
              <w:pStyle w:val="105"/>
              <w:jc w:val="center"/>
            </w:pPr>
            <w:r>
              <w:rPr>
                <w:rFonts w:hint="eastAsia"/>
              </w:rPr>
              <w:t>环评单位</w:t>
            </w:r>
          </w:p>
        </w:tc>
        <w:tc>
          <w:tcPr>
            <w:tcW w:w="2109" w:type="pct"/>
            <w:vAlign w:val="center"/>
          </w:tcPr>
          <w:p>
            <w:pPr>
              <w:pStyle w:val="105"/>
              <w:jc w:val="center"/>
            </w:pPr>
            <w:r>
              <w:rPr>
                <w:rFonts w:hint="eastAsia"/>
              </w:rPr>
              <w:t>承担本项目的环境影响评价工作。</w:t>
            </w:r>
          </w:p>
        </w:tc>
        <w:tc>
          <w:tcPr>
            <w:tcW w:w="1797" w:type="pct"/>
            <w:vAlign w:val="center"/>
          </w:tcPr>
          <w:p>
            <w:pPr>
              <w:pStyle w:val="105"/>
              <w:jc w:val="center"/>
            </w:pPr>
          </w:p>
        </w:tc>
      </w:tr>
    </w:tbl>
    <w:p>
      <w:pPr>
        <w:pStyle w:val="120"/>
        <w:rPr>
          <w:color w:val="auto"/>
        </w:rPr>
      </w:pPr>
      <w:r>
        <w:rPr>
          <w:rFonts w:hint="eastAsia"/>
          <w:color w:val="auto"/>
        </w:rPr>
        <w:t>建设前期环境管理</w:t>
      </w:r>
    </w:p>
    <w:p>
      <w:pPr>
        <w:ind w:firstLine="480"/>
      </w:pPr>
      <w:r>
        <w:rPr>
          <w:rFonts w:hint="eastAsia"/>
        </w:rPr>
        <w:t>建设前期的环境管理是指工程设计及施工发包工作中的环境管理。</w:t>
      </w:r>
    </w:p>
    <w:p>
      <w:pPr>
        <w:ind w:firstLine="480"/>
      </w:pPr>
      <w:r>
        <w:rPr>
          <w:rFonts w:hint="eastAsia"/>
        </w:rPr>
        <w:t>设计阶段，建设单位、设计单位将环境影响报告书中提出的各项环保措施落实到工程设计中，并将环保工程投资纳入工程概（预）算中，以实现环保工程“三同时”中的“同时设计”的要求。建设和环保等有关主管部门实施监督管理职能。</w:t>
      </w:r>
    </w:p>
    <w:p>
      <w:pPr>
        <w:ind w:firstLine="480"/>
      </w:pPr>
      <w:r>
        <w:rPr>
          <w:rFonts w:hint="eastAsia"/>
        </w:rPr>
        <w:t>工程发包过程中，建设单位应将环保工程摆在与主体工程同等重要地位，在工程施工招标文件中予以明确，按环境影响报告书的有关要求对施工单位的施工组织方案提出环境保护要求，优先选用环保意识强、环保工程业绩好、能力强的施工单位和队伍，为文明施工、各环保要求能高质量地“同时施工”奠定基础。</w:t>
      </w:r>
    </w:p>
    <w:p>
      <w:pPr>
        <w:pStyle w:val="120"/>
        <w:rPr>
          <w:color w:val="auto"/>
        </w:rPr>
      </w:pPr>
      <w:r>
        <w:rPr>
          <w:rFonts w:hint="eastAsia"/>
          <w:color w:val="auto"/>
        </w:rPr>
        <w:t>施工期环境管理</w:t>
      </w:r>
    </w:p>
    <w:p>
      <w:pPr>
        <w:ind w:firstLine="480"/>
      </w:pPr>
      <w:r>
        <w:rPr>
          <w:rFonts w:hint="eastAsia"/>
        </w:rPr>
        <w:t>施工期的环境管理实行包括施工单位、监理单位和建设单位在内的三级管理体制，并接受福清市有关管理部门的监督检查。其中施工单位是本阶段各项环保措施的实施单位，同时要求设计单位做好配合和服务。</w:t>
      </w:r>
    </w:p>
    <w:p>
      <w:pPr>
        <w:ind w:firstLine="480"/>
      </w:pPr>
      <w:r>
        <w:rPr>
          <w:rFonts w:hint="eastAsia"/>
        </w:rPr>
        <w:t>在这一管理体系中，首先强化施工单位自身的环境意识和环境管理。各施工单位应配备专职或兼职人员负责施工期的环境保护工作，对施工场地的污水排放、扬尘、施工噪声等环境污染控制措施进行自我监督管理。这些人员应是经过培训、具备一定能力和资质的工程技术人员，并赋予相关的职责和权力，使其充分发挥一线环保监管职责。实行环境管理责任制和环境保护考核制，组织主要领导进行环境保护知识培训，增强环保意识。</w:t>
      </w:r>
    </w:p>
    <w:p>
      <w:pPr>
        <w:ind w:firstLine="480"/>
      </w:pPr>
      <w:r>
        <w:rPr>
          <w:rFonts w:hint="eastAsia"/>
        </w:rPr>
        <w:t>监理单位应将环境影响报告书、环保工程施工设计文件及施工合同中规定的各项环保工程及措施作为监理工作的重要内容，对环保工程质量严格把关，并监督施工单位落实施工中应采取的各项环保措施。施工结束，应提交环境监理报告。</w:t>
      </w:r>
    </w:p>
    <w:p>
      <w:pPr>
        <w:ind w:firstLine="480"/>
      </w:pPr>
      <w:r>
        <w:rPr>
          <w:rFonts w:hint="eastAsia"/>
        </w:rPr>
        <w:t>建设单位施工期环境管理的主要职能督促施工单位建立、健全施工管理制度和管理体系，及时掌握全线施工环保动态，当出现重大环保问题或纠纷时，积极组织力量解决，并协助各施工单位处理好与环保部门、公众及利益相关各方的关系。</w:t>
      </w:r>
    </w:p>
    <w:p>
      <w:pPr>
        <w:pStyle w:val="120"/>
        <w:rPr>
          <w:color w:val="auto"/>
        </w:rPr>
      </w:pPr>
      <w:bookmarkStart w:id="638" w:name="_Hlk144137223"/>
      <w:r>
        <w:rPr>
          <w:rFonts w:hint="eastAsia"/>
          <w:color w:val="auto"/>
        </w:rPr>
        <w:t>运营期环境管理</w:t>
      </w:r>
    </w:p>
    <w:bookmarkEnd w:id="638"/>
    <w:p>
      <w:pPr>
        <w:ind w:firstLine="480"/>
      </w:pPr>
      <w:r>
        <w:rPr>
          <w:rFonts w:hint="eastAsia"/>
        </w:rPr>
        <w:t>运营期的环保工作由运营管理部门承担，环境管理的措施主要是搞好工程沿线的卫生清洁、绿化工作；做好日常环境监测工作，必要时再采取适当的污染防治措施，并接受福州市福清生态环境主管部门的监督管理。</w:t>
      </w:r>
    </w:p>
    <w:p>
      <w:pPr>
        <w:pStyle w:val="120"/>
        <w:rPr>
          <w:color w:val="auto"/>
        </w:rPr>
      </w:pPr>
      <w:r>
        <w:rPr>
          <w:rFonts w:hint="eastAsia"/>
          <w:color w:val="auto"/>
        </w:rPr>
        <w:t>环境管理计划</w:t>
      </w:r>
    </w:p>
    <w:p>
      <w:pPr>
        <w:ind w:firstLine="480"/>
      </w:pPr>
      <w:r>
        <w:rPr>
          <w:rFonts w:hint="eastAsia"/>
        </w:rPr>
        <w:t>本项目环境管理计划见</w:t>
      </w:r>
      <w:r>
        <w:fldChar w:fldCharType="begin"/>
      </w:r>
      <w:r>
        <w:instrText xml:space="preserve"> </w:instrText>
      </w:r>
      <w:r>
        <w:rPr>
          <w:rFonts w:hint="eastAsia"/>
        </w:rPr>
        <w:instrText xml:space="preserve">REF _Ref144237344 \r \h</w:instrText>
      </w:r>
      <w:r>
        <w:instrText xml:space="preserve">  \* MERGEFORMAT </w:instrText>
      </w:r>
      <w:r>
        <w:fldChar w:fldCharType="separate"/>
      </w:r>
      <w:r>
        <w:rPr>
          <w:rFonts w:hint="eastAsia"/>
        </w:rPr>
        <w:t>表9.1-2</w:t>
      </w:r>
      <w:r>
        <w:fldChar w:fldCharType="end"/>
      </w:r>
      <w:r>
        <w:rPr>
          <w:rFonts w:hint="eastAsia"/>
        </w:rPr>
        <w:t>。</w:t>
      </w:r>
    </w:p>
    <w:p>
      <w:pPr>
        <w:pStyle w:val="87"/>
        <w:spacing w:before="120"/>
      </w:pPr>
      <w:bookmarkStart w:id="639" w:name="_Ref144237344"/>
      <w:r>
        <w:rPr>
          <w:rFonts w:hint="eastAsia"/>
        </w:rPr>
        <w:t>环境管理计划一览表</w:t>
      </w:r>
      <w:bookmarkEnd w:id="639"/>
    </w:p>
    <w:tbl>
      <w:tblPr>
        <w:tblStyle w:val="53"/>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93"/>
        <w:gridCol w:w="2199"/>
        <w:gridCol w:w="3807"/>
        <w:gridCol w:w="822"/>
        <w:gridCol w:w="938"/>
        <w:gridCol w:w="81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blHeader/>
        </w:trPr>
        <w:tc>
          <w:tcPr>
            <w:tcW w:w="272" w:type="pct"/>
            <w:tcBorders>
              <w:left w:val="nil"/>
              <w:bottom w:val="single" w:color="000000" w:sz="4" w:space="0"/>
              <w:right w:val="single" w:color="000000" w:sz="4" w:space="0"/>
            </w:tcBorders>
            <w:vAlign w:val="center"/>
          </w:tcPr>
          <w:p>
            <w:pPr>
              <w:pStyle w:val="105"/>
              <w:jc w:val="center"/>
            </w:pPr>
            <w:r>
              <w:t>阶</w:t>
            </w:r>
          </w:p>
          <w:p>
            <w:pPr>
              <w:pStyle w:val="105"/>
              <w:jc w:val="center"/>
            </w:pPr>
            <w:r>
              <w:t>段</w:t>
            </w:r>
          </w:p>
        </w:tc>
        <w:tc>
          <w:tcPr>
            <w:tcW w:w="1212" w:type="pct"/>
            <w:tcBorders>
              <w:left w:val="single" w:color="000000" w:sz="4" w:space="0"/>
              <w:bottom w:val="single" w:color="000000" w:sz="4" w:space="0"/>
              <w:right w:val="single" w:color="000000" w:sz="4" w:space="0"/>
            </w:tcBorders>
            <w:vAlign w:val="center"/>
          </w:tcPr>
          <w:p>
            <w:pPr>
              <w:pStyle w:val="105"/>
              <w:jc w:val="center"/>
            </w:pPr>
            <w:r>
              <w:t>潜在的负影响</w:t>
            </w:r>
          </w:p>
        </w:tc>
        <w:tc>
          <w:tcPr>
            <w:tcW w:w="2098" w:type="pct"/>
            <w:tcBorders>
              <w:left w:val="single" w:color="000000" w:sz="4" w:space="0"/>
              <w:bottom w:val="single" w:color="000000" w:sz="4" w:space="0"/>
              <w:right w:val="single" w:color="000000" w:sz="4" w:space="0"/>
            </w:tcBorders>
            <w:vAlign w:val="center"/>
          </w:tcPr>
          <w:p>
            <w:pPr>
              <w:pStyle w:val="105"/>
              <w:jc w:val="center"/>
            </w:pPr>
            <w:r>
              <w:t>减缓措施</w:t>
            </w:r>
          </w:p>
        </w:tc>
        <w:tc>
          <w:tcPr>
            <w:tcW w:w="453" w:type="pct"/>
            <w:tcBorders>
              <w:left w:val="single" w:color="000000" w:sz="4" w:space="0"/>
              <w:bottom w:val="single" w:color="000000" w:sz="4" w:space="0"/>
              <w:right w:val="single" w:color="000000" w:sz="4" w:space="0"/>
            </w:tcBorders>
            <w:vAlign w:val="center"/>
          </w:tcPr>
          <w:p>
            <w:pPr>
              <w:pStyle w:val="105"/>
              <w:jc w:val="center"/>
            </w:pPr>
            <w:r>
              <w:t>实施</w:t>
            </w:r>
          </w:p>
          <w:p>
            <w:pPr>
              <w:pStyle w:val="105"/>
              <w:jc w:val="center"/>
            </w:pPr>
            <w:r>
              <w:t>机构</w:t>
            </w:r>
          </w:p>
        </w:tc>
        <w:tc>
          <w:tcPr>
            <w:tcW w:w="517" w:type="pct"/>
            <w:tcBorders>
              <w:left w:val="single" w:color="000000" w:sz="4" w:space="0"/>
              <w:bottom w:val="single" w:color="000000" w:sz="4" w:space="0"/>
              <w:right w:val="single" w:color="000000" w:sz="4" w:space="0"/>
            </w:tcBorders>
            <w:vAlign w:val="center"/>
          </w:tcPr>
          <w:p>
            <w:pPr>
              <w:pStyle w:val="105"/>
              <w:jc w:val="center"/>
            </w:pPr>
            <w:r>
              <w:t>机构责</w:t>
            </w:r>
          </w:p>
          <w:p>
            <w:pPr>
              <w:pStyle w:val="105"/>
              <w:jc w:val="center"/>
            </w:pPr>
            <w:r>
              <w:t>任主体</w:t>
            </w:r>
          </w:p>
        </w:tc>
        <w:tc>
          <w:tcPr>
            <w:tcW w:w="447" w:type="pct"/>
            <w:tcBorders>
              <w:left w:val="single" w:color="000000" w:sz="4" w:space="0"/>
              <w:bottom w:val="single" w:color="000000" w:sz="4" w:space="0"/>
              <w:right w:val="nil"/>
            </w:tcBorders>
            <w:vAlign w:val="center"/>
          </w:tcPr>
          <w:p>
            <w:pPr>
              <w:pStyle w:val="105"/>
              <w:jc w:val="center"/>
            </w:pPr>
            <w:r>
              <w:t>监督</w:t>
            </w:r>
          </w:p>
          <w:p>
            <w:pPr>
              <w:pStyle w:val="105"/>
              <w:jc w:val="center"/>
            </w:pPr>
            <w:r>
              <w:t>机构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72" w:type="pct"/>
            <w:vMerge w:val="restart"/>
            <w:tcBorders>
              <w:top w:val="single" w:color="000000" w:sz="4" w:space="0"/>
              <w:left w:val="nil"/>
              <w:bottom w:val="single" w:color="000000" w:sz="4" w:space="0"/>
              <w:right w:val="single" w:color="000000" w:sz="4" w:space="0"/>
            </w:tcBorders>
            <w:vAlign w:val="center"/>
          </w:tcPr>
          <w:p>
            <w:pPr>
              <w:pStyle w:val="105"/>
              <w:jc w:val="center"/>
            </w:pPr>
            <w:r>
              <w:t>设计期</w:t>
            </w: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影响乡镇规划</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科学设计，使公路景观与乡镇规划相协调</w:t>
            </w:r>
          </w:p>
        </w:tc>
        <w:tc>
          <w:tcPr>
            <w:tcW w:w="453" w:type="pct"/>
            <w:vMerge w:val="restart"/>
            <w:tcBorders>
              <w:top w:val="single" w:color="000000" w:sz="4" w:space="0"/>
              <w:left w:val="single" w:color="000000" w:sz="4" w:space="0"/>
              <w:bottom w:val="single" w:color="000000" w:sz="4" w:space="0"/>
              <w:right w:val="single" w:color="000000" w:sz="4" w:space="0"/>
            </w:tcBorders>
            <w:vAlign w:val="center"/>
          </w:tcPr>
          <w:p>
            <w:pPr>
              <w:pStyle w:val="105"/>
              <w:jc w:val="center"/>
            </w:pPr>
            <w:r>
              <w:rPr>
                <w:rFonts w:hint="eastAsia"/>
              </w:rPr>
              <w:t>福清市交通建设投资集团有限公司</w:t>
            </w:r>
          </w:p>
        </w:tc>
        <w:tc>
          <w:tcPr>
            <w:tcW w:w="517" w:type="pct"/>
            <w:vMerge w:val="restart"/>
            <w:tcBorders>
              <w:top w:val="single" w:color="000000" w:sz="4" w:space="0"/>
              <w:left w:val="single" w:color="000000" w:sz="4" w:space="0"/>
              <w:bottom w:val="single" w:color="000000" w:sz="4" w:space="0"/>
              <w:right w:val="single" w:color="000000" w:sz="4" w:space="0"/>
            </w:tcBorders>
            <w:vAlign w:val="center"/>
          </w:tcPr>
          <w:p>
            <w:pPr>
              <w:pStyle w:val="105"/>
              <w:jc w:val="center"/>
            </w:pPr>
            <w:r>
              <w:rPr>
                <w:rFonts w:hint="eastAsia"/>
              </w:rPr>
              <w:t>福清市交通建设投资集团有限公司</w:t>
            </w:r>
          </w:p>
        </w:tc>
        <w:tc>
          <w:tcPr>
            <w:tcW w:w="447" w:type="pct"/>
            <w:vMerge w:val="restart"/>
            <w:tcBorders>
              <w:top w:val="single" w:color="000000" w:sz="4" w:space="0"/>
              <w:left w:val="single" w:color="000000" w:sz="4" w:space="0"/>
              <w:bottom w:val="single" w:color="000000" w:sz="4" w:space="0"/>
              <w:right w:val="nil"/>
            </w:tcBorders>
            <w:vAlign w:val="center"/>
          </w:tcPr>
          <w:p>
            <w:pPr>
              <w:pStyle w:val="105"/>
              <w:jc w:val="center"/>
            </w:pPr>
            <w:r>
              <w:rPr>
                <w:rFonts w:hint="eastAsia"/>
              </w:rPr>
              <w:t>福州市福清</w:t>
            </w:r>
            <w:r>
              <w:t>生态环境局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72" w:type="pct"/>
            <w:vMerge w:val="continue"/>
            <w:tcBorders>
              <w:top w:val="nil"/>
              <w:left w:val="nil"/>
              <w:bottom w:val="single" w:color="000000" w:sz="4" w:space="0"/>
              <w:right w:val="single" w:color="000000" w:sz="4" w:space="0"/>
            </w:tcBorders>
            <w:vAlign w:val="center"/>
          </w:tcPr>
          <w:p>
            <w:pPr>
              <w:pStyle w:val="105"/>
              <w:jc w:val="center"/>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影响景观美、环境美</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科学设计，使工程景观和沿线地形、地貌相协调</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447" w:type="pct"/>
            <w:vMerge w:val="continue"/>
            <w:tcBorders>
              <w:top w:val="nil"/>
              <w:left w:val="single" w:color="000000" w:sz="4" w:space="0"/>
              <w:bottom w:val="single" w:color="000000" w:sz="4" w:space="0"/>
              <w:right w:val="nil"/>
            </w:tcBorders>
            <w:vAlign w:val="center"/>
          </w:tcPr>
          <w:p>
            <w:pPr>
              <w:pStyle w:val="105"/>
              <w:jc w:val="cente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272" w:type="pct"/>
            <w:vMerge w:val="continue"/>
            <w:tcBorders>
              <w:top w:val="nil"/>
              <w:left w:val="nil"/>
              <w:bottom w:val="single" w:color="000000" w:sz="4" w:space="0"/>
              <w:right w:val="single" w:color="000000" w:sz="4" w:space="0"/>
            </w:tcBorders>
            <w:vAlign w:val="center"/>
          </w:tcPr>
          <w:p>
            <w:pPr>
              <w:pStyle w:val="105"/>
              <w:jc w:val="center"/>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影响地表水质</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合理设计各类临时用地（临时表土堆场）位置，尽量远离</w:t>
            </w:r>
            <w:r>
              <w:rPr>
                <w:rFonts w:hint="eastAsia"/>
              </w:rPr>
              <w:t>河道</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447" w:type="pct"/>
            <w:vMerge w:val="continue"/>
            <w:tcBorders>
              <w:top w:val="nil"/>
              <w:left w:val="single" w:color="000000" w:sz="4" w:space="0"/>
              <w:bottom w:val="single" w:color="000000" w:sz="4" w:space="0"/>
              <w:right w:val="nil"/>
            </w:tcBorders>
            <w:vAlign w:val="center"/>
          </w:tcPr>
          <w:p>
            <w:pPr>
              <w:pStyle w:val="105"/>
              <w:jc w:val="cente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72" w:type="pct"/>
            <w:vMerge w:val="continue"/>
            <w:tcBorders>
              <w:top w:val="nil"/>
              <w:left w:val="nil"/>
              <w:bottom w:val="single" w:color="000000" w:sz="4" w:space="0"/>
              <w:right w:val="single" w:color="000000" w:sz="4" w:space="0"/>
            </w:tcBorders>
            <w:vAlign w:val="center"/>
          </w:tcPr>
          <w:p>
            <w:pPr>
              <w:pStyle w:val="105"/>
              <w:jc w:val="center"/>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损失土地资源</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采纳少占耕地、园地的方案，尽量减少对农用地的占用。</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447" w:type="pct"/>
            <w:vMerge w:val="continue"/>
            <w:tcBorders>
              <w:top w:val="nil"/>
              <w:left w:val="single" w:color="000000" w:sz="4" w:space="0"/>
              <w:bottom w:val="single" w:color="000000" w:sz="4" w:space="0"/>
              <w:right w:val="nil"/>
            </w:tcBorders>
            <w:vAlign w:val="center"/>
          </w:tcPr>
          <w:p>
            <w:pPr>
              <w:pStyle w:val="105"/>
              <w:jc w:val="cente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72" w:type="pct"/>
            <w:vMerge w:val="continue"/>
            <w:tcBorders>
              <w:top w:val="nil"/>
              <w:left w:val="nil"/>
              <w:bottom w:val="single" w:color="000000" w:sz="4" w:space="0"/>
              <w:right w:val="single" w:color="000000" w:sz="4" w:space="0"/>
            </w:tcBorders>
            <w:vAlign w:val="center"/>
          </w:tcPr>
          <w:p>
            <w:pPr>
              <w:pStyle w:val="105"/>
              <w:jc w:val="center"/>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交通噪声、汽车尾气污染</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科学设计，保护沿线声、气环境质量</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447" w:type="pct"/>
            <w:vMerge w:val="continue"/>
            <w:tcBorders>
              <w:top w:val="nil"/>
              <w:left w:val="single" w:color="000000" w:sz="4" w:space="0"/>
              <w:bottom w:val="single" w:color="000000" w:sz="4" w:space="0"/>
              <w:right w:val="nil"/>
            </w:tcBorders>
            <w:vAlign w:val="center"/>
          </w:tcPr>
          <w:p>
            <w:pPr>
              <w:pStyle w:val="105"/>
              <w:jc w:val="cente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72" w:type="pct"/>
            <w:vMerge w:val="continue"/>
            <w:tcBorders>
              <w:top w:val="nil"/>
              <w:left w:val="nil"/>
              <w:bottom w:val="single" w:color="000000" w:sz="4" w:space="0"/>
              <w:right w:val="single" w:color="000000" w:sz="4" w:space="0"/>
            </w:tcBorders>
            <w:vAlign w:val="center"/>
          </w:tcPr>
          <w:p>
            <w:pPr>
              <w:pStyle w:val="105"/>
              <w:jc w:val="center"/>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公路对居民的阻隔</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布置位置和数量恰当的通道</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447" w:type="pct"/>
            <w:vMerge w:val="continue"/>
            <w:tcBorders>
              <w:top w:val="nil"/>
              <w:left w:val="single" w:color="000000" w:sz="4" w:space="0"/>
              <w:bottom w:val="single" w:color="000000" w:sz="4" w:space="0"/>
              <w:right w:val="nil"/>
            </w:tcBorders>
            <w:vAlign w:val="center"/>
          </w:tcPr>
          <w:p>
            <w:pPr>
              <w:pStyle w:val="105"/>
              <w:jc w:val="cente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72" w:type="pct"/>
            <w:vMerge w:val="continue"/>
            <w:tcBorders>
              <w:top w:val="nil"/>
              <w:left w:val="nil"/>
              <w:bottom w:val="single" w:color="000000" w:sz="4" w:space="0"/>
              <w:right w:val="single" w:color="000000" w:sz="4" w:space="0"/>
            </w:tcBorders>
            <w:vAlign w:val="center"/>
          </w:tcPr>
          <w:p>
            <w:pPr>
              <w:pStyle w:val="105"/>
              <w:jc w:val="center"/>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交通噪声防噪设计</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限速、禁鸣设施及防噪林带</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jc w:val="center"/>
            </w:pPr>
          </w:p>
        </w:tc>
        <w:tc>
          <w:tcPr>
            <w:tcW w:w="447" w:type="pct"/>
            <w:vMerge w:val="continue"/>
            <w:tcBorders>
              <w:top w:val="nil"/>
              <w:left w:val="single" w:color="000000" w:sz="4" w:space="0"/>
              <w:bottom w:val="single" w:color="000000" w:sz="4" w:space="0"/>
              <w:right w:val="nil"/>
            </w:tcBorders>
            <w:vAlign w:val="center"/>
          </w:tcPr>
          <w:p>
            <w:pPr>
              <w:pStyle w:val="105"/>
              <w:jc w:val="cente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272" w:type="pct"/>
            <w:vMerge w:val="restart"/>
            <w:tcBorders>
              <w:top w:val="single" w:color="000000" w:sz="4" w:space="0"/>
              <w:left w:val="nil"/>
              <w:right w:val="single" w:color="000000" w:sz="4" w:space="0"/>
            </w:tcBorders>
            <w:vAlign w:val="center"/>
          </w:tcPr>
          <w:p>
            <w:pPr>
              <w:pStyle w:val="105"/>
              <w:jc w:val="center"/>
            </w:pPr>
            <w:r>
              <w:t>施工期</w:t>
            </w: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施工现场的粉尘、噪声及光污染</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jc w:val="center"/>
            </w:pPr>
            <w:r>
              <w:t>加强文明施工监理工作，安装责任标牌，定期洒水，在设备上安装和维护消声器，居民点禁止深夜施工</w:t>
            </w:r>
          </w:p>
        </w:tc>
        <w:tc>
          <w:tcPr>
            <w:tcW w:w="453" w:type="pct"/>
            <w:vMerge w:val="restart"/>
            <w:tcBorders>
              <w:top w:val="single" w:color="000000" w:sz="4" w:space="0"/>
              <w:left w:val="single" w:color="000000" w:sz="4" w:space="0"/>
              <w:bottom w:val="single" w:color="000000" w:sz="4" w:space="0"/>
              <w:right w:val="single" w:color="000000" w:sz="4" w:space="0"/>
            </w:tcBorders>
            <w:vAlign w:val="center"/>
          </w:tcPr>
          <w:p>
            <w:pPr>
              <w:pStyle w:val="105"/>
              <w:jc w:val="center"/>
            </w:pPr>
            <w:r>
              <w:rPr>
                <w:rFonts w:hint="eastAsia"/>
              </w:rPr>
              <w:t>福清市交通建设投资集团有限公司</w:t>
            </w:r>
          </w:p>
        </w:tc>
        <w:tc>
          <w:tcPr>
            <w:tcW w:w="517" w:type="pct"/>
            <w:vMerge w:val="restart"/>
            <w:tcBorders>
              <w:top w:val="single" w:color="000000" w:sz="4" w:space="0"/>
              <w:left w:val="single" w:color="000000" w:sz="4" w:space="0"/>
              <w:bottom w:val="single" w:color="000000" w:sz="4" w:space="0"/>
              <w:right w:val="single" w:color="000000" w:sz="4" w:space="0"/>
            </w:tcBorders>
            <w:vAlign w:val="center"/>
          </w:tcPr>
          <w:p>
            <w:pPr>
              <w:pStyle w:val="105"/>
              <w:jc w:val="center"/>
            </w:pPr>
            <w:r>
              <w:rPr>
                <w:rFonts w:hint="eastAsia"/>
              </w:rPr>
              <w:t>福清市交通建设投资集团有限公司</w:t>
            </w:r>
          </w:p>
        </w:tc>
        <w:tc>
          <w:tcPr>
            <w:tcW w:w="447" w:type="pct"/>
            <w:vMerge w:val="restart"/>
            <w:tcBorders>
              <w:top w:val="single" w:color="000000" w:sz="4" w:space="0"/>
              <w:left w:val="single" w:color="000000" w:sz="4" w:space="0"/>
              <w:bottom w:val="single" w:color="000000" w:sz="4" w:space="0"/>
              <w:right w:val="nil"/>
            </w:tcBorders>
            <w:vAlign w:val="center"/>
          </w:tcPr>
          <w:p>
            <w:pPr>
              <w:pStyle w:val="105"/>
              <w:jc w:val="center"/>
            </w:pPr>
            <w:r>
              <w:rPr>
                <w:rFonts w:hint="eastAsia"/>
              </w:rPr>
              <w:t>福州市福清</w:t>
            </w:r>
            <w:r>
              <w:t>生态环境局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272" w:type="pct"/>
            <w:vMerge w:val="continue"/>
            <w:tcBorders>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施工现场的生产、生活污水和废油，生产和生活垃圾对土壤和水体污染</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加强环境管理和监督，安装污水处理设备并保持正常运行，废油统一存放和处理，提供合适的卫生场所</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pPr>
          </w:p>
        </w:tc>
        <w:tc>
          <w:tcPr>
            <w:tcW w:w="447" w:type="pct"/>
            <w:vMerge w:val="continue"/>
            <w:tcBorders>
              <w:top w:val="nil"/>
              <w:left w:val="single" w:color="000000" w:sz="4" w:space="0"/>
              <w:bottom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72" w:type="pct"/>
            <w:vMerge w:val="continue"/>
            <w:tcBorders>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影响景观美</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严格按设计实施景观工程，</w:t>
            </w:r>
            <w:r>
              <w:rPr>
                <w:rFonts w:hint="eastAsia"/>
              </w:rPr>
              <w:t>及时</w:t>
            </w:r>
            <w:r>
              <w:t>进行绿化和土地复垦工作</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pPr>
          </w:p>
        </w:tc>
        <w:tc>
          <w:tcPr>
            <w:tcW w:w="447" w:type="pct"/>
            <w:vMerge w:val="continue"/>
            <w:tcBorders>
              <w:top w:val="nil"/>
              <w:left w:val="single" w:color="000000" w:sz="4" w:space="0"/>
              <w:bottom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272" w:type="pct"/>
            <w:vMerge w:val="continue"/>
            <w:tcBorders>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建筑和生活垃圾处理</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加强监督管理，指定统一存放地点，统一处理</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pPr>
          </w:p>
        </w:tc>
        <w:tc>
          <w:tcPr>
            <w:tcW w:w="447" w:type="pct"/>
            <w:vMerge w:val="continue"/>
            <w:tcBorders>
              <w:top w:val="nil"/>
              <w:left w:val="single" w:color="000000" w:sz="4" w:space="0"/>
              <w:bottom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72" w:type="pct"/>
            <w:vMerge w:val="continue"/>
            <w:tcBorders>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干扰沿线公用设施</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协调各单位利益，先通后拆</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pPr>
          </w:p>
        </w:tc>
        <w:tc>
          <w:tcPr>
            <w:tcW w:w="447" w:type="pct"/>
            <w:vMerge w:val="continue"/>
            <w:tcBorders>
              <w:top w:val="nil"/>
              <w:left w:val="single" w:color="000000" w:sz="4" w:space="0"/>
              <w:bottom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72" w:type="pct"/>
            <w:vMerge w:val="continue"/>
            <w:tcBorders>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影响现有公路的行车</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加强交通管理，及时疏通公路</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pPr>
          </w:p>
        </w:tc>
        <w:tc>
          <w:tcPr>
            <w:tcW w:w="447" w:type="pct"/>
            <w:vMerge w:val="continue"/>
            <w:tcBorders>
              <w:top w:val="nil"/>
              <w:left w:val="single" w:color="000000" w:sz="4" w:space="0"/>
              <w:bottom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272" w:type="pct"/>
            <w:vMerge w:val="continue"/>
            <w:tcBorders>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可能</w:t>
            </w:r>
            <w:r>
              <w:rPr>
                <w:rFonts w:hint="eastAsia"/>
              </w:rPr>
              <w:t>的</w:t>
            </w:r>
            <w:r>
              <w:t>传染病传播</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定期健康检查，加强卫生监督</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pPr>
          </w:p>
        </w:tc>
        <w:tc>
          <w:tcPr>
            <w:tcW w:w="447" w:type="pct"/>
            <w:vMerge w:val="continue"/>
            <w:tcBorders>
              <w:top w:val="nil"/>
              <w:left w:val="single" w:color="000000" w:sz="4" w:space="0"/>
              <w:bottom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72" w:type="pct"/>
            <w:vMerge w:val="continue"/>
            <w:tcBorders>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临时表土堆场等对土地</w:t>
            </w:r>
          </w:p>
          <w:p>
            <w:pPr>
              <w:pStyle w:val="105"/>
            </w:pPr>
            <w:r>
              <w:t>利用的影响</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及时平整土地、按农业技术要求进行土地复垦或植被恢复</w:t>
            </w:r>
          </w:p>
        </w:tc>
        <w:tc>
          <w:tcPr>
            <w:tcW w:w="453" w:type="pct"/>
            <w:vMerge w:val="continue"/>
            <w:tcBorders>
              <w:top w:val="nil"/>
              <w:left w:val="single" w:color="000000" w:sz="4" w:space="0"/>
              <w:bottom w:val="single" w:color="000000" w:sz="4" w:space="0"/>
              <w:right w:val="single" w:color="000000" w:sz="4" w:space="0"/>
            </w:tcBorders>
            <w:vAlign w:val="center"/>
          </w:tcPr>
          <w:p>
            <w:pPr>
              <w:pStyle w:val="105"/>
            </w:pPr>
          </w:p>
        </w:tc>
        <w:tc>
          <w:tcPr>
            <w:tcW w:w="517" w:type="pct"/>
            <w:vMerge w:val="continue"/>
            <w:tcBorders>
              <w:top w:val="nil"/>
              <w:left w:val="single" w:color="000000" w:sz="4" w:space="0"/>
              <w:bottom w:val="single" w:color="000000" w:sz="4" w:space="0"/>
              <w:right w:val="single" w:color="000000" w:sz="4" w:space="0"/>
            </w:tcBorders>
            <w:vAlign w:val="center"/>
          </w:tcPr>
          <w:p>
            <w:pPr>
              <w:pStyle w:val="105"/>
            </w:pPr>
          </w:p>
        </w:tc>
        <w:tc>
          <w:tcPr>
            <w:tcW w:w="447" w:type="pct"/>
            <w:vMerge w:val="continue"/>
            <w:tcBorders>
              <w:top w:val="nil"/>
              <w:left w:val="single" w:color="000000" w:sz="4" w:space="0"/>
              <w:bottom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72" w:type="pct"/>
            <w:vMerge w:val="continue"/>
            <w:tcBorders>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施工期环境监测</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进行施工期间的各项环境监测。</w:t>
            </w:r>
          </w:p>
        </w:tc>
        <w:tc>
          <w:tcPr>
            <w:tcW w:w="453" w:type="pct"/>
            <w:vMerge w:val="restart"/>
            <w:tcBorders>
              <w:top w:val="nil"/>
              <w:left w:val="single" w:color="000000" w:sz="4" w:space="0"/>
              <w:right w:val="single" w:color="000000" w:sz="4" w:space="0"/>
            </w:tcBorders>
            <w:vAlign w:val="center"/>
          </w:tcPr>
          <w:p>
            <w:pPr>
              <w:pStyle w:val="105"/>
            </w:pPr>
            <w:r>
              <w:rPr>
                <w:rFonts w:hint="eastAsia"/>
              </w:rPr>
              <w:t>福清市交通建设投资集团有限公司</w:t>
            </w:r>
          </w:p>
        </w:tc>
        <w:tc>
          <w:tcPr>
            <w:tcW w:w="517" w:type="pct"/>
            <w:vMerge w:val="restart"/>
            <w:tcBorders>
              <w:top w:val="nil"/>
              <w:left w:val="single" w:color="000000" w:sz="4" w:space="0"/>
              <w:right w:val="single" w:color="000000" w:sz="4" w:space="0"/>
            </w:tcBorders>
            <w:vAlign w:val="center"/>
          </w:tcPr>
          <w:p>
            <w:pPr>
              <w:pStyle w:val="105"/>
            </w:pPr>
            <w:r>
              <w:rPr>
                <w:rFonts w:hint="eastAsia"/>
              </w:rPr>
              <w:t>福清市交通建设投资集团有限公司</w:t>
            </w:r>
          </w:p>
        </w:tc>
        <w:tc>
          <w:tcPr>
            <w:tcW w:w="447" w:type="pct"/>
            <w:vMerge w:val="restart"/>
            <w:tcBorders>
              <w:top w:val="nil"/>
              <w:left w:val="single" w:color="000000" w:sz="4" w:space="0"/>
              <w:right w:val="nil"/>
            </w:tcBorders>
            <w:vAlign w:val="center"/>
          </w:tcPr>
          <w:p>
            <w:pPr>
              <w:pStyle w:val="105"/>
            </w:pPr>
            <w:r>
              <w:rPr>
                <w:rFonts w:hint="eastAsia"/>
              </w:rPr>
              <w:t>福州市福清</w:t>
            </w:r>
            <w:r>
              <w:t>生态环境局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72" w:type="pct"/>
            <w:vMerge w:val="continue"/>
            <w:tcBorders>
              <w:left w:val="nil"/>
              <w:bottom w:val="single" w:color="000000" w:sz="4" w:space="0"/>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rPr>
                <w:rFonts w:hint="eastAsia"/>
              </w:rPr>
              <w:t>工程环境监理</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rPr>
                <w:rFonts w:hint="eastAsia"/>
              </w:rPr>
              <w:t>按施工期工程环境监理计划进行，纳入工程监理范畴。</w:t>
            </w:r>
          </w:p>
        </w:tc>
        <w:tc>
          <w:tcPr>
            <w:tcW w:w="453" w:type="pct"/>
            <w:vMerge w:val="continue"/>
            <w:tcBorders>
              <w:left w:val="single" w:color="000000" w:sz="4" w:space="0"/>
              <w:bottom w:val="single" w:color="000000" w:sz="4" w:space="0"/>
              <w:right w:val="single" w:color="000000" w:sz="4" w:space="0"/>
            </w:tcBorders>
            <w:vAlign w:val="center"/>
          </w:tcPr>
          <w:p>
            <w:pPr>
              <w:pStyle w:val="105"/>
            </w:pPr>
          </w:p>
        </w:tc>
        <w:tc>
          <w:tcPr>
            <w:tcW w:w="517" w:type="pct"/>
            <w:vMerge w:val="continue"/>
            <w:tcBorders>
              <w:left w:val="single" w:color="000000" w:sz="4" w:space="0"/>
              <w:bottom w:val="single" w:color="000000" w:sz="4" w:space="0"/>
              <w:right w:val="single" w:color="000000" w:sz="4" w:space="0"/>
            </w:tcBorders>
            <w:vAlign w:val="center"/>
          </w:tcPr>
          <w:p>
            <w:pPr>
              <w:pStyle w:val="105"/>
            </w:pPr>
          </w:p>
        </w:tc>
        <w:tc>
          <w:tcPr>
            <w:tcW w:w="447" w:type="pct"/>
            <w:vMerge w:val="continue"/>
            <w:tcBorders>
              <w:left w:val="single" w:color="000000" w:sz="4" w:space="0"/>
              <w:bottom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7" w:hRule="atLeast"/>
        </w:trPr>
        <w:tc>
          <w:tcPr>
            <w:tcW w:w="272" w:type="pct"/>
            <w:vMerge w:val="restart"/>
            <w:tcBorders>
              <w:top w:val="single" w:color="000000" w:sz="4" w:space="0"/>
              <w:left w:val="nil"/>
              <w:right w:val="single" w:color="000000" w:sz="4" w:space="0"/>
            </w:tcBorders>
            <w:vAlign w:val="center"/>
          </w:tcPr>
          <w:p>
            <w:pPr>
              <w:pStyle w:val="105"/>
            </w:pPr>
            <w:r>
              <w:t>运营期</w:t>
            </w: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生态环境恢复</w:t>
            </w:r>
          </w:p>
          <w:p>
            <w:pPr>
              <w:pStyle w:val="105"/>
            </w:pPr>
            <w:r>
              <w:t>大气污染和噪声污染</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结合环保拆迁，设置绿化带和声屏障等，精心养护公路用地范围内的绿化工程</w:t>
            </w:r>
          </w:p>
        </w:tc>
        <w:tc>
          <w:tcPr>
            <w:tcW w:w="453" w:type="pct"/>
            <w:vMerge w:val="restart"/>
            <w:tcBorders>
              <w:top w:val="single" w:color="000000" w:sz="4" w:space="0"/>
              <w:left w:val="single" w:color="000000" w:sz="4" w:space="0"/>
              <w:right w:val="single" w:color="000000" w:sz="4" w:space="0"/>
            </w:tcBorders>
            <w:vAlign w:val="center"/>
          </w:tcPr>
          <w:p>
            <w:pPr>
              <w:pStyle w:val="105"/>
            </w:pPr>
            <w:r>
              <w:rPr>
                <w:rFonts w:hint="eastAsia"/>
              </w:rPr>
              <w:t>福清市交通建设投资集团有限公司</w:t>
            </w:r>
          </w:p>
        </w:tc>
        <w:tc>
          <w:tcPr>
            <w:tcW w:w="517" w:type="pct"/>
            <w:vMerge w:val="restart"/>
            <w:tcBorders>
              <w:top w:val="single" w:color="000000" w:sz="4" w:space="0"/>
              <w:left w:val="single" w:color="000000" w:sz="4" w:space="0"/>
              <w:right w:val="single" w:color="000000" w:sz="4" w:space="0"/>
            </w:tcBorders>
            <w:vAlign w:val="center"/>
          </w:tcPr>
          <w:p>
            <w:pPr>
              <w:pStyle w:val="105"/>
            </w:pPr>
            <w:r>
              <w:rPr>
                <w:rFonts w:hint="eastAsia"/>
              </w:rPr>
              <w:t>福清市交通建设投资集团有限公司</w:t>
            </w:r>
          </w:p>
        </w:tc>
        <w:tc>
          <w:tcPr>
            <w:tcW w:w="447" w:type="pct"/>
            <w:vMerge w:val="restart"/>
            <w:tcBorders>
              <w:top w:val="single" w:color="000000" w:sz="4" w:space="0"/>
              <w:left w:val="single" w:color="000000" w:sz="4" w:space="0"/>
              <w:right w:val="nil"/>
            </w:tcBorders>
            <w:vAlign w:val="center"/>
          </w:tcPr>
          <w:p>
            <w:pPr>
              <w:pStyle w:val="105"/>
            </w:pPr>
            <w:r>
              <w:rPr>
                <w:rFonts w:hint="eastAsia"/>
              </w:rPr>
              <w:t>福州市福清</w:t>
            </w:r>
            <w:r>
              <w:t>生态环境局、公安消防部门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272" w:type="pct"/>
            <w:vMerge w:val="continue"/>
            <w:tcBorders>
              <w:top w:val="nil"/>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路面径流污染</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采取疏通边沟等措施，不使其直接排入水体</w:t>
            </w:r>
          </w:p>
        </w:tc>
        <w:tc>
          <w:tcPr>
            <w:tcW w:w="453" w:type="pct"/>
            <w:vMerge w:val="continue"/>
            <w:tcBorders>
              <w:top w:val="nil"/>
              <w:left w:val="single" w:color="000000" w:sz="4" w:space="0"/>
              <w:right w:val="single" w:color="000000" w:sz="4" w:space="0"/>
            </w:tcBorders>
            <w:vAlign w:val="center"/>
          </w:tcPr>
          <w:p>
            <w:pPr>
              <w:pStyle w:val="105"/>
            </w:pPr>
          </w:p>
        </w:tc>
        <w:tc>
          <w:tcPr>
            <w:tcW w:w="517" w:type="pct"/>
            <w:vMerge w:val="continue"/>
            <w:tcBorders>
              <w:top w:val="nil"/>
              <w:left w:val="single" w:color="000000" w:sz="4" w:space="0"/>
              <w:right w:val="single" w:color="000000" w:sz="4" w:space="0"/>
            </w:tcBorders>
            <w:vAlign w:val="center"/>
          </w:tcPr>
          <w:p>
            <w:pPr>
              <w:pStyle w:val="105"/>
            </w:pPr>
          </w:p>
        </w:tc>
        <w:tc>
          <w:tcPr>
            <w:tcW w:w="447" w:type="pct"/>
            <w:vMerge w:val="continue"/>
            <w:tcBorders>
              <w:top w:val="nil"/>
              <w:left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272" w:type="pct"/>
            <w:vMerge w:val="continue"/>
            <w:tcBorders>
              <w:top w:val="nil"/>
              <w:left w:val="nil"/>
              <w:right w:val="single" w:color="000000" w:sz="4" w:space="0"/>
            </w:tcBorders>
            <w:vAlign w:val="center"/>
          </w:tcPr>
          <w:p>
            <w:pPr>
              <w:pStyle w:val="105"/>
            </w:pPr>
          </w:p>
        </w:tc>
        <w:tc>
          <w:tcPr>
            <w:tcW w:w="1212" w:type="pct"/>
            <w:tcBorders>
              <w:top w:val="single" w:color="000000" w:sz="4" w:space="0"/>
              <w:left w:val="single" w:color="000000" w:sz="4" w:space="0"/>
              <w:bottom w:val="single" w:color="000000" w:sz="4" w:space="0"/>
              <w:right w:val="single" w:color="000000" w:sz="4" w:space="0"/>
            </w:tcBorders>
            <w:vAlign w:val="center"/>
          </w:tcPr>
          <w:p>
            <w:pPr>
              <w:pStyle w:val="105"/>
            </w:pPr>
            <w:r>
              <w:t>危险品运输风险事故</w:t>
            </w:r>
          </w:p>
        </w:tc>
        <w:tc>
          <w:tcPr>
            <w:tcW w:w="2098" w:type="pct"/>
            <w:tcBorders>
              <w:top w:val="single" w:color="000000" w:sz="4" w:space="0"/>
              <w:left w:val="single" w:color="000000" w:sz="4" w:space="0"/>
              <w:bottom w:val="single" w:color="000000" w:sz="4" w:space="0"/>
              <w:right w:val="single" w:color="000000" w:sz="4" w:space="0"/>
            </w:tcBorders>
            <w:vAlign w:val="center"/>
          </w:tcPr>
          <w:p>
            <w:pPr>
              <w:pStyle w:val="105"/>
            </w:pPr>
            <w:r>
              <w:t>制定和执行危险品运输风险事故应急计划并加强管理</w:t>
            </w:r>
          </w:p>
        </w:tc>
        <w:tc>
          <w:tcPr>
            <w:tcW w:w="453" w:type="pct"/>
            <w:vMerge w:val="continue"/>
            <w:tcBorders>
              <w:top w:val="nil"/>
              <w:left w:val="single" w:color="000000" w:sz="4" w:space="0"/>
              <w:right w:val="single" w:color="000000" w:sz="4" w:space="0"/>
            </w:tcBorders>
            <w:vAlign w:val="center"/>
          </w:tcPr>
          <w:p>
            <w:pPr>
              <w:pStyle w:val="105"/>
            </w:pPr>
          </w:p>
        </w:tc>
        <w:tc>
          <w:tcPr>
            <w:tcW w:w="517" w:type="pct"/>
            <w:vMerge w:val="continue"/>
            <w:tcBorders>
              <w:top w:val="nil"/>
              <w:left w:val="single" w:color="000000" w:sz="4" w:space="0"/>
              <w:right w:val="single" w:color="000000" w:sz="4" w:space="0"/>
            </w:tcBorders>
            <w:vAlign w:val="center"/>
          </w:tcPr>
          <w:p>
            <w:pPr>
              <w:pStyle w:val="105"/>
            </w:pPr>
          </w:p>
        </w:tc>
        <w:tc>
          <w:tcPr>
            <w:tcW w:w="447" w:type="pct"/>
            <w:vMerge w:val="continue"/>
            <w:tcBorders>
              <w:top w:val="nil"/>
              <w:left w:val="single" w:color="000000" w:sz="4" w:space="0"/>
              <w:right w:val="nil"/>
            </w:tcBorders>
            <w:vAlign w:val="center"/>
          </w:tcPr>
          <w:p>
            <w:pPr>
              <w:pStyle w:val="105"/>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3" w:hRule="atLeast"/>
        </w:trPr>
        <w:tc>
          <w:tcPr>
            <w:tcW w:w="272" w:type="pct"/>
            <w:vMerge w:val="continue"/>
            <w:tcBorders>
              <w:top w:val="nil"/>
              <w:left w:val="nil"/>
              <w:right w:val="single" w:color="000000" w:sz="4" w:space="0"/>
            </w:tcBorders>
            <w:vAlign w:val="center"/>
          </w:tcPr>
          <w:p>
            <w:pPr>
              <w:pStyle w:val="105"/>
            </w:pPr>
          </w:p>
        </w:tc>
        <w:tc>
          <w:tcPr>
            <w:tcW w:w="1212" w:type="pct"/>
            <w:tcBorders>
              <w:top w:val="single" w:color="000000" w:sz="4" w:space="0"/>
              <w:left w:val="single" w:color="000000" w:sz="4" w:space="0"/>
              <w:right w:val="single" w:color="000000" w:sz="4" w:space="0"/>
            </w:tcBorders>
            <w:vAlign w:val="center"/>
          </w:tcPr>
          <w:p>
            <w:pPr>
              <w:pStyle w:val="105"/>
            </w:pPr>
            <w:r>
              <w:t>交通事故</w:t>
            </w:r>
          </w:p>
        </w:tc>
        <w:tc>
          <w:tcPr>
            <w:tcW w:w="2098" w:type="pct"/>
            <w:tcBorders>
              <w:top w:val="single" w:color="000000" w:sz="4" w:space="0"/>
              <w:left w:val="single" w:color="000000" w:sz="4" w:space="0"/>
              <w:right w:val="single" w:color="000000" w:sz="4" w:space="0"/>
            </w:tcBorders>
            <w:vAlign w:val="center"/>
          </w:tcPr>
          <w:p>
            <w:pPr>
              <w:pStyle w:val="105"/>
            </w:pPr>
            <w:r>
              <w:t>制定和执行交通事故处置计划</w:t>
            </w:r>
          </w:p>
          <w:p>
            <w:pPr>
              <w:pStyle w:val="105"/>
            </w:pPr>
            <w:r>
              <w:t>通行车辆必须加装后防雾灯</w:t>
            </w:r>
          </w:p>
        </w:tc>
        <w:tc>
          <w:tcPr>
            <w:tcW w:w="453" w:type="pct"/>
            <w:vMerge w:val="continue"/>
            <w:tcBorders>
              <w:top w:val="nil"/>
              <w:left w:val="single" w:color="000000" w:sz="4" w:space="0"/>
              <w:right w:val="single" w:color="000000" w:sz="4" w:space="0"/>
            </w:tcBorders>
            <w:vAlign w:val="center"/>
          </w:tcPr>
          <w:p>
            <w:pPr>
              <w:pStyle w:val="105"/>
            </w:pPr>
          </w:p>
        </w:tc>
        <w:tc>
          <w:tcPr>
            <w:tcW w:w="517" w:type="pct"/>
            <w:vMerge w:val="continue"/>
            <w:tcBorders>
              <w:top w:val="nil"/>
              <w:left w:val="single" w:color="000000" w:sz="4" w:space="0"/>
              <w:right w:val="single" w:color="000000" w:sz="4" w:space="0"/>
            </w:tcBorders>
            <w:vAlign w:val="center"/>
          </w:tcPr>
          <w:p>
            <w:pPr>
              <w:pStyle w:val="105"/>
            </w:pPr>
          </w:p>
        </w:tc>
        <w:tc>
          <w:tcPr>
            <w:tcW w:w="447" w:type="pct"/>
            <w:vMerge w:val="continue"/>
            <w:tcBorders>
              <w:top w:val="nil"/>
              <w:left w:val="single" w:color="000000" w:sz="4" w:space="0"/>
              <w:right w:val="nil"/>
            </w:tcBorders>
            <w:vAlign w:val="center"/>
          </w:tcPr>
          <w:p>
            <w:pPr>
              <w:pStyle w:val="105"/>
            </w:pPr>
          </w:p>
        </w:tc>
      </w:tr>
    </w:tbl>
    <w:p>
      <w:pPr>
        <w:pStyle w:val="116"/>
      </w:pPr>
      <w:bookmarkStart w:id="640" w:name="_Toc146525002"/>
      <w:bookmarkStart w:id="641" w:name="_Toc154668076"/>
      <w:bookmarkStart w:id="642" w:name="_Toc159405499"/>
      <w:bookmarkStart w:id="643" w:name="_Toc204676271"/>
      <w:bookmarkStart w:id="644" w:name="_Toc149645972"/>
      <w:r>
        <w:rPr>
          <w:rFonts w:hint="eastAsia"/>
        </w:rPr>
        <w:t>环境监测</w:t>
      </w:r>
      <w:bookmarkEnd w:id="640"/>
      <w:bookmarkEnd w:id="641"/>
      <w:bookmarkEnd w:id="642"/>
      <w:bookmarkEnd w:id="643"/>
      <w:bookmarkEnd w:id="644"/>
    </w:p>
    <w:p>
      <w:pPr>
        <w:pStyle w:val="120"/>
        <w:rPr>
          <w:color w:val="auto"/>
        </w:rPr>
      </w:pPr>
      <w:r>
        <w:rPr>
          <w:rFonts w:hint="eastAsia"/>
          <w:color w:val="auto"/>
        </w:rPr>
        <w:t>环境监测目的和原则</w:t>
      </w:r>
    </w:p>
    <w:p>
      <w:pPr>
        <w:ind w:firstLine="480"/>
      </w:pPr>
      <w:r>
        <w:rPr>
          <w:rFonts w:hint="eastAsia"/>
        </w:rPr>
        <w:t>制订环境监测计划的目的是监督各项环保措施的落实执行情况，根据监测结果适时调整环境保护行动计划，为环保措施的实施时间和周期提供依据，为项目的环保竣工验收提供依据。制订的原则是根据预测的各个时期的主要环境影响及可能超标的路段和超标量而确定（重点是主要敏感点、地段）。</w:t>
      </w:r>
    </w:p>
    <w:p>
      <w:pPr>
        <w:pStyle w:val="120"/>
        <w:rPr>
          <w:color w:val="auto"/>
        </w:rPr>
      </w:pPr>
      <w:r>
        <w:rPr>
          <w:rFonts w:hint="eastAsia"/>
          <w:color w:val="auto"/>
        </w:rPr>
        <w:t>环境监测机构</w:t>
      </w:r>
    </w:p>
    <w:p>
      <w:pPr>
        <w:ind w:firstLine="480"/>
      </w:pPr>
      <w:r>
        <w:rPr>
          <w:rFonts w:hint="eastAsia"/>
        </w:rPr>
        <w:t>本项目不设置专门的环境监测机构，环境监测工作拟由业主委托有监测资质的监测单位进行，环境监测主要为工程施工期。运营期监测纳入地方日常环境管理监测中。</w:t>
      </w:r>
    </w:p>
    <w:p>
      <w:pPr>
        <w:pStyle w:val="120"/>
        <w:rPr>
          <w:color w:val="auto"/>
        </w:rPr>
      </w:pPr>
      <w:r>
        <w:rPr>
          <w:rFonts w:hint="eastAsia"/>
          <w:color w:val="auto"/>
        </w:rPr>
        <w:t>环境监测计划</w:t>
      </w:r>
    </w:p>
    <w:p>
      <w:pPr>
        <w:ind w:firstLine="480"/>
      </w:pPr>
      <w:r>
        <w:rPr>
          <w:rFonts w:hint="eastAsia"/>
        </w:rPr>
        <w:t>（1）施工阶段的环境监控计划：将相关环保措施纳入施工招标项目中，并做好相关环境监测计划。</w:t>
      </w:r>
    </w:p>
    <w:p>
      <w:pPr>
        <w:ind w:firstLine="480"/>
      </w:pPr>
      <w:r>
        <w:rPr>
          <w:rFonts w:hint="eastAsia"/>
        </w:rPr>
        <w:t>（2）运营期的环境监测计划：主要根据运营期对环境的影响，制定环境监测计划，运营期委托资质单位进行监测。初拟见</w:t>
      </w:r>
      <w:r>
        <w:fldChar w:fldCharType="begin"/>
      </w:r>
      <w:r>
        <w:instrText xml:space="preserve"> </w:instrText>
      </w:r>
      <w:r>
        <w:rPr>
          <w:rFonts w:hint="eastAsia"/>
        </w:rPr>
        <w:instrText xml:space="preserve">REF _Ref152942440 \r \h</w:instrText>
      </w:r>
      <w:r>
        <w:instrText xml:space="preserve">  \* MERGEFORMAT </w:instrText>
      </w:r>
      <w:r>
        <w:fldChar w:fldCharType="separate"/>
      </w:r>
      <w:r>
        <w:rPr>
          <w:rFonts w:hint="eastAsia"/>
        </w:rPr>
        <w:t>表9.2-1</w:t>
      </w:r>
      <w:r>
        <w:fldChar w:fldCharType="end"/>
      </w:r>
      <w:r>
        <w:rPr>
          <w:rFonts w:hint="eastAsia"/>
        </w:rPr>
        <w:t>，根据工程具体情况调整。</w:t>
      </w:r>
    </w:p>
    <w:p>
      <w:pPr>
        <w:pStyle w:val="67"/>
        <w:numPr>
          <w:ilvl w:val="4"/>
          <w:numId w:val="0"/>
        </w:numPr>
        <w:tabs>
          <w:tab w:val="left" w:pos="1488"/>
        </w:tabs>
        <w:ind w:firstLine="468" w:firstLineChars="200"/>
        <w:rPr>
          <w:rFonts w:ascii="Times New Roman" w:hAnsi="Times New Roman" w:cs="Times New Roman"/>
          <w:spacing w:val="-3"/>
        </w:rPr>
      </w:pPr>
      <w:r>
        <w:rPr>
          <w:rFonts w:ascii="Times New Roman" w:hAnsi="Times New Roman" w:cs="Times New Roman"/>
          <w:spacing w:val="-3"/>
        </w:rPr>
        <w:t>（3）事故监测</w:t>
      </w:r>
      <w:r>
        <w:rPr>
          <w:rFonts w:hint="eastAsia" w:ascii="Times New Roman" w:hAnsi="Times New Roman" w:cs="Times New Roman"/>
          <w:spacing w:val="-3"/>
        </w:rPr>
        <w:t>：</w:t>
      </w:r>
      <w:r>
        <w:rPr>
          <w:rFonts w:ascii="Times New Roman" w:hAnsi="Times New Roman" w:cs="Times New Roman"/>
          <w:spacing w:val="-3"/>
        </w:rPr>
        <w:t>运营期若发生污染事故时，应根据污染物变化趋势及时进行跟踪监测，监测项目为主要事故污染</w:t>
      </w:r>
      <w:r>
        <w:rPr>
          <w:rFonts w:hint="eastAsia" w:ascii="Times New Roman" w:hAnsi="Times New Roman" w:cs="Times New Roman"/>
          <w:spacing w:val="-3"/>
        </w:rPr>
        <w:t>物</w:t>
      </w:r>
      <w:r>
        <w:rPr>
          <w:rFonts w:ascii="Times New Roman" w:hAnsi="Times New Roman" w:cs="Times New Roman"/>
          <w:spacing w:val="-3"/>
        </w:rPr>
        <w:t>，监测结果应及时向有关部门</w:t>
      </w:r>
      <w:r>
        <w:rPr>
          <w:rFonts w:hint="eastAsia" w:ascii="Times New Roman" w:hAnsi="Times New Roman" w:cs="Times New Roman"/>
          <w:spacing w:val="-3"/>
        </w:rPr>
        <w:t>报告</w:t>
      </w:r>
      <w:r>
        <w:rPr>
          <w:rFonts w:ascii="Times New Roman" w:hAnsi="Times New Roman" w:cs="Times New Roman"/>
          <w:spacing w:val="-3"/>
        </w:rPr>
        <w:t>，以便及时采取应急对策。</w:t>
      </w:r>
    </w:p>
    <w:p>
      <w:pPr>
        <w:pStyle w:val="87"/>
        <w:spacing w:before="120"/>
      </w:pPr>
      <w:bookmarkStart w:id="645" w:name="_Ref152942440"/>
      <w:r>
        <w:rPr>
          <w:rFonts w:hint="eastAsia"/>
        </w:rPr>
        <w:t>项目环境</w:t>
      </w:r>
      <w:r>
        <w:t>监测计划</w:t>
      </w:r>
      <w:bookmarkEnd w:id="645"/>
    </w:p>
    <w:tbl>
      <w:tblPr>
        <w:tblStyle w:val="15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71"/>
        <w:gridCol w:w="1292"/>
        <w:gridCol w:w="1726"/>
        <w:gridCol w:w="3870"/>
        <w:gridCol w:w="17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1" w:type="pct"/>
            <w:tcMar>
              <w:left w:w="57" w:type="dxa"/>
              <w:right w:w="57" w:type="dxa"/>
            </w:tcMar>
            <w:vAlign w:val="center"/>
          </w:tcPr>
          <w:p>
            <w:pPr>
              <w:pStyle w:val="105"/>
              <w:widowControl w:val="0"/>
              <w:jc w:val="center"/>
            </w:pPr>
            <w:r>
              <w:t>实施阶段</w:t>
            </w:r>
          </w:p>
        </w:tc>
        <w:tc>
          <w:tcPr>
            <w:tcW w:w="703" w:type="pct"/>
            <w:tcMar>
              <w:left w:w="57" w:type="dxa"/>
              <w:right w:w="57" w:type="dxa"/>
            </w:tcMar>
            <w:vAlign w:val="center"/>
          </w:tcPr>
          <w:p>
            <w:pPr>
              <w:pStyle w:val="105"/>
              <w:widowControl w:val="0"/>
              <w:jc w:val="center"/>
            </w:pPr>
            <w:r>
              <w:t>监测内</w:t>
            </w:r>
          </w:p>
          <w:p>
            <w:pPr>
              <w:pStyle w:val="105"/>
              <w:widowControl w:val="0"/>
              <w:jc w:val="center"/>
            </w:pPr>
            <w:r>
              <w:t>容</w:t>
            </w:r>
          </w:p>
        </w:tc>
        <w:tc>
          <w:tcPr>
            <w:tcW w:w="939" w:type="pct"/>
            <w:tcMar>
              <w:left w:w="57" w:type="dxa"/>
              <w:right w:w="57" w:type="dxa"/>
            </w:tcMar>
            <w:vAlign w:val="center"/>
          </w:tcPr>
          <w:p>
            <w:pPr>
              <w:pStyle w:val="105"/>
              <w:widowControl w:val="0"/>
              <w:jc w:val="center"/>
            </w:pPr>
            <w:r>
              <w:t>监测因子</w:t>
            </w:r>
          </w:p>
        </w:tc>
        <w:tc>
          <w:tcPr>
            <w:tcW w:w="2106" w:type="pct"/>
            <w:tcMar>
              <w:left w:w="57" w:type="dxa"/>
              <w:right w:w="57" w:type="dxa"/>
            </w:tcMar>
            <w:vAlign w:val="center"/>
          </w:tcPr>
          <w:p>
            <w:pPr>
              <w:pStyle w:val="105"/>
              <w:widowControl w:val="0"/>
              <w:jc w:val="center"/>
            </w:pPr>
            <w:r>
              <w:t>监测点位</w:t>
            </w:r>
          </w:p>
        </w:tc>
        <w:tc>
          <w:tcPr>
            <w:tcW w:w="941" w:type="pct"/>
            <w:tcMar>
              <w:left w:w="57" w:type="dxa"/>
              <w:right w:w="57" w:type="dxa"/>
            </w:tcMar>
            <w:vAlign w:val="center"/>
          </w:tcPr>
          <w:p>
            <w:pPr>
              <w:pStyle w:val="105"/>
              <w:widowControl w:val="0"/>
              <w:jc w:val="center"/>
            </w:pPr>
            <w:r>
              <w:t>监测时间、频次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1" w:type="pct"/>
            <w:vMerge w:val="restart"/>
            <w:tcMar>
              <w:left w:w="57" w:type="dxa"/>
              <w:right w:w="57" w:type="dxa"/>
            </w:tcMar>
            <w:vAlign w:val="center"/>
          </w:tcPr>
          <w:p>
            <w:pPr>
              <w:pStyle w:val="105"/>
              <w:widowControl w:val="0"/>
              <w:jc w:val="center"/>
            </w:pPr>
            <w:r>
              <w:t>施工期</w:t>
            </w:r>
          </w:p>
        </w:tc>
        <w:tc>
          <w:tcPr>
            <w:tcW w:w="703" w:type="pct"/>
            <w:tcMar>
              <w:left w:w="57" w:type="dxa"/>
              <w:right w:w="57" w:type="dxa"/>
            </w:tcMar>
            <w:vAlign w:val="center"/>
          </w:tcPr>
          <w:p>
            <w:pPr>
              <w:pStyle w:val="105"/>
              <w:widowControl w:val="0"/>
              <w:jc w:val="center"/>
            </w:pPr>
            <w:r>
              <w:t>大气环境</w:t>
            </w:r>
          </w:p>
        </w:tc>
        <w:tc>
          <w:tcPr>
            <w:tcW w:w="939" w:type="pct"/>
            <w:tcMar>
              <w:left w:w="57" w:type="dxa"/>
              <w:right w:w="57" w:type="dxa"/>
            </w:tcMar>
            <w:vAlign w:val="center"/>
          </w:tcPr>
          <w:p>
            <w:pPr>
              <w:pStyle w:val="105"/>
              <w:widowControl w:val="0"/>
              <w:jc w:val="center"/>
            </w:pPr>
            <w:r>
              <w:t>TSP</w:t>
            </w:r>
          </w:p>
        </w:tc>
        <w:tc>
          <w:tcPr>
            <w:tcW w:w="2106" w:type="pct"/>
            <w:tcMar>
              <w:left w:w="57" w:type="dxa"/>
              <w:right w:w="57" w:type="dxa"/>
            </w:tcMar>
            <w:vAlign w:val="center"/>
          </w:tcPr>
          <w:p>
            <w:pPr>
              <w:pStyle w:val="105"/>
              <w:widowControl w:val="0"/>
              <w:jc w:val="center"/>
            </w:pPr>
            <w:r>
              <w:t>项目沿线 200m 范围内典型现状敏感点（主要为</w:t>
            </w:r>
            <w:r>
              <w:rPr>
                <w:rFonts w:hint="eastAsia"/>
              </w:rPr>
              <w:t>牌边村、上张村、联华村等</w:t>
            </w:r>
            <w:r>
              <w:t>）</w:t>
            </w:r>
          </w:p>
        </w:tc>
        <w:tc>
          <w:tcPr>
            <w:tcW w:w="941" w:type="pct"/>
            <w:tcMar>
              <w:left w:w="57" w:type="dxa"/>
              <w:right w:w="57" w:type="dxa"/>
            </w:tcMar>
            <w:vAlign w:val="center"/>
          </w:tcPr>
          <w:p>
            <w:pPr>
              <w:pStyle w:val="105"/>
              <w:widowControl w:val="0"/>
              <w:jc w:val="center"/>
            </w:pPr>
            <w:r>
              <w:t>施工高峰期</w:t>
            </w:r>
            <w:r>
              <w:rPr>
                <w:rFonts w:hint="eastAsia"/>
              </w:rPr>
              <w:t>1</w:t>
            </w:r>
            <w:r>
              <w:t>~4</w:t>
            </w:r>
            <w:r>
              <w:rPr>
                <w:rFonts w:hint="eastAsia"/>
              </w:rPr>
              <w:t>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1" w:type="pct"/>
            <w:vMerge w:val="continue"/>
            <w:tcMar>
              <w:left w:w="57" w:type="dxa"/>
              <w:right w:w="57" w:type="dxa"/>
            </w:tcMar>
            <w:vAlign w:val="center"/>
          </w:tcPr>
          <w:p>
            <w:pPr>
              <w:pStyle w:val="105"/>
              <w:widowControl w:val="0"/>
              <w:jc w:val="center"/>
            </w:pPr>
          </w:p>
        </w:tc>
        <w:tc>
          <w:tcPr>
            <w:tcW w:w="703" w:type="pct"/>
            <w:tcMar>
              <w:left w:w="57" w:type="dxa"/>
              <w:right w:w="57" w:type="dxa"/>
            </w:tcMar>
            <w:vAlign w:val="center"/>
          </w:tcPr>
          <w:p>
            <w:pPr>
              <w:pStyle w:val="105"/>
              <w:widowControl w:val="0"/>
              <w:jc w:val="center"/>
            </w:pPr>
            <w:r>
              <w:t>噪声</w:t>
            </w:r>
          </w:p>
        </w:tc>
        <w:tc>
          <w:tcPr>
            <w:tcW w:w="939" w:type="pct"/>
            <w:tcMar>
              <w:left w:w="57" w:type="dxa"/>
              <w:right w:w="57" w:type="dxa"/>
            </w:tcMar>
            <w:vAlign w:val="center"/>
          </w:tcPr>
          <w:p>
            <w:pPr>
              <w:pStyle w:val="105"/>
              <w:widowControl w:val="0"/>
              <w:jc w:val="center"/>
            </w:pPr>
            <w:r>
              <w:t>等效声级：LAeq、Lmax</w:t>
            </w:r>
          </w:p>
        </w:tc>
        <w:tc>
          <w:tcPr>
            <w:tcW w:w="2106" w:type="pct"/>
            <w:tcMar>
              <w:left w:w="57" w:type="dxa"/>
              <w:right w:w="57" w:type="dxa"/>
            </w:tcMar>
            <w:vAlign w:val="center"/>
          </w:tcPr>
          <w:p>
            <w:pPr>
              <w:pStyle w:val="105"/>
              <w:widowControl w:val="0"/>
              <w:jc w:val="center"/>
            </w:pPr>
            <w:r>
              <w:t>施工繁忙地段典型敏感点处（主要为</w:t>
            </w:r>
            <w:r>
              <w:rPr>
                <w:rFonts w:hint="eastAsia"/>
              </w:rPr>
              <w:t>牌边村、上张村、联华村等</w:t>
            </w:r>
            <w:r>
              <w:t>）和</w:t>
            </w:r>
            <w:r>
              <w:rPr>
                <w:rFonts w:hint="eastAsia"/>
              </w:rPr>
              <w:t>1</w:t>
            </w:r>
            <w:r>
              <w:t>#施工</w:t>
            </w:r>
            <w:r>
              <w:rPr>
                <w:rFonts w:hint="eastAsia"/>
              </w:rPr>
              <w:t>场地厂界</w:t>
            </w:r>
          </w:p>
        </w:tc>
        <w:tc>
          <w:tcPr>
            <w:tcW w:w="941" w:type="pct"/>
            <w:tcMar>
              <w:left w:w="57" w:type="dxa"/>
              <w:right w:w="57" w:type="dxa"/>
            </w:tcMar>
            <w:vAlign w:val="center"/>
          </w:tcPr>
          <w:p>
            <w:pPr>
              <w:pStyle w:val="105"/>
              <w:widowControl w:val="0"/>
              <w:jc w:val="center"/>
            </w:pPr>
            <w:r>
              <w:t>施工高峰期</w:t>
            </w:r>
            <w:r>
              <w:rPr>
                <w:rFonts w:hint="eastAsia"/>
              </w:rPr>
              <w:t>1</w:t>
            </w:r>
            <w:r>
              <w:t>~4</w:t>
            </w:r>
            <w:r>
              <w:rPr>
                <w:rFonts w:hint="eastAsia"/>
              </w:rPr>
              <w:t>次</w:t>
            </w:r>
            <w:r>
              <w:t>，昼夜各 1 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1" w:type="pct"/>
            <w:vMerge w:val="continue"/>
            <w:tcMar>
              <w:left w:w="57" w:type="dxa"/>
              <w:right w:w="57" w:type="dxa"/>
            </w:tcMar>
            <w:vAlign w:val="center"/>
          </w:tcPr>
          <w:p>
            <w:pPr>
              <w:pStyle w:val="105"/>
              <w:widowControl w:val="0"/>
              <w:jc w:val="center"/>
            </w:pPr>
          </w:p>
        </w:tc>
        <w:tc>
          <w:tcPr>
            <w:tcW w:w="703" w:type="pct"/>
            <w:tcMar>
              <w:left w:w="57" w:type="dxa"/>
              <w:right w:w="57" w:type="dxa"/>
            </w:tcMar>
            <w:vAlign w:val="center"/>
          </w:tcPr>
          <w:p>
            <w:pPr>
              <w:pStyle w:val="105"/>
              <w:widowControl w:val="0"/>
              <w:jc w:val="center"/>
            </w:pPr>
            <w:r>
              <w:t>地表水</w:t>
            </w:r>
          </w:p>
        </w:tc>
        <w:tc>
          <w:tcPr>
            <w:tcW w:w="939" w:type="pct"/>
            <w:tcMar>
              <w:left w:w="57" w:type="dxa"/>
              <w:right w:w="57" w:type="dxa"/>
            </w:tcMar>
            <w:vAlign w:val="center"/>
          </w:tcPr>
          <w:p>
            <w:pPr>
              <w:pStyle w:val="105"/>
              <w:widowControl w:val="0"/>
              <w:jc w:val="center"/>
            </w:pPr>
            <w:r>
              <w:t>pH、COD、SS、石油类、氨氮</w:t>
            </w:r>
          </w:p>
        </w:tc>
        <w:tc>
          <w:tcPr>
            <w:tcW w:w="2106" w:type="pct"/>
            <w:tcMar>
              <w:left w:w="57" w:type="dxa"/>
              <w:right w:w="57" w:type="dxa"/>
            </w:tcMar>
            <w:vAlign w:val="center"/>
          </w:tcPr>
          <w:p>
            <w:pPr>
              <w:pStyle w:val="105"/>
              <w:widowControl w:val="0"/>
              <w:jc w:val="center"/>
            </w:pPr>
            <w:r>
              <w:rPr>
                <w:rFonts w:hint="eastAsia"/>
              </w:rPr>
              <w:t>迳江及其支流</w:t>
            </w:r>
          </w:p>
        </w:tc>
        <w:tc>
          <w:tcPr>
            <w:tcW w:w="941" w:type="pct"/>
            <w:tcMar>
              <w:left w:w="57" w:type="dxa"/>
              <w:right w:w="57" w:type="dxa"/>
            </w:tcMar>
            <w:vAlign w:val="center"/>
          </w:tcPr>
          <w:p>
            <w:pPr>
              <w:pStyle w:val="105"/>
              <w:widowControl w:val="0"/>
              <w:jc w:val="center"/>
            </w:pPr>
            <w:r>
              <w:rPr>
                <w:rFonts w:hint="eastAsia"/>
              </w:rPr>
              <w:t>桥梁、改河等工程施工期间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1" w:type="pct"/>
            <w:vMerge w:val="continue"/>
            <w:tcMar>
              <w:left w:w="57" w:type="dxa"/>
              <w:right w:w="57" w:type="dxa"/>
            </w:tcMar>
            <w:vAlign w:val="center"/>
          </w:tcPr>
          <w:p>
            <w:pPr>
              <w:pStyle w:val="105"/>
              <w:widowControl w:val="0"/>
              <w:jc w:val="center"/>
            </w:pPr>
          </w:p>
        </w:tc>
        <w:tc>
          <w:tcPr>
            <w:tcW w:w="703" w:type="pct"/>
            <w:tcMar>
              <w:left w:w="57" w:type="dxa"/>
              <w:right w:w="57" w:type="dxa"/>
            </w:tcMar>
            <w:vAlign w:val="center"/>
          </w:tcPr>
          <w:p>
            <w:pPr>
              <w:pStyle w:val="105"/>
              <w:widowControl w:val="0"/>
              <w:jc w:val="center"/>
            </w:pPr>
            <w:r>
              <w:t>生态环境调查/监测</w:t>
            </w:r>
          </w:p>
        </w:tc>
        <w:tc>
          <w:tcPr>
            <w:tcW w:w="939" w:type="pct"/>
            <w:tcMar>
              <w:left w:w="57" w:type="dxa"/>
              <w:right w:w="57" w:type="dxa"/>
            </w:tcMar>
            <w:vAlign w:val="center"/>
          </w:tcPr>
          <w:p>
            <w:pPr>
              <w:pStyle w:val="105"/>
              <w:widowControl w:val="0"/>
              <w:jc w:val="center"/>
            </w:pPr>
            <w:r>
              <w:t>植被占用、土地利用、水土流失等</w:t>
            </w:r>
          </w:p>
        </w:tc>
        <w:tc>
          <w:tcPr>
            <w:tcW w:w="2106" w:type="pct"/>
            <w:tcMar>
              <w:left w:w="57" w:type="dxa"/>
              <w:right w:w="57" w:type="dxa"/>
            </w:tcMar>
            <w:vAlign w:val="center"/>
          </w:tcPr>
          <w:p>
            <w:pPr>
              <w:pStyle w:val="105"/>
              <w:widowControl w:val="0"/>
              <w:jc w:val="center"/>
            </w:pPr>
            <w:r>
              <w:t>施工场地等临时占地；路堑开挖面、路基填筑面；土石方转运情况</w:t>
            </w:r>
          </w:p>
        </w:tc>
        <w:tc>
          <w:tcPr>
            <w:tcW w:w="941" w:type="pct"/>
            <w:tcMar>
              <w:left w:w="57" w:type="dxa"/>
              <w:right w:w="57" w:type="dxa"/>
            </w:tcMar>
            <w:vAlign w:val="center"/>
          </w:tcPr>
          <w:p>
            <w:pPr>
              <w:pStyle w:val="105"/>
              <w:widowControl w:val="0"/>
              <w:jc w:val="center"/>
            </w:pPr>
            <w:r>
              <w:t>1次/季或随机监测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1" w:type="pct"/>
            <w:tcMar>
              <w:left w:w="57" w:type="dxa"/>
              <w:right w:w="57" w:type="dxa"/>
            </w:tcMar>
            <w:vAlign w:val="center"/>
          </w:tcPr>
          <w:p>
            <w:pPr>
              <w:pStyle w:val="105"/>
              <w:widowControl w:val="0"/>
              <w:jc w:val="center"/>
            </w:pPr>
            <w:r>
              <w:t>运营期</w:t>
            </w:r>
          </w:p>
        </w:tc>
        <w:tc>
          <w:tcPr>
            <w:tcW w:w="703" w:type="pct"/>
            <w:tcMar>
              <w:left w:w="57" w:type="dxa"/>
              <w:right w:w="57" w:type="dxa"/>
            </w:tcMar>
            <w:vAlign w:val="center"/>
          </w:tcPr>
          <w:p>
            <w:pPr>
              <w:pStyle w:val="105"/>
              <w:widowControl w:val="0"/>
              <w:jc w:val="center"/>
            </w:pPr>
            <w:r>
              <w:t>声环境</w:t>
            </w:r>
          </w:p>
        </w:tc>
        <w:tc>
          <w:tcPr>
            <w:tcW w:w="939" w:type="pct"/>
            <w:tcMar>
              <w:left w:w="57" w:type="dxa"/>
              <w:right w:w="57" w:type="dxa"/>
            </w:tcMar>
            <w:vAlign w:val="center"/>
          </w:tcPr>
          <w:p>
            <w:pPr>
              <w:pStyle w:val="105"/>
              <w:widowControl w:val="0"/>
              <w:jc w:val="center"/>
            </w:pPr>
            <w:r>
              <w:t>等效声级Leq</w:t>
            </w:r>
          </w:p>
        </w:tc>
        <w:tc>
          <w:tcPr>
            <w:tcW w:w="2106" w:type="pct"/>
            <w:tcMar>
              <w:left w:w="57" w:type="dxa"/>
              <w:right w:w="57" w:type="dxa"/>
            </w:tcMar>
            <w:vAlign w:val="center"/>
          </w:tcPr>
          <w:p>
            <w:pPr>
              <w:pStyle w:val="105"/>
              <w:widowControl w:val="0"/>
              <w:jc w:val="center"/>
            </w:pPr>
            <w:r>
              <w:t>线路沿线的敏感目标，运营中期预留资金跟踪监测</w:t>
            </w:r>
          </w:p>
        </w:tc>
        <w:tc>
          <w:tcPr>
            <w:tcW w:w="941" w:type="pct"/>
            <w:tcMar>
              <w:left w:w="57" w:type="dxa"/>
              <w:right w:w="57" w:type="dxa"/>
            </w:tcMar>
            <w:vAlign w:val="center"/>
          </w:tcPr>
          <w:p>
            <w:pPr>
              <w:pStyle w:val="105"/>
              <w:widowControl w:val="0"/>
              <w:jc w:val="center"/>
            </w:pPr>
            <w:r>
              <w:t>按照实际情况不定期抽测</w:t>
            </w:r>
          </w:p>
        </w:tc>
      </w:tr>
    </w:tbl>
    <w:p>
      <w:pPr>
        <w:pStyle w:val="120"/>
        <w:rPr>
          <w:color w:val="auto"/>
        </w:rPr>
      </w:pPr>
      <w:r>
        <w:rPr>
          <w:color w:val="auto"/>
        </w:rPr>
        <w:t>监测报告制度</w:t>
      </w:r>
    </w:p>
    <w:p>
      <w:pPr>
        <w:ind w:firstLine="480"/>
      </w:pPr>
      <w:r>
        <w:rPr>
          <w:rFonts w:hint="eastAsia"/>
        </w:rPr>
        <w:t>环境监测数据对以后的环境管理有着重要的价值，通过这些数据可以看出以后的环境质量变化是否与预期结果相符，为今后制订或修改环境管理措施提供科学依据，建立环境监测数据的档案管理和数据库管理，编写环境监测分析评价报告。具体要求如下：</w:t>
      </w:r>
    </w:p>
    <w:p>
      <w:pPr>
        <w:ind w:firstLine="480"/>
      </w:pPr>
      <w:r>
        <w:rPr>
          <w:rFonts w:hint="eastAsia"/>
        </w:rPr>
        <w:t>（1）报告内容：原始数据（包括参数、监测点、监测时间和监测的环境条件、监测单位）、统计数据、环境质量分析与评价、责任签字。</w:t>
      </w:r>
    </w:p>
    <w:p>
      <w:pPr>
        <w:ind w:firstLine="480"/>
      </w:pPr>
      <w:r>
        <w:rPr>
          <w:rFonts w:hint="eastAsia"/>
        </w:rPr>
        <w:t>（2）报告频率：每季度提交一份综合报告、每年提交一份总报告。</w:t>
      </w:r>
    </w:p>
    <w:p>
      <w:pPr>
        <w:pStyle w:val="67"/>
        <w:numPr>
          <w:ilvl w:val="4"/>
          <w:numId w:val="0"/>
        </w:numPr>
        <w:tabs>
          <w:tab w:val="left" w:pos="1488"/>
        </w:tabs>
        <w:ind w:firstLine="468" w:firstLineChars="200"/>
        <w:rPr>
          <w:rFonts w:ascii="Times New Roman" w:hAnsi="Times New Roman" w:cs="Times New Roman"/>
          <w:spacing w:val="-3"/>
        </w:rPr>
        <w:sectPr>
          <w:pgSz w:w="11910" w:h="16840"/>
          <w:pgMar w:top="1418" w:right="1418" w:bottom="1418" w:left="1418" w:header="851" w:footer="851" w:gutter="0"/>
          <w:cols w:space="720" w:num="1"/>
        </w:sectPr>
      </w:pPr>
      <w:bookmarkStart w:id="646" w:name="8.4人员培训计划"/>
      <w:bookmarkEnd w:id="646"/>
      <w:bookmarkStart w:id="647" w:name="8.3工程环境监理计划"/>
      <w:bookmarkEnd w:id="647"/>
    </w:p>
    <w:p>
      <w:pPr>
        <w:pStyle w:val="114"/>
      </w:pPr>
      <w:bookmarkStart w:id="648" w:name="9环境影响评价结论"/>
      <w:bookmarkEnd w:id="648"/>
      <w:bookmarkStart w:id="649" w:name="_Toc159405500"/>
      <w:bookmarkStart w:id="650" w:name="_Toc30429"/>
      <w:bookmarkStart w:id="651" w:name="_Toc204676272"/>
      <w:bookmarkStart w:id="652" w:name="_Hlk195520999"/>
      <w:r>
        <w:t>环境影响评价结论</w:t>
      </w:r>
      <w:bookmarkEnd w:id="649"/>
      <w:bookmarkEnd w:id="650"/>
      <w:bookmarkEnd w:id="651"/>
    </w:p>
    <w:p>
      <w:pPr>
        <w:pStyle w:val="116"/>
      </w:pPr>
      <w:bookmarkStart w:id="653" w:name="9.1建设项目概况"/>
      <w:bookmarkEnd w:id="653"/>
      <w:bookmarkStart w:id="654" w:name="_Toc146525005"/>
      <w:bookmarkStart w:id="655" w:name="_Toc154668078"/>
      <w:bookmarkStart w:id="656" w:name="_Toc204676273"/>
      <w:bookmarkStart w:id="657" w:name="_Toc159405501"/>
      <w:bookmarkStart w:id="658" w:name="_Toc153957857"/>
      <w:bookmarkStart w:id="659" w:name="_Toc113303424"/>
      <w:r>
        <w:rPr>
          <w:rFonts w:hint="eastAsia"/>
        </w:rPr>
        <w:t>建设项目概况</w:t>
      </w:r>
      <w:bookmarkEnd w:id="654"/>
      <w:bookmarkEnd w:id="655"/>
      <w:bookmarkEnd w:id="656"/>
      <w:bookmarkEnd w:id="657"/>
      <w:bookmarkEnd w:id="658"/>
      <w:bookmarkEnd w:id="659"/>
    </w:p>
    <w:p>
      <w:pPr>
        <w:ind w:firstLine="480"/>
      </w:pPr>
      <w:r>
        <w:rPr>
          <w:rFonts w:hint="eastAsia" w:cs="Times New Roman"/>
          <w:szCs w:val="24"/>
        </w:rPr>
        <w:t>黄檗山万福寺旅游公路</w:t>
      </w:r>
      <w:r>
        <w:rPr>
          <w:rFonts w:cs="Times New Roman"/>
          <w:lang w:val="zh-CN"/>
        </w:rPr>
        <w:t>位于</w:t>
      </w:r>
      <w:r>
        <w:rPr>
          <w:rFonts w:hint="eastAsia" w:cs="Times New Roman"/>
          <w:lang w:val="zh-CN"/>
        </w:rPr>
        <w:t>福清市</w:t>
      </w:r>
      <w:r>
        <w:rPr>
          <w:rFonts w:hint="eastAsia" w:cs="Times New Roman"/>
          <w:shd w:val="clear" w:color="auto" w:fill="FFFFFF"/>
        </w:rPr>
        <w:t>上迳镇、渔溪镇</w:t>
      </w:r>
      <w:r>
        <w:rPr>
          <w:rFonts w:cs="Times New Roman"/>
          <w:lang w:val="zh-CN"/>
        </w:rPr>
        <w:t>，</w:t>
      </w:r>
      <w:r>
        <w:rPr>
          <w:rFonts w:hint="eastAsia" w:cs="Times New Roman"/>
          <w:shd w:val="clear" w:color="auto" w:fill="FFFFFF"/>
        </w:rPr>
        <w:t>起于上迳镇牌边村，起点与G324平交，自东向西下穿福厦高铁（下穿段落已完工）后，新建桥梁跨越沈海高速，经溪北、木厝洋、三落厝后，终点至黄檗山万福寺，设置接线接入规划黄檗文化产业园。</w:t>
      </w:r>
      <w:r>
        <w:rPr>
          <w:rFonts w:hint="eastAsia"/>
        </w:rPr>
        <w:t>路线全长5.200km，其中主线5.110km（含下穿福厦高铁段落），接线0.090km。桥梁589.5m/2座（含终点接线桥</w:t>
      </w:r>
      <w:r>
        <w:t>37</w:t>
      </w:r>
      <w:r>
        <w:rPr>
          <w:rFonts w:hint="eastAsia"/>
        </w:rPr>
        <w:t>m/1座），涵洞</w:t>
      </w:r>
      <w:r>
        <w:t>28</w:t>
      </w:r>
      <w:r>
        <w:rPr>
          <w:rFonts w:hint="eastAsia"/>
        </w:rPr>
        <w:t>道，按设计速度60km/h、路基宽12m、双向二车道的二级公路标准建设。</w:t>
      </w:r>
      <w:r>
        <w:t>项目主要建设内容包括</w:t>
      </w:r>
      <w:r>
        <w:rPr>
          <w:rFonts w:hint="eastAsia"/>
        </w:rPr>
        <w:t>公路</w:t>
      </w:r>
      <w:r>
        <w:t>工程、</w:t>
      </w:r>
      <w:r>
        <w:rPr>
          <w:rFonts w:hint="eastAsia"/>
        </w:rPr>
        <w:t>桥梁</w:t>
      </w:r>
      <w:r>
        <w:t>工程、涵洞工程、绿化工程等。</w:t>
      </w:r>
    </w:p>
    <w:p>
      <w:pPr>
        <w:ind w:firstLine="480"/>
      </w:pPr>
      <w:r>
        <w:rPr>
          <w:rFonts w:hint="eastAsia"/>
        </w:rPr>
        <w:t>项目</w:t>
      </w:r>
      <w:r>
        <w:t>投资27556.8万元</w:t>
      </w:r>
      <w:r>
        <w:rPr>
          <w:rFonts w:cs="Times New Roman"/>
          <w:szCs w:val="24"/>
        </w:rPr>
        <w:t>，</w:t>
      </w:r>
      <w:r>
        <w:rPr>
          <w:rFonts w:hint="eastAsia"/>
        </w:rPr>
        <w:t>其中环保投资为</w:t>
      </w:r>
      <w:r>
        <w:t>321</w:t>
      </w:r>
      <w:r>
        <w:rPr>
          <w:rFonts w:hint="eastAsia"/>
        </w:rPr>
        <w:t>万元，总工期约为</w:t>
      </w:r>
      <w:r>
        <w:t>18</w:t>
      </w:r>
      <w:r>
        <w:rPr>
          <w:rFonts w:hint="eastAsia"/>
        </w:rPr>
        <w:t>个月。</w:t>
      </w:r>
    </w:p>
    <w:p>
      <w:pPr>
        <w:pStyle w:val="116"/>
      </w:pPr>
      <w:bookmarkStart w:id="660" w:name="_Toc204676274"/>
      <w:bookmarkStart w:id="661" w:name="_Toc113303425"/>
      <w:bookmarkStart w:id="662" w:name="_Toc153957858"/>
      <w:bookmarkStart w:id="663" w:name="_Toc146525006"/>
      <w:bookmarkStart w:id="664" w:name="_Toc154668079"/>
      <w:bookmarkStart w:id="665" w:name="_Toc159405502"/>
      <w:r>
        <w:rPr>
          <w:rFonts w:hint="eastAsia"/>
        </w:rPr>
        <w:t>环境质量现状</w:t>
      </w:r>
      <w:r>
        <w:t>评价结论</w:t>
      </w:r>
      <w:bookmarkEnd w:id="660"/>
      <w:bookmarkEnd w:id="661"/>
      <w:bookmarkEnd w:id="662"/>
      <w:bookmarkEnd w:id="663"/>
      <w:bookmarkEnd w:id="664"/>
      <w:bookmarkEnd w:id="665"/>
    </w:p>
    <w:p>
      <w:pPr>
        <w:ind w:firstLine="480"/>
        <w:rPr>
          <w:shd w:val="clear" w:color="auto" w:fill="FFFFFF"/>
        </w:rPr>
      </w:pPr>
      <w:bookmarkStart w:id="666" w:name="_Hlk195520925"/>
      <w:r>
        <w:rPr>
          <w:rFonts w:hint="eastAsia"/>
          <w:shd w:val="clear" w:color="auto" w:fill="FFFFFF"/>
        </w:rPr>
        <w:t>（1）</w:t>
      </w:r>
      <w:bookmarkStart w:id="667" w:name="_Hlk146012860"/>
      <w:r>
        <w:rPr>
          <w:rFonts w:hint="eastAsia"/>
          <w:shd w:val="clear" w:color="auto" w:fill="FFFFFF"/>
        </w:rPr>
        <w:t>环境空气</w:t>
      </w:r>
      <w:r>
        <w:t>质量现状</w:t>
      </w:r>
      <w:r>
        <w:rPr>
          <w:rFonts w:hint="eastAsia"/>
          <w:shd w:val="clear" w:color="auto" w:fill="FFFFFF"/>
        </w:rPr>
        <w:t>：</w:t>
      </w:r>
      <w:bookmarkStart w:id="668" w:name="_Hlk153225495"/>
      <w:bookmarkStart w:id="669" w:name="_Hlk89349742"/>
      <w:r>
        <w:rPr>
          <w:rFonts w:hint="eastAsia" w:cs="Times New Roman"/>
        </w:rPr>
        <w:t>福清市</w:t>
      </w:r>
      <w:r>
        <w:rPr>
          <w:rFonts w:hint="eastAsia"/>
        </w:rPr>
        <w:t>202</w:t>
      </w:r>
      <w:r>
        <w:t>4</w:t>
      </w:r>
      <w:r>
        <w:rPr>
          <w:rFonts w:hint="eastAsia"/>
        </w:rPr>
        <w:t>年</w:t>
      </w:r>
      <w:r>
        <w:rPr>
          <w:shd w:val="clear" w:color="auto" w:fill="FFFFFF"/>
        </w:rPr>
        <w:t>SO</w:t>
      </w:r>
      <w:r>
        <w:rPr>
          <w:shd w:val="clear" w:color="auto" w:fill="FFFFFF"/>
          <w:vertAlign w:val="subscript"/>
        </w:rPr>
        <w:t>2</w:t>
      </w:r>
      <w:r>
        <w:rPr>
          <w:shd w:val="clear" w:color="auto" w:fill="FFFFFF"/>
        </w:rPr>
        <w:t>、NO</w:t>
      </w:r>
      <w:r>
        <w:rPr>
          <w:shd w:val="clear" w:color="auto" w:fill="FFFFFF"/>
          <w:vertAlign w:val="subscript"/>
        </w:rPr>
        <w:t>2</w:t>
      </w:r>
      <w:r>
        <w:rPr>
          <w:shd w:val="clear" w:color="auto" w:fill="FFFFFF"/>
        </w:rPr>
        <w:t>、PM</w:t>
      </w:r>
      <w:r>
        <w:rPr>
          <w:shd w:val="clear" w:color="auto" w:fill="FFFFFF"/>
          <w:vertAlign w:val="subscript"/>
        </w:rPr>
        <w:t>10</w:t>
      </w:r>
      <w:r>
        <w:rPr>
          <w:shd w:val="clear" w:color="auto" w:fill="FFFFFF"/>
        </w:rPr>
        <w:t>、PM</w:t>
      </w:r>
      <w:r>
        <w:rPr>
          <w:shd w:val="clear" w:color="auto" w:fill="FFFFFF"/>
          <w:vertAlign w:val="subscript"/>
        </w:rPr>
        <w:t>2.5</w:t>
      </w:r>
      <w:r>
        <w:rPr>
          <w:rFonts w:hint="eastAsia"/>
          <w:shd w:val="clear" w:color="auto" w:fill="FFFFFF"/>
        </w:rPr>
        <w:t>、</w:t>
      </w:r>
      <w:r>
        <w:rPr>
          <w:shd w:val="clear" w:color="auto" w:fill="FFFFFF"/>
        </w:rPr>
        <w:t>CO</w:t>
      </w:r>
      <w:r>
        <w:rPr>
          <w:rFonts w:hint="eastAsia"/>
          <w:shd w:val="clear" w:color="auto" w:fill="FFFFFF"/>
        </w:rPr>
        <w:t>、</w:t>
      </w:r>
      <w:r>
        <w:rPr>
          <w:shd w:val="clear" w:color="auto" w:fill="FFFFFF"/>
        </w:rPr>
        <w:t>O</w:t>
      </w:r>
      <w:r>
        <w:rPr>
          <w:shd w:val="clear" w:color="auto" w:fill="FFFFFF"/>
          <w:vertAlign w:val="subscript"/>
        </w:rPr>
        <w:t>3</w:t>
      </w:r>
      <w:r>
        <w:rPr>
          <w:rFonts w:hint="eastAsia"/>
          <w:shd w:val="clear" w:color="auto" w:fill="FFFFFF"/>
        </w:rPr>
        <w:t>等</w:t>
      </w:r>
      <w:r>
        <w:rPr>
          <w:shd w:val="clear" w:color="auto" w:fill="FFFFFF"/>
        </w:rPr>
        <w:t>各污染物平均浓度均优于《环境空气质量标准》（GB3095-2012）中二级标准限值。项目所在地环境空气质量为达标区。</w:t>
      </w:r>
      <w:bookmarkEnd w:id="667"/>
      <w:bookmarkEnd w:id="668"/>
    </w:p>
    <w:bookmarkEnd w:id="669"/>
    <w:p>
      <w:pPr>
        <w:ind w:firstLine="480"/>
      </w:pPr>
      <w:r>
        <w:rPr>
          <w:rFonts w:hint="eastAsia"/>
        </w:rPr>
        <w:t>（</w:t>
      </w:r>
      <w:r>
        <w:t>2</w:t>
      </w:r>
      <w:r>
        <w:rPr>
          <w:rFonts w:hint="eastAsia"/>
        </w:rPr>
        <w:t>）</w:t>
      </w:r>
      <w:r>
        <w:t>声环境质量现状</w:t>
      </w:r>
      <w:r>
        <w:rPr>
          <w:rFonts w:hint="eastAsia"/>
        </w:rPr>
        <w:t>：</w:t>
      </w:r>
      <w:bookmarkStart w:id="670" w:name="_Hlk153225276"/>
      <w:bookmarkStart w:id="671" w:name="_Hlk179402509"/>
      <w:bookmarkStart w:id="672" w:name="_Hlk146026449"/>
      <w:r>
        <w:rPr>
          <w:rFonts w:hint="eastAsia"/>
        </w:rPr>
        <w:t>目前区域内主要声源为交通噪声、生活噪声。由下表可知，起点G</w:t>
      </w:r>
      <w:r>
        <w:t>324</w:t>
      </w:r>
      <w:r>
        <w:rPr>
          <w:rFonts w:hint="eastAsia"/>
        </w:rPr>
        <w:t>国道交通噪声水平断面调查结果昼间2</w:t>
      </w:r>
      <w:r>
        <w:t>0</w:t>
      </w:r>
      <w:r>
        <w:rPr>
          <w:rFonts w:hint="eastAsia"/>
        </w:rPr>
        <w:t>m、4</w:t>
      </w:r>
      <w:r>
        <w:t>0</w:t>
      </w:r>
      <w:r>
        <w:rPr>
          <w:rFonts w:hint="eastAsia"/>
        </w:rPr>
        <w:t>m能满足4a类标准，昼间0m和夜间均超4a类标准，超标主要原因为国道车流量大，大型车多；</w:t>
      </w:r>
      <w:r>
        <w:t>声环境质量现状评价</w:t>
      </w:r>
      <w:r>
        <w:rPr>
          <w:rFonts w:hint="eastAsia"/>
        </w:rPr>
        <w:t>：目前区域内主要声源为生活噪声和交通噪声。根据监测结果表明：评价区敏感目标除临现状G</w:t>
      </w:r>
      <w:r>
        <w:t>324</w:t>
      </w:r>
      <w:r>
        <w:rPr>
          <w:rFonts w:hint="eastAsia"/>
        </w:rPr>
        <w:t>国道一侧外，其他敏感目标声环境质量现状较好，能够达到4a类、2类标准，没有出现超标现象，总体上区域声环境质量状况较好。但G</w:t>
      </w:r>
      <w:r>
        <w:t>324</w:t>
      </w:r>
      <w:r>
        <w:rPr>
          <w:rFonts w:hint="eastAsia"/>
        </w:rPr>
        <w:t>国道一侧牌边村第一排受国道交通噪声影响，昼夜均出现超标现象。</w:t>
      </w:r>
      <w:bookmarkEnd w:id="670"/>
      <w:bookmarkEnd w:id="671"/>
      <w:bookmarkEnd w:id="672"/>
    </w:p>
    <w:p>
      <w:pPr>
        <w:ind w:firstLine="480"/>
      </w:pPr>
      <w:r>
        <w:rPr>
          <w:rFonts w:hint="eastAsia"/>
        </w:rPr>
        <w:t>（3）地表水环境现状：</w:t>
      </w:r>
      <w:r>
        <w:rPr>
          <w:rFonts w:hint="eastAsia"/>
          <w:lang w:val="zh-CN"/>
        </w:rPr>
        <w:t>迳江水质符合《地表水环境质量标准》（GB3838-2002）中Ⅲ类水质标准限值要求，</w:t>
      </w:r>
      <w:r>
        <w:t>表明项目周边水体水质现状良好。</w:t>
      </w:r>
    </w:p>
    <w:p>
      <w:pPr>
        <w:ind w:firstLine="480"/>
      </w:pPr>
      <w:r>
        <w:rPr>
          <w:rFonts w:hint="eastAsia"/>
        </w:rPr>
        <w:t>（</w:t>
      </w:r>
      <w:r>
        <w:t>4</w:t>
      </w:r>
      <w:r>
        <w:rPr>
          <w:rFonts w:hint="eastAsia"/>
        </w:rPr>
        <w:t>）生态环境现状</w:t>
      </w:r>
    </w:p>
    <w:p>
      <w:pPr>
        <w:ind w:firstLine="480"/>
      </w:pPr>
      <w:bookmarkStart w:id="673" w:name="_Hlk89350025"/>
      <w:bookmarkStart w:id="674" w:name="_Hlk146013465"/>
      <w:r>
        <w:rPr>
          <w:rFonts w:hint="eastAsia"/>
        </w:rPr>
        <w:t>生态系统类型：评价区主要生态系统有森林生态系统、城镇生态系统、农田生态系统、湿地生态系统、灌丛生态系统等。工程评价区范围内主要是农业生态系统占比</w:t>
      </w:r>
      <w:r>
        <w:t>50.07%</w:t>
      </w:r>
      <w:r>
        <w:rPr>
          <w:rFonts w:hint="eastAsia"/>
        </w:rPr>
        <w:t>，其次是森林生态系统占比</w:t>
      </w:r>
      <w:r>
        <w:t>25.5</w:t>
      </w:r>
      <w:r>
        <w:rPr>
          <w:rFonts w:hint="eastAsia"/>
        </w:rPr>
        <w:t>%和城镇生态系统占比</w:t>
      </w:r>
      <w:r>
        <w:t>14.79</w:t>
      </w:r>
      <w:r>
        <w:rPr>
          <w:rFonts w:hint="eastAsia"/>
        </w:rPr>
        <w:t>%，其他类型的生态系统类型面积较小。区域生态系统的主要功能为农业生态环境和水土保持等。</w:t>
      </w:r>
    </w:p>
    <w:p>
      <w:pPr>
        <w:ind w:firstLine="480"/>
      </w:pPr>
      <w:r>
        <w:rPr>
          <w:rFonts w:hint="eastAsia"/>
        </w:rPr>
        <w:t>生态系统的敏感性：从本项目沿线生态系统的敏感性来看，线路途经地段生态系统敏感性总体不是很高，但在局部有敏感区域，主要为涉及部分生态公益林用地。</w:t>
      </w:r>
    </w:p>
    <w:p>
      <w:pPr>
        <w:ind w:firstLine="480"/>
      </w:pPr>
      <w:r>
        <w:rPr>
          <w:rFonts w:hint="eastAsia"/>
        </w:rPr>
        <w:t>土地利用现状：</w:t>
      </w:r>
      <w:r>
        <w:t>主要分布有乔木林地、</w:t>
      </w:r>
      <w:r>
        <w:rPr>
          <w:rFonts w:hint="eastAsia"/>
        </w:rPr>
        <w:t>耕地、园地、</w:t>
      </w:r>
      <w:r>
        <w:t>公路用地等。</w:t>
      </w:r>
      <w:r>
        <w:rPr>
          <w:rFonts w:hint="eastAsia"/>
        </w:rPr>
        <w:t>工程评价区范围内主要用地类型为水田28.39</w:t>
      </w:r>
      <w:r>
        <w:t>%</w:t>
      </w:r>
      <w:r>
        <w:rPr>
          <w:rFonts w:hint="eastAsia"/>
        </w:rPr>
        <w:t>、</w:t>
      </w:r>
      <w:r>
        <w:t>乔木林地</w:t>
      </w:r>
      <w:r>
        <w:rPr>
          <w:rFonts w:hint="eastAsia"/>
        </w:rPr>
        <w:t>25.50</w:t>
      </w:r>
      <w:r>
        <w:t>%</w:t>
      </w:r>
      <w:r>
        <w:rPr>
          <w:rFonts w:hint="eastAsia"/>
        </w:rPr>
        <w:t>、园地15.7</w:t>
      </w:r>
      <w:r>
        <w:t>6%</w:t>
      </w:r>
      <w:r>
        <w:rPr>
          <w:rFonts w:hint="eastAsia"/>
        </w:rPr>
        <w:t>，其他类型的用地面积较小。</w:t>
      </w:r>
    </w:p>
    <w:p>
      <w:pPr>
        <w:ind w:firstLine="480"/>
        <w:rPr>
          <w:b/>
          <w:bCs/>
        </w:rPr>
      </w:pPr>
      <w:r>
        <w:t>沿线植被现状</w:t>
      </w:r>
      <w:r>
        <w:rPr>
          <w:rFonts w:hint="eastAsia"/>
        </w:rPr>
        <w:t>：拟建公路位于福清，属于南亚热带雨林植被带——闽粤沿海丘陵平原南亚热带雨林区——闽江口鹫峰山南部湿暖亚热带雨林小区及闽东南戴云山东部湿暖南亚热带雨林小区。项目沿线</w:t>
      </w:r>
      <w:r>
        <w:t>植被</w:t>
      </w:r>
      <w:r>
        <w:rPr>
          <w:rFonts w:hint="eastAsia"/>
        </w:rPr>
        <w:t>主要为</w:t>
      </w:r>
      <w:bookmarkStart w:id="675" w:name="_Hlk153224988"/>
      <w:r>
        <w:rPr>
          <w:rFonts w:hint="eastAsia"/>
        </w:rPr>
        <w:t>台湾相思、巨桉、马尾松、湿地松等，在水湿条件较好的湿地有水蓼、水龙草、短叶水蜈蚣草、白花鬼针草、野牡丹等，伴生草本以芒其为主，并有五节芒等</w:t>
      </w:r>
      <w:r>
        <w:t>。</w:t>
      </w:r>
    </w:p>
    <w:bookmarkEnd w:id="673"/>
    <w:p>
      <w:pPr>
        <w:ind w:firstLine="480"/>
      </w:pPr>
      <w:r>
        <w:rPr>
          <w:rFonts w:hint="eastAsia"/>
        </w:rPr>
        <w:t>野生动物现状：本项目周边评价区内，受当地居民的开垦和生产生活活动的影响，现状区位生境中活动的野生脊椎动物以鸟类最多，其他的野生脊椎动物的物种多样性及种群数量相对较小。</w:t>
      </w:r>
    </w:p>
    <w:bookmarkEnd w:id="675"/>
    <w:p>
      <w:pPr>
        <w:ind w:firstLine="480"/>
        <w:rPr>
          <w:szCs w:val="24"/>
        </w:rPr>
      </w:pPr>
      <w:bookmarkStart w:id="676" w:name="_Hlk153225003"/>
      <w:r>
        <w:rPr>
          <w:rFonts w:hint="eastAsia"/>
        </w:rPr>
        <w:t>生态敏感区：评价范围内不涉及</w:t>
      </w:r>
      <w:r>
        <w:rPr>
          <w:lang w:val="zh-CN"/>
        </w:rPr>
        <w:t>自然保护区、风景名胜区、世界文化和自然遗产地、</w:t>
      </w:r>
      <w:r>
        <w:rPr>
          <w:rFonts w:hint="eastAsia"/>
          <w:spacing w:val="-2"/>
        </w:rPr>
        <w:t>生态保护红线等敏感区，但线路</w:t>
      </w:r>
      <w:r>
        <w:rPr>
          <w:rFonts w:hint="eastAsia"/>
        </w:rPr>
        <w:t>占地涉及</w:t>
      </w:r>
      <w:r>
        <w:rPr>
          <w:rFonts w:hint="eastAsia"/>
          <w:lang w:eastAsia="zh-CN"/>
        </w:rPr>
        <w:t>二级</w:t>
      </w:r>
      <w:r>
        <w:rPr>
          <w:rFonts w:hint="eastAsia"/>
        </w:rPr>
        <w:t>生态公益林（</w:t>
      </w:r>
      <w:r>
        <w:t>0.5538</w:t>
      </w:r>
      <w:r>
        <w:rPr>
          <w:rFonts w:hint="eastAsia"/>
        </w:rPr>
        <w:t>hm</w:t>
      </w:r>
      <w:r>
        <w:rPr>
          <w:vertAlign w:val="superscript"/>
        </w:rPr>
        <w:t>2</w:t>
      </w:r>
      <w:r>
        <w:rPr>
          <w:rFonts w:hint="eastAsia"/>
        </w:rPr>
        <w:t>）。公路不涉及重要湿地，但涉及占用一般湿地（</w:t>
      </w:r>
      <w:r>
        <w:rPr>
          <w:rFonts w:cs="Times New Roman"/>
          <w:kern w:val="0"/>
          <w:szCs w:val="24"/>
          <w:lang w:val="zh-CN"/>
        </w:rPr>
        <w:t>9060</w:t>
      </w:r>
      <w:r>
        <w:rPr>
          <w:rFonts w:hint="eastAsia" w:cs="Times New Roman"/>
          <w:kern w:val="0"/>
          <w:szCs w:val="24"/>
          <w:lang w:val="zh-CN"/>
        </w:rPr>
        <w:t>m</w:t>
      </w:r>
      <w:r>
        <w:rPr>
          <w:rFonts w:cs="Times New Roman"/>
          <w:kern w:val="0"/>
          <w:szCs w:val="24"/>
          <w:vertAlign w:val="superscript"/>
          <w:lang w:val="zh-CN"/>
        </w:rPr>
        <w:t>2</w:t>
      </w:r>
      <w:r>
        <w:rPr>
          <w:rFonts w:hint="eastAsia"/>
        </w:rPr>
        <w:t>）。项目占地红线内没有挂牌的名木古树和野生珍贵树木，也无其他国家和省级重点保护的野生植物，亦无明显的重点保护野生动物栖息地，但</w:t>
      </w:r>
      <w:r>
        <w:rPr>
          <w:rFonts w:hint="eastAsia"/>
          <w:bCs/>
        </w:rPr>
        <w:t>线路两侧3</w:t>
      </w:r>
      <w:r>
        <w:rPr>
          <w:bCs/>
        </w:rPr>
        <w:t>00</w:t>
      </w:r>
      <w:r>
        <w:rPr>
          <w:rFonts w:hint="eastAsia"/>
          <w:bCs/>
        </w:rPr>
        <w:t>m评价范围内</w:t>
      </w:r>
      <w:r>
        <w:rPr>
          <w:rFonts w:hint="eastAsia"/>
        </w:rPr>
        <w:t>有</w:t>
      </w:r>
      <w:r>
        <w:t>8</w:t>
      </w:r>
      <w:r>
        <w:rPr>
          <w:rFonts w:hint="eastAsia"/>
        </w:rPr>
        <w:t>株古树，距离项目较远</w:t>
      </w:r>
      <w:r>
        <w:rPr>
          <w:szCs w:val="24"/>
        </w:rPr>
        <w:t>。</w:t>
      </w:r>
      <w:bookmarkEnd w:id="666"/>
      <w:bookmarkEnd w:id="674"/>
      <w:bookmarkEnd w:id="676"/>
    </w:p>
    <w:p>
      <w:pPr>
        <w:pStyle w:val="116"/>
      </w:pPr>
      <w:bookmarkStart w:id="677" w:name="_Toc153957859"/>
      <w:bookmarkStart w:id="678" w:name="_Toc159405503"/>
      <w:bookmarkStart w:id="679" w:name="_Toc154668080"/>
      <w:bookmarkStart w:id="680" w:name="_Toc146525007"/>
      <w:bookmarkStart w:id="681" w:name="_Toc204676275"/>
      <w:r>
        <w:rPr>
          <w:rFonts w:hint="eastAsia"/>
        </w:rPr>
        <w:t>环境影响评价结论</w:t>
      </w:r>
      <w:bookmarkEnd w:id="677"/>
      <w:bookmarkEnd w:id="678"/>
      <w:bookmarkEnd w:id="679"/>
      <w:bookmarkEnd w:id="680"/>
      <w:bookmarkEnd w:id="681"/>
    </w:p>
    <w:p>
      <w:pPr>
        <w:pStyle w:val="120"/>
        <w:rPr>
          <w:color w:val="auto"/>
        </w:rPr>
      </w:pPr>
      <w:r>
        <w:rPr>
          <w:rFonts w:hint="eastAsia"/>
          <w:color w:val="auto"/>
        </w:rPr>
        <w:t>生态影响结论</w:t>
      </w:r>
    </w:p>
    <w:p>
      <w:pPr>
        <w:ind w:firstLine="480"/>
      </w:pPr>
      <w:bookmarkStart w:id="682" w:name="_Hlk146013514"/>
      <w:r>
        <w:rPr>
          <w:rFonts w:hint="eastAsia"/>
        </w:rPr>
        <w:t>（1）土地利用影响分析结论</w:t>
      </w:r>
    </w:p>
    <w:p>
      <w:pPr>
        <w:ind w:firstLine="480"/>
      </w:pPr>
      <w:bookmarkStart w:id="683" w:name="_Hlk153225026"/>
      <w:r>
        <w:rPr>
          <w:rFonts w:hint="eastAsia"/>
        </w:rPr>
        <w:t>本项目主体工程占地面积</w:t>
      </w:r>
      <w:r>
        <w:rPr>
          <w:spacing w:val="-7"/>
        </w:rPr>
        <w:t>1</w:t>
      </w:r>
      <w:r>
        <w:rPr>
          <w:rFonts w:hint="eastAsia"/>
          <w:spacing w:val="-7"/>
        </w:rPr>
        <w:t>4.</w:t>
      </w:r>
      <w:r>
        <w:rPr>
          <w:spacing w:val="-7"/>
        </w:rPr>
        <w:t>6617</w:t>
      </w:r>
      <w:r>
        <w:rPr>
          <w:rFonts w:hint="eastAsia"/>
          <w:spacing w:val="-7"/>
        </w:rPr>
        <w:t>hm</w:t>
      </w:r>
      <w:r>
        <w:rPr>
          <w:spacing w:val="-7"/>
          <w:vertAlign w:val="superscript"/>
        </w:rPr>
        <w:t>2</w:t>
      </w:r>
      <w:r>
        <w:rPr>
          <w:rFonts w:hint="eastAsia"/>
        </w:rPr>
        <w:t>，其中</w:t>
      </w:r>
      <w:r>
        <w:rPr>
          <w:kern w:val="0"/>
          <w:szCs w:val="24"/>
          <w:lang w:val="zh-CN"/>
        </w:rPr>
        <w:t>耕地</w:t>
      </w:r>
      <w:r>
        <w:rPr>
          <w:rFonts w:hint="eastAsia"/>
        </w:rPr>
        <w:t>4</w:t>
      </w:r>
      <w:r>
        <w:t>.424</w:t>
      </w:r>
      <w:r>
        <w:rPr>
          <w:rFonts w:hint="eastAsia"/>
        </w:rPr>
        <w:t>hm</w:t>
      </w:r>
      <w:r>
        <w:rPr>
          <w:rFonts w:hint="eastAsia"/>
          <w:vertAlign w:val="superscript"/>
        </w:rPr>
        <w:t>2</w:t>
      </w:r>
      <w:r>
        <w:rPr>
          <w:rFonts w:hint="eastAsia"/>
          <w:kern w:val="0"/>
          <w:szCs w:val="24"/>
        </w:rPr>
        <w:t>，</w:t>
      </w:r>
      <w:r>
        <w:rPr>
          <w:kern w:val="0"/>
          <w:szCs w:val="24"/>
          <w:lang w:val="zh-CN"/>
        </w:rPr>
        <w:t>林地</w:t>
      </w:r>
      <w:r>
        <w:rPr>
          <w:rFonts w:hint="eastAsia"/>
        </w:rPr>
        <w:t>4</w:t>
      </w:r>
      <w:r>
        <w:t>.487</w:t>
      </w:r>
      <w:r>
        <w:rPr>
          <w:rFonts w:hint="eastAsia"/>
        </w:rPr>
        <w:t>hm</w:t>
      </w:r>
      <w:r>
        <w:rPr>
          <w:rFonts w:hint="eastAsia"/>
          <w:vertAlign w:val="superscript"/>
        </w:rPr>
        <w:t>2</w:t>
      </w:r>
      <w:r>
        <w:rPr>
          <w:kern w:val="0"/>
          <w:szCs w:val="24"/>
          <w:lang w:val="zh-CN"/>
        </w:rPr>
        <w:t>、园地</w:t>
      </w:r>
      <w:r>
        <w:rPr>
          <w:rFonts w:hint="eastAsia"/>
        </w:rPr>
        <w:t>2</w:t>
      </w:r>
      <w:r>
        <w:t>.6056</w:t>
      </w:r>
      <w:r>
        <w:rPr>
          <w:rFonts w:hint="eastAsia"/>
        </w:rPr>
        <w:t>hm</w:t>
      </w:r>
      <w:r>
        <w:rPr>
          <w:rFonts w:hint="eastAsia"/>
          <w:vertAlign w:val="superscript"/>
        </w:rPr>
        <w:t>2</w:t>
      </w:r>
      <w:r>
        <w:rPr>
          <w:kern w:val="0"/>
          <w:szCs w:val="24"/>
          <w:lang w:val="zh-CN"/>
        </w:rPr>
        <w:t>、</w:t>
      </w:r>
      <w:r>
        <w:rPr>
          <w:rFonts w:hint="eastAsia"/>
          <w:kern w:val="0"/>
          <w:szCs w:val="24"/>
          <w:lang w:val="zh-CN"/>
        </w:rPr>
        <w:t>草地</w:t>
      </w:r>
      <w:r>
        <w:rPr>
          <w:rFonts w:hint="eastAsia"/>
        </w:rPr>
        <w:t>0</w:t>
      </w:r>
      <w:r>
        <w:t>.5844</w:t>
      </w:r>
      <w:r>
        <w:rPr>
          <w:rFonts w:hint="eastAsia"/>
        </w:rPr>
        <w:t xml:space="preserve"> hm</w:t>
      </w:r>
      <w:r>
        <w:rPr>
          <w:rFonts w:hint="eastAsia"/>
          <w:vertAlign w:val="superscript"/>
        </w:rPr>
        <w:t>2</w:t>
      </w:r>
      <w:r>
        <w:rPr>
          <w:kern w:val="0"/>
          <w:szCs w:val="24"/>
          <w:lang w:val="zh-CN"/>
        </w:rPr>
        <w:t>、其他农用地</w:t>
      </w:r>
      <w:r>
        <w:rPr>
          <w:rFonts w:hint="eastAsia"/>
        </w:rPr>
        <w:t>1</w:t>
      </w:r>
      <w:r>
        <w:t>.052</w:t>
      </w:r>
      <w:r>
        <w:rPr>
          <w:rFonts w:hint="eastAsia"/>
        </w:rPr>
        <w:t>hm</w:t>
      </w:r>
      <w:r>
        <w:rPr>
          <w:rFonts w:hint="eastAsia"/>
          <w:vertAlign w:val="superscript"/>
        </w:rPr>
        <w:t>2</w:t>
      </w:r>
      <w:r>
        <w:rPr>
          <w:rFonts w:hint="eastAsia"/>
        </w:rPr>
        <w:t>、</w:t>
      </w:r>
      <w:r>
        <w:rPr>
          <w:kern w:val="0"/>
          <w:szCs w:val="24"/>
          <w:lang w:val="zh-CN"/>
        </w:rPr>
        <w:t>建设用地</w:t>
      </w:r>
      <w:r>
        <w:rPr>
          <w:rFonts w:hint="eastAsia"/>
        </w:rPr>
        <w:t>0</w:t>
      </w:r>
      <w:r>
        <w:t>.6581</w:t>
      </w:r>
      <w:r>
        <w:rPr>
          <w:rFonts w:hint="eastAsia"/>
        </w:rPr>
        <w:t>hm</w:t>
      </w:r>
      <w:r>
        <w:rPr>
          <w:rFonts w:hint="eastAsia"/>
          <w:vertAlign w:val="superscript"/>
        </w:rPr>
        <w:t>2</w:t>
      </w:r>
      <w:r>
        <w:rPr>
          <w:kern w:val="0"/>
          <w:szCs w:val="24"/>
        </w:rPr>
        <w:t>，</w:t>
      </w:r>
      <w:r>
        <w:rPr>
          <w:kern w:val="0"/>
          <w:szCs w:val="24"/>
          <w:lang w:val="zh-CN"/>
        </w:rPr>
        <w:t>未利用地</w:t>
      </w:r>
      <w:r>
        <w:rPr>
          <w:rFonts w:hint="eastAsia"/>
        </w:rPr>
        <w:t>0</w:t>
      </w:r>
      <w:r>
        <w:t>.8507</w:t>
      </w:r>
      <w:r>
        <w:rPr>
          <w:rFonts w:hint="eastAsia"/>
        </w:rPr>
        <w:t>hm</w:t>
      </w:r>
      <w:r>
        <w:rPr>
          <w:rFonts w:hint="eastAsia"/>
          <w:vertAlign w:val="superscript"/>
        </w:rPr>
        <w:t>2</w:t>
      </w:r>
      <w:r>
        <w:rPr>
          <w:rFonts w:hint="eastAsia"/>
        </w:rPr>
        <w:t>。</w:t>
      </w:r>
      <w:bookmarkStart w:id="684" w:name="_Hlk179402208"/>
      <w:r>
        <w:rPr>
          <w:rFonts w:hint="eastAsia"/>
        </w:rPr>
        <w:t>永久性占地的主要类型是林地、耕地，其次为园地，各类土地面积占直接影响区相应地类总量的比例都较小，因此，本公路的建设不会导致沿线土地利用结构发生重大改变。</w:t>
      </w:r>
      <w:bookmarkEnd w:id="684"/>
    </w:p>
    <w:p>
      <w:pPr>
        <w:ind w:firstLine="480"/>
      </w:pPr>
      <w:r>
        <w:rPr>
          <w:rFonts w:hint="eastAsia"/>
        </w:rPr>
        <w:t>施工临时占地新增面积为</w:t>
      </w:r>
      <w:r>
        <w:rPr>
          <w:spacing w:val="-7"/>
        </w:rPr>
        <w:t>0.69</w:t>
      </w:r>
      <w:r>
        <w:rPr>
          <w:spacing w:val="-6"/>
        </w:rPr>
        <w:t>hm²</w:t>
      </w:r>
      <w:r>
        <w:rPr>
          <w:rFonts w:hint="eastAsia"/>
          <w:bCs/>
          <w:szCs w:val="21"/>
        </w:rPr>
        <w:t>，</w:t>
      </w:r>
      <w:bookmarkStart w:id="685" w:name="_Hlk179402218"/>
      <w:r>
        <w:rPr>
          <w:rFonts w:hint="eastAsia"/>
        </w:rPr>
        <w:t>临时占用类型为草地、园地。临时性工程占地短期内将影响沿线土地的利用状况，施工结束后，随着生态补偿或生态恢复措施的实施，这一影响将逐渐减小或消失。</w:t>
      </w:r>
      <w:bookmarkEnd w:id="683"/>
      <w:bookmarkEnd w:id="685"/>
    </w:p>
    <w:p>
      <w:pPr>
        <w:ind w:firstLine="480"/>
      </w:pPr>
      <w:r>
        <w:rPr>
          <w:rFonts w:hint="eastAsia"/>
        </w:rPr>
        <w:t>（2）植被影响分析结论</w:t>
      </w:r>
    </w:p>
    <w:p>
      <w:pPr>
        <w:ind w:firstLine="480"/>
      </w:pPr>
      <w:bookmarkStart w:id="686" w:name="_Hlk179402301"/>
      <w:bookmarkStart w:id="687" w:name="_Hlk153225057"/>
      <w:r>
        <w:rPr>
          <w:rFonts w:hint="eastAsia"/>
        </w:rPr>
        <w:t>沿线主体工程占地导致植物生物量损失约</w:t>
      </w:r>
      <w:r>
        <w:t>671.76</w:t>
      </w:r>
      <w:r>
        <w:rPr>
          <w:rFonts w:hint="eastAsia"/>
        </w:rPr>
        <w:t>t，施工临时占地导致林地的生物量为</w:t>
      </w:r>
      <w:bookmarkEnd w:id="686"/>
      <w:r>
        <w:t>55.05</w:t>
      </w:r>
      <w:r>
        <w:rPr>
          <w:rFonts w:hint="eastAsia"/>
        </w:rPr>
        <w:t>t。</w:t>
      </w:r>
      <w:bookmarkStart w:id="688" w:name="_Hlk179402324"/>
      <w:r>
        <w:rPr>
          <w:rFonts w:hint="eastAsia"/>
        </w:rPr>
        <w:t>从植被分布现状调查结果看，项目直接影响的植被类型包括相思树、马尾松、湿地松、桉树、龙眼树林及灌草丛等。</w:t>
      </w:r>
      <w:bookmarkEnd w:id="688"/>
      <w:r>
        <w:rPr>
          <w:rFonts w:hint="eastAsia"/>
        </w:rPr>
        <w:t>工程永久占地将对这些地方的植被产生永久性的不可恢复破坏，植被失去生存环境，破坏不可逆，但</w:t>
      </w:r>
      <w:bookmarkStart w:id="689" w:name="_Hlk179402345"/>
      <w:r>
        <w:rPr>
          <w:rFonts w:hint="eastAsia"/>
        </w:rPr>
        <w:t>工程涉及植物均为常见、广布植被或人工植被，在项目区周边地区尚有大量分布，工程破坏不会造成区域物种灭绝或植被类型丧失，对区域总体的植物资源物种多样性和群落多样性影响不大。</w:t>
      </w:r>
      <w:bookmarkEnd w:id="689"/>
    </w:p>
    <w:bookmarkEnd w:id="687"/>
    <w:p>
      <w:pPr>
        <w:ind w:firstLine="480"/>
      </w:pPr>
      <w:r>
        <w:rPr>
          <w:rFonts w:hint="eastAsia"/>
        </w:rPr>
        <w:t>（3）沿线动物影响分析结论</w:t>
      </w:r>
    </w:p>
    <w:p>
      <w:pPr>
        <w:ind w:firstLine="480"/>
      </w:pPr>
      <w:bookmarkStart w:id="690" w:name="_Hlk153225081"/>
      <w:r>
        <w:rPr>
          <w:rFonts w:hint="eastAsia"/>
        </w:rPr>
        <w:t>本项目在施工期对野生动物的影响主要表现为施工人员的施工活动、生产活动对动物栖息地生境的干扰和破坏；施工机械噪声对动物的干扰；农用地路段的施工对两栖类和爬行类，特别是对两栖类动物小生境的影响较为显著。本项目的建设会对沿线动物的生存环境产生一定的干扰，但是对其生存及种群数量、种类影响很小。工程建成后，随着植被的逐渐恢复，生态环境的好转，人为干扰逐渐减少，许多外迁的动物会陆续回到原来的栖息地。</w:t>
      </w:r>
      <w:bookmarkEnd w:id="690"/>
    </w:p>
    <w:p>
      <w:pPr>
        <w:ind w:firstLine="480"/>
      </w:pPr>
      <w:r>
        <w:rPr>
          <w:rFonts w:hint="eastAsia"/>
        </w:rPr>
        <w:t>（</w:t>
      </w:r>
      <w:r>
        <w:t>4</w:t>
      </w:r>
      <w:r>
        <w:rPr>
          <w:rFonts w:hint="eastAsia"/>
        </w:rPr>
        <w:t>）</w:t>
      </w:r>
      <w:bookmarkStart w:id="691" w:name="_Hlk89374449"/>
      <w:r>
        <w:rPr>
          <w:rFonts w:hint="eastAsia"/>
        </w:rPr>
        <w:t>对生态系统影响分析</w:t>
      </w:r>
      <w:bookmarkEnd w:id="691"/>
      <w:r>
        <w:rPr>
          <w:rFonts w:hint="eastAsia"/>
        </w:rPr>
        <w:t>结论</w:t>
      </w:r>
    </w:p>
    <w:p>
      <w:pPr>
        <w:ind w:firstLine="480"/>
      </w:pPr>
      <w:bookmarkStart w:id="692" w:name="_Hlk153225113"/>
      <w:r>
        <w:rPr>
          <w:rFonts w:hint="eastAsia"/>
        </w:rPr>
        <w:t>在本次评价范围内，</w:t>
      </w:r>
      <w:bookmarkStart w:id="693" w:name="_Hlk179402379"/>
      <w:r>
        <w:rPr>
          <w:rFonts w:hint="eastAsia"/>
        </w:rPr>
        <w:t>生态系统主要类型为森林生态系统、农业生态系统，其次为城镇生态系统，区域森林生态系统主要功能为城市生态环境和水土保持</w:t>
      </w:r>
      <w:bookmarkEnd w:id="693"/>
      <w:r>
        <w:rPr>
          <w:rFonts w:hint="eastAsia"/>
        </w:rPr>
        <w:t>。虽然主体工程占地中林地所占比最大，但林地生态系统被拟建公路切割后，其斑块数量随生态系统被切割并没有明显增加的趋势，说明公路的建设基本上不会对林地生态系统的结构完整性产生影响。而且，</w:t>
      </w:r>
      <w:bookmarkStart w:id="694" w:name="_Hlk179402437"/>
      <w:r>
        <w:rPr>
          <w:rFonts w:hint="eastAsia"/>
        </w:rPr>
        <w:t>林地中湿地松、相思树、桉树等的优势度值相对较高，作为林地生态系统的控制性组分，其具有较强的阻抗能力和受到干扰后的恢复能力，因此，公路的建设亦不会对林地生态系统的稳定性产生影响。</w:t>
      </w:r>
      <w:bookmarkEnd w:id="694"/>
    </w:p>
    <w:bookmarkEnd w:id="692"/>
    <w:p>
      <w:pPr>
        <w:ind w:firstLine="480"/>
      </w:pPr>
      <w:r>
        <w:rPr>
          <w:rFonts w:hint="eastAsia"/>
        </w:rPr>
        <w:t>（</w:t>
      </w:r>
      <w:r>
        <w:t>5</w:t>
      </w:r>
      <w:r>
        <w:rPr>
          <w:rFonts w:hint="eastAsia"/>
        </w:rPr>
        <w:t>）对沿线生态敏感区影响分析结论</w:t>
      </w:r>
    </w:p>
    <w:p>
      <w:pPr>
        <w:ind w:firstLine="480"/>
      </w:pPr>
      <w:bookmarkStart w:id="695" w:name="_Hlk179402449"/>
      <w:bookmarkStart w:id="696" w:name="_Hlk153225139"/>
      <w:r>
        <w:rPr>
          <w:rFonts w:hint="eastAsia"/>
        </w:rPr>
        <w:t>生态公益林：本项目主体工程共</w:t>
      </w:r>
      <w:bookmarkStart w:id="697" w:name="_Hlk195517165"/>
      <w:r>
        <w:rPr>
          <w:rFonts w:hint="eastAsia"/>
        </w:rPr>
        <w:t>占用生态公益林面积</w:t>
      </w:r>
      <w:r>
        <w:t>0.5538</w:t>
      </w:r>
      <w:r>
        <w:rPr>
          <w:rFonts w:hint="eastAsia"/>
        </w:rPr>
        <w:t>hm</w:t>
      </w:r>
      <w:r>
        <w:rPr>
          <w:vertAlign w:val="superscript"/>
        </w:rPr>
        <w:t>2</w:t>
      </w:r>
      <w:r>
        <w:rPr>
          <w:rFonts w:hint="eastAsia"/>
        </w:rPr>
        <w:t>，</w:t>
      </w:r>
      <w:bookmarkEnd w:id="697"/>
      <w:r>
        <w:rPr>
          <w:rFonts w:hint="eastAsia"/>
        </w:rPr>
        <w:t>均为</w:t>
      </w:r>
      <w:r>
        <w:rPr>
          <w:rFonts w:hint="eastAsia"/>
          <w:lang w:eastAsia="zh-CN"/>
        </w:rPr>
        <w:t>二级</w:t>
      </w:r>
      <w:r>
        <w:rPr>
          <w:rFonts w:hint="eastAsia"/>
        </w:rPr>
        <w:t>。</w:t>
      </w:r>
      <w:bookmarkEnd w:id="695"/>
      <w:bookmarkStart w:id="698" w:name="_Hlk195517178"/>
      <w:r>
        <w:rPr>
          <w:rFonts w:hint="eastAsia"/>
        </w:rPr>
        <w:t>在</w:t>
      </w:r>
      <w:bookmarkEnd w:id="698"/>
      <w:r>
        <w:rPr>
          <w:rFonts w:hint="eastAsia"/>
        </w:rPr>
        <w:t>设计、施工和运行阶段</w:t>
      </w:r>
      <w:bookmarkStart w:id="699" w:name="_Hlk195517184"/>
      <w:r>
        <w:rPr>
          <w:rFonts w:hint="eastAsia"/>
        </w:rPr>
        <w:t>采取积极有效的生态环境管理措施、环境预防和补偿措施后，可有效减轻工程建设带来的负面影响</w:t>
      </w:r>
      <w:bookmarkEnd w:id="699"/>
      <w:r>
        <w:rPr>
          <w:rFonts w:hint="eastAsia"/>
        </w:rPr>
        <w:t>。</w:t>
      </w:r>
    </w:p>
    <w:p>
      <w:pPr>
        <w:ind w:firstLine="480"/>
      </w:pPr>
      <w:r>
        <w:rPr>
          <w:rFonts w:hint="eastAsia"/>
        </w:rPr>
        <w:t>一般湿地：本项目实际</w:t>
      </w:r>
      <w:bookmarkStart w:id="700" w:name="_Hlk195517197"/>
      <w:r>
        <w:rPr>
          <w:rFonts w:hint="eastAsia"/>
        </w:rPr>
        <w:t>占用湿地较小，通过桥梁、涵洞形式跨越，不会导致水体分隔，减少湿地面积很小，对湿地供给功能、调节功能均不产生明显影响，总体认为本项目建设对湿地生态功能影响轻微</w:t>
      </w:r>
      <w:bookmarkEnd w:id="700"/>
      <w:r>
        <w:rPr>
          <w:rFonts w:hint="eastAsia"/>
        </w:rPr>
        <w:t>。</w:t>
      </w:r>
    </w:p>
    <w:p>
      <w:pPr>
        <w:ind w:firstLine="480"/>
      </w:pPr>
      <w:r>
        <w:rPr>
          <w:rFonts w:hint="eastAsia"/>
        </w:rPr>
        <w:t>古树：</w:t>
      </w:r>
      <w:bookmarkStart w:id="701" w:name="_Hlk195517234"/>
      <w:r>
        <w:rPr>
          <w:rFonts w:hint="eastAsia"/>
        </w:rPr>
        <w:t>评价范围</w:t>
      </w:r>
      <w:bookmarkEnd w:id="701"/>
      <w:r>
        <w:t>调查发现的</w:t>
      </w:r>
      <w:bookmarkStart w:id="702" w:name="_Hlk195517228"/>
      <w:r>
        <w:rPr>
          <w:rFonts w:hint="eastAsia"/>
        </w:rPr>
        <w:t>保护</w:t>
      </w:r>
      <w:r>
        <w:t>古树</w:t>
      </w:r>
      <w:bookmarkEnd w:id="702"/>
      <w:r>
        <w:t>8株</w:t>
      </w:r>
      <w:r>
        <w:rPr>
          <w:rFonts w:hint="eastAsia"/>
        </w:rPr>
        <w:t>（最近约9</w:t>
      </w:r>
      <w:r>
        <w:t>0</w:t>
      </w:r>
      <w:r>
        <w:rPr>
          <w:rFonts w:hint="eastAsia"/>
        </w:rPr>
        <w:t>m），</w:t>
      </w:r>
      <w:bookmarkStart w:id="703" w:name="_Hlk195517240"/>
      <w:r>
        <w:rPr>
          <w:rFonts w:hint="eastAsia"/>
        </w:rPr>
        <w:t>距离相对较远，</w:t>
      </w:r>
      <w:r>
        <w:t>工程在该处附近不设临时施工用地，工程建设不会对保护古树产生不利影响</w:t>
      </w:r>
      <w:bookmarkEnd w:id="703"/>
      <w:r>
        <w:t>。</w:t>
      </w:r>
    </w:p>
    <w:p>
      <w:pPr>
        <w:ind w:firstLine="480"/>
      </w:pPr>
      <w:r>
        <w:rPr>
          <w:rFonts w:hint="eastAsia"/>
        </w:rPr>
        <w:t>综上分析，</w:t>
      </w:r>
      <w:bookmarkEnd w:id="682"/>
      <w:r>
        <w:rPr>
          <w:rFonts w:hint="eastAsia"/>
          <w:szCs w:val="24"/>
        </w:rPr>
        <w:t>项目施工过程中采取有效的生态环境保护措施、恢复措施和水土保持措施后，可将项目施工中对工程所在地生态环境带来的负面影响减轻到最低。</w:t>
      </w:r>
      <w:bookmarkEnd w:id="696"/>
    </w:p>
    <w:p>
      <w:pPr>
        <w:pStyle w:val="120"/>
        <w:rPr>
          <w:color w:val="auto"/>
        </w:rPr>
      </w:pPr>
      <w:r>
        <w:rPr>
          <w:rFonts w:hint="eastAsia"/>
          <w:color w:val="auto"/>
        </w:rPr>
        <w:t>大气环境影响分析结论</w:t>
      </w:r>
    </w:p>
    <w:p>
      <w:pPr>
        <w:ind w:firstLine="480"/>
      </w:pPr>
      <w:bookmarkStart w:id="704" w:name="_Hlk153225512"/>
      <w:bookmarkStart w:id="705" w:name="_Hlk146013009"/>
      <w:r>
        <w:rPr>
          <w:rFonts w:hint="eastAsia"/>
        </w:rPr>
        <w:t>项目施工期的主要污染物为粉尘、扬尘和沥青烟。由于本工程施工期较长，因此它们将对沿线环境空气质量产生一定的不利影响，但影响范围不大，而且主要是短期影响。故施工期应加强对环境管理，采取经常洒水降尘、施工围挡、遮盖等适当的防护措施，以缓解工程施工对沿线环境空气质量的影响。</w:t>
      </w:r>
      <w:bookmarkEnd w:id="704"/>
    </w:p>
    <w:p>
      <w:pPr>
        <w:ind w:firstLine="480"/>
      </w:pPr>
      <w:bookmarkStart w:id="706" w:name="_Hlk153225528"/>
      <w:r>
        <w:rPr>
          <w:rFonts w:hint="eastAsia"/>
        </w:rPr>
        <w:t>运营期：运营期主要大气污染源为汽车尾气，沿线大气扩散条件相对较好，对大气环境影响较小。</w:t>
      </w:r>
      <w:bookmarkEnd w:id="705"/>
      <w:bookmarkEnd w:id="706"/>
    </w:p>
    <w:p>
      <w:pPr>
        <w:pStyle w:val="120"/>
        <w:rPr>
          <w:color w:val="auto"/>
        </w:rPr>
      </w:pPr>
      <w:r>
        <w:rPr>
          <w:rFonts w:hint="eastAsia"/>
          <w:color w:val="auto"/>
        </w:rPr>
        <w:t>水环境影响分析结论</w:t>
      </w:r>
    </w:p>
    <w:p>
      <w:pPr>
        <w:ind w:firstLine="480"/>
      </w:pPr>
      <w:bookmarkStart w:id="707" w:name="_Hlk179402626"/>
      <w:bookmarkStart w:id="708" w:name="_Hlk146013324"/>
      <w:bookmarkStart w:id="709" w:name="_Hlk153225586"/>
      <w:r>
        <w:rPr>
          <w:rFonts w:hint="eastAsia"/>
        </w:rPr>
        <w:t>施工期：施工期生活污水依托周边村庄生活污水处理设施处理，纳入区域排污系统；项目施工场地常驻人员</w:t>
      </w:r>
      <w:r>
        <w:t>生活污水</w:t>
      </w:r>
      <w:r>
        <w:rPr>
          <w:rFonts w:hint="eastAsia"/>
        </w:rPr>
        <w:t>经临时化粪池处理后，委托当地村民清运用于肥田，不外排；</w:t>
      </w:r>
      <w:r>
        <w:t>机械、车辆冲洗水经</w:t>
      </w:r>
      <w:r>
        <w:rPr>
          <w:rFonts w:hint="eastAsia"/>
        </w:rPr>
        <w:t>简单</w:t>
      </w:r>
      <w:r>
        <w:t>隔油沉淀后循环使用</w:t>
      </w:r>
      <w:r>
        <w:rPr>
          <w:rFonts w:hint="eastAsia"/>
        </w:rPr>
        <w:t>，或用于施工场地和破除路面洒水抑尘，不外排。本项目对各种施工废水进行充分的回用或再利用，比如洒水降尘、绿化和农用等，做到施工废水不外排。综上，项目施工废水对周边水环境影响较小。</w:t>
      </w:r>
    </w:p>
    <w:p>
      <w:pPr>
        <w:ind w:firstLine="480"/>
      </w:pPr>
      <w:r>
        <w:rPr>
          <w:rFonts w:hint="eastAsia"/>
        </w:rPr>
        <w:t>运营期：运营期对水环境的影响主要为路面雨水径流对水环境的影响。项目沿线主要水系是迳江，路面雨水径流主要污染物是石油类、有机物和悬浮物，降雨对公路附近河流造成影响的主要是降雨初期</w:t>
      </w:r>
      <w:r>
        <w:t>40</w:t>
      </w:r>
      <w:r>
        <w:rPr>
          <w:rFonts w:hint="eastAsia"/>
        </w:rPr>
        <w:t>min内形成的路面径流，随着降雨历时增加，公路表面径流污染物浓度下降，加之公路表面径流是短期和暂时的，因而对周边水环境影响不大，不会改变现有水质类别及使用功能。</w:t>
      </w:r>
      <w:bookmarkEnd w:id="707"/>
    </w:p>
    <w:bookmarkEnd w:id="708"/>
    <w:bookmarkEnd w:id="709"/>
    <w:p>
      <w:pPr>
        <w:pStyle w:val="120"/>
        <w:rPr>
          <w:color w:val="auto"/>
        </w:rPr>
      </w:pPr>
      <w:r>
        <w:rPr>
          <w:rFonts w:hint="eastAsia"/>
          <w:color w:val="auto"/>
        </w:rPr>
        <w:t>声环境影响分析结论</w:t>
      </w:r>
    </w:p>
    <w:p>
      <w:pPr>
        <w:ind w:firstLine="480"/>
      </w:pPr>
      <w:r>
        <w:rPr>
          <w:rFonts w:hint="eastAsia"/>
        </w:rPr>
        <w:t>施工期：</w:t>
      </w:r>
      <w:bookmarkStart w:id="710" w:name="_Hlk153225296"/>
      <w:r>
        <w:rPr>
          <w:spacing w:val="-2"/>
        </w:rPr>
        <w:t>施工机械噪声在无遮挡情况下，产生的噪声声级比较大，施工场</w:t>
      </w:r>
      <w:r>
        <w:t>界超过《建筑施工场界环境噪声排放标准》</w:t>
      </w:r>
      <w:r>
        <w:rPr>
          <w:rFonts w:eastAsia="Times New Roman"/>
        </w:rPr>
        <w:t>(GB12523-2011)</w:t>
      </w:r>
      <w:r>
        <w:rPr>
          <w:rFonts w:hint="eastAsia"/>
        </w:rPr>
        <w:t>（</w:t>
      </w:r>
      <w:r>
        <w:t>排放限值昼间</w:t>
      </w:r>
      <w:r>
        <w:rPr>
          <w:rFonts w:hint="eastAsia" w:ascii="宋体" w:hAnsi="宋体"/>
        </w:rPr>
        <w:t>≤</w:t>
      </w:r>
      <w:r>
        <w:rPr>
          <w:rFonts w:eastAsia="Times New Roman"/>
        </w:rPr>
        <w:t>70dB</w:t>
      </w:r>
      <w:r>
        <w:t>，夜间</w:t>
      </w:r>
      <w:r>
        <w:rPr>
          <w:rFonts w:hint="eastAsia" w:ascii="宋体" w:hAnsi="宋体"/>
        </w:rPr>
        <w:t>≤</w:t>
      </w:r>
      <w:r>
        <w:rPr>
          <w:rFonts w:eastAsia="Times New Roman"/>
        </w:rPr>
        <w:t>50dB</w:t>
      </w:r>
      <w:r>
        <w:rPr>
          <w:rFonts w:hint="eastAsia"/>
        </w:rPr>
        <w:t>）</w:t>
      </w:r>
      <w:r>
        <w:t>。施工噪声对施工路段周围村民</w:t>
      </w:r>
      <w:r>
        <w:rPr>
          <w:rFonts w:hint="eastAsia"/>
        </w:rPr>
        <w:t>居住区</w:t>
      </w:r>
      <w:r>
        <w:t>声环境将产生一定的不利影响</w:t>
      </w:r>
      <w:r>
        <w:rPr>
          <w:rFonts w:hint="eastAsia"/>
        </w:rPr>
        <w:t>，尤其是夜间，影响比较严重。</w:t>
      </w:r>
      <w:bookmarkEnd w:id="710"/>
      <w:bookmarkStart w:id="711" w:name="_Hlk179402576"/>
      <w:r>
        <w:rPr>
          <w:rFonts w:hint="eastAsia"/>
        </w:rPr>
        <w:t>因此，施工单位在组织施工时，选用低噪声的设备，合理规划施工时间，夜间禁止施工，同时在施工场界做围挡措施，特别是临近村民房一侧应采取必要的隔声减噪措施（如设置施工围挡、移动式声屏障等措施），降低施工噪声对周边敏感点的影响。</w:t>
      </w:r>
      <w:bookmarkEnd w:id="711"/>
    </w:p>
    <w:p>
      <w:pPr>
        <w:ind w:firstLine="480"/>
      </w:pPr>
      <w:r>
        <w:rPr>
          <w:rFonts w:hint="eastAsia"/>
        </w:rPr>
        <w:t>运营期：</w:t>
      </w:r>
      <w:bookmarkStart w:id="712" w:name="_Hlk153225334"/>
      <w:bookmarkStart w:id="713" w:name="_Hlk146026495"/>
      <w:r>
        <w:rPr>
          <w:rFonts w:hint="eastAsia"/>
        </w:rPr>
        <w:t>从预测结果可以看出，项目运营期沿线敏感目标受交通噪声影响不大，仅临路第一排部分敏感点夜间出现部分超标，主要有牌边村新桥、上张村王房、联华村后郑、联华村西山近中远期夜间均出现不同程度超标，超标量近中远分别为</w:t>
      </w:r>
      <w:r>
        <w:t>3.5~8.1</w:t>
      </w:r>
      <w:r>
        <w:rPr>
          <w:rFonts w:hint="eastAsia"/>
        </w:rPr>
        <w:t>dB（A）、</w:t>
      </w:r>
      <w:r>
        <w:t>3.9~8.1</w:t>
      </w:r>
      <w:r>
        <w:rPr>
          <w:rFonts w:hint="eastAsia"/>
        </w:rPr>
        <w:t>dB（A）、</w:t>
      </w:r>
      <w:r>
        <w:t>4.1 ~8.1</w:t>
      </w:r>
      <w:r>
        <w:rPr>
          <w:rFonts w:hint="eastAsia"/>
        </w:rPr>
        <w:t>dB（A）。因此，本项目针对近中远夜间超标的牌边村新桥、上张村王房、联华村后郑、联华村西山设置通风隔声窗，同时预留资金，用于中远期跟踪监测。</w:t>
      </w:r>
      <w:bookmarkEnd w:id="712"/>
      <w:bookmarkEnd w:id="713"/>
    </w:p>
    <w:p>
      <w:pPr>
        <w:pStyle w:val="120"/>
        <w:rPr>
          <w:color w:val="auto"/>
        </w:rPr>
      </w:pPr>
      <w:r>
        <w:rPr>
          <w:rFonts w:hint="eastAsia"/>
          <w:color w:val="auto"/>
        </w:rPr>
        <w:t>固体废物影响分析结论</w:t>
      </w:r>
    </w:p>
    <w:p>
      <w:pPr>
        <w:ind w:firstLine="480"/>
      </w:pPr>
      <w:bookmarkStart w:id="714" w:name="_Hlk146026750"/>
      <w:bookmarkStart w:id="715" w:name="_Hlk179402641"/>
      <w:r>
        <w:rPr>
          <w:rFonts w:hint="eastAsia"/>
        </w:rPr>
        <w:t>施工期：</w:t>
      </w:r>
      <w:bookmarkStart w:id="716" w:name="_Hlk180657738"/>
      <w:r>
        <w:rPr>
          <w:rFonts w:hint="eastAsia"/>
        </w:rPr>
        <w:t>施工期生活垃圾委托当地环卫部门及时清运；</w:t>
      </w:r>
      <w:r>
        <w:rPr>
          <w:spacing w:val="2"/>
        </w:rPr>
        <w:t>本项目</w:t>
      </w:r>
      <w:bookmarkEnd w:id="716"/>
      <w:r>
        <w:rPr>
          <w:rFonts w:hint="eastAsia"/>
        </w:rPr>
        <w:t>余方16.</w:t>
      </w:r>
      <w:r>
        <w:t>8</w:t>
      </w:r>
      <w:r>
        <w:rPr>
          <w:rFonts w:hint="eastAsia"/>
        </w:rPr>
        <w:t>3万m³（其中土方</w:t>
      </w:r>
      <w:r>
        <w:t>4.62</w:t>
      </w:r>
      <w:r>
        <w:rPr>
          <w:rFonts w:hint="eastAsia"/>
        </w:rPr>
        <w:t>万m³，石方</w:t>
      </w:r>
      <w:r>
        <w:t>11.41</w:t>
      </w:r>
      <w:r>
        <w:rPr>
          <w:rFonts w:hint="eastAsia"/>
        </w:rPr>
        <w:t>万m³），其中石方</w:t>
      </w:r>
      <w:r>
        <w:t>6.88</w:t>
      </w:r>
      <w:r>
        <w:rPr>
          <w:rFonts w:hint="eastAsia"/>
        </w:rPr>
        <w:t>万m³本工程利用，作为截（排）水沟、沉沙池、挡墙等附属设施的原材料利用；剩余弃方（9</w:t>
      </w:r>
      <w:r>
        <w:t>.95</w:t>
      </w:r>
      <w:r>
        <w:rPr>
          <w:rFonts w:hint="eastAsia"/>
        </w:rPr>
        <w:t>万m³）拟运往福清市城 市管理委员会批准的余方指定堆放点进行综合利用。</w:t>
      </w:r>
    </w:p>
    <w:p>
      <w:pPr>
        <w:ind w:firstLine="480"/>
      </w:pPr>
      <w:r>
        <w:rPr>
          <w:rFonts w:hint="eastAsia"/>
        </w:rPr>
        <w:t>运营期：主要为汽车装载货物的洒落物、汽车轮胎夹带的泥沙、过往车辆丢弃的饮料瓶及废纸盒等生活垃圾。经环卫部门负责定期清除、收集、外运，不会对公路沿线环境造成大的影响。</w:t>
      </w:r>
      <w:bookmarkEnd w:id="714"/>
    </w:p>
    <w:bookmarkEnd w:id="715"/>
    <w:p>
      <w:pPr>
        <w:ind w:firstLine="480"/>
      </w:pPr>
      <w:r>
        <w:rPr>
          <w:rFonts w:hint="eastAsia"/>
        </w:rPr>
        <w:t>综上，项目施工期和运营期的固废均得到了有效的妥善处置，对周围环境产生的影响较小。</w:t>
      </w:r>
    </w:p>
    <w:p>
      <w:pPr>
        <w:pStyle w:val="120"/>
        <w:rPr>
          <w:color w:val="auto"/>
        </w:rPr>
      </w:pPr>
      <w:r>
        <w:rPr>
          <w:rFonts w:hint="eastAsia"/>
          <w:color w:val="auto"/>
        </w:rPr>
        <w:t>环境风险评价结论</w:t>
      </w:r>
    </w:p>
    <w:p>
      <w:pPr>
        <w:ind w:firstLine="480"/>
      </w:pPr>
      <w:bookmarkStart w:id="717" w:name="_Hlk195517698"/>
      <w:bookmarkStart w:id="718" w:name="_Hlk179402704"/>
      <w:r>
        <w:t>本项目在营运过程中，由危险品运输事故造成的各种风险具有一定的潜在危险性。根据预测，本项目发生危险品运输事故的概率是很小的。本项目的重大危险源主要为运输危险化学品的车辆由于事故引起化学品泄漏对沿线群众的生活安全和生命健康造成威胁，并对沿线环境造成不利影响。</w:t>
      </w:r>
      <w:bookmarkEnd w:id="717"/>
    </w:p>
    <w:p>
      <w:pPr>
        <w:ind w:firstLine="480"/>
      </w:pPr>
      <w:r>
        <w:t>事故处理按本报告提出的应急方案</w:t>
      </w:r>
      <w:r>
        <w:rPr>
          <w:rFonts w:hint="eastAsia"/>
        </w:rPr>
        <w:t>实施</w:t>
      </w:r>
      <w:r>
        <w:t>，可在最大限度上减轻事故对环境产生的影响。</w:t>
      </w:r>
      <w:bookmarkEnd w:id="718"/>
    </w:p>
    <w:p>
      <w:pPr>
        <w:pStyle w:val="116"/>
      </w:pPr>
      <w:bookmarkStart w:id="719" w:name="_Toc88864690"/>
      <w:bookmarkStart w:id="720" w:name="_Toc88764883"/>
      <w:bookmarkStart w:id="721" w:name="_Toc159405504"/>
      <w:bookmarkStart w:id="722" w:name="_Toc153957860"/>
      <w:bookmarkStart w:id="723" w:name="_Toc154668081"/>
      <w:bookmarkStart w:id="724" w:name="_Toc204676276"/>
      <w:bookmarkStart w:id="725" w:name="_Toc146525008"/>
      <w:r>
        <w:rPr>
          <w:rFonts w:hint="eastAsia"/>
        </w:rPr>
        <w:t>项目主要环保措施及竣工验收要求</w:t>
      </w:r>
      <w:bookmarkEnd w:id="719"/>
      <w:bookmarkEnd w:id="720"/>
      <w:bookmarkEnd w:id="721"/>
      <w:bookmarkEnd w:id="722"/>
      <w:bookmarkEnd w:id="723"/>
      <w:bookmarkEnd w:id="724"/>
      <w:bookmarkEnd w:id="725"/>
    </w:p>
    <w:p>
      <w:pPr>
        <w:ind w:firstLine="480"/>
        <w:sectPr>
          <w:pgSz w:w="11906" w:h="16838"/>
          <w:pgMar w:top="1418" w:right="1418" w:bottom="1418" w:left="1418" w:header="851" w:footer="851" w:gutter="0"/>
          <w:cols w:space="425" w:num="1"/>
          <w:docGrid w:type="lines" w:linePitch="326" w:charSpace="0"/>
        </w:sectPr>
      </w:pPr>
      <w:bookmarkStart w:id="726" w:name="_Hlk144719742"/>
      <w:r>
        <w:rPr>
          <w:rFonts w:hint="eastAsia"/>
        </w:rPr>
        <w:t>拟建公路在建设过程中和运营期必将带来一定的环境影响和社会影响，本评价对施工期和运营期的大气、地表水、噪声等环境保护提出污染防治措施。本项目通车运营期间，建设单位应根据《建设项目竣工环境保护验收暂行办法》（国环规环评〔2017〕4号）、《建设项目竣工环境保护验收技术规范公路》（HJ552-2010）的要求开展竣工环境保护自主验收，对各项环保措施“三同时”的落实情况、效果以及工程建设对环境的影响进行评估。本工程施工期环保措施一览表和运营期竣工环保“三同时”验收内容分别见</w:t>
      </w:r>
      <w:r>
        <w:fldChar w:fldCharType="begin"/>
      </w:r>
      <w:r>
        <w:instrText xml:space="preserve"> </w:instrText>
      </w:r>
      <w:r>
        <w:rPr>
          <w:rFonts w:hint="eastAsia"/>
        </w:rPr>
        <w:instrText xml:space="preserve">REF _Ref153909929 \r \h</w:instrText>
      </w:r>
      <w:r>
        <w:instrText xml:space="preserve">  \* MERGEFORMAT </w:instrText>
      </w:r>
      <w:r>
        <w:fldChar w:fldCharType="separate"/>
      </w:r>
      <w:r>
        <w:rPr>
          <w:rFonts w:hint="eastAsia"/>
        </w:rPr>
        <w:t>表10.4-1</w:t>
      </w:r>
      <w:r>
        <w:fldChar w:fldCharType="end"/>
      </w:r>
      <w:r>
        <w:rPr>
          <w:rFonts w:hint="eastAsia"/>
        </w:rPr>
        <w:t>、</w:t>
      </w:r>
      <w:r>
        <w:fldChar w:fldCharType="begin"/>
      </w:r>
      <w:r>
        <w:instrText xml:space="preserve"> </w:instrText>
      </w:r>
      <w:r>
        <w:rPr>
          <w:rFonts w:hint="eastAsia"/>
        </w:rPr>
        <w:instrText xml:space="preserve">REF _Ref153909903 \r \h</w:instrText>
      </w:r>
      <w:r>
        <w:instrText xml:space="preserve">  \* MERGEFORMAT </w:instrText>
      </w:r>
      <w:r>
        <w:fldChar w:fldCharType="separate"/>
      </w:r>
      <w:r>
        <w:rPr>
          <w:rFonts w:hint="eastAsia"/>
        </w:rPr>
        <w:t>表10.4-2</w:t>
      </w:r>
      <w:r>
        <w:fldChar w:fldCharType="end"/>
      </w:r>
      <w:r>
        <w:rPr>
          <w:rFonts w:hint="eastAsia"/>
        </w:rPr>
        <w:t>。</w:t>
      </w:r>
    </w:p>
    <w:p>
      <w:pPr>
        <w:pStyle w:val="87"/>
        <w:spacing w:before="163"/>
        <w:ind w:left="480" w:firstLine="480"/>
      </w:pPr>
      <w:bookmarkStart w:id="727" w:name="_Ref153909929"/>
      <w:bookmarkStart w:id="728" w:name="_Hlk152745264"/>
      <w:r>
        <w:rPr>
          <w:rFonts w:hint="eastAsia"/>
        </w:rPr>
        <w:t>项目施工期环保措施一览表</w:t>
      </w:r>
      <w:bookmarkEnd w:id="727"/>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3"/>
        <w:gridCol w:w="554"/>
        <w:gridCol w:w="883"/>
        <w:gridCol w:w="10532"/>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147" w:type="pct"/>
            <w:tcBorders>
              <w:top w:val="single" w:color="auto" w:sz="12" w:space="0"/>
              <w:left w:val="nil"/>
            </w:tcBorders>
            <w:shd w:val="clear" w:color="auto" w:fill="auto"/>
            <w:vAlign w:val="center"/>
          </w:tcPr>
          <w:p>
            <w:pPr>
              <w:pStyle w:val="105"/>
            </w:pPr>
            <w:r>
              <w:t>序号</w:t>
            </w:r>
          </w:p>
        </w:tc>
        <w:tc>
          <w:tcPr>
            <w:tcW w:w="511" w:type="pct"/>
            <w:gridSpan w:val="2"/>
            <w:tcBorders>
              <w:top w:val="single" w:color="auto" w:sz="12" w:space="0"/>
            </w:tcBorders>
            <w:shd w:val="clear" w:color="auto" w:fill="auto"/>
            <w:vAlign w:val="center"/>
          </w:tcPr>
          <w:p>
            <w:pPr>
              <w:pStyle w:val="105"/>
            </w:pPr>
            <w:r>
              <w:rPr>
                <w:rFonts w:hint="eastAsia"/>
              </w:rPr>
              <w:t>因子</w:t>
            </w:r>
          </w:p>
        </w:tc>
        <w:tc>
          <w:tcPr>
            <w:tcW w:w="3746" w:type="pct"/>
            <w:tcBorders>
              <w:top w:val="single" w:color="auto" w:sz="12" w:space="0"/>
            </w:tcBorders>
            <w:shd w:val="clear" w:color="auto" w:fill="auto"/>
            <w:vAlign w:val="center"/>
          </w:tcPr>
          <w:p>
            <w:pPr>
              <w:pStyle w:val="105"/>
            </w:pPr>
            <w:r>
              <w:t>防治对策</w:t>
            </w:r>
          </w:p>
        </w:tc>
        <w:tc>
          <w:tcPr>
            <w:tcW w:w="596" w:type="pct"/>
            <w:tcBorders>
              <w:top w:val="single" w:color="auto" w:sz="12" w:space="0"/>
              <w:right w:val="nil"/>
            </w:tcBorders>
            <w:shd w:val="clear" w:color="auto" w:fill="auto"/>
            <w:vAlign w:val="center"/>
          </w:tcPr>
          <w:p>
            <w:pPr>
              <w:pStyle w:val="105"/>
            </w:pPr>
            <w:r>
              <w:t>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restart"/>
            <w:shd w:val="clear" w:color="auto" w:fill="auto"/>
            <w:vAlign w:val="center"/>
          </w:tcPr>
          <w:p>
            <w:pPr>
              <w:pStyle w:val="105"/>
            </w:pPr>
            <w:r>
              <w:t>1</w:t>
            </w:r>
          </w:p>
        </w:tc>
        <w:tc>
          <w:tcPr>
            <w:tcW w:w="197" w:type="pct"/>
            <w:vMerge w:val="restart"/>
            <w:shd w:val="clear" w:color="auto" w:fill="auto"/>
            <w:vAlign w:val="center"/>
          </w:tcPr>
          <w:p>
            <w:pPr>
              <w:pStyle w:val="105"/>
            </w:pPr>
            <w:r>
              <w:t>生态</w:t>
            </w:r>
          </w:p>
          <w:p>
            <w:pPr>
              <w:pStyle w:val="105"/>
            </w:pPr>
            <w:r>
              <w:t>环境</w:t>
            </w:r>
          </w:p>
        </w:tc>
        <w:tc>
          <w:tcPr>
            <w:tcW w:w="314" w:type="pct"/>
            <w:shd w:val="clear" w:color="auto" w:fill="auto"/>
            <w:vAlign w:val="center"/>
          </w:tcPr>
          <w:p>
            <w:pPr>
              <w:pStyle w:val="105"/>
            </w:pPr>
            <w:r>
              <w:rPr>
                <w:rFonts w:hint="eastAsia"/>
              </w:rPr>
              <w:t>管理措施</w:t>
            </w:r>
          </w:p>
        </w:tc>
        <w:tc>
          <w:tcPr>
            <w:tcW w:w="3746" w:type="pct"/>
            <w:shd w:val="clear" w:color="auto" w:fill="auto"/>
            <w:vAlign w:val="center"/>
          </w:tcPr>
          <w:p>
            <w:pPr>
              <w:pStyle w:val="105"/>
            </w:pPr>
            <w:r>
              <w:rPr>
                <w:rFonts w:hint="eastAsia"/>
              </w:rPr>
              <w:t>在施工期间，应建立环境管理制度，指导施工落实生态保护的施工措施。严格划定施工作业范围，在施工带内施工。</w:t>
            </w:r>
          </w:p>
        </w:tc>
        <w:tc>
          <w:tcPr>
            <w:tcW w:w="596" w:type="pct"/>
            <w:vMerge w:val="restart"/>
            <w:shd w:val="clear" w:color="auto" w:fill="auto"/>
            <w:vAlign w:val="center"/>
          </w:tcPr>
          <w:p>
            <w:pPr>
              <w:pStyle w:val="105"/>
            </w:pPr>
            <w:r>
              <w:rPr>
                <w:rFonts w:hint="eastAsia"/>
              </w:rPr>
              <w:t>监督落实情况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r>
              <w:t>植物保护与恢复措施</w:t>
            </w:r>
          </w:p>
        </w:tc>
        <w:tc>
          <w:tcPr>
            <w:tcW w:w="3746" w:type="pct"/>
            <w:shd w:val="clear" w:color="auto" w:fill="auto"/>
            <w:vAlign w:val="center"/>
          </w:tcPr>
          <w:p>
            <w:pPr>
              <w:pStyle w:val="105"/>
            </w:pPr>
            <w:r>
              <w:rPr>
                <w:rFonts w:hint="eastAsia"/>
              </w:rPr>
              <w:t>①施工前认真核查施工区内有无珍稀保护植物，对工程施工中无法避让的需保护物种，要进行异地移栽保护。</w:t>
            </w:r>
          </w:p>
          <w:p>
            <w:pPr>
              <w:pStyle w:val="105"/>
            </w:pPr>
            <w:r>
              <w:rPr>
                <w:rFonts w:hint="eastAsia"/>
              </w:rPr>
              <w:t>②合理安排工程用地，节约土地资源，合理设计、尽量缩小用地规模。</w:t>
            </w:r>
          </w:p>
          <w:p>
            <w:pPr>
              <w:pStyle w:val="105"/>
            </w:pPr>
            <w:r>
              <w:rPr>
                <w:rFonts w:hint="eastAsia"/>
              </w:rPr>
              <w:t>③合理安排施工时序，减少裸露地块面积，强化裸露地块水土流失防治等。</w:t>
            </w:r>
          </w:p>
          <w:p>
            <w:pPr>
              <w:pStyle w:val="105"/>
            </w:pPr>
            <w:r>
              <w:rPr>
                <w:rFonts w:hint="eastAsia"/>
              </w:rPr>
              <w:t>④</w:t>
            </w:r>
            <w:r>
              <w:t>施工结束后按占地类型恢复为原有使用类型，根据项目区植被分布及植被类型，尽量选用当地乡土树种或适生树种作为本工程的生态恢复树种</w:t>
            </w:r>
            <w:r>
              <w:rPr>
                <w:rFonts w:hint="eastAsia"/>
              </w:rPr>
              <w:t>。</w:t>
            </w:r>
          </w:p>
        </w:tc>
        <w:tc>
          <w:tcPr>
            <w:tcW w:w="596" w:type="pct"/>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r>
              <w:t>施工临时占地恢复措施</w:t>
            </w:r>
          </w:p>
        </w:tc>
        <w:tc>
          <w:tcPr>
            <w:tcW w:w="3746" w:type="pct"/>
            <w:shd w:val="clear" w:color="auto" w:fill="auto"/>
            <w:vAlign w:val="center"/>
          </w:tcPr>
          <w:p>
            <w:pPr>
              <w:pStyle w:val="105"/>
            </w:pPr>
            <w:r>
              <w:rPr>
                <w:rFonts w:hint="eastAsia"/>
              </w:rPr>
              <w:t>①优化临时占地选址，严禁在生态敏感区范围内设置弃土场、施工场地等临时工程；</w:t>
            </w:r>
          </w:p>
          <w:p>
            <w:pPr>
              <w:pStyle w:val="105"/>
            </w:pPr>
            <w:r>
              <w:rPr>
                <w:rFonts w:hint="eastAsia"/>
              </w:rPr>
              <w:t>②应</w:t>
            </w:r>
            <w:bookmarkStart w:id="729" w:name="_Hlk195518983"/>
            <w:r>
              <w:rPr>
                <w:rFonts w:hint="eastAsia"/>
              </w:rPr>
              <w:t>严格控制各类临时工程施工边界，严禁随意压占、扰动和破坏地表</w:t>
            </w:r>
            <w:bookmarkEnd w:id="729"/>
            <w:r>
              <w:rPr>
                <w:rFonts w:hint="eastAsia"/>
              </w:rPr>
              <w:t>；</w:t>
            </w:r>
          </w:p>
          <w:p>
            <w:pPr>
              <w:pStyle w:val="105"/>
            </w:pPr>
            <w:r>
              <w:rPr>
                <w:rFonts w:hint="eastAsia"/>
              </w:rPr>
              <w:t>③</w:t>
            </w:r>
            <w:bookmarkStart w:id="730" w:name="_Hlk195518993"/>
            <w:r>
              <w:rPr>
                <w:rFonts w:hint="eastAsia"/>
              </w:rPr>
              <w:t>临时占地表土保护，临时占地应对</w:t>
            </w:r>
            <w:r>
              <w:t>表层熟土剥离，</w:t>
            </w:r>
            <w:r>
              <w:rPr>
                <w:rFonts w:hint="eastAsia"/>
              </w:rPr>
              <w:t>临时堆存</w:t>
            </w:r>
            <w:r>
              <w:t>，并采取临时拦挡和覆盖措施</w:t>
            </w:r>
            <w:bookmarkEnd w:id="730"/>
            <w:r>
              <w:rPr>
                <w:rFonts w:hint="eastAsia"/>
              </w:rPr>
              <w:t>；</w:t>
            </w:r>
          </w:p>
          <w:p>
            <w:pPr>
              <w:pStyle w:val="105"/>
            </w:pPr>
            <w:r>
              <w:rPr>
                <w:rFonts w:hint="eastAsia"/>
              </w:rPr>
              <w:t>④</w:t>
            </w:r>
            <w:bookmarkStart w:id="731" w:name="_Hlk195519004"/>
            <w:r>
              <w:rPr>
                <w:rFonts w:hint="eastAsia"/>
              </w:rPr>
              <w:t>施工完毕后，必须对临时占地采取土地整治、生态恢复和复垦工程措施；</w:t>
            </w:r>
            <w:r>
              <w:t>表层熟土剥离，</w:t>
            </w:r>
            <w:r>
              <w:rPr>
                <w:rFonts w:hint="eastAsia"/>
              </w:rPr>
              <w:t>临时堆存</w:t>
            </w:r>
            <w:r>
              <w:t>，并采取临时拦挡和覆盖措施</w:t>
            </w:r>
            <w:bookmarkEnd w:id="731"/>
            <w:r>
              <w:t>。</w:t>
            </w:r>
          </w:p>
        </w:tc>
        <w:tc>
          <w:tcPr>
            <w:tcW w:w="596" w:type="pct"/>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r>
              <w:t>野生动物保护措施</w:t>
            </w:r>
          </w:p>
        </w:tc>
        <w:tc>
          <w:tcPr>
            <w:tcW w:w="3746" w:type="pct"/>
            <w:shd w:val="clear" w:color="auto" w:fill="auto"/>
            <w:vAlign w:val="center"/>
          </w:tcPr>
          <w:p>
            <w:pPr>
              <w:pStyle w:val="105"/>
            </w:pPr>
            <w:r>
              <w:rPr>
                <w:rFonts w:hint="eastAsia"/>
              </w:rPr>
              <w:t>①管理措施：</w:t>
            </w:r>
            <w:r>
              <w:t>加强施工人员的管理，禁止施工人员对野生动物滥捕滥杀。</w:t>
            </w:r>
          </w:p>
          <w:p>
            <w:pPr>
              <w:pStyle w:val="105"/>
            </w:pPr>
            <w:r>
              <w:rPr>
                <w:rFonts w:hint="eastAsia"/>
              </w:rPr>
              <w:t>②避免措施：</w:t>
            </w:r>
            <w:bookmarkStart w:id="732" w:name="_Hlk195519042"/>
            <w:r>
              <w:rPr>
                <w:rFonts w:hint="eastAsia"/>
              </w:rPr>
              <w:t>合理安排施工时间，避开野生动物活动的高峰时段；严格限制施工范围，不得随意扩大工程占地范围。</w:t>
            </w:r>
            <w:bookmarkEnd w:id="732"/>
          </w:p>
          <w:p>
            <w:pPr>
              <w:pStyle w:val="105"/>
            </w:pPr>
            <w:r>
              <w:rPr>
                <w:rFonts w:hint="eastAsia"/>
              </w:rPr>
              <w:t>③削减措施：施工期间应进行避让或保护性驱赶，禁止捕猎；在林地较密集路段（K</w:t>
            </w:r>
            <w:r>
              <w:t>0+150~440</w:t>
            </w:r>
            <w:r>
              <w:rPr>
                <w:rFonts w:hint="eastAsia"/>
              </w:rPr>
              <w:t>、K</w:t>
            </w:r>
            <w:r>
              <w:t>4+000~140</w:t>
            </w:r>
            <w:r>
              <w:rPr>
                <w:rFonts w:hint="eastAsia"/>
              </w:rPr>
              <w:t>、K</w:t>
            </w:r>
            <w:r>
              <w:t>4+780~K5+110</w:t>
            </w:r>
            <w:r>
              <w:rPr>
                <w:rFonts w:hint="eastAsia"/>
              </w:rPr>
              <w:t>）施工应优化施工方案，缩短工期，缩短作业时间；严格落实施工期环保措施和水土保持措施，保护野生动物生境；加强野生动物监测措施。</w:t>
            </w:r>
          </w:p>
          <w:p>
            <w:pPr>
              <w:pStyle w:val="105"/>
            </w:pPr>
            <w:r>
              <w:rPr>
                <w:rFonts w:hint="eastAsia"/>
              </w:rPr>
              <w:t>④恢复与补偿措施：恢复原有的野生动物通道和生境。</w:t>
            </w:r>
          </w:p>
        </w:tc>
        <w:tc>
          <w:tcPr>
            <w:tcW w:w="596" w:type="pct"/>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bookmarkStart w:id="733" w:name="_Hlk195519125"/>
            <w:r>
              <w:rPr>
                <w:rFonts w:hint="eastAsia"/>
              </w:rPr>
              <w:t>水生生态保护</w:t>
            </w:r>
            <w:bookmarkEnd w:id="733"/>
            <w:r>
              <w:rPr>
                <w:rFonts w:hint="eastAsia"/>
              </w:rPr>
              <w:t>措施</w:t>
            </w:r>
          </w:p>
        </w:tc>
        <w:tc>
          <w:tcPr>
            <w:tcW w:w="3746" w:type="pct"/>
            <w:shd w:val="clear" w:color="auto" w:fill="auto"/>
            <w:vAlign w:val="center"/>
          </w:tcPr>
          <w:p>
            <w:pPr>
              <w:pStyle w:val="105"/>
            </w:pPr>
            <w:r>
              <w:rPr>
                <w:rFonts w:hint="eastAsia"/>
              </w:rPr>
              <w:t>①桥梁桩基施工时做好钻渣泥浆的处理；②开挖涉水路段应选择枯水期进行施工、避开雨季；③桥梁桩基、改河、涉水涵洞施工过程中，要求设置施工围堰、导流，尽量减小对水体的扰动，施工结束后对河道进行清淤，清除围堰等临时建筑，保证水流畅通；④涉水工程（桥梁、涵洞及改河等）基础施工避开鱼类的主要繁殖期，即3～9月；⑤做好施工管理，严禁土石方等任意丢弃于河流、沟渠中。</w:t>
            </w:r>
          </w:p>
        </w:tc>
        <w:tc>
          <w:tcPr>
            <w:tcW w:w="596" w:type="pct"/>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r>
              <w:rPr>
                <w:rFonts w:hint="eastAsia"/>
              </w:rPr>
              <w:t>生态公益林保护措施</w:t>
            </w:r>
          </w:p>
        </w:tc>
        <w:tc>
          <w:tcPr>
            <w:tcW w:w="3746" w:type="pct"/>
            <w:shd w:val="clear" w:color="auto" w:fill="auto"/>
            <w:vAlign w:val="center"/>
          </w:tcPr>
          <w:p>
            <w:pPr>
              <w:pStyle w:val="105"/>
            </w:pPr>
            <w:r>
              <w:rPr>
                <w:rFonts w:hint="eastAsia"/>
              </w:rPr>
              <w:t>①优化选址选线，尽量减少占用生态公益林；②</w:t>
            </w:r>
            <w:bookmarkStart w:id="734" w:name="_Hlk195519081"/>
            <w:r>
              <w:rPr>
                <w:rFonts w:hint="eastAsia"/>
              </w:rPr>
              <w:t>严格控制施工边界，严禁超范围占用生态公益林</w:t>
            </w:r>
            <w:bookmarkEnd w:id="734"/>
            <w:r>
              <w:rPr>
                <w:rFonts w:hint="eastAsia"/>
              </w:rPr>
              <w:t>；③严格控制在公益林区范围内设置临时占地；④</w:t>
            </w:r>
            <w:bookmarkStart w:id="735" w:name="_Hlk195519104"/>
            <w:r>
              <w:rPr>
                <w:rFonts w:hint="eastAsia"/>
              </w:rPr>
              <w:t>按照规定办理相关林地审核、林木采伐审批手续及按照相关规定进行补偿</w:t>
            </w:r>
            <w:bookmarkEnd w:id="735"/>
            <w:r>
              <w:rPr>
                <w:rFonts w:hint="eastAsia"/>
              </w:rPr>
              <w:t>。</w:t>
            </w:r>
          </w:p>
        </w:tc>
        <w:tc>
          <w:tcPr>
            <w:tcW w:w="596" w:type="pct"/>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bookmarkStart w:id="736" w:name="_Hlk195519114"/>
            <w:r>
              <w:rPr>
                <w:rFonts w:hint="eastAsia"/>
              </w:rPr>
              <w:t>一般湿地保护措施</w:t>
            </w:r>
            <w:bookmarkEnd w:id="736"/>
          </w:p>
        </w:tc>
        <w:tc>
          <w:tcPr>
            <w:tcW w:w="3746" w:type="pct"/>
            <w:shd w:val="clear" w:color="auto" w:fill="auto"/>
            <w:vAlign w:val="center"/>
          </w:tcPr>
          <w:p>
            <w:pPr>
              <w:pStyle w:val="105"/>
            </w:pPr>
            <w:r>
              <w:rPr>
                <w:rFonts w:hint="eastAsia"/>
              </w:rPr>
              <w:t>①</w:t>
            </w:r>
            <w:r>
              <w:t>工程开工前需明确</w:t>
            </w:r>
            <w:r>
              <w:rPr>
                <w:rFonts w:hint="eastAsia"/>
              </w:rPr>
              <w:t>一般湿地</w:t>
            </w:r>
            <w:r>
              <w:t>的占用范围，须按有关规定办理用地审批手续</w:t>
            </w:r>
            <w:r>
              <w:rPr>
                <w:rFonts w:hint="eastAsia"/>
              </w:rPr>
              <w:t>。</w:t>
            </w:r>
          </w:p>
          <w:p>
            <w:pPr>
              <w:pStyle w:val="105"/>
            </w:pPr>
            <w:r>
              <w:rPr>
                <w:rFonts w:hint="eastAsia"/>
              </w:rPr>
              <w:t>②施工场地、临时表土堆场等临时用地严禁设置在一般湿地范围内；</w:t>
            </w:r>
          </w:p>
          <w:p>
            <w:pPr>
              <w:pStyle w:val="105"/>
            </w:pPr>
            <w:r>
              <w:rPr>
                <w:rFonts w:hint="eastAsia"/>
              </w:rPr>
              <w:t>③高噪声的施工活动尽量不要安排在冬季（10  月～3  月），在冬季施工时要注意对冬候鸟的保护；</w:t>
            </w:r>
          </w:p>
          <w:p>
            <w:pPr>
              <w:pStyle w:val="105"/>
            </w:pPr>
            <w:r>
              <w:rPr>
                <w:rFonts w:hint="eastAsia"/>
              </w:rPr>
              <w:t>④施工废水分质处理后，尽量回用于工地洒水、绿化等，严禁施工废水排污迳江河道；</w:t>
            </w:r>
          </w:p>
          <w:p>
            <w:pPr>
              <w:pStyle w:val="105"/>
            </w:pPr>
            <w:r>
              <w:rPr>
                <w:rFonts w:hint="eastAsia"/>
              </w:rPr>
              <w:t>⑤</w:t>
            </w:r>
            <w:bookmarkStart w:id="737" w:name="_Hlk195519208"/>
            <w:r>
              <w:rPr>
                <w:rFonts w:hint="eastAsia"/>
              </w:rPr>
              <w:t>桥梁桩基、改河、涉水涵洞</w:t>
            </w:r>
            <w:bookmarkEnd w:id="737"/>
            <w:r>
              <w:rPr>
                <w:rFonts w:hint="eastAsia"/>
              </w:rPr>
              <w:t>等施工尽量选在枯水期进行，</w:t>
            </w:r>
            <w:bookmarkStart w:id="738" w:name="_Hlk195519187"/>
            <w:r>
              <w:rPr>
                <w:rFonts w:hint="eastAsia"/>
              </w:rPr>
              <w:t>施工过程中要求设置施工围堰</w:t>
            </w:r>
            <w:bookmarkEnd w:id="738"/>
            <w:r>
              <w:rPr>
                <w:rFonts w:hint="eastAsia"/>
              </w:rPr>
              <w:t>。</w:t>
            </w:r>
          </w:p>
        </w:tc>
        <w:tc>
          <w:tcPr>
            <w:tcW w:w="596" w:type="pct"/>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r>
              <w:t>水土保持措施</w:t>
            </w:r>
          </w:p>
        </w:tc>
        <w:tc>
          <w:tcPr>
            <w:tcW w:w="3746" w:type="pct"/>
            <w:shd w:val="clear" w:color="auto" w:fill="auto"/>
            <w:vAlign w:val="center"/>
          </w:tcPr>
          <w:p>
            <w:pPr>
              <w:pStyle w:val="105"/>
            </w:pPr>
            <w:r>
              <w:t>按报批水保报告书要求进行水土流失防治</w:t>
            </w:r>
          </w:p>
        </w:tc>
        <w:tc>
          <w:tcPr>
            <w:tcW w:w="596" w:type="pct"/>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restart"/>
            <w:shd w:val="clear" w:color="auto" w:fill="auto"/>
            <w:vAlign w:val="center"/>
          </w:tcPr>
          <w:p>
            <w:pPr>
              <w:pStyle w:val="105"/>
            </w:pPr>
            <w:r>
              <w:rPr>
                <w:rFonts w:hint="eastAsia"/>
              </w:rPr>
              <w:t>2</w:t>
            </w:r>
          </w:p>
        </w:tc>
        <w:tc>
          <w:tcPr>
            <w:tcW w:w="197" w:type="pct"/>
            <w:vMerge w:val="restart"/>
            <w:shd w:val="clear" w:color="auto" w:fill="auto"/>
            <w:vAlign w:val="center"/>
          </w:tcPr>
          <w:p>
            <w:pPr>
              <w:pStyle w:val="105"/>
            </w:pPr>
            <w:r>
              <w:rPr>
                <w:rFonts w:hint="eastAsia"/>
              </w:rPr>
              <w:t>水环境</w:t>
            </w:r>
          </w:p>
        </w:tc>
        <w:tc>
          <w:tcPr>
            <w:tcW w:w="314" w:type="pct"/>
            <w:shd w:val="clear" w:color="auto" w:fill="auto"/>
            <w:vAlign w:val="center"/>
          </w:tcPr>
          <w:p>
            <w:pPr>
              <w:pStyle w:val="105"/>
            </w:pPr>
            <w:r>
              <w:rPr>
                <w:rFonts w:hint="eastAsia"/>
              </w:rPr>
              <w:t>施工生活生产废水</w:t>
            </w:r>
          </w:p>
        </w:tc>
        <w:tc>
          <w:tcPr>
            <w:tcW w:w="3746" w:type="pct"/>
            <w:shd w:val="clear" w:color="auto" w:fill="auto"/>
            <w:vAlign w:val="center"/>
          </w:tcPr>
          <w:p>
            <w:pPr>
              <w:pStyle w:val="105"/>
            </w:pPr>
            <w:r>
              <w:rPr>
                <w:rFonts w:hint="eastAsia"/>
              </w:rPr>
              <w:t>①含泥沙废水：由沉淀池收集，经酸碱中和沉淀、隔油除渣等处理后回用于施工过程、运输车辆冲洗和场地洒水抑尘等，不排放。</w:t>
            </w:r>
          </w:p>
          <w:p>
            <w:pPr>
              <w:pStyle w:val="105"/>
            </w:pPr>
            <w:r>
              <w:rPr>
                <w:rFonts w:hint="eastAsia"/>
              </w:rPr>
              <w:t>②含油废水：施工场地应设置隔油池，少量含油废水经隔油池收集处理，经处理后回用于施工场地洒水抑尘等。③施工场地出入口设置洗车平台；地面必须硬化，设防雨棚和排水系统。</w:t>
            </w:r>
          </w:p>
          <w:p>
            <w:pPr>
              <w:pStyle w:val="105"/>
            </w:pPr>
            <w:r>
              <w:rPr>
                <w:rFonts w:hint="eastAsia"/>
              </w:rPr>
              <w:t>④施工场地不设集中居住区，施工人员就近租用当地的民房，依托当地居民排水系统处理。值班房和临时办公区涉及的少量生活污水，通过设置临时化粪池进行收集，委托当地村民清运用于肥田，不外排。</w:t>
            </w:r>
          </w:p>
        </w:tc>
        <w:tc>
          <w:tcPr>
            <w:tcW w:w="596" w:type="pct"/>
            <w:shd w:val="clear" w:color="auto" w:fill="auto"/>
            <w:vAlign w:val="center"/>
          </w:tcPr>
          <w:p>
            <w:pPr>
              <w:pStyle w:val="105"/>
            </w:pPr>
            <w:r>
              <w:rPr>
                <w:rFonts w:hint="eastAsia"/>
              </w:rPr>
              <w:t>监督落实情况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r>
              <w:rPr>
                <w:rFonts w:hint="eastAsia"/>
                <w:b/>
                <w:bCs/>
              </w:rPr>
              <w:t>桥梁、改河等涉水工程</w:t>
            </w:r>
          </w:p>
        </w:tc>
        <w:tc>
          <w:tcPr>
            <w:tcW w:w="3746" w:type="pct"/>
            <w:shd w:val="clear" w:color="auto" w:fill="auto"/>
            <w:vAlign w:val="center"/>
          </w:tcPr>
          <w:p>
            <w:pPr>
              <w:pStyle w:val="105"/>
            </w:pPr>
            <w:r>
              <w:rPr>
                <w:rFonts w:hint="eastAsia"/>
              </w:rPr>
              <w:t>①涉水工程基础施工尽量安排在枯水期施工，避免在丰水期施工。</w:t>
            </w:r>
          </w:p>
          <w:p>
            <w:pPr>
              <w:pStyle w:val="105"/>
            </w:pPr>
            <w:r>
              <w:rPr>
                <w:rFonts w:hint="eastAsia"/>
              </w:rPr>
              <w:t>②施工材料的堆放场地应设围挡措施，并加篷布覆盖；剩余土石方及时转运，严禁弃入河道或河滩，淤塞河道。</w:t>
            </w:r>
          </w:p>
          <w:p>
            <w:pPr>
              <w:pStyle w:val="105"/>
            </w:pPr>
            <w:r>
              <w:rPr>
                <w:rFonts w:hint="eastAsia"/>
              </w:rPr>
              <w:t>③钻孔灌注桩基础施工中泥浆泵至岸边的沉淀池和泥浆池内，部分泥浆回用，无法回用的泥浆经沉淀后上清液回用于绿化或路面洒水，施工结束后钻渣和泥浆与其他弃方一并转运。④桥梁、改河、涉水涵洞等涉水工程基础施工过程中须采取围堰措施；⑤施工废水不得排入河流。⑥施工结束后，应尽量使施工段河道恢复原貌。</w:t>
            </w:r>
          </w:p>
        </w:tc>
        <w:tc>
          <w:tcPr>
            <w:tcW w:w="596" w:type="pct"/>
            <w:shd w:val="clear" w:color="auto" w:fill="auto"/>
            <w:vAlign w:val="center"/>
          </w:tcPr>
          <w:p>
            <w:pPr>
              <w:pStyle w:val="105"/>
            </w:pPr>
            <w:r>
              <w:rPr>
                <w:rFonts w:hint="eastAsia"/>
              </w:rPr>
              <w:t>监督落实情况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restart"/>
            <w:shd w:val="clear" w:color="auto" w:fill="auto"/>
            <w:vAlign w:val="center"/>
          </w:tcPr>
          <w:p>
            <w:pPr>
              <w:pStyle w:val="105"/>
            </w:pPr>
            <w:r>
              <w:rPr>
                <w:rFonts w:hint="eastAsia"/>
              </w:rPr>
              <w:t>3</w:t>
            </w:r>
          </w:p>
        </w:tc>
        <w:tc>
          <w:tcPr>
            <w:tcW w:w="197" w:type="pct"/>
            <w:vMerge w:val="restart"/>
            <w:shd w:val="clear" w:color="auto" w:fill="auto"/>
            <w:vAlign w:val="center"/>
          </w:tcPr>
          <w:p>
            <w:pPr>
              <w:pStyle w:val="105"/>
            </w:pPr>
            <w:r>
              <w:rPr>
                <w:rFonts w:hint="eastAsia"/>
              </w:rPr>
              <w:t>大气环境</w:t>
            </w:r>
          </w:p>
        </w:tc>
        <w:tc>
          <w:tcPr>
            <w:tcW w:w="314" w:type="pct"/>
            <w:shd w:val="clear" w:color="auto" w:fill="auto"/>
            <w:vAlign w:val="center"/>
          </w:tcPr>
          <w:p>
            <w:pPr>
              <w:pStyle w:val="105"/>
            </w:pPr>
            <w:r>
              <w:rPr>
                <w:rFonts w:hint="eastAsia"/>
              </w:rPr>
              <w:t>土石方施工扬尘</w:t>
            </w:r>
          </w:p>
        </w:tc>
        <w:tc>
          <w:tcPr>
            <w:tcW w:w="3746" w:type="pct"/>
            <w:shd w:val="clear" w:color="auto" w:fill="auto"/>
            <w:vAlign w:val="center"/>
          </w:tcPr>
          <w:p>
            <w:pPr>
              <w:pStyle w:val="105"/>
            </w:pPr>
            <w:r>
              <w:rPr>
                <w:rFonts w:hint="eastAsia"/>
              </w:rPr>
              <w:t>①开挖过程洒水抑尘，土方集中堆放，及时回填，采取土方表面压实、定期喷水、覆盖等措施。</w:t>
            </w:r>
          </w:p>
          <w:p>
            <w:pPr>
              <w:pStyle w:val="105"/>
            </w:pPr>
            <w:r>
              <w:rPr>
                <w:rFonts w:hint="eastAsia"/>
              </w:rPr>
              <w:t>②开挖和拆迁过程中，需洒水作业使土石方保持一定的湿度；③避免在大风季节施工；④表土堆置应采取覆盖防尘网等降尘措施。</w:t>
            </w:r>
          </w:p>
        </w:tc>
        <w:tc>
          <w:tcPr>
            <w:tcW w:w="596" w:type="pct"/>
            <w:vMerge w:val="restart"/>
            <w:shd w:val="clear" w:color="auto" w:fill="auto"/>
            <w:vAlign w:val="center"/>
          </w:tcPr>
          <w:p>
            <w:pPr>
              <w:pStyle w:val="105"/>
            </w:pPr>
            <w:r>
              <w:t>施工扬尘排放执行《大气污染物综合排放标准》（GB16297-1996）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r>
              <w:rPr>
                <w:rFonts w:hint="eastAsia"/>
              </w:rPr>
              <w:t>施工场地扬尘</w:t>
            </w:r>
          </w:p>
        </w:tc>
        <w:tc>
          <w:tcPr>
            <w:tcW w:w="3746" w:type="pct"/>
            <w:shd w:val="clear" w:color="auto" w:fill="auto"/>
            <w:vAlign w:val="center"/>
          </w:tcPr>
          <w:p>
            <w:pPr>
              <w:pStyle w:val="105"/>
            </w:pPr>
            <w:r>
              <w:rPr>
                <w:rFonts w:hint="eastAsia"/>
              </w:rPr>
              <w:t>①施工场地四周应设置</w:t>
            </w:r>
            <w:r>
              <w:t>2</w:t>
            </w:r>
            <w:r>
              <w:rPr>
                <w:rFonts w:hint="eastAsia"/>
              </w:rPr>
              <w:t>m以上围挡；②施工场地地面须硬化；</w:t>
            </w:r>
          </w:p>
          <w:p>
            <w:pPr>
              <w:pStyle w:val="105"/>
            </w:pPr>
            <w:r>
              <w:rPr>
                <w:rFonts w:hint="eastAsia"/>
              </w:rPr>
              <w:t>③水泥、混凝土等散体建筑材料采用仓库、封闭堆场、储藏罐等形式堆放；④建筑材料堆场等应定点定位，并采取洒水抑尘、加盖篷布等防扬尘措施；⑤施工场地出入口配备车辆冲洗平台，配套冲洗废水沉淀池等设施。</w:t>
            </w:r>
          </w:p>
        </w:tc>
        <w:tc>
          <w:tcPr>
            <w:tcW w:w="596" w:type="pct"/>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vMerge w:val="continue"/>
            <w:shd w:val="clear" w:color="auto" w:fill="auto"/>
            <w:vAlign w:val="center"/>
          </w:tcPr>
          <w:p>
            <w:pPr>
              <w:pStyle w:val="105"/>
            </w:pPr>
          </w:p>
        </w:tc>
        <w:tc>
          <w:tcPr>
            <w:tcW w:w="197" w:type="pct"/>
            <w:vMerge w:val="continue"/>
            <w:shd w:val="clear" w:color="auto" w:fill="auto"/>
            <w:vAlign w:val="center"/>
          </w:tcPr>
          <w:p>
            <w:pPr>
              <w:pStyle w:val="105"/>
            </w:pPr>
          </w:p>
        </w:tc>
        <w:tc>
          <w:tcPr>
            <w:tcW w:w="314" w:type="pct"/>
            <w:shd w:val="clear" w:color="auto" w:fill="auto"/>
            <w:vAlign w:val="center"/>
          </w:tcPr>
          <w:p>
            <w:pPr>
              <w:pStyle w:val="105"/>
            </w:pPr>
            <w:r>
              <w:rPr>
                <w:rFonts w:hint="eastAsia"/>
              </w:rPr>
              <w:t>运输扬尘</w:t>
            </w:r>
          </w:p>
        </w:tc>
        <w:tc>
          <w:tcPr>
            <w:tcW w:w="3746" w:type="pct"/>
            <w:shd w:val="clear" w:color="auto" w:fill="auto"/>
            <w:vAlign w:val="center"/>
          </w:tcPr>
          <w:p>
            <w:pPr>
              <w:pStyle w:val="105"/>
            </w:pPr>
            <w:r>
              <w:rPr>
                <w:rFonts w:hint="eastAsia"/>
              </w:rPr>
              <w:t>①</w:t>
            </w:r>
            <w:r>
              <w:t>应严格控制车速；运输车辆按规章装卸运行，严禁超载</w:t>
            </w:r>
            <w:r>
              <w:rPr>
                <w:rFonts w:hint="eastAsia"/>
              </w:rPr>
              <w:t>；②施工场地出入口配备车辆冲洗设施；</w:t>
            </w:r>
          </w:p>
          <w:p>
            <w:pPr>
              <w:pStyle w:val="105"/>
            </w:pPr>
            <w:r>
              <w:rPr>
                <w:rFonts w:hint="eastAsia"/>
              </w:rPr>
              <w:t>③运输道路采用洒水和清扫等措施；④</w:t>
            </w:r>
            <w:r>
              <w:t>运送土石方和</w:t>
            </w:r>
            <w:r>
              <w:rPr>
                <w:rFonts w:hint="eastAsia"/>
              </w:rPr>
              <w:t>筑路</w:t>
            </w:r>
            <w:r>
              <w:t>材料的车辆应实行密闭运输</w:t>
            </w:r>
            <w:r>
              <w:rPr>
                <w:rFonts w:hint="eastAsia"/>
              </w:rPr>
              <w:t>。</w:t>
            </w:r>
          </w:p>
        </w:tc>
        <w:tc>
          <w:tcPr>
            <w:tcW w:w="596" w:type="pct"/>
            <w:vMerge w:val="continue"/>
            <w:shd w:val="clear" w:color="auto" w:fill="auto"/>
            <w:vAlign w:val="center"/>
          </w:tcPr>
          <w:p>
            <w:pPr>
              <w:pStyle w:val="10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shd w:val="clear" w:color="auto" w:fill="auto"/>
            <w:vAlign w:val="center"/>
          </w:tcPr>
          <w:p>
            <w:pPr>
              <w:pStyle w:val="105"/>
            </w:pPr>
            <w:r>
              <w:rPr>
                <w:rFonts w:hint="eastAsia"/>
              </w:rPr>
              <w:t>4</w:t>
            </w:r>
          </w:p>
        </w:tc>
        <w:tc>
          <w:tcPr>
            <w:tcW w:w="511" w:type="pct"/>
            <w:gridSpan w:val="2"/>
            <w:shd w:val="clear" w:color="auto" w:fill="auto"/>
            <w:vAlign w:val="center"/>
          </w:tcPr>
          <w:p>
            <w:pPr>
              <w:pStyle w:val="105"/>
            </w:pPr>
            <w:r>
              <w:t>声环境</w:t>
            </w:r>
          </w:p>
        </w:tc>
        <w:tc>
          <w:tcPr>
            <w:tcW w:w="3746" w:type="pct"/>
            <w:shd w:val="clear" w:color="auto" w:fill="auto"/>
            <w:vAlign w:val="center"/>
          </w:tcPr>
          <w:p>
            <w:pPr>
              <w:pStyle w:val="105"/>
            </w:pPr>
            <w:r>
              <w:rPr>
                <w:rFonts w:hint="eastAsia"/>
              </w:rPr>
              <w:t>①</w:t>
            </w:r>
            <w:bookmarkStart w:id="739" w:name="_Hlk195519314"/>
            <w:r>
              <w:rPr>
                <w:rFonts w:hint="eastAsia"/>
              </w:rPr>
              <w:t>合理布局施工现场</w:t>
            </w:r>
            <w:bookmarkEnd w:id="739"/>
            <w:r>
              <w:rPr>
                <w:rFonts w:hint="eastAsia"/>
              </w:rPr>
              <w:t>：将施工现场的噪声源相对集中，并尽量远离敏感点，以减少影响的范围和程度。</w:t>
            </w:r>
          </w:p>
          <w:p>
            <w:pPr>
              <w:pStyle w:val="105"/>
            </w:pPr>
            <w:r>
              <w:rPr>
                <w:rFonts w:hint="eastAsia"/>
              </w:rPr>
              <w:t>②</w:t>
            </w:r>
            <w:bookmarkStart w:id="740" w:name="_Hlk195519321"/>
            <w:r>
              <w:rPr>
                <w:rFonts w:hint="eastAsia"/>
              </w:rPr>
              <w:t>合理安排施工作业时间</w:t>
            </w:r>
            <w:bookmarkEnd w:id="740"/>
            <w:r>
              <w:rPr>
                <w:rFonts w:hint="eastAsia"/>
              </w:rPr>
              <w:t>：在保证进度的前提下，合理安排作业时间，必须把排放噪声强度大的施工应安排在7：00～12：00和14：00～22：00施工。③合理安排施工运输车辆的走行路线和走行时间：施工运输车辆，尤其是大型运输车辆，应按照有关部门的规定，确定合理运输路线和时间。④</w:t>
            </w:r>
            <w:bookmarkStart w:id="741" w:name="_Hlk195519330"/>
            <w:r>
              <w:rPr>
                <w:rFonts w:hint="eastAsia"/>
              </w:rPr>
              <w:t>对施工场界200m范围内有居民的施工场地、表土堆场等临时施工场地靠近居民一侧安装临时声屏障。</w:t>
            </w:r>
            <w:bookmarkEnd w:id="741"/>
          </w:p>
          <w:p>
            <w:pPr>
              <w:pStyle w:val="105"/>
            </w:pPr>
            <w:r>
              <w:rPr>
                <w:rFonts w:hint="eastAsia"/>
              </w:rPr>
              <w:t>⑤施工期加强对施工期噪声的监督管理</w:t>
            </w:r>
            <w:r>
              <w:t>。</w:t>
            </w:r>
          </w:p>
        </w:tc>
        <w:tc>
          <w:tcPr>
            <w:tcW w:w="596" w:type="pct"/>
            <w:shd w:val="clear" w:color="auto" w:fill="auto"/>
            <w:vAlign w:val="center"/>
          </w:tcPr>
          <w:p>
            <w:pPr>
              <w:pStyle w:val="105"/>
            </w:pPr>
            <w:r>
              <w:rPr>
                <w:rFonts w:hint="eastAsia"/>
              </w:rPr>
              <w:t>执行《建筑施工场界环境噪声排放标准》（GB12523-2011）昼间70≤dBA，夜间55≤dBA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shd w:val="clear" w:color="auto" w:fill="auto"/>
            <w:vAlign w:val="center"/>
          </w:tcPr>
          <w:p>
            <w:pPr>
              <w:pStyle w:val="105"/>
            </w:pPr>
            <w:r>
              <w:rPr>
                <w:rFonts w:hint="eastAsia"/>
              </w:rPr>
              <w:t>5</w:t>
            </w:r>
          </w:p>
        </w:tc>
        <w:tc>
          <w:tcPr>
            <w:tcW w:w="511" w:type="pct"/>
            <w:gridSpan w:val="2"/>
            <w:shd w:val="clear" w:color="auto" w:fill="auto"/>
            <w:vAlign w:val="center"/>
          </w:tcPr>
          <w:p>
            <w:pPr>
              <w:pStyle w:val="105"/>
            </w:pPr>
            <w:r>
              <w:t>固体废物</w:t>
            </w:r>
          </w:p>
        </w:tc>
        <w:tc>
          <w:tcPr>
            <w:tcW w:w="3746" w:type="pct"/>
            <w:shd w:val="clear" w:color="auto" w:fill="auto"/>
            <w:vAlign w:val="center"/>
          </w:tcPr>
          <w:p>
            <w:pPr>
              <w:pStyle w:val="105"/>
            </w:pPr>
            <w:r>
              <w:rPr>
                <w:rFonts w:hint="eastAsia"/>
              </w:rPr>
              <w:t>①建筑垃圾中的建筑废模板、建筑材料下脚料等，可由废品回收部门回收再生利用，不可再生利用的施工垃圾可运送至指定建筑垃圾收集点堆存；②土石方等建筑材料废弃物应及时调配；③拆迁建筑时产生的诸如废砖、瓦等固体废物可当作筑路的填料；</w:t>
            </w:r>
          </w:p>
          <w:p>
            <w:pPr>
              <w:pStyle w:val="105"/>
            </w:pPr>
            <w:r>
              <w:rPr>
                <w:rFonts w:hint="eastAsia"/>
              </w:rPr>
              <w:t>④施工现场应当设置废物收集桶（或其他容器）用于及时清理、收集生产和生活废物，禁止随意抛洒；集中收集后送入垃圾处理场。施工营地的生活垃圾设置垃圾箱全部收集，定期清运。</w:t>
            </w:r>
          </w:p>
        </w:tc>
        <w:tc>
          <w:tcPr>
            <w:tcW w:w="596" w:type="pct"/>
            <w:shd w:val="clear" w:color="auto" w:fill="auto"/>
            <w:vAlign w:val="center"/>
          </w:tcPr>
          <w:p>
            <w:pPr>
              <w:pStyle w:val="105"/>
            </w:pPr>
            <w:r>
              <w:rPr>
                <w:rFonts w:hint="eastAsia"/>
              </w:rPr>
              <w:t>监督落实情况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47" w:type="pct"/>
            <w:shd w:val="clear" w:color="auto" w:fill="auto"/>
            <w:vAlign w:val="center"/>
          </w:tcPr>
          <w:p>
            <w:pPr>
              <w:pStyle w:val="105"/>
            </w:pPr>
            <w:r>
              <w:rPr>
                <w:rFonts w:hint="eastAsia"/>
              </w:rPr>
              <w:t>6</w:t>
            </w:r>
          </w:p>
        </w:tc>
        <w:tc>
          <w:tcPr>
            <w:tcW w:w="511" w:type="pct"/>
            <w:gridSpan w:val="2"/>
            <w:shd w:val="clear" w:color="auto" w:fill="auto"/>
            <w:vAlign w:val="center"/>
          </w:tcPr>
          <w:p>
            <w:pPr>
              <w:pStyle w:val="105"/>
            </w:pPr>
            <w:r>
              <w:t>环境管理及监理</w:t>
            </w:r>
          </w:p>
        </w:tc>
        <w:tc>
          <w:tcPr>
            <w:tcW w:w="3746" w:type="pct"/>
            <w:shd w:val="clear" w:color="auto" w:fill="auto"/>
            <w:vAlign w:val="center"/>
          </w:tcPr>
          <w:p>
            <w:pPr>
              <w:pStyle w:val="105"/>
            </w:pPr>
            <w:r>
              <w:rPr>
                <w:rFonts w:hint="eastAsia"/>
              </w:rPr>
              <w:t>①环保机构、环保人员设置情况，相关制度的建立与执行情况</w:t>
            </w:r>
          </w:p>
          <w:p>
            <w:pPr>
              <w:pStyle w:val="105"/>
            </w:pPr>
            <w:r>
              <w:rPr>
                <w:rFonts w:hint="eastAsia"/>
              </w:rPr>
              <w:t>②</w:t>
            </w:r>
            <w:r>
              <w:t>调查施工环保监理文件完整性</w:t>
            </w:r>
            <w:r>
              <w:rPr>
                <w:rFonts w:hint="eastAsia"/>
              </w:rPr>
              <w:t>。</w:t>
            </w:r>
          </w:p>
          <w:p>
            <w:pPr>
              <w:pStyle w:val="105"/>
            </w:pPr>
            <w:r>
              <w:rPr>
                <w:rFonts w:hint="eastAsia"/>
              </w:rPr>
              <w:t>③</w:t>
            </w:r>
            <w:r>
              <w:t>环保经费落实情况</w:t>
            </w:r>
            <w:r>
              <w:rPr>
                <w:rFonts w:hint="eastAsia"/>
              </w:rPr>
              <w:t>。</w:t>
            </w:r>
          </w:p>
        </w:tc>
        <w:tc>
          <w:tcPr>
            <w:tcW w:w="596" w:type="pct"/>
            <w:shd w:val="clear" w:color="auto" w:fill="auto"/>
            <w:vAlign w:val="center"/>
          </w:tcPr>
          <w:p>
            <w:pPr>
              <w:pStyle w:val="105"/>
            </w:pPr>
            <w:r>
              <w:rPr>
                <w:rFonts w:hint="eastAsia"/>
              </w:rPr>
              <w:t>监督落实情况</w:t>
            </w:r>
          </w:p>
        </w:tc>
      </w:tr>
    </w:tbl>
    <w:p>
      <w:pPr>
        <w:pStyle w:val="87"/>
        <w:spacing w:before="163"/>
        <w:ind w:left="480" w:firstLine="480"/>
        <w:sectPr>
          <w:pgSz w:w="16838" w:h="11906" w:orient="landscape"/>
          <w:pgMar w:top="1418" w:right="1418" w:bottom="1418" w:left="1418" w:header="851" w:footer="851" w:gutter="0"/>
          <w:cols w:space="425" w:num="1"/>
          <w:docGrid w:type="lines" w:linePitch="326" w:charSpace="0"/>
        </w:sectPr>
      </w:pPr>
    </w:p>
    <w:bookmarkEnd w:id="728"/>
    <w:p>
      <w:pPr>
        <w:pStyle w:val="87"/>
        <w:spacing w:before="163"/>
      </w:pPr>
      <w:bookmarkStart w:id="742" w:name="_Ref153909903"/>
      <w:bookmarkStart w:id="743" w:name="_Hlk152945398"/>
      <w:r>
        <w:rPr>
          <w:rFonts w:hint="eastAsia"/>
        </w:rPr>
        <w:t>运营期环保管理及竣工验收一览表</w:t>
      </w:r>
      <w:bookmarkEnd w:id="742"/>
    </w:p>
    <w:tbl>
      <w:tblPr>
        <w:tblStyle w:val="15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98"/>
        <w:gridCol w:w="892"/>
        <w:gridCol w:w="7655"/>
        <w:gridCol w:w="2693"/>
        <w:gridCol w:w="23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tcMar>
              <w:left w:w="57" w:type="dxa"/>
              <w:right w:w="57" w:type="dxa"/>
            </w:tcMar>
            <w:vAlign w:val="center"/>
          </w:tcPr>
          <w:p>
            <w:pPr>
              <w:pStyle w:val="105"/>
              <w:widowControl w:val="0"/>
              <w:jc w:val="center"/>
            </w:pPr>
            <w:r>
              <w:rPr>
                <w:rFonts w:hint="eastAsia"/>
              </w:rPr>
              <w:t>序号</w:t>
            </w:r>
          </w:p>
        </w:tc>
        <w:tc>
          <w:tcPr>
            <w:tcW w:w="892" w:type="dxa"/>
            <w:tcMar>
              <w:left w:w="57" w:type="dxa"/>
              <w:right w:w="57" w:type="dxa"/>
            </w:tcMar>
            <w:vAlign w:val="center"/>
          </w:tcPr>
          <w:p>
            <w:pPr>
              <w:pStyle w:val="105"/>
              <w:widowControl w:val="0"/>
              <w:jc w:val="center"/>
            </w:pPr>
            <w:r>
              <w:rPr>
                <w:rFonts w:hint="eastAsia"/>
              </w:rPr>
              <w:t>验收项目</w:t>
            </w:r>
          </w:p>
        </w:tc>
        <w:tc>
          <w:tcPr>
            <w:tcW w:w="7655" w:type="dxa"/>
            <w:tcMar>
              <w:left w:w="57" w:type="dxa"/>
              <w:right w:w="57" w:type="dxa"/>
            </w:tcMar>
            <w:vAlign w:val="center"/>
          </w:tcPr>
          <w:p>
            <w:pPr>
              <w:pStyle w:val="105"/>
              <w:widowControl w:val="0"/>
              <w:jc w:val="center"/>
            </w:pPr>
            <w:r>
              <w:rPr>
                <w:rFonts w:hint="eastAsia"/>
              </w:rPr>
              <w:t>措施情况</w:t>
            </w:r>
          </w:p>
        </w:tc>
        <w:tc>
          <w:tcPr>
            <w:tcW w:w="2693" w:type="dxa"/>
            <w:tcMar>
              <w:left w:w="57" w:type="dxa"/>
              <w:right w:w="57" w:type="dxa"/>
            </w:tcMar>
            <w:vAlign w:val="center"/>
          </w:tcPr>
          <w:p>
            <w:pPr>
              <w:pStyle w:val="105"/>
              <w:widowControl w:val="0"/>
              <w:jc w:val="center"/>
            </w:pPr>
            <w:r>
              <w:rPr>
                <w:rFonts w:hint="eastAsia"/>
              </w:rPr>
              <w:t>验收内容</w:t>
            </w:r>
          </w:p>
        </w:tc>
        <w:tc>
          <w:tcPr>
            <w:tcW w:w="2378" w:type="dxa"/>
            <w:tcMar>
              <w:left w:w="57" w:type="dxa"/>
              <w:right w:w="57" w:type="dxa"/>
            </w:tcMar>
            <w:vAlign w:val="center"/>
          </w:tcPr>
          <w:p>
            <w:pPr>
              <w:pStyle w:val="105"/>
              <w:widowControl w:val="0"/>
              <w:jc w:val="center"/>
            </w:pPr>
            <w:r>
              <w:rPr>
                <w:rFonts w:hint="eastAsia"/>
              </w:rPr>
              <w:t>验收标准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tcMar>
              <w:left w:w="57" w:type="dxa"/>
              <w:right w:w="57" w:type="dxa"/>
            </w:tcMar>
            <w:vAlign w:val="center"/>
          </w:tcPr>
          <w:p>
            <w:pPr>
              <w:pStyle w:val="105"/>
              <w:widowControl w:val="0"/>
              <w:jc w:val="center"/>
            </w:pPr>
            <w:r>
              <w:rPr>
                <w:rFonts w:hint="eastAsia"/>
              </w:rPr>
              <w:t>1</w:t>
            </w:r>
          </w:p>
        </w:tc>
        <w:tc>
          <w:tcPr>
            <w:tcW w:w="892" w:type="dxa"/>
            <w:tcMar>
              <w:left w:w="57" w:type="dxa"/>
              <w:right w:w="57" w:type="dxa"/>
            </w:tcMar>
            <w:vAlign w:val="center"/>
          </w:tcPr>
          <w:p>
            <w:pPr>
              <w:pStyle w:val="105"/>
              <w:widowControl w:val="0"/>
              <w:jc w:val="center"/>
            </w:pPr>
            <w:r>
              <w:rPr>
                <w:rFonts w:hint="eastAsia"/>
              </w:rPr>
              <w:t>生态环境</w:t>
            </w:r>
          </w:p>
        </w:tc>
        <w:tc>
          <w:tcPr>
            <w:tcW w:w="7655" w:type="dxa"/>
            <w:tcMar>
              <w:left w:w="57" w:type="dxa"/>
              <w:right w:w="57" w:type="dxa"/>
            </w:tcMar>
            <w:vAlign w:val="center"/>
          </w:tcPr>
          <w:p>
            <w:pPr>
              <w:pStyle w:val="105"/>
              <w:widowControl w:val="0"/>
              <w:jc w:val="left"/>
            </w:pPr>
            <w:r>
              <w:rPr>
                <w:rFonts w:hint="eastAsia"/>
              </w:rPr>
              <w:t>①对工程裸地进行植被恢复，应加强对绿化植物的管理与养护；</w:t>
            </w:r>
          </w:p>
          <w:p>
            <w:pPr>
              <w:pStyle w:val="105"/>
              <w:widowControl w:val="0"/>
              <w:jc w:val="left"/>
            </w:pPr>
            <w:r>
              <w:rPr>
                <w:rFonts w:hint="eastAsia"/>
              </w:rPr>
              <w:t>②加强公路沿线控制带、人行道的绿化建设；</w:t>
            </w:r>
          </w:p>
          <w:p>
            <w:pPr>
              <w:pStyle w:val="105"/>
              <w:widowControl w:val="0"/>
              <w:jc w:val="left"/>
            </w:pPr>
            <w:r>
              <w:rPr>
                <w:rFonts w:hint="eastAsia"/>
              </w:rPr>
              <w:t>③加强沿线高边坡等极易产生水土流失和安全事故区域的巡查维护，及时增加水土保持工程措施和植物措施，避免因水土流失造成的滑坡、边坡垮塌等事故</w:t>
            </w:r>
          </w:p>
        </w:tc>
        <w:tc>
          <w:tcPr>
            <w:tcW w:w="2693" w:type="dxa"/>
            <w:tcMar>
              <w:left w:w="57" w:type="dxa"/>
              <w:right w:w="57" w:type="dxa"/>
            </w:tcMar>
            <w:vAlign w:val="center"/>
          </w:tcPr>
          <w:p>
            <w:pPr>
              <w:pStyle w:val="105"/>
              <w:widowControl w:val="0"/>
              <w:jc w:val="left"/>
            </w:pPr>
            <w:r>
              <w:rPr>
                <w:rFonts w:hint="eastAsia"/>
              </w:rPr>
              <w:t>①生态环境现状调查； ②工程占地情况调查，永久占地、临时占地（临时施工场地等）及其生态恢复情况调查；③水土流失调查；④绿化工程情况调查。</w:t>
            </w:r>
          </w:p>
        </w:tc>
        <w:tc>
          <w:tcPr>
            <w:tcW w:w="2378" w:type="dxa"/>
            <w:tcMar>
              <w:left w:w="57" w:type="dxa"/>
              <w:right w:w="57" w:type="dxa"/>
            </w:tcMar>
            <w:vAlign w:val="center"/>
          </w:tcPr>
          <w:p>
            <w:pPr>
              <w:pStyle w:val="105"/>
              <w:widowControl w:val="0"/>
              <w:jc w:val="center"/>
            </w:pPr>
            <w:r>
              <w:rPr>
                <w:rFonts w:hint="eastAsia"/>
              </w:rPr>
              <w:t>进行植被</w:t>
            </w:r>
          </w:p>
          <w:p>
            <w:pPr>
              <w:pStyle w:val="105"/>
              <w:widowControl w:val="0"/>
              <w:jc w:val="center"/>
            </w:pPr>
            <w:r>
              <w:rPr>
                <w:rFonts w:hint="eastAsia"/>
              </w:rPr>
              <w:t>恢复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tcMar>
              <w:left w:w="57" w:type="dxa"/>
              <w:right w:w="57" w:type="dxa"/>
            </w:tcMar>
            <w:vAlign w:val="center"/>
          </w:tcPr>
          <w:p>
            <w:pPr>
              <w:pStyle w:val="105"/>
              <w:widowControl w:val="0"/>
              <w:jc w:val="center"/>
            </w:pPr>
            <w:r>
              <w:rPr>
                <w:rFonts w:hint="eastAsia"/>
              </w:rPr>
              <w:t>2</w:t>
            </w:r>
          </w:p>
        </w:tc>
        <w:tc>
          <w:tcPr>
            <w:tcW w:w="892" w:type="dxa"/>
            <w:tcMar>
              <w:left w:w="57" w:type="dxa"/>
              <w:right w:w="57" w:type="dxa"/>
            </w:tcMar>
            <w:vAlign w:val="center"/>
          </w:tcPr>
          <w:p>
            <w:pPr>
              <w:pStyle w:val="105"/>
              <w:widowControl w:val="0"/>
              <w:jc w:val="center"/>
            </w:pPr>
            <w:r>
              <w:rPr>
                <w:rFonts w:hint="eastAsia"/>
              </w:rPr>
              <w:t>声环境</w:t>
            </w:r>
          </w:p>
        </w:tc>
        <w:tc>
          <w:tcPr>
            <w:tcW w:w="7655" w:type="dxa"/>
            <w:tcMar>
              <w:left w:w="57" w:type="dxa"/>
              <w:right w:w="57" w:type="dxa"/>
            </w:tcMar>
            <w:vAlign w:val="center"/>
          </w:tcPr>
          <w:p>
            <w:pPr>
              <w:pStyle w:val="105"/>
              <w:widowControl w:val="0"/>
              <w:jc w:val="left"/>
            </w:pPr>
            <w:r>
              <w:rPr>
                <w:rFonts w:hint="eastAsia"/>
              </w:rPr>
              <w:t>①优化选址选线、合理规划布局：根据本次评价断面交通噪声预测结果，建议公路两侧在土地利用规划中噪声防护控制距离，为区域开发提供规划退让控制建议；</w:t>
            </w:r>
          </w:p>
          <w:p>
            <w:pPr>
              <w:pStyle w:val="105"/>
              <w:widowControl w:val="0"/>
              <w:jc w:val="left"/>
            </w:pPr>
            <w:r>
              <w:rPr>
                <w:rFonts w:hint="eastAsia"/>
              </w:rPr>
              <w:t>②噪声源控制措施：加强公路管理及路面养护，减少路面异常噪声；</w:t>
            </w:r>
          </w:p>
          <w:p>
            <w:pPr>
              <w:pStyle w:val="105"/>
              <w:widowControl w:val="0"/>
              <w:jc w:val="left"/>
            </w:pPr>
            <w:r>
              <w:rPr>
                <w:rFonts w:hint="eastAsia"/>
              </w:rPr>
              <w:t>③敏感目标：针对牌边村新桥、上张村王房、联华村后郑、联华村西山临路一排4a类近中远期夜间均出现不同程度超标，设置通风隔声窗，同时远期预留资金，进行跟踪监测，通风隔声窗面积：</w:t>
            </w:r>
            <w:r>
              <w:t>160</w:t>
            </w:r>
            <w:r>
              <w:rPr>
                <w:rFonts w:hint="eastAsia"/>
              </w:rPr>
              <w:t>m</w:t>
            </w:r>
            <w:r>
              <w:rPr>
                <w:vertAlign w:val="superscript"/>
              </w:rPr>
              <w:t>2</w:t>
            </w:r>
            <w:r>
              <w:rPr>
                <w:rFonts w:hint="eastAsia"/>
              </w:rPr>
              <w:t>。</w:t>
            </w:r>
          </w:p>
          <w:p>
            <w:pPr>
              <w:pStyle w:val="105"/>
              <w:widowControl w:val="0"/>
              <w:jc w:val="left"/>
            </w:pPr>
            <w:r>
              <w:rPr>
                <w:rFonts w:hint="eastAsia"/>
              </w:rPr>
              <w:t>④工程及管理措施：设置警示等标志；加强公路的维修保养；对声环境敏感目标进行跟踪监测，预留降噪经费。</w:t>
            </w:r>
          </w:p>
        </w:tc>
        <w:tc>
          <w:tcPr>
            <w:tcW w:w="2693" w:type="dxa"/>
            <w:tcMar>
              <w:left w:w="57" w:type="dxa"/>
              <w:right w:w="57" w:type="dxa"/>
            </w:tcMar>
            <w:vAlign w:val="center"/>
          </w:tcPr>
          <w:p>
            <w:pPr>
              <w:pStyle w:val="105"/>
              <w:widowControl w:val="0"/>
              <w:jc w:val="center"/>
            </w:pPr>
            <w:r>
              <w:rPr>
                <w:rFonts w:hint="eastAsia"/>
              </w:rPr>
              <w:t>①敏感目标达标情况；②噪声控制措施落实情况</w:t>
            </w:r>
          </w:p>
        </w:tc>
        <w:tc>
          <w:tcPr>
            <w:tcW w:w="2378" w:type="dxa"/>
            <w:tcMar>
              <w:left w:w="57" w:type="dxa"/>
              <w:right w:w="57" w:type="dxa"/>
            </w:tcMar>
            <w:vAlign w:val="center"/>
          </w:tcPr>
          <w:p>
            <w:pPr>
              <w:pStyle w:val="105"/>
              <w:widowControl w:val="0"/>
              <w:jc w:val="center"/>
            </w:pPr>
            <w:r>
              <w:rPr>
                <w:rFonts w:hint="eastAsia"/>
              </w:rPr>
              <w:t>公路两侧高于3层楼的临街建筑物或低于3层楼交通干线边界线外</w:t>
            </w:r>
            <w:r>
              <w:t>35</w:t>
            </w:r>
            <w:r>
              <w:rPr>
                <w:rFonts w:hint="eastAsia"/>
              </w:rPr>
              <w:t>m以内面向公路一侧区域声环境执行GB3096-2008中4a类标准，评价范围内的其他区域，执行2类标准。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tcMar>
              <w:left w:w="57" w:type="dxa"/>
              <w:right w:w="57" w:type="dxa"/>
            </w:tcMar>
            <w:vAlign w:val="center"/>
          </w:tcPr>
          <w:p>
            <w:pPr>
              <w:pStyle w:val="105"/>
              <w:widowControl w:val="0"/>
              <w:jc w:val="center"/>
            </w:pPr>
          </w:p>
        </w:tc>
        <w:tc>
          <w:tcPr>
            <w:tcW w:w="892" w:type="dxa"/>
            <w:tcMar>
              <w:left w:w="57" w:type="dxa"/>
              <w:right w:w="57" w:type="dxa"/>
            </w:tcMar>
            <w:vAlign w:val="center"/>
          </w:tcPr>
          <w:p>
            <w:pPr>
              <w:pStyle w:val="105"/>
              <w:widowControl w:val="0"/>
              <w:jc w:val="center"/>
            </w:pPr>
            <w:r>
              <w:rPr>
                <w:rFonts w:hint="eastAsia"/>
              </w:rPr>
              <w:t>大气环境</w:t>
            </w:r>
          </w:p>
        </w:tc>
        <w:tc>
          <w:tcPr>
            <w:tcW w:w="7655" w:type="dxa"/>
            <w:tcMar>
              <w:left w:w="57" w:type="dxa"/>
              <w:right w:w="57" w:type="dxa"/>
            </w:tcMar>
            <w:vAlign w:val="center"/>
          </w:tcPr>
          <w:p>
            <w:pPr>
              <w:pStyle w:val="105"/>
              <w:widowControl w:val="0"/>
              <w:jc w:val="left"/>
            </w:pPr>
            <w:r>
              <w:rPr>
                <w:rFonts w:hint="eastAsia"/>
              </w:rPr>
              <w:t>①加强公路车辆管理；②加强公路管理及路面养护。</w:t>
            </w:r>
          </w:p>
        </w:tc>
        <w:tc>
          <w:tcPr>
            <w:tcW w:w="2693" w:type="dxa"/>
            <w:tcMar>
              <w:left w:w="57" w:type="dxa"/>
              <w:right w:w="57" w:type="dxa"/>
            </w:tcMar>
            <w:vAlign w:val="center"/>
          </w:tcPr>
          <w:p>
            <w:pPr>
              <w:pStyle w:val="105"/>
              <w:widowControl w:val="0"/>
              <w:jc w:val="left"/>
            </w:pPr>
            <w:r>
              <w:rPr>
                <w:rFonts w:hint="eastAsia"/>
              </w:rPr>
              <w:t>检查措施落实情况</w:t>
            </w:r>
          </w:p>
        </w:tc>
        <w:tc>
          <w:tcPr>
            <w:tcW w:w="2378" w:type="dxa"/>
            <w:tcMar>
              <w:left w:w="57" w:type="dxa"/>
              <w:right w:w="57" w:type="dxa"/>
            </w:tcMar>
            <w:vAlign w:val="center"/>
          </w:tcPr>
          <w:p>
            <w:pPr>
              <w:pStyle w:val="105"/>
              <w:widowControl w:val="0"/>
              <w:jc w:val="left"/>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tcMar>
              <w:left w:w="57" w:type="dxa"/>
              <w:right w:w="57" w:type="dxa"/>
            </w:tcMar>
            <w:vAlign w:val="center"/>
          </w:tcPr>
          <w:p>
            <w:pPr>
              <w:pStyle w:val="105"/>
              <w:widowControl w:val="0"/>
              <w:jc w:val="center"/>
            </w:pPr>
            <w:r>
              <w:rPr>
                <w:rFonts w:hint="eastAsia"/>
              </w:rPr>
              <w:t>3</w:t>
            </w:r>
          </w:p>
        </w:tc>
        <w:tc>
          <w:tcPr>
            <w:tcW w:w="892" w:type="dxa"/>
            <w:tcMar>
              <w:left w:w="57" w:type="dxa"/>
              <w:right w:w="57" w:type="dxa"/>
            </w:tcMar>
            <w:vAlign w:val="center"/>
          </w:tcPr>
          <w:p>
            <w:pPr>
              <w:pStyle w:val="105"/>
              <w:widowControl w:val="0"/>
              <w:jc w:val="center"/>
            </w:pPr>
            <w:r>
              <w:rPr>
                <w:rFonts w:hint="eastAsia"/>
              </w:rPr>
              <w:t>水环境</w:t>
            </w:r>
          </w:p>
        </w:tc>
        <w:tc>
          <w:tcPr>
            <w:tcW w:w="7655" w:type="dxa"/>
            <w:tcMar>
              <w:left w:w="57" w:type="dxa"/>
              <w:right w:w="57" w:type="dxa"/>
            </w:tcMar>
            <w:vAlign w:val="center"/>
          </w:tcPr>
          <w:p>
            <w:pPr>
              <w:pStyle w:val="105"/>
              <w:widowControl w:val="0"/>
              <w:jc w:val="left"/>
            </w:pPr>
            <w:r>
              <w:rPr>
                <w:rFonts w:hint="eastAsia"/>
              </w:rPr>
              <w:t>公路路面和路基设置完善的排水系统；</w:t>
            </w:r>
          </w:p>
        </w:tc>
        <w:tc>
          <w:tcPr>
            <w:tcW w:w="2693" w:type="dxa"/>
            <w:tcMar>
              <w:left w:w="57" w:type="dxa"/>
              <w:right w:w="57" w:type="dxa"/>
            </w:tcMar>
            <w:vAlign w:val="center"/>
          </w:tcPr>
          <w:p>
            <w:pPr>
              <w:pStyle w:val="105"/>
              <w:widowControl w:val="0"/>
              <w:jc w:val="left"/>
            </w:pPr>
            <w:r>
              <w:rPr>
                <w:rFonts w:hint="eastAsia"/>
              </w:rPr>
              <w:t>检查措施落实情况</w:t>
            </w:r>
          </w:p>
        </w:tc>
        <w:tc>
          <w:tcPr>
            <w:tcW w:w="2378" w:type="dxa"/>
            <w:tcMar>
              <w:left w:w="57" w:type="dxa"/>
              <w:right w:w="57" w:type="dxa"/>
            </w:tcMar>
            <w:vAlign w:val="center"/>
          </w:tcPr>
          <w:p>
            <w:pPr>
              <w:pStyle w:val="105"/>
              <w:widowControl w:val="0"/>
              <w:jc w:val="left"/>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tcMar>
              <w:left w:w="57" w:type="dxa"/>
              <w:right w:w="57" w:type="dxa"/>
            </w:tcMar>
            <w:vAlign w:val="center"/>
          </w:tcPr>
          <w:p>
            <w:pPr>
              <w:pStyle w:val="105"/>
              <w:widowControl w:val="0"/>
              <w:jc w:val="center"/>
            </w:pPr>
            <w:r>
              <w:rPr>
                <w:rFonts w:hint="eastAsia"/>
              </w:rPr>
              <w:t>4</w:t>
            </w:r>
          </w:p>
        </w:tc>
        <w:tc>
          <w:tcPr>
            <w:tcW w:w="892" w:type="dxa"/>
            <w:tcMar>
              <w:left w:w="57" w:type="dxa"/>
              <w:right w:w="57" w:type="dxa"/>
            </w:tcMar>
            <w:vAlign w:val="center"/>
          </w:tcPr>
          <w:p>
            <w:pPr>
              <w:pStyle w:val="105"/>
              <w:widowControl w:val="0"/>
              <w:jc w:val="center"/>
            </w:pPr>
            <w:r>
              <w:rPr>
                <w:rFonts w:hint="eastAsia"/>
              </w:rPr>
              <w:t>环境风险防范措施</w:t>
            </w:r>
          </w:p>
        </w:tc>
        <w:tc>
          <w:tcPr>
            <w:tcW w:w="7655" w:type="dxa"/>
            <w:tcMar>
              <w:left w:w="57" w:type="dxa"/>
              <w:right w:w="57" w:type="dxa"/>
            </w:tcMar>
            <w:vAlign w:val="center"/>
          </w:tcPr>
          <w:p>
            <w:pPr>
              <w:pStyle w:val="105"/>
              <w:widowControl w:val="0"/>
              <w:jc w:val="left"/>
            </w:pPr>
            <w:r>
              <w:rPr>
                <w:rFonts w:hint="eastAsia"/>
              </w:rPr>
              <w:t>完善交通标志标线和实施交通信号控制；</w:t>
            </w:r>
            <w:r>
              <w:t>加强区域危险品运输管理</w:t>
            </w:r>
            <w:r>
              <w:rPr>
                <w:rFonts w:hint="eastAsia"/>
              </w:rPr>
              <w:t>；</w:t>
            </w:r>
          </w:p>
          <w:p>
            <w:pPr>
              <w:pStyle w:val="105"/>
              <w:widowControl w:val="0"/>
              <w:jc w:val="left"/>
            </w:pPr>
            <w:r>
              <w:rPr>
                <w:rFonts w:hint="eastAsia"/>
              </w:rPr>
              <w:t>采用现代科学技术手段实现交通安全管理的现代化，减少交通事故。</w:t>
            </w:r>
          </w:p>
        </w:tc>
        <w:tc>
          <w:tcPr>
            <w:tcW w:w="2693" w:type="dxa"/>
            <w:tcMar>
              <w:left w:w="57" w:type="dxa"/>
              <w:right w:w="57" w:type="dxa"/>
            </w:tcMar>
            <w:vAlign w:val="center"/>
          </w:tcPr>
          <w:p>
            <w:pPr>
              <w:pStyle w:val="105"/>
              <w:widowControl w:val="0"/>
              <w:jc w:val="left"/>
            </w:pPr>
            <w:r>
              <w:rPr>
                <w:rFonts w:hint="eastAsia"/>
              </w:rPr>
              <w:t>检查措施落实情况</w:t>
            </w:r>
          </w:p>
        </w:tc>
        <w:tc>
          <w:tcPr>
            <w:tcW w:w="2378" w:type="dxa"/>
            <w:tcMar>
              <w:left w:w="57" w:type="dxa"/>
              <w:right w:w="57" w:type="dxa"/>
            </w:tcMar>
            <w:vAlign w:val="center"/>
          </w:tcPr>
          <w:p>
            <w:pPr>
              <w:pStyle w:val="105"/>
              <w:widowControl w:val="0"/>
              <w:jc w:val="left"/>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4" w:hRule="atLeast"/>
        </w:trPr>
        <w:tc>
          <w:tcPr>
            <w:tcW w:w="0" w:type="auto"/>
            <w:tcMar>
              <w:left w:w="57" w:type="dxa"/>
              <w:right w:w="57" w:type="dxa"/>
            </w:tcMar>
            <w:vAlign w:val="center"/>
          </w:tcPr>
          <w:p>
            <w:pPr>
              <w:pStyle w:val="105"/>
              <w:widowControl w:val="0"/>
              <w:jc w:val="center"/>
            </w:pPr>
            <w:r>
              <w:rPr>
                <w:rFonts w:hint="eastAsia"/>
              </w:rPr>
              <w:t>5</w:t>
            </w:r>
          </w:p>
        </w:tc>
        <w:tc>
          <w:tcPr>
            <w:tcW w:w="892" w:type="dxa"/>
            <w:tcMar>
              <w:left w:w="57" w:type="dxa"/>
              <w:right w:w="57" w:type="dxa"/>
            </w:tcMar>
            <w:vAlign w:val="center"/>
          </w:tcPr>
          <w:p>
            <w:pPr>
              <w:pStyle w:val="105"/>
              <w:widowControl w:val="0"/>
              <w:jc w:val="center"/>
            </w:pPr>
            <w:r>
              <w:rPr>
                <w:rFonts w:hint="eastAsia"/>
              </w:rPr>
              <w:t>环境管理</w:t>
            </w:r>
          </w:p>
        </w:tc>
        <w:tc>
          <w:tcPr>
            <w:tcW w:w="7655" w:type="dxa"/>
            <w:tcMar>
              <w:left w:w="57" w:type="dxa"/>
              <w:right w:w="57" w:type="dxa"/>
            </w:tcMar>
            <w:vAlign w:val="center"/>
          </w:tcPr>
          <w:p>
            <w:pPr>
              <w:pStyle w:val="105"/>
              <w:widowControl w:val="0"/>
              <w:jc w:val="left"/>
            </w:pPr>
            <w:r>
              <w:rPr>
                <w:rFonts w:hint="eastAsia"/>
              </w:rPr>
              <w:t>环境管理措施、环境监测计划的落实情况；</w:t>
            </w:r>
          </w:p>
        </w:tc>
        <w:tc>
          <w:tcPr>
            <w:tcW w:w="2693" w:type="dxa"/>
            <w:tcMar>
              <w:left w:w="57" w:type="dxa"/>
              <w:right w:w="57" w:type="dxa"/>
            </w:tcMar>
            <w:vAlign w:val="center"/>
          </w:tcPr>
          <w:p>
            <w:pPr>
              <w:pStyle w:val="105"/>
              <w:widowControl w:val="0"/>
              <w:jc w:val="left"/>
            </w:pPr>
            <w:r>
              <w:rPr>
                <w:rFonts w:hint="eastAsia"/>
              </w:rPr>
              <w:t>落实情况</w:t>
            </w:r>
          </w:p>
        </w:tc>
        <w:tc>
          <w:tcPr>
            <w:tcW w:w="2378" w:type="dxa"/>
            <w:tcMar>
              <w:left w:w="57" w:type="dxa"/>
              <w:right w:w="57" w:type="dxa"/>
            </w:tcMar>
            <w:vAlign w:val="center"/>
          </w:tcPr>
          <w:p>
            <w:pPr>
              <w:pStyle w:val="105"/>
              <w:widowControl w:val="0"/>
              <w:jc w:val="left"/>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tcMar>
              <w:left w:w="57" w:type="dxa"/>
              <w:right w:w="57" w:type="dxa"/>
            </w:tcMar>
            <w:vAlign w:val="center"/>
          </w:tcPr>
          <w:p>
            <w:pPr>
              <w:pStyle w:val="105"/>
              <w:widowControl w:val="0"/>
              <w:jc w:val="center"/>
            </w:pPr>
            <w:r>
              <w:rPr>
                <w:rFonts w:hint="eastAsia"/>
              </w:rPr>
              <w:t>6</w:t>
            </w:r>
          </w:p>
        </w:tc>
        <w:tc>
          <w:tcPr>
            <w:tcW w:w="892" w:type="dxa"/>
            <w:tcMar>
              <w:left w:w="57" w:type="dxa"/>
              <w:right w:w="57" w:type="dxa"/>
            </w:tcMar>
            <w:vAlign w:val="center"/>
          </w:tcPr>
          <w:p>
            <w:pPr>
              <w:pStyle w:val="105"/>
              <w:widowControl w:val="0"/>
              <w:jc w:val="center"/>
            </w:pPr>
            <w:r>
              <w:rPr>
                <w:rFonts w:hint="eastAsia"/>
              </w:rPr>
              <w:t>“三同时”制度</w:t>
            </w:r>
          </w:p>
        </w:tc>
        <w:tc>
          <w:tcPr>
            <w:tcW w:w="7655" w:type="dxa"/>
            <w:tcMar>
              <w:left w:w="57" w:type="dxa"/>
              <w:right w:w="57" w:type="dxa"/>
            </w:tcMar>
            <w:vAlign w:val="center"/>
          </w:tcPr>
          <w:p>
            <w:pPr>
              <w:pStyle w:val="105"/>
              <w:widowControl w:val="0"/>
              <w:jc w:val="left"/>
            </w:pPr>
            <w:r>
              <w:rPr>
                <w:rFonts w:hint="eastAsia"/>
              </w:rPr>
              <w:t>项目建设是否严格执行环境保护设施与主体工程同时设计、同时施工、同时投入的环境保护“三同时”制度。</w:t>
            </w:r>
          </w:p>
        </w:tc>
        <w:tc>
          <w:tcPr>
            <w:tcW w:w="2693" w:type="dxa"/>
            <w:tcMar>
              <w:left w:w="57" w:type="dxa"/>
              <w:right w:w="57" w:type="dxa"/>
            </w:tcMar>
            <w:vAlign w:val="center"/>
          </w:tcPr>
          <w:p>
            <w:pPr>
              <w:pStyle w:val="105"/>
              <w:widowControl w:val="0"/>
              <w:jc w:val="left"/>
            </w:pPr>
            <w:r>
              <w:rPr>
                <w:rFonts w:hint="eastAsia"/>
              </w:rPr>
              <w:t>落实情况</w:t>
            </w:r>
          </w:p>
        </w:tc>
        <w:tc>
          <w:tcPr>
            <w:tcW w:w="2378" w:type="dxa"/>
            <w:tcMar>
              <w:left w:w="57" w:type="dxa"/>
              <w:right w:w="57" w:type="dxa"/>
            </w:tcMar>
            <w:vAlign w:val="center"/>
          </w:tcPr>
          <w:p>
            <w:pPr>
              <w:pStyle w:val="105"/>
              <w:widowControl w:val="0"/>
              <w:jc w:val="left"/>
            </w:pPr>
            <w:r>
              <w:rPr>
                <w:rFonts w:hint="eastAsia"/>
              </w:rPr>
              <w:t>/</w:t>
            </w:r>
          </w:p>
        </w:tc>
      </w:tr>
      <w:bookmarkEnd w:id="743"/>
    </w:tbl>
    <w:p>
      <w:pPr>
        <w:pStyle w:val="120"/>
        <w:rPr>
          <w:color w:val="auto"/>
        </w:rPr>
        <w:sectPr>
          <w:pgSz w:w="16838" w:h="11906" w:orient="landscape"/>
          <w:pgMar w:top="1418" w:right="1418" w:bottom="1418" w:left="1418" w:header="851" w:footer="851" w:gutter="0"/>
          <w:cols w:space="425" w:num="1"/>
          <w:docGrid w:type="lines" w:linePitch="326" w:charSpace="0"/>
        </w:sectPr>
      </w:pPr>
    </w:p>
    <w:bookmarkEnd w:id="726"/>
    <w:p>
      <w:pPr>
        <w:pStyle w:val="116"/>
      </w:pPr>
      <w:bookmarkStart w:id="744" w:name="_Toc204676277"/>
      <w:bookmarkStart w:id="745" w:name="_Toc146525009"/>
      <w:bookmarkStart w:id="746" w:name="_Toc154668082"/>
      <w:bookmarkStart w:id="747" w:name="_Toc159405505"/>
      <w:bookmarkStart w:id="748" w:name="_Toc153957861"/>
      <w:r>
        <w:rPr>
          <w:rFonts w:hint="eastAsia"/>
        </w:rPr>
        <w:t>环境影响经济损益分析</w:t>
      </w:r>
      <w:bookmarkEnd w:id="744"/>
      <w:bookmarkEnd w:id="745"/>
      <w:bookmarkEnd w:id="746"/>
      <w:bookmarkEnd w:id="747"/>
      <w:bookmarkEnd w:id="748"/>
    </w:p>
    <w:p>
      <w:pPr>
        <w:ind w:firstLine="480"/>
      </w:pPr>
      <w:r>
        <w:rPr>
          <w:rFonts w:hint="eastAsia"/>
          <w:lang w:val="zh-CN"/>
        </w:rPr>
        <w:t>项目的建设对于改善万福寺及沿线交通出行条件、整合旅游资源、完善交通网络、缓解交通压力等都具有重要的作用</w:t>
      </w:r>
      <w:r>
        <w:rPr>
          <w:lang w:val="zh-CN"/>
        </w:rPr>
        <w:t>。</w:t>
      </w:r>
      <w:r>
        <w:t>项目建设将带来较大的社会、经济效益。特别在社会经济方面，对国民经济具有明显的拉动作用。环境损失以永久性占用土地，使农业和生态环境受到一些负面影响。经环境影响损益分析，环境损益效益为正效益</w:t>
      </w:r>
      <w:r>
        <w:rPr>
          <w:rFonts w:hint="eastAsia"/>
        </w:rPr>
        <w:t>。</w:t>
      </w:r>
    </w:p>
    <w:p>
      <w:pPr>
        <w:pStyle w:val="116"/>
      </w:pPr>
      <w:bookmarkStart w:id="749" w:name="_Toc146525010"/>
      <w:bookmarkStart w:id="750" w:name="_Toc153957862"/>
      <w:bookmarkStart w:id="751" w:name="_Toc159405506"/>
      <w:bookmarkStart w:id="752" w:name="_Toc154668083"/>
      <w:bookmarkStart w:id="753" w:name="_Toc204676278"/>
      <w:r>
        <w:rPr>
          <w:rFonts w:hint="eastAsia"/>
        </w:rPr>
        <w:t>环境管理与监测计划结论</w:t>
      </w:r>
      <w:bookmarkEnd w:id="749"/>
      <w:bookmarkEnd w:id="750"/>
      <w:bookmarkEnd w:id="751"/>
      <w:bookmarkEnd w:id="752"/>
      <w:bookmarkEnd w:id="753"/>
    </w:p>
    <w:p>
      <w:pPr>
        <w:ind w:firstLine="480"/>
      </w:pPr>
      <w:r>
        <w:rPr>
          <w:rFonts w:hint="eastAsia"/>
        </w:rPr>
        <w:t>本项目在施工建设期和运营期，都会对环境产生一系列的影响，必须采取环境保护措施以减轻或消除其不利影响，同时还必须建立一套环境管理与监测制度，加强全过程的环境监理，落实环境管理方案与环境监测计划，并履行项目“三同时”，做好环保验收工作。</w:t>
      </w:r>
    </w:p>
    <w:p>
      <w:pPr>
        <w:pStyle w:val="116"/>
      </w:pPr>
      <w:bookmarkStart w:id="754" w:name="_Toc146525011"/>
      <w:bookmarkStart w:id="755" w:name="_Toc153957863"/>
      <w:bookmarkStart w:id="756" w:name="_Toc113303429"/>
      <w:bookmarkStart w:id="757" w:name="_Toc159405507"/>
      <w:bookmarkStart w:id="758" w:name="_Toc154668084"/>
      <w:bookmarkStart w:id="759" w:name="_Toc204676279"/>
      <w:r>
        <w:t>产业政策</w:t>
      </w:r>
      <w:r>
        <w:rPr>
          <w:rFonts w:hint="eastAsia"/>
        </w:rPr>
        <w:t>及规划选址</w:t>
      </w:r>
      <w:r>
        <w:t>符合性</w:t>
      </w:r>
      <w:r>
        <w:rPr>
          <w:rFonts w:hint="eastAsia"/>
        </w:rPr>
        <w:t>结论</w:t>
      </w:r>
      <w:bookmarkEnd w:id="754"/>
      <w:bookmarkEnd w:id="755"/>
      <w:bookmarkEnd w:id="756"/>
      <w:bookmarkEnd w:id="757"/>
      <w:bookmarkEnd w:id="758"/>
      <w:bookmarkEnd w:id="759"/>
    </w:p>
    <w:p>
      <w:pPr>
        <w:pStyle w:val="67"/>
        <w:tabs>
          <w:tab w:val="left" w:pos="1451"/>
        </w:tabs>
        <w:ind w:firstLine="480"/>
        <w:rPr>
          <w:rFonts w:ascii="Times New Roman" w:hAnsi="Times New Roman" w:cs="Times New Roman"/>
          <w:spacing w:val="-2"/>
          <w:szCs w:val="24"/>
        </w:rPr>
      </w:pPr>
      <w:r>
        <w:rPr>
          <w:rFonts w:hint="eastAsia"/>
        </w:rPr>
        <w:t>（1）产业政策符合性结论：</w:t>
      </w:r>
      <w:r>
        <w:rPr>
          <w:rFonts w:hint="eastAsia" w:ascii="Times New Roman" w:hAnsi="Times New Roman" w:cs="Times New Roman"/>
          <w:spacing w:val="-2"/>
          <w:szCs w:val="24"/>
        </w:rPr>
        <w:t>本项目为二级公路，不属于《产业结构调整指导目录（2</w:t>
      </w:r>
      <w:r>
        <w:rPr>
          <w:rFonts w:ascii="Times New Roman" w:hAnsi="Times New Roman" w:cs="Times New Roman"/>
          <w:spacing w:val="-2"/>
          <w:szCs w:val="24"/>
        </w:rPr>
        <w:t>024</w:t>
      </w:r>
      <w:r>
        <w:rPr>
          <w:rFonts w:hint="eastAsia" w:ascii="Times New Roman" w:hAnsi="Times New Roman" w:cs="Times New Roman"/>
          <w:spacing w:val="-2"/>
          <w:szCs w:val="24"/>
        </w:rPr>
        <w:t>年）》中限制类、淘汰类，工程的建设符合国家产业政策。</w:t>
      </w:r>
    </w:p>
    <w:p>
      <w:pPr>
        <w:ind w:firstLine="480"/>
      </w:pPr>
      <w:r>
        <w:rPr>
          <w:rFonts w:hint="eastAsia"/>
        </w:rPr>
        <w:t>（2）选线合理性分析结论</w:t>
      </w:r>
    </w:p>
    <w:p>
      <w:pPr>
        <w:ind w:firstLine="480"/>
        <w:rPr>
          <w:kern w:val="0"/>
          <w:szCs w:val="24"/>
          <w:lang w:val="zh-CN"/>
        </w:rPr>
      </w:pPr>
      <w:r>
        <w:rPr>
          <w:rFonts w:hint="eastAsia"/>
        </w:rPr>
        <w:t>①线路选线比选：本项目作为连接万福寺旅游公路，建设选址和线路走向已取得</w:t>
      </w:r>
      <w:r>
        <w:rPr>
          <w:lang w:val="zh-CN"/>
        </w:rPr>
        <w:t>福清市发展和改革局</w:t>
      </w:r>
      <w:r>
        <w:rPr>
          <w:rFonts w:hint="eastAsia"/>
        </w:rPr>
        <w:t>、</w:t>
      </w:r>
      <w:r>
        <w:rPr>
          <w:lang w:val="zh-CN"/>
        </w:rPr>
        <w:t>福州市交通运输局出具</w:t>
      </w:r>
      <w:r>
        <w:rPr>
          <w:rFonts w:hint="eastAsia"/>
        </w:rPr>
        <w:t>、福建省林业局、福清市自然资源局等各相关部门的同意，实施建设。同时，根据比选方案论证，项目推荐线路具有</w:t>
      </w:r>
      <w:r>
        <w:t>线形较好</w:t>
      </w:r>
      <w:r>
        <w:rPr>
          <w:rFonts w:hint="eastAsia"/>
        </w:rPr>
        <w:t>、</w:t>
      </w:r>
      <w:r>
        <w:t>可实施性更强</w:t>
      </w:r>
      <w:r>
        <w:rPr>
          <w:rFonts w:hint="eastAsia"/>
        </w:rPr>
        <w:t>等优点。且方案不涉及占用生态保护红线、基本农田，项目实施对环境影响在采取相应措施后，对环境影响可控，因此从生态保护角度分析，线路选线可行</w:t>
      </w:r>
      <w:r>
        <w:rPr>
          <w:rFonts w:hint="eastAsia"/>
          <w:kern w:val="0"/>
          <w:szCs w:val="24"/>
          <w:lang w:val="zh-CN"/>
        </w:rPr>
        <w:t>。</w:t>
      </w:r>
    </w:p>
    <w:p>
      <w:pPr>
        <w:ind w:firstLine="480"/>
        <w:rPr>
          <w:kern w:val="0"/>
          <w:szCs w:val="24"/>
          <w:lang w:val="zh-CN"/>
        </w:rPr>
      </w:pPr>
      <w:r>
        <w:rPr>
          <w:rFonts w:hint="eastAsia"/>
          <w:kern w:val="0"/>
          <w:szCs w:val="24"/>
          <w:lang w:val="zh-CN"/>
        </w:rPr>
        <w:t>②用地合理性：</w:t>
      </w:r>
      <w:r>
        <w:rPr>
          <w:rFonts w:hint="eastAsia"/>
          <w:spacing w:val="-7"/>
          <w:lang w:eastAsia="zh-CN"/>
        </w:rPr>
        <w:t>项目</w:t>
      </w:r>
      <w:r>
        <w:rPr>
          <w:rFonts w:hint="eastAsia"/>
          <w:spacing w:val="-7"/>
        </w:rPr>
        <w:t xml:space="preserve">总占地面积 </w:t>
      </w:r>
      <w:r>
        <w:rPr>
          <w:spacing w:val="-7"/>
        </w:rPr>
        <w:t>15.3517</w:t>
      </w:r>
      <w:r>
        <w:rPr>
          <w:rFonts w:hint="eastAsia"/>
          <w:spacing w:val="-7"/>
        </w:rPr>
        <w:t>hm</w:t>
      </w:r>
      <w:r>
        <w:rPr>
          <w:rFonts w:hint="eastAsia"/>
          <w:spacing w:val="-7"/>
          <w:vertAlign w:val="superscript"/>
        </w:rPr>
        <w:t>2</w:t>
      </w:r>
      <w:r>
        <w:rPr>
          <w:rFonts w:hint="eastAsia"/>
          <w:spacing w:val="-7"/>
        </w:rPr>
        <w:t xml:space="preserve">，其中永久占地 </w:t>
      </w:r>
      <w:r>
        <w:rPr>
          <w:spacing w:val="-7"/>
        </w:rPr>
        <w:t>1</w:t>
      </w:r>
      <w:r>
        <w:rPr>
          <w:rFonts w:hint="eastAsia"/>
          <w:spacing w:val="-7"/>
        </w:rPr>
        <w:t>4.</w:t>
      </w:r>
      <w:r>
        <w:rPr>
          <w:spacing w:val="-7"/>
        </w:rPr>
        <w:t>6617</w:t>
      </w:r>
      <w:r>
        <w:rPr>
          <w:rFonts w:hint="eastAsia"/>
          <w:spacing w:val="-7"/>
        </w:rPr>
        <w:t>hm</w:t>
      </w:r>
      <w:r>
        <w:rPr>
          <w:rFonts w:hint="eastAsia"/>
          <w:spacing w:val="-7"/>
          <w:vertAlign w:val="superscript"/>
        </w:rPr>
        <w:t>2</w:t>
      </w:r>
      <w:r>
        <w:rPr>
          <w:rFonts w:hint="eastAsia"/>
          <w:spacing w:val="-7"/>
        </w:rPr>
        <w:t xml:space="preserve"> ，临时占地 新增</w:t>
      </w:r>
      <w:r>
        <w:rPr>
          <w:spacing w:val="-7"/>
        </w:rPr>
        <w:t>0.69</w:t>
      </w:r>
      <w:r>
        <w:rPr>
          <w:rFonts w:hint="eastAsia"/>
          <w:spacing w:val="-7"/>
        </w:rPr>
        <w:t>hm</w:t>
      </w:r>
      <w:r>
        <w:rPr>
          <w:rFonts w:hint="eastAsia"/>
          <w:spacing w:val="-7"/>
          <w:vertAlign w:val="superscript"/>
        </w:rPr>
        <w:t>2</w:t>
      </w:r>
      <w:r>
        <w:rPr>
          <w:spacing w:val="-2"/>
        </w:rPr>
        <w:t>，主要占地面积为</w:t>
      </w:r>
      <w:r>
        <w:rPr>
          <w:rFonts w:hint="eastAsia"/>
          <w:spacing w:val="-2"/>
        </w:rPr>
        <w:t>耕地</w:t>
      </w:r>
      <w:r>
        <w:rPr>
          <w:spacing w:val="-2"/>
        </w:rPr>
        <w:t>、林地、园地、建设用地，不涉及</w:t>
      </w:r>
      <w:r>
        <w:rPr>
          <w:rFonts w:hint="eastAsia"/>
          <w:spacing w:val="-2"/>
        </w:rPr>
        <w:t>生态保护红线和</w:t>
      </w:r>
      <w:r>
        <w:rPr>
          <w:spacing w:val="-2"/>
        </w:rPr>
        <w:t>基本农田，</w:t>
      </w:r>
      <w:r>
        <w:rPr>
          <w:rFonts w:hint="eastAsia"/>
        </w:rPr>
        <w:t>项目已取得用地预审和选址意见书和林地审核同意书。</w:t>
      </w:r>
    </w:p>
    <w:p>
      <w:pPr>
        <w:ind w:firstLine="480"/>
      </w:pPr>
      <w:r>
        <w:rPr>
          <w:rFonts w:hint="eastAsia"/>
          <w:kern w:val="0"/>
          <w:szCs w:val="24"/>
          <w:lang w:val="zh-CN"/>
        </w:rPr>
        <w:t>③</w:t>
      </w:r>
      <w:r>
        <w:rPr>
          <w:rFonts w:hint="eastAsia"/>
        </w:rPr>
        <w:t>临时占地选址合理性：项目临时占地不涉及生态敏感目标，符合国土空间规划中“三区三线”。施工结束后对施工迹地进行恢复</w:t>
      </w:r>
      <w:r>
        <w:t>，</w:t>
      </w:r>
      <w:r>
        <w:rPr>
          <w:rFonts w:hint="eastAsia"/>
        </w:rPr>
        <w:t>项目</w:t>
      </w:r>
      <w:r>
        <w:t>施工场地设置</w:t>
      </w:r>
      <w:r>
        <w:rPr>
          <w:rFonts w:hint="eastAsia"/>
        </w:rPr>
        <w:t>基本</w:t>
      </w:r>
      <w:r>
        <w:t>合理。</w:t>
      </w:r>
    </w:p>
    <w:p>
      <w:pPr>
        <w:ind w:firstLine="480"/>
      </w:pPr>
      <w:r>
        <w:rPr>
          <w:rFonts w:hint="eastAsia"/>
        </w:rPr>
        <w:t>④项目占地不涉及自然保护区、世界文化和自然遗产地等特殊生态敏感区，不涉及生态保护红线、水源保护区等生态敏感区，不涉及重要湿地，但</w:t>
      </w:r>
      <w:r>
        <w:rPr>
          <w:rFonts w:hint="eastAsia"/>
          <w:spacing w:val="-2"/>
        </w:rPr>
        <w:t>线路</w:t>
      </w:r>
      <w:r>
        <w:rPr>
          <w:rFonts w:hint="eastAsia"/>
        </w:rPr>
        <w:t>涉及生态公益林（</w:t>
      </w:r>
      <w:r>
        <w:t>0.5538</w:t>
      </w:r>
      <w:r>
        <w:rPr>
          <w:rFonts w:hint="eastAsia"/>
        </w:rPr>
        <w:t>hm</w:t>
      </w:r>
      <w:r>
        <w:rPr>
          <w:vertAlign w:val="superscript"/>
        </w:rPr>
        <w:t>2</w:t>
      </w:r>
      <w:r>
        <w:rPr>
          <w:rFonts w:hint="eastAsia"/>
        </w:rPr>
        <w:t>）和一般湿地。</w:t>
      </w:r>
      <w:r>
        <w:t>工程作为</w:t>
      </w:r>
      <w:r>
        <w:rPr>
          <w:rFonts w:hint="eastAsia"/>
        </w:rPr>
        <w:t>区域交通基础设施</w:t>
      </w:r>
      <w:r>
        <w:t>项目，</w:t>
      </w:r>
      <w:r>
        <w:rPr>
          <w:rFonts w:hint="eastAsia"/>
        </w:rPr>
        <w:t>占用生态公益林面积相对福清市总体比例很小，不会损害其主导生态功能的持续发挥，对其整体生态服务能力影响不大；同时通过对拟建公路所经生态公益林现场调查，各林区附近有与拟占用生态公益林结构类似或更优的相同植被类型的分布，经“占一补一”后，区域生态公益林的生态服务能力不会有较大变化。202</w:t>
      </w:r>
      <w:r>
        <w:t>1</w:t>
      </w:r>
      <w:r>
        <w:rPr>
          <w:rFonts w:hint="eastAsia"/>
        </w:rPr>
        <w:t>年8月，福建省林业局批复了使用林地审核同意书，同意本项目使用林地。因此，本项目符合</w:t>
      </w:r>
      <w:r>
        <w:t>生态公益林</w:t>
      </w:r>
      <w:r>
        <w:rPr>
          <w:rFonts w:hint="eastAsia"/>
        </w:rPr>
        <w:t>保护要求。</w:t>
      </w:r>
    </w:p>
    <w:p>
      <w:pPr>
        <w:ind w:firstLine="480"/>
      </w:pPr>
      <w:r>
        <w:rPr>
          <w:rFonts w:cs="Times New Roman"/>
          <w:kern w:val="0"/>
          <w:szCs w:val="24"/>
          <w:lang w:val="zh-CN"/>
        </w:rPr>
        <w:t>项目涉及占用一般湿地面积9060</w:t>
      </w:r>
      <w:r>
        <w:rPr>
          <w:rFonts w:hint="eastAsia" w:cs="Times New Roman"/>
          <w:kern w:val="0"/>
          <w:szCs w:val="24"/>
          <w:lang w:val="zh-CN"/>
        </w:rPr>
        <w:t>m</w:t>
      </w:r>
      <w:r>
        <w:rPr>
          <w:rFonts w:cs="Times New Roman"/>
          <w:kern w:val="0"/>
          <w:szCs w:val="24"/>
          <w:vertAlign w:val="superscript"/>
          <w:lang w:val="zh-CN"/>
        </w:rPr>
        <w:t>2</w:t>
      </w:r>
      <w:r>
        <w:rPr>
          <w:rFonts w:cs="Times New Roman"/>
          <w:kern w:val="0"/>
          <w:szCs w:val="24"/>
          <w:lang w:val="zh-CN"/>
        </w:rPr>
        <w:t>（其中：一般湿地名录面积697</w:t>
      </w:r>
      <w:r>
        <w:rPr>
          <w:rFonts w:hint="eastAsia" w:cs="Times New Roman"/>
          <w:kern w:val="0"/>
          <w:szCs w:val="24"/>
          <w:lang w:val="zh-CN"/>
        </w:rPr>
        <w:t xml:space="preserve"> m</w:t>
      </w:r>
      <w:r>
        <w:rPr>
          <w:rFonts w:cs="Times New Roman"/>
          <w:kern w:val="0"/>
          <w:szCs w:val="24"/>
          <w:vertAlign w:val="superscript"/>
          <w:lang w:val="zh-CN"/>
        </w:rPr>
        <w:t>2</w:t>
      </w:r>
      <w:r>
        <w:rPr>
          <w:rFonts w:cs="Times New Roman"/>
          <w:kern w:val="0"/>
          <w:szCs w:val="24"/>
          <w:lang w:val="zh-CN"/>
        </w:rPr>
        <w:t>），类型为沟渠、河流水面、坑塘水面和内陆滩涂</w:t>
      </w:r>
      <w:r>
        <w:rPr>
          <w:rFonts w:hint="eastAsia" w:cs="Times New Roman"/>
          <w:kern w:val="0"/>
          <w:szCs w:val="24"/>
          <w:lang w:val="zh-CN"/>
        </w:rPr>
        <w:t>，</w:t>
      </w:r>
      <w:r>
        <w:rPr>
          <w:rFonts w:hint="eastAsia"/>
        </w:rPr>
        <w:t>项目已取得《</w:t>
      </w:r>
      <w:r>
        <w:rPr>
          <w:rFonts w:cs="Times New Roman"/>
          <w:kern w:val="0"/>
          <w:szCs w:val="24"/>
          <w:lang w:val="zh-CN"/>
        </w:rPr>
        <w:t>福清市自然资源和规划局关于黄檗山万福寺旅游公路项目使用湿地的意见函</w:t>
      </w:r>
      <w:r>
        <w:rPr>
          <w:rFonts w:hint="eastAsia"/>
        </w:rPr>
        <w:t>》</w:t>
      </w:r>
      <w:r>
        <w:rPr>
          <w:rFonts w:cs="Times New Roman"/>
          <w:kern w:val="0"/>
          <w:szCs w:val="24"/>
          <w:lang w:val="zh-CN"/>
        </w:rPr>
        <w:t>融自然函（2024</w:t>
      </w:r>
      <w:r>
        <w:rPr>
          <w:rFonts w:hint="eastAsia" w:cs="Times New Roman"/>
          <w:kern w:val="0"/>
          <w:szCs w:val="24"/>
          <w:lang w:val="zh-CN"/>
        </w:rPr>
        <w:t>）</w:t>
      </w:r>
      <w:r>
        <w:rPr>
          <w:rFonts w:cs="Times New Roman"/>
          <w:kern w:val="0"/>
          <w:szCs w:val="24"/>
          <w:lang w:val="zh-CN"/>
        </w:rPr>
        <w:t>723 号</w:t>
      </w:r>
      <w:r>
        <w:rPr>
          <w:rFonts w:hint="eastAsia"/>
        </w:rPr>
        <w:t>）、</w:t>
      </w:r>
      <w:r>
        <w:rPr>
          <w:rFonts w:cs="Times New Roman"/>
          <w:kern w:val="0"/>
          <w:szCs w:val="24"/>
          <w:lang w:val="zh-CN"/>
        </w:rPr>
        <w:t>福清市水利局《关于同意黄檗山万福寺旅游公路项目使用河流水面、内陆滩涂、坑塘水面和沟渠的意见》（融水利</w:t>
      </w:r>
      <w:r>
        <w:rPr>
          <w:rFonts w:hint="eastAsia" w:cs="Times New Roman"/>
          <w:kern w:val="0"/>
          <w:szCs w:val="24"/>
          <w:lang w:val="zh-CN"/>
        </w:rPr>
        <w:t>〔2024〕582号</w:t>
      </w:r>
      <w:r>
        <w:rPr>
          <w:rFonts w:cs="Times New Roman"/>
          <w:kern w:val="0"/>
          <w:szCs w:val="24"/>
          <w:lang w:val="zh-CN"/>
        </w:rPr>
        <w:t>）</w:t>
      </w:r>
      <w:r>
        <w:rPr>
          <w:rFonts w:hint="eastAsia"/>
        </w:rPr>
        <w:t>：原则同意该项目占用湿地。因此，项目建设与《中华人民共和国湿地保护法》《福建省湿地保护条例》不相冲突。</w:t>
      </w:r>
    </w:p>
    <w:p>
      <w:pPr>
        <w:ind w:firstLine="480"/>
      </w:pPr>
      <w:r>
        <w:rPr>
          <w:rFonts w:hint="eastAsia"/>
        </w:rPr>
        <w:t>⑤本项目选址选线不涉及生态保护红线，基本农田，符合国土空间规划的“三区三线”，符合国土空间规划要求。</w:t>
      </w:r>
    </w:p>
    <w:p>
      <w:pPr>
        <w:ind w:firstLine="480"/>
      </w:pPr>
      <w:r>
        <w:rPr>
          <w:rFonts w:hint="eastAsia"/>
        </w:rPr>
        <w:t>（3）相关规划符合性分析结论</w:t>
      </w:r>
    </w:p>
    <w:p>
      <w:pPr>
        <w:ind w:firstLine="480"/>
      </w:pPr>
      <w:r>
        <w:t>本工程</w:t>
      </w:r>
      <w:r>
        <w:rPr>
          <w:rFonts w:hint="eastAsia" w:cs="Times New Roman"/>
          <w:shd w:val="clear" w:color="auto" w:fill="FFFFFF"/>
        </w:rPr>
        <w:t>路线起于上迳镇牌边村，终点至黄檗山万福寺</w:t>
      </w:r>
      <w:r>
        <w:rPr>
          <w:rFonts w:hint="eastAsia"/>
        </w:rPr>
        <w:t>。项目属于基础设施建设项目，有助于改善区域交通条件，符合国土空间规划的主体功能区划要求。经核对及叠图分析，项目永久占地、临时占地均不涉及基本农田和生态保护红线，不会造成生态保护红线生态功能降低、面积减少、性质的改变，对生态红线区域环境影响较小，符合三区三线要求。</w:t>
      </w:r>
    </w:p>
    <w:p>
      <w:pPr>
        <w:ind w:firstLine="480"/>
      </w:pPr>
      <w:r>
        <w:rPr>
          <w:rFonts w:hint="eastAsia"/>
        </w:rPr>
        <w:t>（4） “三线一单”符合性分析结论</w:t>
      </w:r>
    </w:p>
    <w:p>
      <w:pPr>
        <w:ind w:firstLine="480"/>
      </w:pPr>
      <w:r>
        <w:t>根据</w:t>
      </w:r>
      <w:r>
        <w:rPr>
          <w:rFonts w:hint="eastAsia"/>
        </w:rPr>
        <w:t>《福州市生态环境分区管控方案（2023年更新）》（榕政办规〔2024〕20号）结合</w:t>
      </w:r>
      <w:r>
        <w:rPr>
          <w:rFonts w:cs="Times New Roman"/>
          <w:spacing w:val="-6"/>
          <w:szCs w:val="24"/>
        </w:rPr>
        <w:t>福建省生态云平台查询结果，本项目</w:t>
      </w:r>
      <w:r>
        <w:rPr>
          <w:rFonts w:hint="eastAsia" w:cs="Times New Roman"/>
          <w:spacing w:val="-6"/>
          <w:szCs w:val="24"/>
        </w:rPr>
        <w:t>占地范围</w:t>
      </w:r>
      <w:r>
        <w:rPr>
          <w:rFonts w:hint="eastAsia"/>
        </w:rPr>
        <w:t>项目涉及优先保护单元</w:t>
      </w:r>
      <w:r>
        <w:t>1</w:t>
      </w:r>
      <w:r>
        <w:rPr>
          <w:rFonts w:hint="eastAsia"/>
        </w:rPr>
        <w:t>个，一般管控单元</w:t>
      </w:r>
      <w:r>
        <w:t>1</w:t>
      </w:r>
      <w:r>
        <w:rPr>
          <w:rFonts w:hint="eastAsia"/>
        </w:rPr>
        <w:t>个，重点管控单元1个，分别为</w:t>
      </w:r>
      <w:r>
        <w:rPr>
          <w:rFonts w:hint="eastAsia" w:cs="Times New Roman"/>
          <w:spacing w:val="-6"/>
          <w:szCs w:val="24"/>
        </w:rPr>
        <w:t>福清市一般生态空间-水土保持生态功能重要区域，福清市重点管控单元1，福清市一般管控单元</w:t>
      </w:r>
      <w:r>
        <w:rPr>
          <w:rFonts w:cs="Times New Roman"/>
          <w:spacing w:val="-6"/>
          <w:szCs w:val="24"/>
        </w:rPr>
        <w:t>。</w:t>
      </w:r>
      <w:r>
        <w:rPr>
          <w:rFonts w:hint="eastAsia"/>
        </w:rPr>
        <w:t>经分析，本项目属于旅游公路（二级公路），符合国家产业政策要求，经对照生态环境分区管控方案的管控要求，项目所属行业、规划选址及环境保护措施等均满足准入基本条件。</w:t>
      </w:r>
    </w:p>
    <w:p>
      <w:pPr>
        <w:pStyle w:val="116"/>
      </w:pPr>
      <w:bookmarkStart w:id="760" w:name="_Toc113303430"/>
      <w:bookmarkStart w:id="761" w:name="_Toc153957864"/>
      <w:bookmarkStart w:id="762" w:name="_Toc154668085"/>
      <w:bookmarkStart w:id="763" w:name="_Toc159405508"/>
      <w:bookmarkStart w:id="764" w:name="_Toc146525012"/>
      <w:bookmarkStart w:id="765" w:name="_Toc204676280"/>
      <w:r>
        <w:rPr>
          <w:rFonts w:hint="eastAsia"/>
        </w:rPr>
        <w:t>公众意见采纳情况</w:t>
      </w:r>
      <w:bookmarkEnd w:id="760"/>
      <w:bookmarkEnd w:id="761"/>
      <w:bookmarkEnd w:id="762"/>
      <w:bookmarkEnd w:id="763"/>
      <w:bookmarkEnd w:id="764"/>
      <w:bookmarkEnd w:id="765"/>
    </w:p>
    <w:p>
      <w:pPr>
        <w:wordWrap w:val="0"/>
        <w:ind w:firstLine="480"/>
        <w:rPr>
          <w:rFonts w:cs="Times New Roman"/>
          <w:szCs w:val="24"/>
        </w:rPr>
      </w:pPr>
      <w:bookmarkStart w:id="766" w:name="_Toc113303431"/>
      <w:r>
        <w:rPr>
          <w:rFonts w:cs="Times New Roman"/>
          <w:szCs w:val="24"/>
        </w:rPr>
        <w:t>建设单位在确定环境影响报告书编制单位后，于2025年1月13日通过</w:t>
      </w:r>
      <w:r>
        <w:rPr>
          <w:rFonts w:hint="eastAsia" w:cs="Times New Roman"/>
          <w:szCs w:val="24"/>
        </w:rPr>
        <w:t>福清市人民政府网（</w:t>
      </w:r>
      <w:r>
        <w:t>http://www.fuqing.gov.cn/xjwz/zwgk/gggs/shswgg/202501/t20250113_4960573.htm</w:t>
      </w:r>
      <w:r>
        <w:rPr>
          <w:rFonts w:hint="eastAsia" w:cs="Times New Roman"/>
          <w:szCs w:val="24"/>
        </w:rPr>
        <w:t>）</w:t>
      </w:r>
      <w:r>
        <w:rPr>
          <w:rFonts w:cs="Times New Roman"/>
          <w:szCs w:val="24"/>
        </w:rPr>
        <w:t>上发布本项目环评首次公示，2025年3月13日，我司编制完成《</w:t>
      </w:r>
      <w:r>
        <w:rPr>
          <w:rFonts w:hint="eastAsia" w:cs="Times New Roman"/>
          <w:szCs w:val="24"/>
        </w:rPr>
        <w:t>黄檗山万福寺旅游公路</w:t>
      </w:r>
      <w:r>
        <w:rPr>
          <w:rFonts w:cs="Times New Roman"/>
          <w:szCs w:val="24"/>
        </w:rPr>
        <w:t>环境影响报告书》（征求意见稿）后，建设单位于2025年3月13日</w:t>
      </w:r>
      <w:r>
        <w:rPr>
          <w:rFonts w:hint="eastAsia" w:cs="Times New Roman"/>
          <w:szCs w:val="24"/>
        </w:rPr>
        <w:t>～</w:t>
      </w:r>
      <w:r>
        <w:rPr>
          <w:rFonts w:cs="Times New Roman"/>
          <w:szCs w:val="24"/>
        </w:rPr>
        <w:t>2025年3月26日通过</w:t>
      </w:r>
      <w:r>
        <w:rPr>
          <w:rFonts w:hint="eastAsia" w:cs="Times New Roman"/>
          <w:szCs w:val="24"/>
        </w:rPr>
        <w:t>福清市人民政府网</w:t>
      </w:r>
      <w:r>
        <w:rPr>
          <w:rFonts w:cs="Times New Roman"/>
          <w:szCs w:val="24"/>
        </w:rPr>
        <w:t>（http://www.fuqing.gov.cn/xjwz/zwgk/gggs/shswgg/202503/t20250313_4988706.htm）发布了本项目征求意见稿电子版网络公示，分别于</w:t>
      </w:r>
      <w:r>
        <w:rPr>
          <w:rFonts w:hint="eastAsia" w:cs="Times New Roman"/>
          <w:szCs w:val="24"/>
        </w:rPr>
        <w:t>2025年3月14日和3月18日</w:t>
      </w:r>
      <w:r>
        <w:rPr>
          <w:rFonts w:cs="Times New Roman"/>
          <w:szCs w:val="24"/>
        </w:rPr>
        <w:t>在</w:t>
      </w:r>
      <w:r>
        <w:rPr>
          <w:rFonts w:hint="eastAsia" w:cs="Times New Roman"/>
          <w:szCs w:val="24"/>
        </w:rPr>
        <w:t>海峡导报</w:t>
      </w:r>
      <w:r>
        <w:rPr>
          <w:rFonts w:cs="Times New Roman"/>
          <w:szCs w:val="24"/>
        </w:rPr>
        <w:t>上发布公示， 2025年3月13日</w:t>
      </w:r>
      <w:r>
        <w:rPr>
          <w:rFonts w:hint="eastAsia" w:cs="Times New Roman"/>
          <w:szCs w:val="24"/>
        </w:rPr>
        <w:t>～</w:t>
      </w:r>
      <w:r>
        <w:rPr>
          <w:rFonts w:cs="Times New Roman"/>
          <w:szCs w:val="24"/>
        </w:rPr>
        <w:t>2025年3月26日</w:t>
      </w:r>
      <w:r>
        <w:rPr>
          <w:rFonts w:hint="eastAsia" w:cs="Times New Roman"/>
          <w:szCs w:val="24"/>
        </w:rPr>
        <w:t>期间</w:t>
      </w:r>
      <w:r>
        <w:rPr>
          <w:rFonts w:cs="Times New Roman"/>
          <w:szCs w:val="24"/>
        </w:rPr>
        <w:t>，前往环境影响评价范围内可能受影响的</w:t>
      </w:r>
      <w:r>
        <w:rPr>
          <w:rFonts w:hint="eastAsia" w:cs="Times New Roman"/>
          <w:szCs w:val="24"/>
        </w:rPr>
        <w:t>村镇</w:t>
      </w:r>
      <w:r>
        <w:rPr>
          <w:rFonts w:cs="Times New Roman"/>
          <w:szCs w:val="24"/>
        </w:rPr>
        <w:t>（</w:t>
      </w:r>
      <w:r>
        <w:rPr>
          <w:rFonts w:hint="eastAsia"/>
          <w:bCs/>
          <w:lang w:val="en"/>
        </w:rPr>
        <w:t>渔溪镇、上迳镇、</w:t>
      </w:r>
      <w:r>
        <w:rPr>
          <w:rFonts w:hint="eastAsia"/>
          <w:bCs/>
        </w:rPr>
        <w:t>牌边村、上张村、联华村、侨丰村</w:t>
      </w:r>
      <w:r>
        <w:rPr>
          <w:rFonts w:cs="Times New Roman"/>
          <w:szCs w:val="24"/>
        </w:rPr>
        <w:t>）张贴环评公示，向公众公开项目信息及环境影响报告书征求意见稿下载途径等信息。</w:t>
      </w:r>
    </w:p>
    <w:p>
      <w:pPr>
        <w:ind w:firstLine="480"/>
        <w:rPr>
          <w:rFonts w:cs="Times New Roman"/>
          <w:szCs w:val="24"/>
        </w:rPr>
      </w:pPr>
      <w:r>
        <w:rPr>
          <w:rFonts w:cs="Times New Roman"/>
          <w:szCs w:val="24"/>
        </w:rPr>
        <w:t>信息公示期间和公示后规定的期限内，建设单位、评价单位均未收到相关团体单位和社会公众对本项目建设关于环境方面的意见和建议。</w:t>
      </w:r>
    </w:p>
    <w:p>
      <w:pPr>
        <w:pStyle w:val="116"/>
      </w:pPr>
      <w:bookmarkStart w:id="767" w:name="_Toc204676281"/>
      <w:bookmarkStart w:id="768" w:name="_Toc159405509"/>
      <w:bookmarkStart w:id="769" w:name="_Toc153957865"/>
      <w:bookmarkStart w:id="770" w:name="_Toc146525013"/>
      <w:bookmarkStart w:id="771" w:name="_Toc154668086"/>
      <w:r>
        <w:rPr>
          <w:rFonts w:hint="eastAsia"/>
        </w:rPr>
        <w:t>总结论</w:t>
      </w:r>
      <w:bookmarkEnd w:id="766"/>
      <w:bookmarkEnd w:id="767"/>
      <w:bookmarkEnd w:id="768"/>
      <w:bookmarkEnd w:id="769"/>
      <w:bookmarkEnd w:id="770"/>
      <w:bookmarkEnd w:id="771"/>
    </w:p>
    <w:p>
      <w:pPr>
        <w:ind w:firstLine="480"/>
      </w:pPr>
      <w:bookmarkStart w:id="772" w:name="9.5公众意见采纳情况"/>
      <w:bookmarkEnd w:id="772"/>
      <w:bookmarkStart w:id="773" w:name="_bookmark53"/>
      <w:bookmarkEnd w:id="773"/>
      <w:bookmarkStart w:id="774" w:name="9.6环境保护措施"/>
      <w:bookmarkEnd w:id="774"/>
      <w:bookmarkStart w:id="775" w:name="9.2环境质量现状"/>
      <w:bookmarkEnd w:id="775"/>
      <w:r>
        <w:rPr>
          <w:rFonts w:hint="eastAsia"/>
        </w:rPr>
        <w:t>黄檗山万福寺</w:t>
      </w:r>
      <w:r>
        <w:t>旅游公路工程位于</w:t>
      </w:r>
      <w:r>
        <w:rPr>
          <w:rFonts w:hint="eastAsia"/>
        </w:rPr>
        <w:t>福州市福清市</w:t>
      </w:r>
      <w:r>
        <w:rPr>
          <w:rFonts w:hint="eastAsia"/>
          <w:shd w:val="clear" w:color="auto" w:fill="FFFFFF"/>
        </w:rPr>
        <w:t>上迳镇、渔溪镇</w:t>
      </w:r>
      <w:r>
        <w:t>，</w:t>
      </w:r>
      <w:r>
        <w:rPr>
          <w:rFonts w:hint="eastAsia"/>
        </w:rPr>
        <w:t>路线全长5.200km</w:t>
      </w:r>
      <w:r>
        <w:rPr>
          <w:lang w:val="zh-CN"/>
        </w:rPr>
        <w:t>，</w:t>
      </w:r>
      <w:r>
        <w:rPr>
          <w:rFonts w:hint="eastAsia"/>
        </w:rPr>
        <w:t>其中主线5.110km（含下穿福厦高铁段落），接线0.090km，</w:t>
      </w:r>
      <w:r>
        <w:rPr>
          <w:lang w:val="zh-CN"/>
        </w:rPr>
        <w:t>设计速度60km/h，</w:t>
      </w:r>
      <w:r>
        <w:t>采用二级公路建设</w:t>
      </w:r>
      <w:r>
        <w:rPr>
          <w:lang w:val="zh-CN"/>
        </w:rPr>
        <w:t>。</w:t>
      </w:r>
      <w:r>
        <w:t>项目建设符合国家产业政策</w:t>
      </w:r>
      <w:r>
        <w:rPr>
          <w:rFonts w:hint="eastAsia"/>
        </w:rPr>
        <w:t>，</w:t>
      </w:r>
      <w:r>
        <w:t>符合</w:t>
      </w:r>
      <w:r>
        <w:rPr>
          <w:rFonts w:hint="eastAsia"/>
        </w:rPr>
        <w:t>《福清市国土空间总体规划（2021-2035 年）》，符合福清市国土空间规划生态环境分区管控要求。</w:t>
      </w:r>
    </w:p>
    <w:p>
      <w:pPr>
        <w:ind w:firstLine="0" w:firstLineChars="0"/>
      </w:pPr>
      <w:r>
        <w:rPr>
          <w:rFonts w:hint="eastAsia"/>
        </w:rPr>
        <w:t>工程建设将对沿线区域的声环境与生态环境、大气环境产生一定的影响，在认真落实本报告提出的减缓措施，落实“三同时”制度，所产生的负面影响可有效控制并</w:t>
      </w:r>
      <w:bookmarkEnd w:id="652"/>
    </w:p>
    <w:p>
      <w:pPr>
        <w:ind w:firstLine="480"/>
      </w:pPr>
    </w:p>
    <w:p>
      <w:pPr>
        <w:widowControl/>
        <w:spacing w:line="240" w:lineRule="auto"/>
        <w:ind w:firstLine="0" w:firstLineChars="0"/>
        <w:jc w:val="left"/>
        <w:outlineLvl w:val="1"/>
        <w:rPr>
          <w:rFonts w:cs="Times New Roman"/>
          <w:b/>
          <w:sz w:val="30"/>
          <w:szCs w:val="30"/>
        </w:rPr>
      </w:pPr>
      <w:bookmarkStart w:id="776" w:name="_Toc204676300"/>
      <w:r>
        <w:rPr>
          <w:rFonts w:hint="eastAsia" w:cs="Times New Roman"/>
          <w:b/>
          <w:sz w:val="30"/>
          <w:szCs w:val="30"/>
        </w:rPr>
        <w:t>附件</w:t>
      </w:r>
      <w:r>
        <w:rPr>
          <w:rFonts w:cs="Times New Roman"/>
          <w:b/>
          <w:sz w:val="30"/>
          <w:szCs w:val="30"/>
        </w:rPr>
        <w:t>18</w:t>
      </w:r>
      <w:r>
        <w:rPr>
          <w:rFonts w:hint="eastAsia" w:cs="Times New Roman"/>
          <w:b/>
          <w:sz w:val="30"/>
          <w:szCs w:val="30"/>
        </w:rPr>
        <w:t>：公示本删除说明</w:t>
      </w:r>
      <w:bookmarkEnd w:id="776"/>
    </w:p>
    <w:p>
      <w:pPr>
        <w:ind w:firstLine="0" w:firstLineChars="0"/>
        <w:rPr>
          <w:rFonts w:hint="eastAsia" w:eastAsia="宋体" w:cs="Times New Roman"/>
          <w:szCs w:val="24"/>
          <w:lang w:eastAsia="zh-CN"/>
        </w:rPr>
      </w:pPr>
    </w:p>
    <w:p>
      <w:pPr>
        <w:ind w:firstLine="480"/>
        <w:rPr>
          <w:rFonts w:cs="Times New Roman"/>
          <w:szCs w:val="24"/>
        </w:rPr>
        <w:sectPr>
          <w:headerReference r:id="rId17" w:type="default"/>
          <w:footerReference r:id="rId18" w:type="default"/>
          <w:pgSz w:w="11906" w:h="16838"/>
          <w:pgMar w:top="1440" w:right="1800" w:bottom="1440" w:left="1800" w:header="851" w:footer="992" w:gutter="0"/>
          <w:cols w:space="425" w:num="1"/>
          <w:docGrid w:type="lines" w:linePitch="312" w:charSpace="0"/>
        </w:sectPr>
      </w:pPr>
    </w:p>
    <w:p>
      <w:pPr>
        <w:widowControl/>
        <w:spacing w:line="240" w:lineRule="auto"/>
        <w:ind w:firstLine="0" w:firstLineChars="0"/>
        <w:jc w:val="left"/>
        <w:outlineLvl w:val="1"/>
        <w:rPr>
          <w:rFonts w:cs="Times New Roman"/>
          <w:b/>
          <w:sz w:val="30"/>
          <w:szCs w:val="30"/>
        </w:rPr>
      </w:pPr>
      <w:bookmarkStart w:id="777" w:name="_Toc204676301"/>
      <w:r>
        <w:rPr>
          <w:rFonts w:hint="eastAsia" w:cs="Times New Roman"/>
          <w:b/>
          <w:sz w:val="30"/>
          <w:szCs w:val="30"/>
        </w:rPr>
        <w:t>附件</w:t>
      </w:r>
      <w:r>
        <w:rPr>
          <w:rFonts w:cs="Times New Roman"/>
          <w:b/>
          <w:sz w:val="30"/>
          <w:szCs w:val="30"/>
        </w:rPr>
        <w:t>19</w:t>
      </w:r>
      <w:r>
        <w:rPr>
          <w:rFonts w:hint="eastAsia" w:cs="Times New Roman"/>
          <w:b/>
          <w:sz w:val="30"/>
          <w:szCs w:val="30"/>
        </w:rPr>
        <w:t>：公开说明</w:t>
      </w:r>
      <w:bookmarkEnd w:id="777"/>
    </w:p>
    <w:p>
      <w:pPr>
        <w:ind w:firstLine="0" w:firstLineChars="0"/>
        <w:rPr>
          <w:rFonts w:cs="Times New Roman"/>
          <w:szCs w:val="24"/>
        </w:rPr>
      </w:pPr>
    </w:p>
    <w:p>
      <w:pPr>
        <w:ind w:firstLine="480"/>
        <w:rPr>
          <w:rFonts w:cs="Times New Roman"/>
          <w:szCs w:val="24"/>
        </w:rPr>
      </w:pPr>
    </w:p>
    <w:p>
      <w:pPr>
        <w:ind w:firstLine="480"/>
        <w:rPr>
          <w:rFonts w:cs="Times New Roman"/>
          <w:szCs w:val="24"/>
        </w:rPr>
        <w:sectPr>
          <w:pgSz w:w="11906" w:h="16838"/>
          <w:pgMar w:top="1440" w:right="1800" w:bottom="1440" w:left="1800" w:header="851" w:footer="992" w:gutter="0"/>
          <w:cols w:space="425" w:num="1"/>
          <w:docGrid w:type="lines" w:linePitch="312" w:charSpace="0"/>
        </w:sectPr>
      </w:pPr>
    </w:p>
    <w:p>
      <w:pPr>
        <w:ind w:firstLine="0" w:firstLineChars="0"/>
        <w:rPr>
          <w:rFonts w:cs="Times New Roman"/>
          <w:szCs w:val="24"/>
        </w:rPr>
      </w:pPr>
      <w:r>
        <w:drawing>
          <wp:inline distT="0" distB="0" distL="0" distR="0">
            <wp:extent cx="5663565" cy="8010525"/>
            <wp:effectExtent l="0" t="0" r="5715" b="571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1"/>
                    <a:stretch>
                      <a:fillRect/>
                    </a:stretch>
                  </pic:blipFill>
                  <pic:spPr>
                    <a:xfrm>
                      <a:off x="0" y="0"/>
                      <a:ext cx="5666716" cy="8014317"/>
                    </a:xfrm>
                    <a:prstGeom prst="rect">
                      <a:avLst/>
                    </a:prstGeom>
                  </pic:spPr>
                </pic:pic>
              </a:graphicData>
            </a:graphic>
          </wp:inline>
        </w:drawing>
      </w:r>
      <w:bookmarkStart w:id="778" w:name="_GoBack"/>
      <w:bookmarkEnd w:id="778"/>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新宋体-18030">
    <w:altName w:val="宋体"/>
    <w:panose1 w:val="00000000000000000000"/>
    <w:charset w:val="00"/>
    <w:family w:val="auto"/>
    <w:pitch w:val="default"/>
    <w:sig w:usb0="00000000" w:usb1="00000000" w:usb2="00000000" w:usb3="00000000" w:csb0="00040001" w:csb1="00000000"/>
  </w:font>
  <w:font w:name="Microsoft JhengHei UI">
    <w:altName w:val="Microsoft JhengHei"/>
    <w:panose1 w:val="020B0604030504040204"/>
    <w:charset w:val="88"/>
    <w:family w:val="swiss"/>
    <w:pitch w:val="default"/>
    <w:sig w:usb0="00000000" w:usb1="00000000" w:usb2="00000016" w:usb3="00000000" w:csb0="00100009" w:csb1="00000000"/>
  </w:font>
  <w:font w:name="Microsoft JhengHei">
    <w:panose1 w:val="020B0604030504040204"/>
    <w:charset w:val="88"/>
    <w:family w:val="auto"/>
    <w:pitch w:val="default"/>
    <w:sig w:usb0="00000087" w:usb1="28AF4000" w:usb2="00000016" w:usb3="00000000" w:csb0="00100009" w:csb1="00000000"/>
  </w:font>
  <w:font w:name="Simsun (Founder Extended)">
    <w:altName w:val="仿宋"/>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Cambria">
    <w:panose1 w:val="02040503050406030204"/>
    <w:charset w:val="00"/>
    <w:family w:val="roman"/>
    <w:pitch w:val="default"/>
    <w:sig w:usb0="E00002FF" w:usb1="400004FF" w:usb2="00000000" w:usb3="00000000" w:csb0="2000019F" w:csb1="00000000"/>
  </w:font>
  <w:font w:name="New York">
    <w:altName w:val="Times New Roman"/>
    <w:panose1 w:val="02040503060506020304"/>
    <w:charset w:val="00"/>
    <w:family w:val="roman"/>
    <w:pitch w:val="default"/>
    <w:sig w:usb0="00000000" w:usb1="00000000" w:usb2="00000000" w:usb3="00000000" w:csb0="00000001" w:csb1="00000000"/>
  </w:font>
  <w:font w:name="Sylfaen">
    <w:panose1 w:val="010A0502050306030303"/>
    <w:charset w:val="00"/>
    <w:family w:val="roman"/>
    <w:pitch w:val="default"/>
    <w:sig w:usb0="04000687" w:usb1="00000000" w:usb2="00000000" w:usb3="00000000" w:csb0="2000009F" w:csb1="00000000"/>
  </w:font>
  <w:font w:name="MingLiU">
    <w:panose1 w:val="02020509000000000000"/>
    <w:charset w:val="88"/>
    <w:family w:val="moder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大标宋简体">
    <w:altName w:val="黑体"/>
    <w:panose1 w:val="00000000000000000000"/>
    <w:charset w:val="86"/>
    <w:family w:val="auto"/>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Constantia">
    <w:panose1 w:val="02030602050306030303"/>
    <w:charset w:val="00"/>
    <w:family w:val="roman"/>
    <w:pitch w:val="default"/>
    <w:sig w:usb0="A00002EF" w:usb1="4000204B" w:usb2="00000000" w:usb3="00000000" w:csb0="2000019F" w:csb1="00000000"/>
  </w:font>
  <w:font w:name="Segoe UI">
    <w:panose1 w:val="020B0502040204020203"/>
    <w:charset w:val="00"/>
    <w:family w:val="swiss"/>
    <w:pitch w:val="default"/>
    <w:sig w:usb0="E10022FF" w:usb1="C000E47F" w:usb2="00000029" w:usb3="00000000" w:csb0="200001DF" w:csb1="20000000"/>
  </w:font>
  <w:font w:name="PMingLiU">
    <w:panose1 w:val="02020500000000000000"/>
    <w:charset w:val="88"/>
    <w:family w:val="roma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049787"/>
    </w:sdtPr>
    <w:sdtContent>
      <w:p>
        <w:pPr>
          <w:pStyle w:val="35"/>
          <w:ind w:firstLine="360"/>
          <w:jc w:val="center"/>
        </w:pPr>
        <w:r>
          <w:fldChar w:fldCharType="begin"/>
        </w:r>
        <w:r>
          <w:instrText xml:space="preserve">PAGE   \* MERGEFORMAT</w:instrText>
        </w:r>
        <w:r>
          <w:fldChar w:fldCharType="separate"/>
        </w:r>
        <w:r>
          <w:rPr>
            <w:lang w:val="zh-CN"/>
          </w:rPr>
          <w:t>2</w:t>
        </w:r>
        <w:r>
          <w:fldChar w:fldCharType="end"/>
        </w:r>
      </w:p>
    </w:sdtContent>
  </w:sdt>
  <w:p>
    <w:pPr>
      <w:pStyle w:val="19"/>
      <w:spacing w:line="14" w:lineRule="auto"/>
      <w:ind w:firstLine="40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14" w:lineRule="auto"/>
      <w:ind w:firstLine="40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55600" cy="229870"/>
              <wp:effectExtent l="3175" t="0" r="3175" b="0"/>
              <wp:wrapNone/>
              <wp:docPr id="19"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355600" cy="229870"/>
                      </a:xfrm>
                      <a:prstGeom prst="rect">
                        <a:avLst/>
                      </a:prstGeom>
                      <a:noFill/>
                      <a:ln>
                        <a:noFill/>
                      </a:ln>
                    </wps:spPr>
                    <wps:txbx>
                      <w:txbxContent>
                        <w:p>
                          <w:pPr>
                            <w:pStyle w:val="35"/>
                            <w:ind w:firstLine="420"/>
                            <w:rPr>
                              <w:rFonts w:cs="Times New Roman"/>
                              <w:sz w:val="21"/>
                              <w:szCs w:val="21"/>
                            </w:rPr>
                          </w:pPr>
                          <w:r>
                            <w:rPr>
                              <w:rFonts w:cs="Times New Roman"/>
                              <w:sz w:val="21"/>
                              <w:szCs w:val="21"/>
                            </w:rPr>
                            <w:fldChar w:fldCharType="begin"/>
                          </w:r>
                          <w:r>
                            <w:rPr>
                              <w:rFonts w:cs="Times New Roman"/>
                              <w:sz w:val="21"/>
                              <w:szCs w:val="21"/>
                            </w:rPr>
                            <w:instrText xml:space="preserve"> PAGE  \* MERGEFORMAT </w:instrText>
                          </w:r>
                          <w:r>
                            <w:rPr>
                              <w:rFonts w:cs="Times New Roman"/>
                              <w:sz w:val="21"/>
                              <w:szCs w:val="21"/>
                            </w:rPr>
                            <w:fldChar w:fldCharType="separate"/>
                          </w:r>
                          <w:r>
                            <w:rPr>
                              <w:rFonts w:cs="Times New Roman"/>
                              <w:sz w:val="21"/>
                              <w:szCs w:val="21"/>
                            </w:rPr>
                            <w:t>III</w:t>
                          </w:r>
                          <w:r>
                            <w:rPr>
                              <w:rFonts w:cs="Times New Roman"/>
                              <w:sz w:val="21"/>
                              <w:szCs w:val="21"/>
                            </w:rPr>
                            <w:fldChar w:fldCharType="end"/>
                          </w:r>
                        </w:p>
                      </w:txbxContent>
                    </wps:txbx>
                    <wps:bodyPr rot="0" vert="horz" wrap="none" lIns="0" tIns="0" rIns="0" bIns="0" anchor="t" anchorCtr="0" upright="1">
                      <a:spAutoFit/>
                    </wps:bodyPr>
                  </wps:wsp>
                </a:graphicData>
              </a:graphic>
            </wp:anchor>
          </w:drawing>
        </mc:Choice>
        <mc:Fallback>
          <w:pict>
            <v:shape id="文本框 31" o:spid="_x0000_s1026" o:spt="202" type="#_x0000_t202" style="position:absolute;left:0pt;margin-top:0pt;height:18.1pt;width:28pt;mso-position-horizontal:center;mso-position-horizontal-relative:margin;mso-wrap-style:none;z-index:251659264;mso-width-relative:page;mso-height-relative:page;" filled="f" stroked="f" coordsize="21600,21600" o:gfxdata="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On8XdEAAAADAQAADwAAAAAAAAABACAAAAAiAAAAZHJz&#10;L2Rvd25yZXYueG1sUEsBAhQAFAAAAAgAh07iQATMXtQLAgAABAQAAA4AAAAAAAAAAQAgAAAAIAEA&#10;AGRycy9lMm9Eb2MueG1sUEsFBgAAAAAGAAYAWQEAAJ0FAAAAAA==&#10;">
              <v:fill on="f" focussize="0,0"/>
              <v:stroke on="f"/>
              <v:imagedata o:title=""/>
              <o:lock v:ext="edit" aspectratio="f"/>
              <v:textbox inset="0mm,0mm,0mm,0mm" style="mso-fit-shape-to-text:t;">
                <w:txbxContent>
                  <w:p>
                    <w:pPr>
                      <w:pStyle w:val="35"/>
                      <w:ind w:firstLine="420"/>
                      <w:rPr>
                        <w:rFonts w:cs="Times New Roman"/>
                        <w:sz w:val="21"/>
                        <w:szCs w:val="21"/>
                      </w:rPr>
                    </w:pPr>
                    <w:r>
                      <w:rPr>
                        <w:rFonts w:cs="Times New Roman"/>
                        <w:sz w:val="21"/>
                        <w:szCs w:val="21"/>
                      </w:rPr>
                      <w:fldChar w:fldCharType="begin"/>
                    </w:r>
                    <w:r>
                      <w:rPr>
                        <w:rFonts w:cs="Times New Roman"/>
                        <w:sz w:val="21"/>
                        <w:szCs w:val="21"/>
                      </w:rPr>
                      <w:instrText xml:space="preserve"> PAGE  \* MERGEFORMAT </w:instrText>
                    </w:r>
                    <w:r>
                      <w:rPr>
                        <w:rFonts w:cs="Times New Roman"/>
                        <w:sz w:val="21"/>
                        <w:szCs w:val="21"/>
                      </w:rPr>
                      <w:fldChar w:fldCharType="separate"/>
                    </w:r>
                    <w:r>
                      <w:rPr>
                        <w:rFonts w:cs="Times New Roman"/>
                        <w:sz w:val="21"/>
                        <w:szCs w:val="21"/>
                      </w:rPr>
                      <w:t>III</w:t>
                    </w:r>
                    <w:r>
                      <w:rPr>
                        <w:rFonts w:cs="Times New Roman"/>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jc w:val="center"/>
    </w:pPr>
    <w:r>
      <w:fldChar w:fldCharType="begin"/>
    </w:r>
    <w:r>
      <w:instrText xml:space="preserve">PAGE   \* MERGEFORMAT</w:instrText>
    </w:r>
    <w:r>
      <w:fldChar w:fldCharType="separate"/>
    </w:r>
    <w:r>
      <w:rPr>
        <w:lang w:val="zh-CN"/>
      </w:rP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2275917"/>
    </w:sdtPr>
    <w:sdtContent>
      <w:p>
        <w:pPr>
          <w:pStyle w:val="35"/>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0041271"/>
    </w:sdtPr>
    <w:sdtContent>
      <w:p>
        <w:pPr>
          <w:pStyle w:val="35"/>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1868712"/>
      <w:docPartObj>
        <w:docPartGallery w:val="autotext"/>
      </w:docPartObj>
    </w:sdtPr>
    <w:sdtContent>
      <w:p>
        <w:pPr>
          <w:pStyle w:val="35"/>
          <w:ind w:firstLine="360"/>
          <w:jc w:val="center"/>
        </w:pPr>
        <w:r>
          <w:fldChar w:fldCharType="begin"/>
        </w:r>
        <w:r>
          <w:instrText xml:space="preserve">PAGE   \* MERGEFORMAT</w:instrText>
        </w:r>
        <w:r>
          <w:fldChar w:fldCharType="separate"/>
        </w:r>
        <w:r>
          <w:rPr>
            <w:lang w:val="zh-CN"/>
          </w:rPr>
          <w:t>2</w:t>
        </w:r>
        <w:r>
          <w:fldChar w:fldCharType="end"/>
        </w:r>
      </w:p>
    </w:sdtContent>
  </w:sdt>
  <w:p>
    <w:pPr>
      <w:pStyle w:val="19"/>
      <w:spacing w:line="14" w:lineRule="auto"/>
      <w:ind w:firstLine="40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2086651"/>
      <w:docPartObj>
        <w:docPartGallery w:val="autotext"/>
      </w:docPartObj>
    </w:sdtPr>
    <w:sdtContent>
      <w:p>
        <w:pPr>
          <w:pStyle w:val="35"/>
          <w:ind w:firstLine="360"/>
          <w:jc w:val="center"/>
        </w:pPr>
        <w:r>
          <w:fldChar w:fldCharType="begin"/>
        </w:r>
        <w:r>
          <w:instrText xml:space="preserve">PAGE   \* MERGEFORMAT</w:instrText>
        </w:r>
        <w:r>
          <w:fldChar w:fldCharType="separate"/>
        </w:r>
        <w:r>
          <w:rPr>
            <w:lang w:val="zh-CN"/>
          </w:rPr>
          <w:t>2</w:t>
        </w:r>
        <w:r>
          <w:fldChar w:fldCharType="end"/>
        </w:r>
      </w:p>
    </w:sdtContent>
  </w:sdt>
  <w:p>
    <w:pPr>
      <w:pStyle w:val="19"/>
      <w:spacing w:line="14" w:lineRule="auto"/>
      <w:ind w:firstLine="400"/>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9668737"/>
      <w:docPartObj>
        <w:docPartGallery w:val="autotext"/>
      </w:docPartObj>
    </w:sdtPr>
    <w:sdtContent>
      <w:p>
        <w:pPr>
          <w:pStyle w:val="35"/>
          <w:ind w:firstLine="360"/>
          <w:jc w:val="center"/>
        </w:pPr>
        <w:r>
          <w:fldChar w:fldCharType="begin"/>
        </w:r>
        <w:r>
          <w:instrText xml:space="preserve">PAGE   \* MERGEFORMAT</w:instrText>
        </w:r>
        <w:r>
          <w:fldChar w:fldCharType="separate"/>
        </w:r>
        <w:r>
          <w:rPr>
            <w:lang w:val="zh-CN"/>
          </w:rPr>
          <w:t>2</w:t>
        </w:r>
        <w:r>
          <w:fldChar w:fldCharType="end"/>
        </w:r>
      </w:p>
    </w:sdtContent>
  </w:sdt>
  <w:p>
    <w:pPr>
      <w:pStyle w:val="19"/>
      <w:spacing w:line="14" w:lineRule="auto"/>
      <w:ind w:firstLine="400"/>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E2673E"/>
    <w:multiLevelType w:val="multilevel"/>
    <w:tmpl w:val="9DE2673E"/>
    <w:lvl w:ilvl="0" w:tentative="0">
      <w:start w:val="1"/>
      <w:numFmt w:val="chineseCounting"/>
      <w:pStyle w:val="2"/>
      <w:suff w:val="nothing"/>
      <w:lvlText w:val="第%1章 "/>
      <w:lvlJc w:val="left"/>
      <w:pPr>
        <w:ind w:left="432" w:hanging="432"/>
      </w:pPr>
      <w:rPr>
        <w:rFonts w:hint="eastAsia"/>
        <w:sz w:val="44"/>
        <w:szCs w:val="44"/>
      </w:rPr>
    </w:lvl>
    <w:lvl w:ilvl="1" w:tentative="0">
      <w:start w:val="1"/>
      <w:numFmt w:val="decimal"/>
      <w:pStyle w:val="3"/>
      <w:isLgl/>
      <w:lvlText w:val="%1.%2"/>
      <w:lvlJc w:val="left"/>
      <w:pPr>
        <w:ind w:left="567" w:hanging="567"/>
      </w:pPr>
      <w:rPr>
        <w:rFonts w:hint="eastAsia" w:ascii="Times New Roman" w:hAnsi="Times New Roman" w:eastAsia="宋体" w:cs="Times New Roman"/>
        <w:sz w:val="32"/>
        <w:szCs w:val="32"/>
      </w:rPr>
    </w:lvl>
    <w:lvl w:ilvl="2" w:tentative="0">
      <w:start w:val="1"/>
      <w:numFmt w:val="decimal"/>
      <w:pStyle w:val="4"/>
      <w:isLgl/>
      <w:suff w:val="space"/>
      <w:lvlText w:val="%1.%2.%3"/>
      <w:lvlJc w:val="left"/>
      <w:pPr>
        <w:tabs>
          <w:tab w:val="left" w:pos="0"/>
        </w:tabs>
        <w:ind w:left="0" w:firstLine="0"/>
      </w:pPr>
      <w:rPr>
        <w:rFonts w:hint="eastAsia" w:ascii="Times New Roman" w:hAnsi="Times New Roman" w:eastAsia="宋体" w:cs="Times New Roman"/>
        <w:sz w:val="30"/>
        <w:szCs w:val="30"/>
      </w:rPr>
    </w:lvl>
    <w:lvl w:ilvl="3" w:tentative="0">
      <w:start w:val="1"/>
      <w:numFmt w:val="decimal"/>
      <w:pStyle w:val="5"/>
      <w:isLgl/>
      <w:suff w:val="space"/>
      <w:lvlText w:val="%1.%2.%3.%4"/>
      <w:lvlJc w:val="left"/>
      <w:pPr>
        <w:tabs>
          <w:tab w:val="left" w:pos="420"/>
        </w:tabs>
        <w:ind w:left="0" w:firstLine="0"/>
      </w:pPr>
      <w:rPr>
        <w:rFonts w:hint="eastAsia" w:ascii="Times New Roman" w:hAnsi="Times New Roman" w:eastAsia="宋体" w:cs="Times New Roman"/>
        <w:sz w:val="28"/>
        <w:szCs w:val="28"/>
      </w:rPr>
    </w:lvl>
    <w:lvl w:ilvl="4" w:tentative="0">
      <w:start w:val="1"/>
      <w:numFmt w:val="decimal"/>
      <w:pStyle w:val="6"/>
      <w:isLgl/>
      <w:lvlText w:val="%1.%2.%3.%4.%5."/>
      <w:lvlJc w:val="left"/>
      <w:pPr>
        <w:ind w:left="1008" w:hanging="1008"/>
      </w:pPr>
      <w:rPr>
        <w:rFonts w:hint="default" w:ascii="Times New Roman" w:hAnsi="Times New Roman" w:cs="Times New Roman"/>
        <w:sz w:val="24"/>
        <w:szCs w:val="24"/>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1">
    <w:nsid w:val="FFFFFF7D"/>
    <w:multiLevelType w:val="singleLevel"/>
    <w:tmpl w:val="FFFFFF7D"/>
    <w:lvl w:ilvl="0" w:tentative="0">
      <w:start w:val="1"/>
      <w:numFmt w:val="decimal"/>
      <w:pStyle w:val="31"/>
      <w:lvlText w:val="%1."/>
      <w:lvlJc w:val="left"/>
      <w:pPr>
        <w:tabs>
          <w:tab w:val="left" w:pos="1620"/>
        </w:tabs>
        <w:ind w:left="1620" w:leftChars="600" w:hanging="360" w:hangingChars="200"/>
      </w:pPr>
    </w:lvl>
  </w:abstractNum>
  <w:abstractNum w:abstractNumId="2">
    <w:nsid w:val="FFFFFF80"/>
    <w:multiLevelType w:val="singleLevel"/>
    <w:tmpl w:val="FFFFFF80"/>
    <w:lvl w:ilvl="0" w:tentative="0">
      <w:start w:val="1"/>
      <w:numFmt w:val="bullet"/>
      <w:pStyle w:val="30"/>
      <w:lvlText w:val=""/>
      <w:lvlJc w:val="left"/>
      <w:pPr>
        <w:tabs>
          <w:tab w:val="left" w:pos="2040"/>
        </w:tabs>
        <w:ind w:left="2040" w:leftChars="800" w:hanging="360" w:hangingChars="200"/>
      </w:pPr>
      <w:rPr>
        <w:rFonts w:hint="default" w:ascii="Wingdings" w:hAnsi="Wingdings"/>
      </w:rPr>
    </w:lvl>
  </w:abstractNum>
  <w:abstractNum w:abstractNumId="3">
    <w:nsid w:val="00A5727C"/>
    <w:multiLevelType w:val="multilevel"/>
    <w:tmpl w:val="00A5727C"/>
    <w:lvl w:ilvl="0" w:tentative="0">
      <w:start w:val="1"/>
      <w:numFmt w:val="chineseCountingThousand"/>
      <w:suff w:val="space"/>
      <w:lvlText w:val="第%1章"/>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rPr>
        <w:rFonts w:hint="eastAsia"/>
        <w:lang w:val="en-US"/>
      </w:rPr>
    </w:lvl>
    <w:lvl w:ilvl="5" w:tentative="0">
      <w:start w:val="1"/>
      <w:numFmt w:val="decimal"/>
      <w:lvlRestart w:val="2"/>
      <w:pStyle w:val="172"/>
      <w:isLgl/>
      <w:suff w:val="space"/>
      <w:lvlText w:val="图%1.%2-%6"/>
      <w:lvlJc w:val="left"/>
      <w:pPr>
        <w:ind w:left="2411" w:firstLine="0"/>
      </w:pPr>
      <w:rPr>
        <w:rFonts w:hint="eastAsia"/>
        <w:lang w:val="en-US"/>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08DC1954"/>
    <w:multiLevelType w:val="multilevel"/>
    <w:tmpl w:val="08DC1954"/>
    <w:lvl w:ilvl="0" w:tentative="0">
      <w:start w:val="1"/>
      <w:numFmt w:val="bullet"/>
      <w:pStyle w:val="221"/>
      <w:lvlText w:val=""/>
      <w:lvlJc w:val="left"/>
      <w:pPr>
        <w:tabs>
          <w:tab w:val="left" w:pos="540"/>
        </w:tabs>
        <w:ind w:left="540" w:hanging="420"/>
      </w:pPr>
      <w:rPr>
        <w:rFonts w:hint="default" w:ascii="Wingdings" w:hAnsi="Wingdings"/>
      </w:rPr>
    </w:lvl>
    <w:lvl w:ilvl="1" w:tentative="0">
      <w:start w:val="1"/>
      <w:numFmt w:val="bullet"/>
      <w:lvlText w:val=""/>
      <w:lvlJc w:val="left"/>
      <w:pPr>
        <w:tabs>
          <w:tab w:val="left" w:pos="960"/>
        </w:tabs>
        <w:ind w:left="960" w:hanging="420"/>
      </w:pPr>
      <w:rPr>
        <w:rFonts w:hint="default" w:ascii="Wingdings" w:hAnsi="Wingdings"/>
      </w:rPr>
    </w:lvl>
    <w:lvl w:ilvl="2" w:tentative="0">
      <w:start w:val="1"/>
      <w:numFmt w:val="bullet"/>
      <w:lvlText w:val=""/>
      <w:lvlJc w:val="left"/>
      <w:pPr>
        <w:tabs>
          <w:tab w:val="left" w:pos="1380"/>
        </w:tabs>
        <w:ind w:left="1380" w:hanging="420"/>
      </w:pPr>
      <w:rPr>
        <w:rFonts w:hint="default" w:ascii="Wingdings" w:hAnsi="Wingdings"/>
      </w:rPr>
    </w:lvl>
    <w:lvl w:ilvl="3" w:tentative="0">
      <w:start w:val="1"/>
      <w:numFmt w:val="bullet"/>
      <w:lvlText w:val=""/>
      <w:lvlJc w:val="left"/>
      <w:pPr>
        <w:tabs>
          <w:tab w:val="left" w:pos="1800"/>
        </w:tabs>
        <w:ind w:left="1800" w:hanging="420"/>
      </w:pPr>
      <w:rPr>
        <w:rFonts w:hint="default" w:ascii="Wingdings" w:hAnsi="Wingdings"/>
      </w:rPr>
    </w:lvl>
    <w:lvl w:ilvl="4" w:tentative="0">
      <w:start w:val="1"/>
      <w:numFmt w:val="bullet"/>
      <w:lvlText w:val=""/>
      <w:lvlJc w:val="left"/>
      <w:pPr>
        <w:tabs>
          <w:tab w:val="left" w:pos="2220"/>
        </w:tabs>
        <w:ind w:left="2220" w:hanging="420"/>
      </w:pPr>
      <w:rPr>
        <w:rFonts w:hint="default" w:ascii="Wingdings" w:hAnsi="Wingdings"/>
      </w:rPr>
    </w:lvl>
    <w:lvl w:ilvl="5" w:tentative="0">
      <w:start w:val="1"/>
      <w:numFmt w:val="bullet"/>
      <w:lvlText w:val=""/>
      <w:lvlJc w:val="left"/>
      <w:pPr>
        <w:tabs>
          <w:tab w:val="left" w:pos="2640"/>
        </w:tabs>
        <w:ind w:left="2640" w:hanging="420"/>
      </w:pPr>
      <w:rPr>
        <w:rFonts w:hint="default" w:ascii="Wingdings" w:hAnsi="Wingdings"/>
      </w:rPr>
    </w:lvl>
    <w:lvl w:ilvl="6" w:tentative="0">
      <w:start w:val="1"/>
      <w:numFmt w:val="bullet"/>
      <w:lvlText w:val=""/>
      <w:lvlJc w:val="left"/>
      <w:pPr>
        <w:tabs>
          <w:tab w:val="left" w:pos="3060"/>
        </w:tabs>
        <w:ind w:left="3060" w:hanging="420"/>
      </w:pPr>
      <w:rPr>
        <w:rFonts w:hint="default" w:ascii="Wingdings" w:hAnsi="Wingdings"/>
      </w:rPr>
    </w:lvl>
    <w:lvl w:ilvl="7" w:tentative="0">
      <w:start w:val="1"/>
      <w:numFmt w:val="bullet"/>
      <w:lvlText w:val=""/>
      <w:lvlJc w:val="left"/>
      <w:pPr>
        <w:tabs>
          <w:tab w:val="left" w:pos="3480"/>
        </w:tabs>
        <w:ind w:left="3480" w:hanging="420"/>
      </w:pPr>
      <w:rPr>
        <w:rFonts w:hint="default" w:ascii="Wingdings" w:hAnsi="Wingdings"/>
      </w:rPr>
    </w:lvl>
    <w:lvl w:ilvl="8" w:tentative="0">
      <w:start w:val="1"/>
      <w:numFmt w:val="bullet"/>
      <w:lvlText w:val=""/>
      <w:lvlJc w:val="left"/>
      <w:pPr>
        <w:tabs>
          <w:tab w:val="left" w:pos="3900"/>
        </w:tabs>
        <w:ind w:left="3900" w:hanging="420"/>
      </w:pPr>
      <w:rPr>
        <w:rFonts w:hint="default" w:ascii="Wingdings" w:hAnsi="Wingdings"/>
      </w:rPr>
    </w:lvl>
  </w:abstractNum>
  <w:abstractNum w:abstractNumId="5">
    <w:nsid w:val="0AA7481F"/>
    <w:multiLevelType w:val="multilevel"/>
    <w:tmpl w:val="0AA7481F"/>
    <w:lvl w:ilvl="0" w:tentative="0">
      <w:start w:val="1"/>
      <w:numFmt w:val="decimal"/>
      <w:pStyle w:val="205"/>
      <w:suff w:val="nothing"/>
      <w:lvlText w:val="%1"/>
      <w:lvlJc w:val="left"/>
      <w:pPr>
        <w:ind w:left="425" w:hanging="425"/>
      </w:pPr>
      <w:rPr>
        <w:rFonts w:hint="eastAsia"/>
      </w:rPr>
    </w:lvl>
    <w:lvl w:ilvl="1" w:tentative="0">
      <w:start w:val="1"/>
      <w:numFmt w:val="decimal"/>
      <w:pStyle w:val="206"/>
      <w:suff w:val="nothing"/>
      <w:lvlText w:val="%1.%2"/>
      <w:lvlJc w:val="left"/>
      <w:pPr>
        <w:ind w:left="425" w:hanging="425"/>
      </w:pPr>
      <w:rPr>
        <w:rFonts w:hint="eastAsia"/>
        <w:b/>
      </w:rPr>
    </w:lvl>
    <w:lvl w:ilvl="2" w:tentative="0">
      <w:start w:val="1"/>
      <w:numFmt w:val="decimal"/>
      <w:pStyle w:val="207"/>
      <w:suff w:val="nothing"/>
      <w:lvlText w:val="%1.%2.%3"/>
      <w:lvlJc w:val="left"/>
      <w:pPr>
        <w:ind w:left="2410" w:hanging="425"/>
      </w:pPr>
      <w:rPr>
        <w:rFonts w:hint="eastAsia"/>
        <w:b/>
      </w:rPr>
    </w:lvl>
    <w:lvl w:ilvl="3" w:tentative="0">
      <w:start w:val="1"/>
      <w:numFmt w:val="decimal"/>
      <w:pStyle w:val="204"/>
      <w:lvlText w:val="%1.%2.%3.%4"/>
      <w:lvlJc w:val="left"/>
      <w:pPr>
        <w:ind w:left="78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6">
    <w:nsid w:val="117D197D"/>
    <w:multiLevelType w:val="multilevel"/>
    <w:tmpl w:val="117D197D"/>
    <w:lvl w:ilvl="0" w:tentative="0">
      <w:start w:val="1"/>
      <w:numFmt w:val="decimal"/>
      <w:pStyle w:val="193"/>
      <w:suff w:val="space"/>
      <w:lvlText w:val="%1、"/>
      <w:lvlJc w:val="left"/>
      <w:pPr>
        <w:ind w:left="-226" w:hanging="425"/>
      </w:pPr>
    </w:lvl>
    <w:lvl w:ilvl="1" w:tentative="0">
      <w:start w:val="1"/>
      <w:numFmt w:val="decimal"/>
      <w:pStyle w:val="194"/>
      <w:suff w:val="space"/>
      <w:lvlText w:val="%1.%2"/>
      <w:lvlJc w:val="left"/>
      <w:pPr>
        <w:ind w:left="567" w:hanging="567"/>
      </w:pPr>
    </w:lvl>
    <w:lvl w:ilvl="2" w:tentative="0">
      <w:start w:val="1"/>
      <w:numFmt w:val="decimal"/>
      <w:suff w:val="space"/>
      <w:lvlText w:val="%1.%2.%3"/>
      <w:lvlJc w:val="left"/>
      <w:pPr>
        <w:ind w:left="-751" w:firstLine="851"/>
      </w:pPr>
    </w:lvl>
    <w:lvl w:ilvl="3" w:tentative="0">
      <w:start w:val="1"/>
      <w:numFmt w:val="decimal"/>
      <w:suff w:val="space"/>
      <w:lvlText w:val="%1.%2.%3.%4"/>
      <w:lvlJc w:val="left"/>
      <w:pPr>
        <w:ind w:left="1333" w:hanging="708"/>
      </w:pPr>
    </w:lvl>
    <w:lvl w:ilvl="4" w:tentative="0">
      <w:start w:val="1"/>
      <w:numFmt w:val="decimal"/>
      <w:pStyle w:val="195"/>
      <w:suff w:val="space"/>
      <w:lvlText w:val="%1.%2.%3.%4.%5"/>
      <w:lvlJc w:val="left"/>
      <w:pPr>
        <w:ind w:left="850" w:hanging="850"/>
      </w:pPr>
    </w:lvl>
    <w:lvl w:ilvl="5" w:tentative="0">
      <w:start w:val="1"/>
      <w:numFmt w:val="decimal"/>
      <w:lvlText w:val="%1.%2.%3.%4.%5.%6"/>
      <w:lvlJc w:val="left"/>
      <w:pPr>
        <w:tabs>
          <w:tab w:val="left" w:pos="3275"/>
        </w:tabs>
        <w:ind w:left="2609" w:hanging="1134"/>
      </w:pPr>
    </w:lvl>
    <w:lvl w:ilvl="6" w:tentative="0">
      <w:start w:val="1"/>
      <w:numFmt w:val="decimal"/>
      <w:lvlText w:val="%1.%2.%3.%4.%5.%6.%7"/>
      <w:lvlJc w:val="left"/>
      <w:pPr>
        <w:tabs>
          <w:tab w:val="left" w:pos="4060"/>
        </w:tabs>
        <w:ind w:left="3176" w:hanging="1276"/>
      </w:pPr>
    </w:lvl>
    <w:lvl w:ilvl="7" w:tentative="0">
      <w:start w:val="1"/>
      <w:numFmt w:val="decimal"/>
      <w:lvlText w:val="%1.%2.%3.%4.%5.%6.%7.%8"/>
      <w:lvlJc w:val="left"/>
      <w:pPr>
        <w:tabs>
          <w:tab w:val="left" w:pos="4485"/>
        </w:tabs>
        <w:ind w:left="3743" w:hanging="1418"/>
      </w:pPr>
    </w:lvl>
    <w:lvl w:ilvl="8" w:tentative="0">
      <w:start w:val="1"/>
      <w:numFmt w:val="decimal"/>
      <w:lvlText w:val="%1.%2.%3.%4.%5.%6.%7.%8.%9"/>
      <w:lvlJc w:val="left"/>
      <w:pPr>
        <w:tabs>
          <w:tab w:val="left" w:pos="5271"/>
        </w:tabs>
        <w:ind w:left="4451" w:hanging="1700"/>
      </w:pPr>
    </w:lvl>
  </w:abstractNum>
  <w:abstractNum w:abstractNumId="7">
    <w:nsid w:val="208C5DDD"/>
    <w:multiLevelType w:val="multilevel"/>
    <w:tmpl w:val="208C5DDD"/>
    <w:lvl w:ilvl="0" w:tentative="0">
      <w:start w:val="1"/>
      <w:numFmt w:val="decimal"/>
      <w:pStyle w:val="136"/>
      <w:suff w:val="space"/>
      <w:lvlText w:val="第%1章"/>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decimal"/>
      <w:pStyle w:val="137"/>
      <w:suff w:val="space"/>
      <w:lvlText w:val="%1.%2"/>
      <w:lvlJc w:val="left"/>
      <w:pPr>
        <w:ind w:left="0" w:firstLine="0"/>
      </w:pPr>
      <w:rPr>
        <w:rFonts w:hint="eastAsia"/>
      </w:rPr>
    </w:lvl>
    <w:lvl w:ilvl="2" w:tentative="0">
      <w:start w:val="1"/>
      <w:numFmt w:val="decimal"/>
      <w:pStyle w:val="139"/>
      <w:suff w:val="space"/>
      <w:lvlText w:val="%1.%2.%3"/>
      <w:lvlJc w:val="left"/>
      <w:pPr>
        <w:ind w:left="0" w:firstLine="0"/>
      </w:pPr>
      <w:rPr>
        <w:rFonts w:hint="eastAsia"/>
      </w:rPr>
    </w:lvl>
    <w:lvl w:ilvl="3" w:tentative="0">
      <w:start w:val="1"/>
      <w:numFmt w:val="decimal"/>
      <w:pStyle w:val="141"/>
      <w:suff w:val="space"/>
      <w:lvlText w:val="%1.%2.%3.%4"/>
      <w:lvlJc w:val="left"/>
      <w:pPr>
        <w:ind w:left="0" w:firstLine="0"/>
      </w:pPr>
      <w:rPr>
        <w:rFonts w:hint="eastAsia"/>
      </w:rPr>
    </w:lvl>
    <w:lvl w:ilvl="4" w:tentative="0">
      <w:start w:val="1"/>
      <w:numFmt w:val="decimal"/>
      <w:lvlRestart w:val="2"/>
      <w:pStyle w:val="143"/>
      <w:suff w:val="space"/>
      <w:lvlText w:val="表%1.%2-%5"/>
      <w:lvlJc w:val="center"/>
      <w:pPr>
        <w:ind w:left="0" w:firstLine="0"/>
      </w:pPr>
      <w:rPr>
        <w:rFonts w:hint="eastAsia"/>
        <w:bCs w:val="0"/>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5" w:tentative="0">
      <w:start w:val="1"/>
      <w:numFmt w:val="decimal"/>
      <w:lvlRestart w:val="2"/>
      <w:pStyle w:val="144"/>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41C03296"/>
    <w:multiLevelType w:val="multilevel"/>
    <w:tmpl w:val="41C03296"/>
    <w:lvl w:ilvl="0" w:tentative="0">
      <w:start w:val="1"/>
      <w:numFmt w:val="chineseCountingThousand"/>
      <w:pStyle w:val="114"/>
      <w:suff w:val="space"/>
      <w:lvlText w:val="第%1章 "/>
      <w:lvlJc w:val="center"/>
      <w:pPr>
        <w:ind w:left="0" w:firstLine="0"/>
      </w:pPr>
      <w:rPr>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pStyle w:val="116"/>
      <w:isLgl/>
      <w:suff w:val="space"/>
      <w:lvlText w:val="%1.%2 "/>
      <w:lvlJc w:val="left"/>
      <w:pPr>
        <w:ind w:left="0" w:firstLine="0"/>
      </w:pPr>
      <w:rPr>
        <w:rFonts w:hint="eastAsia"/>
        <w:b/>
        <w:bCs w:val="0"/>
        <w:i w:val="0"/>
        <w:iCs w:val="0"/>
        <w:caps w:val="0"/>
        <w:strike w:val="0"/>
        <w:dstrike w:val="0"/>
        <w:vanish w:val="0"/>
        <w:spacing w:val="0"/>
        <w:position w:val="0"/>
        <w:u w:val="none"/>
        <w:vertAlign w:val="baseline"/>
      </w:rPr>
    </w:lvl>
    <w:lvl w:ilvl="2" w:tentative="0">
      <w:start w:val="1"/>
      <w:numFmt w:val="decimal"/>
      <w:pStyle w:val="120"/>
      <w:isLgl/>
      <w:suff w:val="space"/>
      <w:lvlText w:val="%1.%2.%3 "/>
      <w:lvlJc w:val="left"/>
      <w:pPr>
        <w:ind w:left="0" w:firstLine="0"/>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pStyle w:val="118"/>
      <w:isLgl/>
      <w:suff w:val="space"/>
      <w:lvlText w:val="%1.%2.%3.%4 "/>
      <w:lvlJc w:val="left"/>
      <w:pPr>
        <w:ind w:left="0" w:firstLine="0"/>
      </w:pPr>
      <w:rPr>
        <w:rFonts w:hint="eastAsia"/>
        <w:color w:val="auto"/>
      </w:rPr>
    </w:lvl>
    <w:lvl w:ilvl="4" w:tentative="0">
      <w:start w:val="1"/>
      <w:numFmt w:val="decimal"/>
      <w:lvlRestart w:val="2"/>
      <w:pStyle w:val="87"/>
      <w:isLgl/>
      <w:suff w:val="space"/>
      <w:lvlText w:val="表%1.%2-%5"/>
      <w:lvlJc w:val="left"/>
      <w:pPr>
        <w:ind w:left="0" w:firstLine="0"/>
      </w:pPr>
      <w:rPr>
        <w:rFonts w:hint="eastAsia" w:ascii="Times New Roman" w:hAnsi="Times New Roman" w:cs="Times New Roman"/>
        <w:bCs w:val="0"/>
        <w:i w:val="0"/>
        <w:iCs w:val="0"/>
        <w:caps w:val="0"/>
        <w:smallCaps w:val="0"/>
        <w:strike w:val="0"/>
        <w:dstrike w:val="0"/>
        <w:vanish w:val="0"/>
        <w:spacing w:val="0"/>
        <w:position w:val="0"/>
        <w:u w:val="none"/>
        <w:vertAlign w:val="baseline"/>
        <w:lang w:val="en-US"/>
      </w:rPr>
    </w:lvl>
    <w:lvl w:ilvl="5" w:tentative="0">
      <w:start w:val="1"/>
      <w:numFmt w:val="decimal"/>
      <w:lvlRestart w:val="2"/>
      <w:pStyle w:val="122"/>
      <w:isLgl/>
      <w:suff w:val="space"/>
      <w:lvlText w:val="图%1.%2-%6"/>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lvlText w:val="%1.%2.%3.%4.%5.%6.%7"/>
      <w:lvlJc w:val="left"/>
      <w:pPr>
        <w:tabs>
          <w:tab w:val="left" w:pos="1566"/>
        </w:tabs>
        <w:ind w:left="0" w:firstLine="0"/>
      </w:pPr>
      <w:rPr>
        <w:rFonts w:hint="eastAsia"/>
      </w:rPr>
    </w:lvl>
    <w:lvl w:ilvl="7" w:tentative="0">
      <w:start w:val="1"/>
      <w:numFmt w:val="decimal"/>
      <w:lvlText w:val="%1.%2.%3.%4.%5.%6.%7.%8"/>
      <w:lvlJc w:val="left"/>
      <w:pPr>
        <w:tabs>
          <w:tab w:val="left" w:pos="1566"/>
        </w:tabs>
        <w:ind w:left="0" w:firstLine="0"/>
      </w:pPr>
      <w:rPr>
        <w:rFonts w:hint="eastAsia"/>
      </w:rPr>
    </w:lvl>
    <w:lvl w:ilvl="8" w:tentative="0">
      <w:start w:val="1"/>
      <w:numFmt w:val="decimal"/>
      <w:lvlText w:val="%1.%2.%3.%4.%5.%6.%7.%8.%9"/>
      <w:lvlJc w:val="left"/>
      <w:pPr>
        <w:tabs>
          <w:tab w:val="left" w:pos="1566"/>
        </w:tabs>
        <w:ind w:left="0" w:firstLine="0"/>
      </w:pPr>
      <w:rPr>
        <w:rFonts w:hint="eastAsia"/>
      </w:rPr>
    </w:lvl>
  </w:abstractNum>
  <w:abstractNum w:abstractNumId="9">
    <w:nsid w:val="57133F65"/>
    <w:multiLevelType w:val="multilevel"/>
    <w:tmpl w:val="57133F65"/>
    <w:lvl w:ilvl="0" w:tentative="0">
      <w:start w:val="1"/>
      <w:numFmt w:val="decimal"/>
      <w:pStyle w:val="285"/>
      <w:lvlText w:val="第%1章 "/>
      <w:lvlJc w:val="left"/>
      <w:pPr>
        <w:tabs>
          <w:tab w:val="left" w:pos="425"/>
        </w:tabs>
        <w:ind w:left="425" w:hanging="425"/>
      </w:pPr>
      <w:rPr>
        <w:rFonts w:hint="eastAsia"/>
        <w:lang w:val="en-US"/>
      </w:rPr>
    </w:lvl>
    <w:lvl w:ilvl="1" w:tentative="0">
      <w:start w:val="1"/>
      <w:numFmt w:val="decimal"/>
      <w:pStyle w:val="282"/>
      <w:lvlText w:val="%1.%2 "/>
      <w:lvlJc w:val="left"/>
      <w:pPr>
        <w:tabs>
          <w:tab w:val="left" w:pos="567"/>
        </w:tabs>
        <w:ind w:left="567" w:hanging="567"/>
      </w:pPr>
      <w:rPr>
        <w:rFonts w:hint="eastAsia"/>
      </w:rPr>
    </w:lvl>
    <w:lvl w:ilvl="2" w:tentative="0">
      <w:start w:val="1"/>
      <w:numFmt w:val="decimal"/>
      <w:pStyle w:val="283"/>
      <w:lvlText w:val="%1.%2.%3 "/>
      <w:lvlJc w:val="left"/>
      <w:pPr>
        <w:tabs>
          <w:tab w:val="left" w:pos="709"/>
        </w:tabs>
        <w:ind w:left="709" w:hanging="709"/>
      </w:pPr>
      <w:rPr>
        <w:rFonts w:hint="eastAsia"/>
      </w:rPr>
    </w:lvl>
    <w:lvl w:ilvl="3" w:tentative="0">
      <w:start w:val="1"/>
      <w:numFmt w:val="decimal"/>
      <w:pStyle w:val="284"/>
      <w:lvlText w:val="%1.%2.%3.%4 "/>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64416005"/>
    <w:multiLevelType w:val="multilevel"/>
    <w:tmpl w:val="64416005"/>
    <w:lvl w:ilvl="0" w:tentative="0">
      <w:start w:val="1"/>
      <w:numFmt w:val="decimal"/>
      <w:suff w:val="nothing"/>
      <w:lvlText w:val="（%1）"/>
      <w:lvlJc w:val="left"/>
      <w:pPr>
        <w:ind w:left="0" w:firstLine="471"/>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F2F32D1"/>
    <w:multiLevelType w:val="multilevel"/>
    <w:tmpl w:val="6F2F32D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3AE319B"/>
    <w:multiLevelType w:val="multilevel"/>
    <w:tmpl w:val="73AE319B"/>
    <w:lvl w:ilvl="0" w:tentative="0">
      <w:start w:val="0"/>
      <w:numFmt w:val="decimal"/>
      <w:pStyle w:val="277"/>
      <w:lvlText w:val=""/>
      <w:lvlJc w:val="left"/>
    </w:lvl>
    <w:lvl w:ilvl="1" w:tentative="0">
      <w:start w:val="0"/>
      <w:numFmt w:val="decimal"/>
      <w:lvlText w:val=""/>
      <w:lvlJc w:val="left"/>
    </w:lvl>
    <w:lvl w:ilvl="2" w:tentative="0">
      <w:start w:val="0"/>
      <w:numFmt w:val="decimal"/>
      <w:pStyle w:val="278"/>
      <w:lvlText w:val=""/>
      <w:lvlJc w:val="left"/>
    </w:lvl>
    <w:lvl w:ilvl="3" w:tentative="0">
      <w:start w:val="0"/>
      <w:numFmt w:val="decimal"/>
      <w:pStyle w:val="279"/>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7A544E3D"/>
    <w:multiLevelType w:val="multilevel"/>
    <w:tmpl w:val="7A544E3D"/>
    <w:lvl w:ilvl="0" w:tentative="0">
      <w:start w:val="1"/>
      <w:numFmt w:val="decimal"/>
      <w:pStyle w:val="123"/>
      <w:lvlText w:val="（%1）"/>
      <w:lvlJc w:val="left"/>
      <w:pPr>
        <w:ind w:left="1702"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4">
    <w:nsid w:val="7C506CF4"/>
    <w:multiLevelType w:val="multilevel"/>
    <w:tmpl w:val="7C506CF4"/>
    <w:lvl w:ilvl="0" w:tentative="0">
      <w:start w:val="1"/>
      <w:numFmt w:val="chineseCountingThousand"/>
      <w:suff w:val="space"/>
      <w:lvlText w:val="第%1章  "/>
      <w:lvlJc w:val="center"/>
      <w:pPr>
        <w:ind w:left="0" w:firstLine="0"/>
      </w:pPr>
      <w:rPr>
        <w:rFonts w:hint="eastAsia" w:ascii="Times New Roman" w:hAnsi="Times New Roman" w:cs="Times New Roman"/>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pStyle w:val="84"/>
      <w:isLgl/>
      <w:lvlText w:val="%1.%2"/>
      <w:lvlJc w:val="left"/>
      <w:pPr>
        <w:ind w:left="0" w:firstLine="0"/>
      </w:pPr>
      <w:rPr>
        <w:rFonts w:hint="eastAsia"/>
      </w:rPr>
    </w:lvl>
    <w:lvl w:ilvl="2" w:tentative="0">
      <w:start w:val="1"/>
      <w:numFmt w:val="decimal"/>
      <w:isLgl/>
      <w:lvlText w:val="%1.%2.%3"/>
      <w:lvlJc w:val="left"/>
      <w:pPr>
        <w:ind w:left="0" w:firstLine="0"/>
      </w:pPr>
      <w:rPr>
        <w:rFonts w:hint="eastAsia" w:ascii="Times New Roman" w:hAnsi="Times New Roman" w:cs="Times New Roman"/>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isLgl/>
      <w:lvlText w:val="%1.%2.%3.%4"/>
      <w:lvlJc w:val="left"/>
      <w:pPr>
        <w:ind w:left="0" w:firstLine="0"/>
      </w:pPr>
      <w:rPr>
        <w:rFonts w:hint="eastAsia" w:ascii="Times New Roman" w:hAnsi="Times New Roman" w:cs="Times New Roman"/>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 w:numId="2">
    <w:abstractNumId w:val="2"/>
  </w:num>
  <w:num w:numId="3">
    <w:abstractNumId w:val="1"/>
  </w:num>
  <w:num w:numId="4">
    <w:abstractNumId w:val="14"/>
  </w:num>
  <w:num w:numId="5">
    <w:abstractNumId w:val="8"/>
  </w:num>
  <w:num w:numId="6">
    <w:abstractNumId w:val="13"/>
  </w:num>
  <w:num w:numId="7">
    <w:abstractNumId w:val="7"/>
  </w:num>
  <w:num w:numId="8">
    <w:abstractNumId w:val="3"/>
    <w:lvlOverride w:ilvl="0">
      <w:lvl w:ilvl="0" w:tentative="1">
        <w:start w:val="0"/>
        <w:numFmt w:val="decimal"/>
        <w:lvlText w:val=""/>
        <w:lvlJc w:val="left"/>
      </w:lvl>
    </w:lvlOverride>
    <w:lvlOverride w:ilvl="1">
      <w:lvl w:ilvl="1" w:tentative="1">
        <w:start w:val="0"/>
        <w:numFmt w:val="decimal"/>
        <w:lvlText w:val=""/>
        <w:lvlJc w:val="left"/>
      </w:lvl>
    </w:lvlOverride>
    <w:lvlOverride w:ilvl="2">
      <w:lvl w:ilvl="2" w:tentative="1">
        <w:start w:val="0"/>
        <w:numFmt w:val="decimal"/>
        <w:lvlText w:val=""/>
        <w:lvlJc w:val="left"/>
      </w:lvl>
    </w:lvlOverride>
    <w:lvlOverride w:ilvl="3">
      <w:lvl w:ilvl="3" w:tentative="1">
        <w:start w:val="0"/>
        <w:numFmt w:val="decimal"/>
        <w:lvlText w:val=""/>
        <w:lvlJc w:val="left"/>
      </w:lvl>
    </w:lvlOverride>
    <w:lvlOverride w:ilvl="4">
      <w:lvl w:ilvl="4" w:tentative="1">
        <w:start w:val="1"/>
        <w:numFmt w:val="decimal"/>
        <w:lvlRestart w:val="2"/>
        <w:pStyle w:val="170"/>
        <w:isLgl/>
        <w:suff w:val="space"/>
        <w:lvlText w:val="表%1.%2-%5"/>
        <w:lvlJc w:val="left"/>
        <w:pPr>
          <w:ind w:left="142" w:firstLine="0"/>
        </w:pPr>
        <w:rPr>
          <w:rFonts w:hint="eastAsia"/>
          <w:lang w:val="en-US"/>
        </w:rPr>
      </w:lvl>
    </w:lvlOverride>
  </w:num>
  <w:num w:numId="9">
    <w:abstractNumId w:val="6"/>
  </w:num>
  <w:num w:numId="10">
    <w:abstractNumId w:val="5"/>
  </w:num>
  <w:num w:numId="11">
    <w:abstractNumId w:val="4"/>
  </w:num>
  <w:num w:numId="12">
    <w:abstractNumId w:val="12"/>
  </w:num>
  <w:num w:numId="13">
    <w:abstractNumId w:val="9"/>
  </w:num>
  <w:num w:numId="14">
    <w:abstractNumId w:val="11"/>
  </w:num>
  <w:num w:numId="15">
    <w:abstractNumId w:val="1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0"/>
  <w:drawingGridHorizontalSpacing w:val="120"/>
  <w:drawingGridVerticalSpacing w:val="163"/>
  <w:displayHorizontalDrawingGridEvery w:val="2"/>
  <w:displayVerticalDrawingGridEvery w:val="2"/>
  <w:noPunctuationKerning w:val="1"/>
  <w:characterSpacingControl w:val="doNotCompress"/>
  <w:footnotePr>
    <w:footnote w:id="0"/>
    <w:footnote w:id="1"/>
  </w:footnotePr>
  <w:endnotePr>
    <w:endnote w:id="0"/>
    <w:endnote w:id="1"/>
  </w:endnotePr>
  <w:compat>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FhMDY5ZDk5MWM5YjI0ODg2MGQ2YWU1MzQzYTBhNjQifQ=="/>
  </w:docVars>
  <w:rsids>
    <w:rsidRoot w:val="00172A27"/>
    <w:rsid w:val="000014B4"/>
    <w:rsid w:val="000022BD"/>
    <w:rsid w:val="00004C0F"/>
    <w:rsid w:val="00005AD3"/>
    <w:rsid w:val="00005C7D"/>
    <w:rsid w:val="00006269"/>
    <w:rsid w:val="00007646"/>
    <w:rsid w:val="0001415E"/>
    <w:rsid w:val="00016694"/>
    <w:rsid w:val="00016E9E"/>
    <w:rsid w:val="0001701C"/>
    <w:rsid w:val="00020AC2"/>
    <w:rsid w:val="000225AF"/>
    <w:rsid w:val="000226D8"/>
    <w:rsid w:val="00023A73"/>
    <w:rsid w:val="00025333"/>
    <w:rsid w:val="00026485"/>
    <w:rsid w:val="00026E9B"/>
    <w:rsid w:val="00027A13"/>
    <w:rsid w:val="00031C9D"/>
    <w:rsid w:val="00035BAE"/>
    <w:rsid w:val="000418B2"/>
    <w:rsid w:val="00043471"/>
    <w:rsid w:val="00043921"/>
    <w:rsid w:val="000449F9"/>
    <w:rsid w:val="00044B23"/>
    <w:rsid w:val="00044BE1"/>
    <w:rsid w:val="00044E54"/>
    <w:rsid w:val="000451C7"/>
    <w:rsid w:val="00046000"/>
    <w:rsid w:val="00046177"/>
    <w:rsid w:val="00047958"/>
    <w:rsid w:val="0005019C"/>
    <w:rsid w:val="0005026D"/>
    <w:rsid w:val="00051614"/>
    <w:rsid w:val="00052D75"/>
    <w:rsid w:val="00052F9F"/>
    <w:rsid w:val="00052FFC"/>
    <w:rsid w:val="000539C4"/>
    <w:rsid w:val="00054663"/>
    <w:rsid w:val="00054A6F"/>
    <w:rsid w:val="00055509"/>
    <w:rsid w:val="0005590A"/>
    <w:rsid w:val="000575DC"/>
    <w:rsid w:val="000578DB"/>
    <w:rsid w:val="00057FC1"/>
    <w:rsid w:val="000612DE"/>
    <w:rsid w:val="000615E9"/>
    <w:rsid w:val="00061A6A"/>
    <w:rsid w:val="0006202F"/>
    <w:rsid w:val="00063351"/>
    <w:rsid w:val="00065D5D"/>
    <w:rsid w:val="00066321"/>
    <w:rsid w:val="00066479"/>
    <w:rsid w:val="00066B0E"/>
    <w:rsid w:val="00066FAA"/>
    <w:rsid w:val="0007021D"/>
    <w:rsid w:val="00073402"/>
    <w:rsid w:val="00073C1E"/>
    <w:rsid w:val="00074454"/>
    <w:rsid w:val="00074D6D"/>
    <w:rsid w:val="00077698"/>
    <w:rsid w:val="00077DF7"/>
    <w:rsid w:val="000812E0"/>
    <w:rsid w:val="00082FEC"/>
    <w:rsid w:val="00083C9C"/>
    <w:rsid w:val="00086E17"/>
    <w:rsid w:val="000916B7"/>
    <w:rsid w:val="00091E4F"/>
    <w:rsid w:val="00091FAC"/>
    <w:rsid w:val="000923BE"/>
    <w:rsid w:val="0009470F"/>
    <w:rsid w:val="00096829"/>
    <w:rsid w:val="00096D1B"/>
    <w:rsid w:val="00096F8B"/>
    <w:rsid w:val="0009792D"/>
    <w:rsid w:val="0009794F"/>
    <w:rsid w:val="000A1147"/>
    <w:rsid w:val="000A131F"/>
    <w:rsid w:val="000A2993"/>
    <w:rsid w:val="000A2F75"/>
    <w:rsid w:val="000A3ED9"/>
    <w:rsid w:val="000A64D0"/>
    <w:rsid w:val="000A6E97"/>
    <w:rsid w:val="000A70FF"/>
    <w:rsid w:val="000B098C"/>
    <w:rsid w:val="000B16BF"/>
    <w:rsid w:val="000B44C0"/>
    <w:rsid w:val="000B4698"/>
    <w:rsid w:val="000B4882"/>
    <w:rsid w:val="000B604B"/>
    <w:rsid w:val="000B620C"/>
    <w:rsid w:val="000B7FD1"/>
    <w:rsid w:val="000C0529"/>
    <w:rsid w:val="000C12A6"/>
    <w:rsid w:val="000C27F9"/>
    <w:rsid w:val="000C3F73"/>
    <w:rsid w:val="000C5B34"/>
    <w:rsid w:val="000C6717"/>
    <w:rsid w:val="000C6B51"/>
    <w:rsid w:val="000C6D46"/>
    <w:rsid w:val="000C70C8"/>
    <w:rsid w:val="000D26B6"/>
    <w:rsid w:val="000D2717"/>
    <w:rsid w:val="000D2F9F"/>
    <w:rsid w:val="000D3F6D"/>
    <w:rsid w:val="000D5FF4"/>
    <w:rsid w:val="000D62A7"/>
    <w:rsid w:val="000D6315"/>
    <w:rsid w:val="000D69A8"/>
    <w:rsid w:val="000D74C1"/>
    <w:rsid w:val="000D7DD2"/>
    <w:rsid w:val="000E4488"/>
    <w:rsid w:val="000E5B04"/>
    <w:rsid w:val="000E5E65"/>
    <w:rsid w:val="000E7BBF"/>
    <w:rsid w:val="000F2A0D"/>
    <w:rsid w:val="000F5080"/>
    <w:rsid w:val="000F59B1"/>
    <w:rsid w:val="000F7850"/>
    <w:rsid w:val="00100591"/>
    <w:rsid w:val="00102AFA"/>
    <w:rsid w:val="00102CBB"/>
    <w:rsid w:val="00102CC8"/>
    <w:rsid w:val="00102D87"/>
    <w:rsid w:val="00103269"/>
    <w:rsid w:val="00103894"/>
    <w:rsid w:val="001044B4"/>
    <w:rsid w:val="00104F93"/>
    <w:rsid w:val="00105C38"/>
    <w:rsid w:val="00106BED"/>
    <w:rsid w:val="00107A1D"/>
    <w:rsid w:val="00107BA8"/>
    <w:rsid w:val="0011068A"/>
    <w:rsid w:val="0011084D"/>
    <w:rsid w:val="001108B5"/>
    <w:rsid w:val="00110B77"/>
    <w:rsid w:val="00110E28"/>
    <w:rsid w:val="00111A9C"/>
    <w:rsid w:val="00112C78"/>
    <w:rsid w:val="0011445E"/>
    <w:rsid w:val="0011463D"/>
    <w:rsid w:val="00114BB2"/>
    <w:rsid w:val="00116047"/>
    <w:rsid w:val="00116204"/>
    <w:rsid w:val="001162FA"/>
    <w:rsid w:val="001207BB"/>
    <w:rsid w:val="001208A8"/>
    <w:rsid w:val="001219BB"/>
    <w:rsid w:val="0012338F"/>
    <w:rsid w:val="00123678"/>
    <w:rsid w:val="00124756"/>
    <w:rsid w:val="0012510A"/>
    <w:rsid w:val="00132372"/>
    <w:rsid w:val="001325EF"/>
    <w:rsid w:val="00135E89"/>
    <w:rsid w:val="00137130"/>
    <w:rsid w:val="0014063A"/>
    <w:rsid w:val="00142A1C"/>
    <w:rsid w:val="0014378D"/>
    <w:rsid w:val="001474B2"/>
    <w:rsid w:val="00150A90"/>
    <w:rsid w:val="001512CD"/>
    <w:rsid w:val="0015302E"/>
    <w:rsid w:val="00154314"/>
    <w:rsid w:val="00155538"/>
    <w:rsid w:val="001574AF"/>
    <w:rsid w:val="00163FE3"/>
    <w:rsid w:val="00165C9C"/>
    <w:rsid w:val="00166081"/>
    <w:rsid w:val="00171886"/>
    <w:rsid w:val="00172A27"/>
    <w:rsid w:val="0017464C"/>
    <w:rsid w:val="001752FF"/>
    <w:rsid w:val="00177A07"/>
    <w:rsid w:val="00180727"/>
    <w:rsid w:val="00181E0D"/>
    <w:rsid w:val="00181E5B"/>
    <w:rsid w:val="001825EC"/>
    <w:rsid w:val="00182D5C"/>
    <w:rsid w:val="00182D92"/>
    <w:rsid w:val="001838DE"/>
    <w:rsid w:val="0018592E"/>
    <w:rsid w:val="001859A8"/>
    <w:rsid w:val="00186AFC"/>
    <w:rsid w:val="00186E33"/>
    <w:rsid w:val="00187963"/>
    <w:rsid w:val="00187FB3"/>
    <w:rsid w:val="00190BC7"/>
    <w:rsid w:val="001933E1"/>
    <w:rsid w:val="001953D7"/>
    <w:rsid w:val="00196EA9"/>
    <w:rsid w:val="00197CC4"/>
    <w:rsid w:val="001A0759"/>
    <w:rsid w:val="001A25F2"/>
    <w:rsid w:val="001A336A"/>
    <w:rsid w:val="001A36B9"/>
    <w:rsid w:val="001A41B9"/>
    <w:rsid w:val="001A4263"/>
    <w:rsid w:val="001A6D28"/>
    <w:rsid w:val="001A745A"/>
    <w:rsid w:val="001B0B3E"/>
    <w:rsid w:val="001B1F6B"/>
    <w:rsid w:val="001B3334"/>
    <w:rsid w:val="001B344C"/>
    <w:rsid w:val="001B353D"/>
    <w:rsid w:val="001B529E"/>
    <w:rsid w:val="001B55F4"/>
    <w:rsid w:val="001B5A81"/>
    <w:rsid w:val="001C1175"/>
    <w:rsid w:val="001C1BB8"/>
    <w:rsid w:val="001C1E52"/>
    <w:rsid w:val="001C2FF8"/>
    <w:rsid w:val="001C4F60"/>
    <w:rsid w:val="001C67F2"/>
    <w:rsid w:val="001C712B"/>
    <w:rsid w:val="001C758B"/>
    <w:rsid w:val="001D03C3"/>
    <w:rsid w:val="001D36DD"/>
    <w:rsid w:val="001D42E1"/>
    <w:rsid w:val="001D4418"/>
    <w:rsid w:val="001D45C9"/>
    <w:rsid w:val="001D5ACF"/>
    <w:rsid w:val="001D6D89"/>
    <w:rsid w:val="001D75E6"/>
    <w:rsid w:val="001E129F"/>
    <w:rsid w:val="001E4799"/>
    <w:rsid w:val="001F1020"/>
    <w:rsid w:val="001F578B"/>
    <w:rsid w:val="001F6249"/>
    <w:rsid w:val="001F6CFB"/>
    <w:rsid w:val="001F73A4"/>
    <w:rsid w:val="00201315"/>
    <w:rsid w:val="002055CD"/>
    <w:rsid w:val="00206566"/>
    <w:rsid w:val="002069C2"/>
    <w:rsid w:val="00207528"/>
    <w:rsid w:val="002103B8"/>
    <w:rsid w:val="00212908"/>
    <w:rsid w:val="0021483C"/>
    <w:rsid w:val="00216C00"/>
    <w:rsid w:val="00217661"/>
    <w:rsid w:val="002204E5"/>
    <w:rsid w:val="00220B18"/>
    <w:rsid w:val="002216A6"/>
    <w:rsid w:val="002218B6"/>
    <w:rsid w:val="00226038"/>
    <w:rsid w:val="002276D4"/>
    <w:rsid w:val="0023024A"/>
    <w:rsid w:val="00231683"/>
    <w:rsid w:val="00231B0D"/>
    <w:rsid w:val="002320B4"/>
    <w:rsid w:val="00232754"/>
    <w:rsid w:val="00233022"/>
    <w:rsid w:val="002347E8"/>
    <w:rsid w:val="00235426"/>
    <w:rsid w:val="00243F54"/>
    <w:rsid w:val="00244066"/>
    <w:rsid w:val="00244BFF"/>
    <w:rsid w:val="002459F6"/>
    <w:rsid w:val="0024668D"/>
    <w:rsid w:val="00247422"/>
    <w:rsid w:val="00252BBF"/>
    <w:rsid w:val="00257025"/>
    <w:rsid w:val="00257F64"/>
    <w:rsid w:val="0026035D"/>
    <w:rsid w:val="00262974"/>
    <w:rsid w:val="00263C04"/>
    <w:rsid w:val="00264275"/>
    <w:rsid w:val="002647BD"/>
    <w:rsid w:val="00265ACA"/>
    <w:rsid w:val="002661E3"/>
    <w:rsid w:val="00266D83"/>
    <w:rsid w:val="00270335"/>
    <w:rsid w:val="00274957"/>
    <w:rsid w:val="00274C38"/>
    <w:rsid w:val="002753CD"/>
    <w:rsid w:val="00275E13"/>
    <w:rsid w:val="00276A95"/>
    <w:rsid w:val="00277595"/>
    <w:rsid w:val="00277A04"/>
    <w:rsid w:val="00277BD0"/>
    <w:rsid w:val="002810E4"/>
    <w:rsid w:val="00285344"/>
    <w:rsid w:val="00285EF0"/>
    <w:rsid w:val="00287562"/>
    <w:rsid w:val="0029118D"/>
    <w:rsid w:val="0029310E"/>
    <w:rsid w:val="002A0F2F"/>
    <w:rsid w:val="002A2E99"/>
    <w:rsid w:val="002A3132"/>
    <w:rsid w:val="002A3481"/>
    <w:rsid w:val="002A396D"/>
    <w:rsid w:val="002A526C"/>
    <w:rsid w:val="002A5427"/>
    <w:rsid w:val="002A6000"/>
    <w:rsid w:val="002B00D3"/>
    <w:rsid w:val="002B0291"/>
    <w:rsid w:val="002B135F"/>
    <w:rsid w:val="002B1679"/>
    <w:rsid w:val="002B3797"/>
    <w:rsid w:val="002B3F45"/>
    <w:rsid w:val="002B427A"/>
    <w:rsid w:val="002B4AEC"/>
    <w:rsid w:val="002B517C"/>
    <w:rsid w:val="002B5357"/>
    <w:rsid w:val="002B7AA2"/>
    <w:rsid w:val="002C2314"/>
    <w:rsid w:val="002C2942"/>
    <w:rsid w:val="002C306A"/>
    <w:rsid w:val="002C3084"/>
    <w:rsid w:val="002C3464"/>
    <w:rsid w:val="002C3677"/>
    <w:rsid w:val="002C3CEA"/>
    <w:rsid w:val="002C422E"/>
    <w:rsid w:val="002C4985"/>
    <w:rsid w:val="002C5CC6"/>
    <w:rsid w:val="002D08CB"/>
    <w:rsid w:val="002D173E"/>
    <w:rsid w:val="002D2263"/>
    <w:rsid w:val="002D2947"/>
    <w:rsid w:val="002D46CB"/>
    <w:rsid w:val="002D5404"/>
    <w:rsid w:val="002D5AB3"/>
    <w:rsid w:val="002D6D81"/>
    <w:rsid w:val="002D7FC3"/>
    <w:rsid w:val="002D7FE7"/>
    <w:rsid w:val="002E0440"/>
    <w:rsid w:val="002E45B1"/>
    <w:rsid w:val="002E5B95"/>
    <w:rsid w:val="002E7C2E"/>
    <w:rsid w:val="002E7EE6"/>
    <w:rsid w:val="002F122D"/>
    <w:rsid w:val="002F1AE1"/>
    <w:rsid w:val="002F2968"/>
    <w:rsid w:val="002F388E"/>
    <w:rsid w:val="002F4867"/>
    <w:rsid w:val="002F5425"/>
    <w:rsid w:val="002F6B1E"/>
    <w:rsid w:val="002F78E0"/>
    <w:rsid w:val="00300AD2"/>
    <w:rsid w:val="0030139F"/>
    <w:rsid w:val="00302AB1"/>
    <w:rsid w:val="00303B3A"/>
    <w:rsid w:val="0030525F"/>
    <w:rsid w:val="003054C0"/>
    <w:rsid w:val="00306EC7"/>
    <w:rsid w:val="0030751A"/>
    <w:rsid w:val="0030799C"/>
    <w:rsid w:val="00310353"/>
    <w:rsid w:val="003124F5"/>
    <w:rsid w:val="0031258E"/>
    <w:rsid w:val="003136D8"/>
    <w:rsid w:val="00313FFA"/>
    <w:rsid w:val="0031407C"/>
    <w:rsid w:val="00316614"/>
    <w:rsid w:val="003201C9"/>
    <w:rsid w:val="00320250"/>
    <w:rsid w:val="0032172B"/>
    <w:rsid w:val="00321FE8"/>
    <w:rsid w:val="003238B1"/>
    <w:rsid w:val="003245D8"/>
    <w:rsid w:val="0032616A"/>
    <w:rsid w:val="0032673F"/>
    <w:rsid w:val="0033151E"/>
    <w:rsid w:val="00331742"/>
    <w:rsid w:val="00333495"/>
    <w:rsid w:val="00333650"/>
    <w:rsid w:val="0033471B"/>
    <w:rsid w:val="003354D9"/>
    <w:rsid w:val="003364A5"/>
    <w:rsid w:val="003407B6"/>
    <w:rsid w:val="00342D69"/>
    <w:rsid w:val="00343208"/>
    <w:rsid w:val="0034394D"/>
    <w:rsid w:val="003451C8"/>
    <w:rsid w:val="00346F44"/>
    <w:rsid w:val="0034700C"/>
    <w:rsid w:val="003473CF"/>
    <w:rsid w:val="00347472"/>
    <w:rsid w:val="003502C8"/>
    <w:rsid w:val="003549C7"/>
    <w:rsid w:val="00354DD7"/>
    <w:rsid w:val="0035520E"/>
    <w:rsid w:val="00355B0D"/>
    <w:rsid w:val="00355EF6"/>
    <w:rsid w:val="00355F03"/>
    <w:rsid w:val="003578A1"/>
    <w:rsid w:val="00360642"/>
    <w:rsid w:val="003609A6"/>
    <w:rsid w:val="003612A9"/>
    <w:rsid w:val="0036278C"/>
    <w:rsid w:val="00362D5B"/>
    <w:rsid w:val="00362F90"/>
    <w:rsid w:val="003637CC"/>
    <w:rsid w:val="00364C6B"/>
    <w:rsid w:val="003665AA"/>
    <w:rsid w:val="00372FE8"/>
    <w:rsid w:val="00374097"/>
    <w:rsid w:val="003743CD"/>
    <w:rsid w:val="00375489"/>
    <w:rsid w:val="003768A8"/>
    <w:rsid w:val="003811BA"/>
    <w:rsid w:val="003843E1"/>
    <w:rsid w:val="0038449F"/>
    <w:rsid w:val="00384ABA"/>
    <w:rsid w:val="00385DC8"/>
    <w:rsid w:val="00386319"/>
    <w:rsid w:val="0038707D"/>
    <w:rsid w:val="00387984"/>
    <w:rsid w:val="00391DA1"/>
    <w:rsid w:val="00395C06"/>
    <w:rsid w:val="00396C12"/>
    <w:rsid w:val="0039758B"/>
    <w:rsid w:val="003A053D"/>
    <w:rsid w:val="003A06BD"/>
    <w:rsid w:val="003A1161"/>
    <w:rsid w:val="003A211A"/>
    <w:rsid w:val="003A336B"/>
    <w:rsid w:val="003A42EC"/>
    <w:rsid w:val="003A48CF"/>
    <w:rsid w:val="003A4FF0"/>
    <w:rsid w:val="003A5134"/>
    <w:rsid w:val="003A6D3C"/>
    <w:rsid w:val="003A7402"/>
    <w:rsid w:val="003A789F"/>
    <w:rsid w:val="003A7A5E"/>
    <w:rsid w:val="003B25C0"/>
    <w:rsid w:val="003B2911"/>
    <w:rsid w:val="003B2B07"/>
    <w:rsid w:val="003B53A5"/>
    <w:rsid w:val="003B5BF5"/>
    <w:rsid w:val="003C0958"/>
    <w:rsid w:val="003C510D"/>
    <w:rsid w:val="003C64FE"/>
    <w:rsid w:val="003C722A"/>
    <w:rsid w:val="003C7BBE"/>
    <w:rsid w:val="003D0461"/>
    <w:rsid w:val="003D1175"/>
    <w:rsid w:val="003D197C"/>
    <w:rsid w:val="003D4490"/>
    <w:rsid w:val="003D4F7D"/>
    <w:rsid w:val="003D5093"/>
    <w:rsid w:val="003D58F2"/>
    <w:rsid w:val="003D7184"/>
    <w:rsid w:val="003E051A"/>
    <w:rsid w:val="003E1165"/>
    <w:rsid w:val="003E198E"/>
    <w:rsid w:val="003E2AF3"/>
    <w:rsid w:val="003E7D69"/>
    <w:rsid w:val="003F1184"/>
    <w:rsid w:val="003F1C9F"/>
    <w:rsid w:val="003F2561"/>
    <w:rsid w:val="003F2CCD"/>
    <w:rsid w:val="003F33D9"/>
    <w:rsid w:val="003F4283"/>
    <w:rsid w:val="003F453E"/>
    <w:rsid w:val="003F620A"/>
    <w:rsid w:val="0040119D"/>
    <w:rsid w:val="00401851"/>
    <w:rsid w:val="00404A5E"/>
    <w:rsid w:val="0040507A"/>
    <w:rsid w:val="0040532E"/>
    <w:rsid w:val="004059CB"/>
    <w:rsid w:val="00405AF8"/>
    <w:rsid w:val="00407613"/>
    <w:rsid w:val="0041136E"/>
    <w:rsid w:val="00412A88"/>
    <w:rsid w:val="00413B66"/>
    <w:rsid w:val="0041501E"/>
    <w:rsid w:val="004161EB"/>
    <w:rsid w:val="00416731"/>
    <w:rsid w:val="00420782"/>
    <w:rsid w:val="00421610"/>
    <w:rsid w:val="0042246E"/>
    <w:rsid w:val="0042517A"/>
    <w:rsid w:val="00427F33"/>
    <w:rsid w:val="00431817"/>
    <w:rsid w:val="00431EBA"/>
    <w:rsid w:val="00432CE6"/>
    <w:rsid w:val="004359B4"/>
    <w:rsid w:val="00436550"/>
    <w:rsid w:val="004368BD"/>
    <w:rsid w:val="00437378"/>
    <w:rsid w:val="00440C2F"/>
    <w:rsid w:val="00441A94"/>
    <w:rsid w:val="00443018"/>
    <w:rsid w:val="004433D2"/>
    <w:rsid w:val="00443FC0"/>
    <w:rsid w:val="00444015"/>
    <w:rsid w:val="00447B3B"/>
    <w:rsid w:val="00450743"/>
    <w:rsid w:val="00451BA9"/>
    <w:rsid w:val="004557C2"/>
    <w:rsid w:val="004604B1"/>
    <w:rsid w:val="004608E2"/>
    <w:rsid w:val="00465680"/>
    <w:rsid w:val="00470DDC"/>
    <w:rsid w:val="00476061"/>
    <w:rsid w:val="00476B59"/>
    <w:rsid w:val="00481EB1"/>
    <w:rsid w:val="004831FB"/>
    <w:rsid w:val="0048406A"/>
    <w:rsid w:val="00486F62"/>
    <w:rsid w:val="0049050E"/>
    <w:rsid w:val="0049277E"/>
    <w:rsid w:val="004933AE"/>
    <w:rsid w:val="00493EFC"/>
    <w:rsid w:val="004946C6"/>
    <w:rsid w:val="004965B2"/>
    <w:rsid w:val="004A2B52"/>
    <w:rsid w:val="004A37A7"/>
    <w:rsid w:val="004A5DFE"/>
    <w:rsid w:val="004A6A09"/>
    <w:rsid w:val="004B1898"/>
    <w:rsid w:val="004B2376"/>
    <w:rsid w:val="004B41A6"/>
    <w:rsid w:val="004B5928"/>
    <w:rsid w:val="004B6856"/>
    <w:rsid w:val="004B764D"/>
    <w:rsid w:val="004C1D9A"/>
    <w:rsid w:val="004C5528"/>
    <w:rsid w:val="004C5AFC"/>
    <w:rsid w:val="004C5B98"/>
    <w:rsid w:val="004D14F2"/>
    <w:rsid w:val="004D1A14"/>
    <w:rsid w:val="004D1DBC"/>
    <w:rsid w:val="004D666C"/>
    <w:rsid w:val="004E1432"/>
    <w:rsid w:val="004E3432"/>
    <w:rsid w:val="004E3890"/>
    <w:rsid w:val="004E39E9"/>
    <w:rsid w:val="004E3A06"/>
    <w:rsid w:val="004E7944"/>
    <w:rsid w:val="004E7C91"/>
    <w:rsid w:val="004F0BA5"/>
    <w:rsid w:val="004F1642"/>
    <w:rsid w:val="004F4C7B"/>
    <w:rsid w:val="005035C0"/>
    <w:rsid w:val="0050395A"/>
    <w:rsid w:val="00503B37"/>
    <w:rsid w:val="00503D4B"/>
    <w:rsid w:val="00504248"/>
    <w:rsid w:val="005049E1"/>
    <w:rsid w:val="0050511E"/>
    <w:rsid w:val="005069EF"/>
    <w:rsid w:val="00507DAC"/>
    <w:rsid w:val="00511A78"/>
    <w:rsid w:val="00511DD0"/>
    <w:rsid w:val="00512CC9"/>
    <w:rsid w:val="00512E91"/>
    <w:rsid w:val="00517421"/>
    <w:rsid w:val="0052175B"/>
    <w:rsid w:val="00521FB4"/>
    <w:rsid w:val="00523622"/>
    <w:rsid w:val="0052392B"/>
    <w:rsid w:val="00524DAE"/>
    <w:rsid w:val="00525345"/>
    <w:rsid w:val="00531A8C"/>
    <w:rsid w:val="00531F09"/>
    <w:rsid w:val="0053386A"/>
    <w:rsid w:val="00534B1C"/>
    <w:rsid w:val="00535909"/>
    <w:rsid w:val="00536461"/>
    <w:rsid w:val="005364B6"/>
    <w:rsid w:val="00541825"/>
    <w:rsid w:val="005424D4"/>
    <w:rsid w:val="00543287"/>
    <w:rsid w:val="005454DA"/>
    <w:rsid w:val="00546375"/>
    <w:rsid w:val="0054691E"/>
    <w:rsid w:val="00547106"/>
    <w:rsid w:val="00547DF1"/>
    <w:rsid w:val="005500F2"/>
    <w:rsid w:val="00553921"/>
    <w:rsid w:val="0055514F"/>
    <w:rsid w:val="00556461"/>
    <w:rsid w:val="00556927"/>
    <w:rsid w:val="005576B4"/>
    <w:rsid w:val="005578EB"/>
    <w:rsid w:val="00560555"/>
    <w:rsid w:val="00560670"/>
    <w:rsid w:val="00560766"/>
    <w:rsid w:val="00560A47"/>
    <w:rsid w:val="00562E75"/>
    <w:rsid w:val="005639D7"/>
    <w:rsid w:val="00564066"/>
    <w:rsid w:val="005718C9"/>
    <w:rsid w:val="0057415B"/>
    <w:rsid w:val="00575E62"/>
    <w:rsid w:val="0057793B"/>
    <w:rsid w:val="00582383"/>
    <w:rsid w:val="005825B3"/>
    <w:rsid w:val="00582F54"/>
    <w:rsid w:val="0058300A"/>
    <w:rsid w:val="00584497"/>
    <w:rsid w:val="0058569B"/>
    <w:rsid w:val="005917C7"/>
    <w:rsid w:val="0059204A"/>
    <w:rsid w:val="005924EC"/>
    <w:rsid w:val="00594B49"/>
    <w:rsid w:val="00595E5E"/>
    <w:rsid w:val="005A4ABA"/>
    <w:rsid w:val="005A64C9"/>
    <w:rsid w:val="005A7625"/>
    <w:rsid w:val="005B01C0"/>
    <w:rsid w:val="005B1C18"/>
    <w:rsid w:val="005B2163"/>
    <w:rsid w:val="005B2F2C"/>
    <w:rsid w:val="005B3279"/>
    <w:rsid w:val="005B6EAA"/>
    <w:rsid w:val="005B7512"/>
    <w:rsid w:val="005C02B0"/>
    <w:rsid w:val="005C0741"/>
    <w:rsid w:val="005C0E19"/>
    <w:rsid w:val="005C28B6"/>
    <w:rsid w:val="005C4E09"/>
    <w:rsid w:val="005C4FB3"/>
    <w:rsid w:val="005C5581"/>
    <w:rsid w:val="005C6E1B"/>
    <w:rsid w:val="005C70AE"/>
    <w:rsid w:val="005C717C"/>
    <w:rsid w:val="005C78E2"/>
    <w:rsid w:val="005D06DE"/>
    <w:rsid w:val="005D0AA0"/>
    <w:rsid w:val="005D0C2C"/>
    <w:rsid w:val="005D1282"/>
    <w:rsid w:val="005D1915"/>
    <w:rsid w:val="005D20B4"/>
    <w:rsid w:val="005D3E30"/>
    <w:rsid w:val="005D425F"/>
    <w:rsid w:val="005D68B8"/>
    <w:rsid w:val="005D6C8D"/>
    <w:rsid w:val="005E1AD1"/>
    <w:rsid w:val="005E1BC4"/>
    <w:rsid w:val="005E3C88"/>
    <w:rsid w:val="005E4F60"/>
    <w:rsid w:val="005E5195"/>
    <w:rsid w:val="005E55C1"/>
    <w:rsid w:val="005E5A9E"/>
    <w:rsid w:val="005E5DF0"/>
    <w:rsid w:val="005E6E82"/>
    <w:rsid w:val="005E762B"/>
    <w:rsid w:val="005F26C8"/>
    <w:rsid w:val="005F2712"/>
    <w:rsid w:val="005F6389"/>
    <w:rsid w:val="005F772F"/>
    <w:rsid w:val="0060043D"/>
    <w:rsid w:val="006051B5"/>
    <w:rsid w:val="006054B8"/>
    <w:rsid w:val="006057BB"/>
    <w:rsid w:val="00607753"/>
    <w:rsid w:val="00610590"/>
    <w:rsid w:val="0061264F"/>
    <w:rsid w:val="00613D9D"/>
    <w:rsid w:val="0061484D"/>
    <w:rsid w:val="00614E4F"/>
    <w:rsid w:val="006151D1"/>
    <w:rsid w:val="00616EDE"/>
    <w:rsid w:val="00623F5E"/>
    <w:rsid w:val="0062560E"/>
    <w:rsid w:val="00625A21"/>
    <w:rsid w:val="00627129"/>
    <w:rsid w:val="00627CD8"/>
    <w:rsid w:val="0063033E"/>
    <w:rsid w:val="00630C9D"/>
    <w:rsid w:val="00631C33"/>
    <w:rsid w:val="00632FD7"/>
    <w:rsid w:val="00633B29"/>
    <w:rsid w:val="0063453A"/>
    <w:rsid w:val="006347A9"/>
    <w:rsid w:val="00635522"/>
    <w:rsid w:val="00635CAB"/>
    <w:rsid w:val="00636755"/>
    <w:rsid w:val="006370B4"/>
    <w:rsid w:val="00640014"/>
    <w:rsid w:val="006404F4"/>
    <w:rsid w:val="00640B3A"/>
    <w:rsid w:val="006413B3"/>
    <w:rsid w:val="006421CD"/>
    <w:rsid w:val="00642225"/>
    <w:rsid w:val="00643FB5"/>
    <w:rsid w:val="00644508"/>
    <w:rsid w:val="00644CD9"/>
    <w:rsid w:val="00646845"/>
    <w:rsid w:val="00646F80"/>
    <w:rsid w:val="00650BE5"/>
    <w:rsid w:val="00650FD6"/>
    <w:rsid w:val="00651A0C"/>
    <w:rsid w:val="00652370"/>
    <w:rsid w:val="00652533"/>
    <w:rsid w:val="0065364D"/>
    <w:rsid w:val="0065588C"/>
    <w:rsid w:val="006561F8"/>
    <w:rsid w:val="006577FF"/>
    <w:rsid w:val="00657DA9"/>
    <w:rsid w:val="00657E48"/>
    <w:rsid w:val="00660A61"/>
    <w:rsid w:val="00660DDB"/>
    <w:rsid w:val="00665D00"/>
    <w:rsid w:val="00665F3A"/>
    <w:rsid w:val="00666F1B"/>
    <w:rsid w:val="006717C1"/>
    <w:rsid w:val="006727F7"/>
    <w:rsid w:val="00674140"/>
    <w:rsid w:val="00680E9D"/>
    <w:rsid w:val="0068110D"/>
    <w:rsid w:val="006815E1"/>
    <w:rsid w:val="006841A5"/>
    <w:rsid w:val="00685B82"/>
    <w:rsid w:val="00690B46"/>
    <w:rsid w:val="00690D32"/>
    <w:rsid w:val="00691F49"/>
    <w:rsid w:val="006927CC"/>
    <w:rsid w:val="00692C51"/>
    <w:rsid w:val="00695C69"/>
    <w:rsid w:val="0069639B"/>
    <w:rsid w:val="0069684F"/>
    <w:rsid w:val="006968A0"/>
    <w:rsid w:val="006A0118"/>
    <w:rsid w:val="006A09D4"/>
    <w:rsid w:val="006A1940"/>
    <w:rsid w:val="006A25A6"/>
    <w:rsid w:val="006A2B0B"/>
    <w:rsid w:val="006A4E36"/>
    <w:rsid w:val="006A6350"/>
    <w:rsid w:val="006B1CA9"/>
    <w:rsid w:val="006B2CB8"/>
    <w:rsid w:val="006B38EA"/>
    <w:rsid w:val="006B46A2"/>
    <w:rsid w:val="006B5616"/>
    <w:rsid w:val="006B5671"/>
    <w:rsid w:val="006B696A"/>
    <w:rsid w:val="006B6F2F"/>
    <w:rsid w:val="006B7BB6"/>
    <w:rsid w:val="006C13F8"/>
    <w:rsid w:val="006C1FFC"/>
    <w:rsid w:val="006C4CC6"/>
    <w:rsid w:val="006C66D1"/>
    <w:rsid w:val="006C6DF3"/>
    <w:rsid w:val="006D18A5"/>
    <w:rsid w:val="006D2369"/>
    <w:rsid w:val="006D406D"/>
    <w:rsid w:val="006D43FC"/>
    <w:rsid w:val="006D4FAE"/>
    <w:rsid w:val="006D50E5"/>
    <w:rsid w:val="006D5D26"/>
    <w:rsid w:val="006D780C"/>
    <w:rsid w:val="006E055A"/>
    <w:rsid w:val="006E05E9"/>
    <w:rsid w:val="006E1F18"/>
    <w:rsid w:val="006E2EE9"/>
    <w:rsid w:val="006E35D3"/>
    <w:rsid w:val="006E54D9"/>
    <w:rsid w:val="006F1C10"/>
    <w:rsid w:val="006F54F9"/>
    <w:rsid w:val="006F6C9D"/>
    <w:rsid w:val="00702E03"/>
    <w:rsid w:val="00703572"/>
    <w:rsid w:val="007058DC"/>
    <w:rsid w:val="007068E2"/>
    <w:rsid w:val="00706918"/>
    <w:rsid w:val="00707F85"/>
    <w:rsid w:val="00710E80"/>
    <w:rsid w:val="00711140"/>
    <w:rsid w:val="007158A0"/>
    <w:rsid w:val="00720196"/>
    <w:rsid w:val="0072116F"/>
    <w:rsid w:val="007216E2"/>
    <w:rsid w:val="00722044"/>
    <w:rsid w:val="00725E59"/>
    <w:rsid w:val="0072666D"/>
    <w:rsid w:val="00731721"/>
    <w:rsid w:val="00731A3F"/>
    <w:rsid w:val="00733554"/>
    <w:rsid w:val="00734264"/>
    <w:rsid w:val="007346B9"/>
    <w:rsid w:val="00735B90"/>
    <w:rsid w:val="007365CF"/>
    <w:rsid w:val="0074021A"/>
    <w:rsid w:val="00742307"/>
    <w:rsid w:val="007428EE"/>
    <w:rsid w:val="007431BD"/>
    <w:rsid w:val="00744E5B"/>
    <w:rsid w:val="00746674"/>
    <w:rsid w:val="007473B5"/>
    <w:rsid w:val="00747A07"/>
    <w:rsid w:val="0075191D"/>
    <w:rsid w:val="007533B9"/>
    <w:rsid w:val="007541F6"/>
    <w:rsid w:val="00754644"/>
    <w:rsid w:val="007564D0"/>
    <w:rsid w:val="00760E86"/>
    <w:rsid w:val="007627A8"/>
    <w:rsid w:val="00763915"/>
    <w:rsid w:val="00763FC9"/>
    <w:rsid w:val="007659BA"/>
    <w:rsid w:val="00765E79"/>
    <w:rsid w:val="007666E7"/>
    <w:rsid w:val="00766FEB"/>
    <w:rsid w:val="00770394"/>
    <w:rsid w:val="007715C4"/>
    <w:rsid w:val="00771E02"/>
    <w:rsid w:val="00773423"/>
    <w:rsid w:val="007744EF"/>
    <w:rsid w:val="00774C83"/>
    <w:rsid w:val="00774DA0"/>
    <w:rsid w:val="00775DDF"/>
    <w:rsid w:val="00776A41"/>
    <w:rsid w:val="00777A77"/>
    <w:rsid w:val="00780F15"/>
    <w:rsid w:val="00781B4F"/>
    <w:rsid w:val="00782A28"/>
    <w:rsid w:val="0078420E"/>
    <w:rsid w:val="0078723C"/>
    <w:rsid w:val="007872E7"/>
    <w:rsid w:val="007901E4"/>
    <w:rsid w:val="007904CC"/>
    <w:rsid w:val="00792C67"/>
    <w:rsid w:val="00792D61"/>
    <w:rsid w:val="007A132F"/>
    <w:rsid w:val="007A1533"/>
    <w:rsid w:val="007A473D"/>
    <w:rsid w:val="007A7413"/>
    <w:rsid w:val="007B3131"/>
    <w:rsid w:val="007B6137"/>
    <w:rsid w:val="007B771E"/>
    <w:rsid w:val="007C02D8"/>
    <w:rsid w:val="007C0398"/>
    <w:rsid w:val="007C370E"/>
    <w:rsid w:val="007C5D79"/>
    <w:rsid w:val="007C7AA4"/>
    <w:rsid w:val="007D00FB"/>
    <w:rsid w:val="007D0100"/>
    <w:rsid w:val="007D0B0E"/>
    <w:rsid w:val="007D12AA"/>
    <w:rsid w:val="007D12F0"/>
    <w:rsid w:val="007D1824"/>
    <w:rsid w:val="007D38C4"/>
    <w:rsid w:val="007D6C0B"/>
    <w:rsid w:val="007E0C75"/>
    <w:rsid w:val="007E1665"/>
    <w:rsid w:val="007E1DB0"/>
    <w:rsid w:val="007E22DA"/>
    <w:rsid w:val="007E2D59"/>
    <w:rsid w:val="007F008E"/>
    <w:rsid w:val="007F0E59"/>
    <w:rsid w:val="007F4B5A"/>
    <w:rsid w:val="007F7108"/>
    <w:rsid w:val="00800B3F"/>
    <w:rsid w:val="008019FB"/>
    <w:rsid w:val="0080247C"/>
    <w:rsid w:val="00802721"/>
    <w:rsid w:val="00802EEB"/>
    <w:rsid w:val="00803BC8"/>
    <w:rsid w:val="00805DB7"/>
    <w:rsid w:val="00806982"/>
    <w:rsid w:val="00806D71"/>
    <w:rsid w:val="00810331"/>
    <w:rsid w:val="0081090A"/>
    <w:rsid w:val="00810B9F"/>
    <w:rsid w:val="008110AC"/>
    <w:rsid w:val="008137E0"/>
    <w:rsid w:val="00814125"/>
    <w:rsid w:val="008158A0"/>
    <w:rsid w:val="00816A53"/>
    <w:rsid w:val="00816C16"/>
    <w:rsid w:val="00820660"/>
    <w:rsid w:val="00820D2D"/>
    <w:rsid w:val="0082287F"/>
    <w:rsid w:val="00823CDC"/>
    <w:rsid w:val="008267FA"/>
    <w:rsid w:val="00830CAC"/>
    <w:rsid w:val="008328BF"/>
    <w:rsid w:val="00833708"/>
    <w:rsid w:val="0083408D"/>
    <w:rsid w:val="008347C8"/>
    <w:rsid w:val="00835BA3"/>
    <w:rsid w:val="008421B4"/>
    <w:rsid w:val="0084315A"/>
    <w:rsid w:val="008431A5"/>
    <w:rsid w:val="0084381F"/>
    <w:rsid w:val="00843B1D"/>
    <w:rsid w:val="00843DCA"/>
    <w:rsid w:val="008505CC"/>
    <w:rsid w:val="00851B64"/>
    <w:rsid w:val="008534AF"/>
    <w:rsid w:val="00853D39"/>
    <w:rsid w:val="008557BB"/>
    <w:rsid w:val="00860C33"/>
    <w:rsid w:val="008622B5"/>
    <w:rsid w:val="00862A6A"/>
    <w:rsid w:val="00862E5F"/>
    <w:rsid w:val="00864A52"/>
    <w:rsid w:val="008653E7"/>
    <w:rsid w:val="0086698B"/>
    <w:rsid w:val="00866E60"/>
    <w:rsid w:val="00867F68"/>
    <w:rsid w:val="008719BB"/>
    <w:rsid w:val="008734ED"/>
    <w:rsid w:val="008802E5"/>
    <w:rsid w:val="008817FE"/>
    <w:rsid w:val="00881827"/>
    <w:rsid w:val="00882173"/>
    <w:rsid w:val="00883747"/>
    <w:rsid w:val="0088660D"/>
    <w:rsid w:val="00887FA8"/>
    <w:rsid w:val="008904A1"/>
    <w:rsid w:val="00891670"/>
    <w:rsid w:val="00892098"/>
    <w:rsid w:val="008923ED"/>
    <w:rsid w:val="00892F4C"/>
    <w:rsid w:val="00893EB9"/>
    <w:rsid w:val="00895867"/>
    <w:rsid w:val="0089687B"/>
    <w:rsid w:val="00896A12"/>
    <w:rsid w:val="0089761D"/>
    <w:rsid w:val="008A1071"/>
    <w:rsid w:val="008A1327"/>
    <w:rsid w:val="008A2054"/>
    <w:rsid w:val="008A4107"/>
    <w:rsid w:val="008A4ADD"/>
    <w:rsid w:val="008A50F6"/>
    <w:rsid w:val="008A7BC7"/>
    <w:rsid w:val="008B145D"/>
    <w:rsid w:val="008B2012"/>
    <w:rsid w:val="008B2349"/>
    <w:rsid w:val="008B4025"/>
    <w:rsid w:val="008B6E0B"/>
    <w:rsid w:val="008B718C"/>
    <w:rsid w:val="008C047A"/>
    <w:rsid w:val="008C14D6"/>
    <w:rsid w:val="008C240F"/>
    <w:rsid w:val="008C34B5"/>
    <w:rsid w:val="008C558D"/>
    <w:rsid w:val="008C69D7"/>
    <w:rsid w:val="008D1445"/>
    <w:rsid w:val="008D2082"/>
    <w:rsid w:val="008D47C3"/>
    <w:rsid w:val="008D5131"/>
    <w:rsid w:val="008D52BA"/>
    <w:rsid w:val="008D5B16"/>
    <w:rsid w:val="008D7B4B"/>
    <w:rsid w:val="008E19B2"/>
    <w:rsid w:val="008E1C34"/>
    <w:rsid w:val="008E5BFD"/>
    <w:rsid w:val="008F4C0D"/>
    <w:rsid w:val="008F6A01"/>
    <w:rsid w:val="008F727C"/>
    <w:rsid w:val="00902167"/>
    <w:rsid w:val="00902935"/>
    <w:rsid w:val="00903656"/>
    <w:rsid w:val="00903DE4"/>
    <w:rsid w:val="00905433"/>
    <w:rsid w:val="00905F32"/>
    <w:rsid w:val="00907FB5"/>
    <w:rsid w:val="0091277D"/>
    <w:rsid w:val="00914699"/>
    <w:rsid w:val="00915BA4"/>
    <w:rsid w:val="00916276"/>
    <w:rsid w:val="009168D7"/>
    <w:rsid w:val="009211F7"/>
    <w:rsid w:val="00921596"/>
    <w:rsid w:val="00921C70"/>
    <w:rsid w:val="00923C86"/>
    <w:rsid w:val="009241AD"/>
    <w:rsid w:val="00924893"/>
    <w:rsid w:val="009258F0"/>
    <w:rsid w:val="009270B9"/>
    <w:rsid w:val="009275EF"/>
    <w:rsid w:val="00927724"/>
    <w:rsid w:val="009349EE"/>
    <w:rsid w:val="00937806"/>
    <w:rsid w:val="00937A7D"/>
    <w:rsid w:val="00941018"/>
    <w:rsid w:val="0094119F"/>
    <w:rsid w:val="00941353"/>
    <w:rsid w:val="009414C2"/>
    <w:rsid w:val="0094224A"/>
    <w:rsid w:val="00942A09"/>
    <w:rsid w:val="009437C4"/>
    <w:rsid w:val="0094661C"/>
    <w:rsid w:val="00946637"/>
    <w:rsid w:val="00950969"/>
    <w:rsid w:val="00952EF4"/>
    <w:rsid w:val="00955F69"/>
    <w:rsid w:val="00956898"/>
    <w:rsid w:val="00957E46"/>
    <w:rsid w:val="00963607"/>
    <w:rsid w:val="0096445B"/>
    <w:rsid w:val="00965816"/>
    <w:rsid w:val="009658F6"/>
    <w:rsid w:val="00967301"/>
    <w:rsid w:val="0097296B"/>
    <w:rsid w:val="0097437F"/>
    <w:rsid w:val="00975B92"/>
    <w:rsid w:val="0097640B"/>
    <w:rsid w:val="00976BBD"/>
    <w:rsid w:val="0098058E"/>
    <w:rsid w:val="0098244B"/>
    <w:rsid w:val="0098376B"/>
    <w:rsid w:val="009852B3"/>
    <w:rsid w:val="0098680D"/>
    <w:rsid w:val="00990BF6"/>
    <w:rsid w:val="00990C27"/>
    <w:rsid w:val="00991C0E"/>
    <w:rsid w:val="009A1531"/>
    <w:rsid w:val="009A26CF"/>
    <w:rsid w:val="009A39B6"/>
    <w:rsid w:val="009A3E5D"/>
    <w:rsid w:val="009A4CDA"/>
    <w:rsid w:val="009A51F6"/>
    <w:rsid w:val="009A65DD"/>
    <w:rsid w:val="009A6909"/>
    <w:rsid w:val="009B0676"/>
    <w:rsid w:val="009B2255"/>
    <w:rsid w:val="009B2358"/>
    <w:rsid w:val="009B441A"/>
    <w:rsid w:val="009B5D15"/>
    <w:rsid w:val="009B6818"/>
    <w:rsid w:val="009C1669"/>
    <w:rsid w:val="009C1A06"/>
    <w:rsid w:val="009C4E5D"/>
    <w:rsid w:val="009C5385"/>
    <w:rsid w:val="009C5490"/>
    <w:rsid w:val="009D09FE"/>
    <w:rsid w:val="009D0B0A"/>
    <w:rsid w:val="009D2580"/>
    <w:rsid w:val="009D33A2"/>
    <w:rsid w:val="009D3938"/>
    <w:rsid w:val="009D41C9"/>
    <w:rsid w:val="009D4E0C"/>
    <w:rsid w:val="009E01E1"/>
    <w:rsid w:val="009E0B0C"/>
    <w:rsid w:val="009E23C8"/>
    <w:rsid w:val="009E28CC"/>
    <w:rsid w:val="009E2E10"/>
    <w:rsid w:val="009E32AF"/>
    <w:rsid w:val="009E3802"/>
    <w:rsid w:val="009E3803"/>
    <w:rsid w:val="009F3632"/>
    <w:rsid w:val="009F5592"/>
    <w:rsid w:val="009F61CD"/>
    <w:rsid w:val="009F6552"/>
    <w:rsid w:val="009F69D0"/>
    <w:rsid w:val="00A00775"/>
    <w:rsid w:val="00A01E95"/>
    <w:rsid w:val="00A02BB9"/>
    <w:rsid w:val="00A03384"/>
    <w:rsid w:val="00A034D4"/>
    <w:rsid w:val="00A03B6F"/>
    <w:rsid w:val="00A052EB"/>
    <w:rsid w:val="00A1108F"/>
    <w:rsid w:val="00A11B66"/>
    <w:rsid w:val="00A136CD"/>
    <w:rsid w:val="00A17536"/>
    <w:rsid w:val="00A20215"/>
    <w:rsid w:val="00A20D55"/>
    <w:rsid w:val="00A25E19"/>
    <w:rsid w:val="00A25FED"/>
    <w:rsid w:val="00A30C47"/>
    <w:rsid w:val="00A326AB"/>
    <w:rsid w:val="00A32716"/>
    <w:rsid w:val="00A33362"/>
    <w:rsid w:val="00A33BF2"/>
    <w:rsid w:val="00A33ECC"/>
    <w:rsid w:val="00A34472"/>
    <w:rsid w:val="00A3543F"/>
    <w:rsid w:val="00A40824"/>
    <w:rsid w:val="00A431C1"/>
    <w:rsid w:val="00A462CE"/>
    <w:rsid w:val="00A467AD"/>
    <w:rsid w:val="00A479ED"/>
    <w:rsid w:val="00A50C5E"/>
    <w:rsid w:val="00A5372E"/>
    <w:rsid w:val="00A53E4D"/>
    <w:rsid w:val="00A607CB"/>
    <w:rsid w:val="00A61E3C"/>
    <w:rsid w:val="00A62D14"/>
    <w:rsid w:val="00A64102"/>
    <w:rsid w:val="00A66843"/>
    <w:rsid w:val="00A67014"/>
    <w:rsid w:val="00A678C0"/>
    <w:rsid w:val="00A678FF"/>
    <w:rsid w:val="00A7145F"/>
    <w:rsid w:val="00A730D7"/>
    <w:rsid w:val="00A7440B"/>
    <w:rsid w:val="00A749DF"/>
    <w:rsid w:val="00A7505D"/>
    <w:rsid w:val="00A752AF"/>
    <w:rsid w:val="00A752EF"/>
    <w:rsid w:val="00A753B3"/>
    <w:rsid w:val="00A77448"/>
    <w:rsid w:val="00A831DB"/>
    <w:rsid w:val="00A847FD"/>
    <w:rsid w:val="00A84A03"/>
    <w:rsid w:val="00A84F91"/>
    <w:rsid w:val="00A86A71"/>
    <w:rsid w:val="00A8747F"/>
    <w:rsid w:val="00A879EC"/>
    <w:rsid w:val="00A91A96"/>
    <w:rsid w:val="00A92288"/>
    <w:rsid w:val="00A931E7"/>
    <w:rsid w:val="00A9392A"/>
    <w:rsid w:val="00A9501F"/>
    <w:rsid w:val="00AA0226"/>
    <w:rsid w:val="00AA06FE"/>
    <w:rsid w:val="00AA1CD2"/>
    <w:rsid w:val="00AA22A7"/>
    <w:rsid w:val="00AA3CAE"/>
    <w:rsid w:val="00AA530F"/>
    <w:rsid w:val="00AA7A1F"/>
    <w:rsid w:val="00AB0AEF"/>
    <w:rsid w:val="00AB3647"/>
    <w:rsid w:val="00AB38D9"/>
    <w:rsid w:val="00AB5976"/>
    <w:rsid w:val="00AB6112"/>
    <w:rsid w:val="00AB6B68"/>
    <w:rsid w:val="00AB6E7C"/>
    <w:rsid w:val="00AB6EDA"/>
    <w:rsid w:val="00AB772B"/>
    <w:rsid w:val="00AC0C2D"/>
    <w:rsid w:val="00AC0DA4"/>
    <w:rsid w:val="00AC20AC"/>
    <w:rsid w:val="00AC33C1"/>
    <w:rsid w:val="00AC45E9"/>
    <w:rsid w:val="00AC58F1"/>
    <w:rsid w:val="00AC765F"/>
    <w:rsid w:val="00AD2F61"/>
    <w:rsid w:val="00AD4EEB"/>
    <w:rsid w:val="00AD5556"/>
    <w:rsid w:val="00AD6329"/>
    <w:rsid w:val="00AD6CED"/>
    <w:rsid w:val="00AD6DB7"/>
    <w:rsid w:val="00AD7A06"/>
    <w:rsid w:val="00AD7F4E"/>
    <w:rsid w:val="00AE00DD"/>
    <w:rsid w:val="00AE3717"/>
    <w:rsid w:val="00AE4539"/>
    <w:rsid w:val="00AE463F"/>
    <w:rsid w:val="00AE7BB3"/>
    <w:rsid w:val="00AF0413"/>
    <w:rsid w:val="00AF1A10"/>
    <w:rsid w:val="00AF3478"/>
    <w:rsid w:val="00AF3A3B"/>
    <w:rsid w:val="00AF3E26"/>
    <w:rsid w:val="00AF4D18"/>
    <w:rsid w:val="00AF513B"/>
    <w:rsid w:val="00AF58D3"/>
    <w:rsid w:val="00AF7CF9"/>
    <w:rsid w:val="00B00047"/>
    <w:rsid w:val="00B00094"/>
    <w:rsid w:val="00B00D64"/>
    <w:rsid w:val="00B00FFD"/>
    <w:rsid w:val="00B04F86"/>
    <w:rsid w:val="00B05A92"/>
    <w:rsid w:val="00B05C02"/>
    <w:rsid w:val="00B05F12"/>
    <w:rsid w:val="00B1088C"/>
    <w:rsid w:val="00B12DF9"/>
    <w:rsid w:val="00B16B64"/>
    <w:rsid w:val="00B16D77"/>
    <w:rsid w:val="00B17927"/>
    <w:rsid w:val="00B2005F"/>
    <w:rsid w:val="00B220F5"/>
    <w:rsid w:val="00B222D9"/>
    <w:rsid w:val="00B242A2"/>
    <w:rsid w:val="00B264B1"/>
    <w:rsid w:val="00B27850"/>
    <w:rsid w:val="00B302A0"/>
    <w:rsid w:val="00B309BB"/>
    <w:rsid w:val="00B319F0"/>
    <w:rsid w:val="00B31D28"/>
    <w:rsid w:val="00B32D0E"/>
    <w:rsid w:val="00B33514"/>
    <w:rsid w:val="00B33C9A"/>
    <w:rsid w:val="00B34ED7"/>
    <w:rsid w:val="00B35245"/>
    <w:rsid w:val="00B3574B"/>
    <w:rsid w:val="00B35C2F"/>
    <w:rsid w:val="00B376E3"/>
    <w:rsid w:val="00B42038"/>
    <w:rsid w:val="00B42347"/>
    <w:rsid w:val="00B42351"/>
    <w:rsid w:val="00B45832"/>
    <w:rsid w:val="00B4621C"/>
    <w:rsid w:val="00B46FFF"/>
    <w:rsid w:val="00B53DD4"/>
    <w:rsid w:val="00B60AE3"/>
    <w:rsid w:val="00B620FD"/>
    <w:rsid w:val="00B634C1"/>
    <w:rsid w:val="00B634CD"/>
    <w:rsid w:val="00B63E8A"/>
    <w:rsid w:val="00B64708"/>
    <w:rsid w:val="00B64A1B"/>
    <w:rsid w:val="00B64F87"/>
    <w:rsid w:val="00B75D30"/>
    <w:rsid w:val="00B76864"/>
    <w:rsid w:val="00B81227"/>
    <w:rsid w:val="00B8346F"/>
    <w:rsid w:val="00B838CD"/>
    <w:rsid w:val="00B85199"/>
    <w:rsid w:val="00B85D7D"/>
    <w:rsid w:val="00B8670B"/>
    <w:rsid w:val="00B87473"/>
    <w:rsid w:val="00B902F5"/>
    <w:rsid w:val="00B91752"/>
    <w:rsid w:val="00B91B68"/>
    <w:rsid w:val="00B91B75"/>
    <w:rsid w:val="00B96F1B"/>
    <w:rsid w:val="00BA0341"/>
    <w:rsid w:val="00BA6D70"/>
    <w:rsid w:val="00BB054E"/>
    <w:rsid w:val="00BB0E36"/>
    <w:rsid w:val="00BB1123"/>
    <w:rsid w:val="00BB1811"/>
    <w:rsid w:val="00BB1DEC"/>
    <w:rsid w:val="00BB44D2"/>
    <w:rsid w:val="00BB5414"/>
    <w:rsid w:val="00BB5440"/>
    <w:rsid w:val="00BB5C95"/>
    <w:rsid w:val="00BB61D9"/>
    <w:rsid w:val="00BC0257"/>
    <w:rsid w:val="00BC1994"/>
    <w:rsid w:val="00BC465E"/>
    <w:rsid w:val="00BC59AF"/>
    <w:rsid w:val="00BC6111"/>
    <w:rsid w:val="00BC6F00"/>
    <w:rsid w:val="00BD5F8D"/>
    <w:rsid w:val="00BD6751"/>
    <w:rsid w:val="00BD7415"/>
    <w:rsid w:val="00BE07A6"/>
    <w:rsid w:val="00BE13CE"/>
    <w:rsid w:val="00BE221D"/>
    <w:rsid w:val="00BE2889"/>
    <w:rsid w:val="00BE60A1"/>
    <w:rsid w:val="00BE6230"/>
    <w:rsid w:val="00BE6AC1"/>
    <w:rsid w:val="00BE6D80"/>
    <w:rsid w:val="00BE7926"/>
    <w:rsid w:val="00BF0A7B"/>
    <w:rsid w:val="00BF13F9"/>
    <w:rsid w:val="00BF31EA"/>
    <w:rsid w:val="00BF3336"/>
    <w:rsid w:val="00BF5828"/>
    <w:rsid w:val="00BF723F"/>
    <w:rsid w:val="00BF75BE"/>
    <w:rsid w:val="00BF7C24"/>
    <w:rsid w:val="00C00792"/>
    <w:rsid w:val="00C00AB6"/>
    <w:rsid w:val="00C016B1"/>
    <w:rsid w:val="00C02030"/>
    <w:rsid w:val="00C03A5A"/>
    <w:rsid w:val="00C0666C"/>
    <w:rsid w:val="00C12CBB"/>
    <w:rsid w:val="00C132CF"/>
    <w:rsid w:val="00C13709"/>
    <w:rsid w:val="00C15615"/>
    <w:rsid w:val="00C2268A"/>
    <w:rsid w:val="00C2331A"/>
    <w:rsid w:val="00C23A65"/>
    <w:rsid w:val="00C24A7B"/>
    <w:rsid w:val="00C25C7A"/>
    <w:rsid w:val="00C262F2"/>
    <w:rsid w:val="00C30261"/>
    <w:rsid w:val="00C326FE"/>
    <w:rsid w:val="00C32AD1"/>
    <w:rsid w:val="00C3527A"/>
    <w:rsid w:val="00C3551B"/>
    <w:rsid w:val="00C357A0"/>
    <w:rsid w:val="00C36853"/>
    <w:rsid w:val="00C37424"/>
    <w:rsid w:val="00C40369"/>
    <w:rsid w:val="00C403DF"/>
    <w:rsid w:val="00C443C8"/>
    <w:rsid w:val="00C44A5D"/>
    <w:rsid w:val="00C454F9"/>
    <w:rsid w:val="00C45B5E"/>
    <w:rsid w:val="00C461FE"/>
    <w:rsid w:val="00C4749A"/>
    <w:rsid w:val="00C5040E"/>
    <w:rsid w:val="00C50A77"/>
    <w:rsid w:val="00C50A9D"/>
    <w:rsid w:val="00C52C52"/>
    <w:rsid w:val="00C547C1"/>
    <w:rsid w:val="00C54F63"/>
    <w:rsid w:val="00C551F3"/>
    <w:rsid w:val="00C56D59"/>
    <w:rsid w:val="00C56E82"/>
    <w:rsid w:val="00C633DD"/>
    <w:rsid w:val="00C63E4C"/>
    <w:rsid w:val="00C640D8"/>
    <w:rsid w:val="00C6568C"/>
    <w:rsid w:val="00C663C3"/>
    <w:rsid w:val="00C70124"/>
    <w:rsid w:val="00C702D5"/>
    <w:rsid w:val="00C7101C"/>
    <w:rsid w:val="00C71995"/>
    <w:rsid w:val="00C73651"/>
    <w:rsid w:val="00C736D5"/>
    <w:rsid w:val="00C739F0"/>
    <w:rsid w:val="00C80370"/>
    <w:rsid w:val="00C81597"/>
    <w:rsid w:val="00C81FC8"/>
    <w:rsid w:val="00C86226"/>
    <w:rsid w:val="00C86570"/>
    <w:rsid w:val="00C87766"/>
    <w:rsid w:val="00C91645"/>
    <w:rsid w:val="00C9175E"/>
    <w:rsid w:val="00C93D69"/>
    <w:rsid w:val="00C94769"/>
    <w:rsid w:val="00C9506D"/>
    <w:rsid w:val="00C951DC"/>
    <w:rsid w:val="00C96A42"/>
    <w:rsid w:val="00CA01FE"/>
    <w:rsid w:val="00CA0B86"/>
    <w:rsid w:val="00CA145E"/>
    <w:rsid w:val="00CA1964"/>
    <w:rsid w:val="00CA2003"/>
    <w:rsid w:val="00CA4DD6"/>
    <w:rsid w:val="00CA4EF6"/>
    <w:rsid w:val="00CA63F7"/>
    <w:rsid w:val="00CA669C"/>
    <w:rsid w:val="00CB0384"/>
    <w:rsid w:val="00CB038C"/>
    <w:rsid w:val="00CB130B"/>
    <w:rsid w:val="00CB31B4"/>
    <w:rsid w:val="00CB4AED"/>
    <w:rsid w:val="00CB597B"/>
    <w:rsid w:val="00CC0EEF"/>
    <w:rsid w:val="00CC52F1"/>
    <w:rsid w:val="00CC5AA8"/>
    <w:rsid w:val="00CC5FCB"/>
    <w:rsid w:val="00CC62D9"/>
    <w:rsid w:val="00CC6335"/>
    <w:rsid w:val="00CC7E69"/>
    <w:rsid w:val="00CD0AEE"/>
    <w:rsid w:val="00CD119A"/>
    <w:rsid w:val="00CD245C"/>
    <w:rsid w:val="00CD25B5"/>
    <w:rsid w:val="00CD5A69"/>
    <w:rsid w:val="00CD690F"/>
    <w:rsid w:val="00CD6B55"/>
    <w:rsid w:val="00CD735F"/>
    <w:rsid w:val="00CE29D5"/>
    <w:rsid w:val="00CE2FE7"/>
    <w:rsid w:val="00CE3285"/>
    <w:rsid w:val="00CE38EC"/>
    <w:rsid w:val="00CE43E5"/>
    <w:rsid w:val="00CE4C04"/>
    <w:rsid w:val="00CE51FA"/>
    <w:rsid w:val="00CF0413"/>
    <w:rsid w:val="00CF08F6"/>
    <w:rsid w:val="00CF0AF6"/>
    <w:rsid w:val="00CF20AD"/>
    <w:rsid w:val="00CF3448"/>
    <w:rsid w:val="00D00D22"/>
    <w:rsid w:val="00D01E29"/>
    <w:rsid w:val="00D02BB2"/>
    <w:rsid w:val="00D0448F"/>
    <w:rsid w:val="00D04898"/>
    <w:rsid w:val="00D05B0B"/>
    <w:rsid w:val="00D06065"/>
    <w:rsid w:val="00D064E7"/>
    <w:rsid w:val="00D06E52"/>
    <w:rsid w:val="00D07CA7"/>
    <w:rsid w:val="00D118A7"/>
    <w:rsid w:val="00D123CE"/>
    <w:rsid w:val="00D13538"/>
    <w:rsid w:val="00D13F1E"/>
    <w:rsid w:val="00D145DD"/>
    <w:rsid w:val="00D16126"/>
    <w:rsid w:val="00D17D59"/>
    <w:rsid w:val="00D17E48"/>
    <w:rsid w:val="00D217BE"/>
    <w:rsid w:val="00D22651"/>
    <w:rsid w:val="00D22C9B"/>
    <w:rsid w:val="00D23AFE"/>
    <w:rsid w:val="00D2557B"/>
    <w:rsid w:val="00D264CF"/>
    <w:rsid w:val="00D2692F"/>
    <w:rsid w:val="00D2699C"/>
    <w:rsid w:val="00D26FBC"/>
    <w:rsid w:val="00D3146A"/>
    <w:rsid w:val="00D31651"/>
    <w:rsid w:val="00D3393F"/>
    <w:rsid w:val="00D33A39"/>
    <w:rsid w:val="00D34750"/>
    <w:rsid w:val="00D34767"/>
    <w:rsid w:val="00D36D68"/>
    <w:rsid w:val="00D42342"/>
    <w:rsid w:val="00D429F4"/>
    <w:rsid w:val="00D431A4"/>
    <w:rsid w:val="00D4529E"/>
    <w:rsid w:val="00D456DB"/>
    <w:rsid w:val="00D45790"/>
    <w:rsid w:val="00D45985"/>
    <w:rsid w:val="00D45B7C"/>
    <w:rsid w:val="00D45C2C"/>
    <w:rsid w:val="00D4614C"/>
    <w:rsid w:val="00D46F87"/>
    <w:rsid w:val="00D478C5"/>
    <w:rsid w:val="00D508C7"/>
    <w:rsid w:val="00D53751"/>
    <w:rsid w:val="00D542F7"/>
    <w:rsid w:val="00D5627A"/>
    <w:rsid w:val="00D61F87"/>
    <w:rsid w:val="00D62364"/>
    <w:rsid w:val="00D62496"/>
    <w:rsid w:val="00D65DD8"/>
    <w:rsid w:val="00D66A8A"/>
    <w:rsid w:val="00D67D51"/>
    <w:rsid w:val="00D7069F"/>
    <w:rsid w:val="00D708A7"/>
    <w:rsid w:val="00D71F81"/>
    <w:rsid w:val="00D72E1F"/>
    <w:rsid w:val="00D73E50"/>
    <w:rsid w:val="00D77A01"/>
    <w:rsid w:val="00D77D98"/>
    <w:rsid w:val="00D830AD"/>
    <w:rsid w:val="00D8477E"/>
    <w:rsid w:val="00D84EF1"/>
    <w:rsid w:val="00D8523F"/>
    <w:rsid w:val="00D8620F"/>
    <w:rsid w:val="00D86C36"/>
    <w:rsid w:val="00D9065D"/>
    <w:rsid w:val="00D915C7"/>
    <w:rsid w:val="00D9227B"/>
    <w:rsid w:val="00D92E53"/>
    <w:rsid w:val="00D93B97"/>
    <w:rsid w:val="00D94F67"/>
    <w:rsid w:val="00D950C5"/>
    <w:rsid w:val="00D9635C"/>
    <w:rsid w:val="00DA08AD"/>
    <w:rsid w:val="00DA1204"/>
    <w:rsid w:val="00DA3651"/>
    <w:rsid w:val="00DA3F0F"/>
    <w:rsid w:val="00DA3FC2"/>
    <w:rsid w:val="00DA4093"/>
    <w:rsid w:val="00DA4B2E"/>
    <w:rsid w:val="00DA552A"/>
    <w:rsid w:val="00DA5CAB"/>
    <w:rsid w:val="00DA69BC"/>
    <w:rsid w:val="00DA7BD7"/>
    <w:rsid w:val="00DB0EF2"/>
    <w:rsid w:val="00DB147A"/>
    <w:rsid w:val="00DB159A"/>
    <w:rsid w:val="00DB1621"/>
    <w:rsid w:val="00DB2041"/>
    <w:rsid w:val="00DB2CF4"/>
    <w:rsid w:val="00DB4E93"/>
    <w:rsid w:val="00DC0BAC"/>
    <w:rsid w:val="00DC0CFE"/>
    <w:rsid w:val="00DC3B66"/>
    <w:rsid w:val="00DC4515"/>
    <w:rsid w:val="00DC5254"/>
    <w:rsid w:val="00DC5CA8"/>
    <w:rsid w:val="00DD084A"/>
    <w:rsid w:val="00DD0A85"/>
    <w:rsid w:val="00DD1673"/>
    <w:rsid w:val="00DD3FF3"/>
    <w:rsid w:val="00DD47CE"/>
    <w:rsid w:val="00DD5142"/>
    <w:rsid w:val="00DD641F"/>
    <w:rsid w:val="00DE111E"/>
    <w:rsid w:val="00DE119D"/>
    <w:rsid w:val="00DE268C"/>
    <w:rsid w:val="00DE2BB1"/>
    <w:rsid w:val="00DE46D5"/>
    <w:rsid w:val="00DE6682"/>
    <w:rsid w:val="00DE7C08"/>
    <w:rsid w:val="00DF080A"/>
    <w:rsid w:val="00DF136B"/>
    <w:rsid w:val="00DF1DA3"/>
    <w:rsid w:val="00DF361D"/>
    <w:rsid w:val="00DF42CF"/>
    <w:rsid w:val="00DF46E1"/>
    <w:rsid w:val="00DF4D8C"/>
    <w:rsid w:val="00DF4E63"/>
    <w:rsid w:val="00DF565C"/>
    <w:rsid w:val="00DF5E2B"/>
    <w:rsid w:val="00DF7777"/>
    <w:rsid w:val="00E01340"/>
    <w:rsid w:val="00E01914"/>
    <w:rsid w:val="00E026AA"/>
    <w:rsid w:val="00E031C0"/>
    <w:rsid w:val="00E0394E"/>
    <w:rsid w:val="00E04DDD"/>
    <w:rsid w:val="00E052E1"/>
    <w:rsid w:val="00E0708E"/>
    <w:rsid w:val="00E076AB"/>
    <w:rsid w:val="00E10CBB"/>
    <w:rsid w:val="00E10F3C"/>
    <w:rsid w:val="00E1169A"/>
    <w:rsid w:val="00E129EF"/>
    <w:rsid w:val="00E13784"/>
    <w:rsid w:val="00E14F4A"/>
    <w:rsid w:val="00E16D80"/>
    <w:rsid w:val="00E1714D"/>
    <w:rsid w:val="00E171A6"/>
    <w:rsid w:val="00E17E48"/>
    <w:rsid w:val="00E20532"/>
    <w:rsid w:val="00E211D5"/>
    <w:rsid w:val="00E22BB6"/>
    <w:rsid w:val="00E23792"/>
    <w:rsid w:val="00E26050"/>
    <w:rsid w:val="00E266E3"/>
    <w:rsid w:val="00E26A2A"/>
    <w:rsid w:val="00E26E34"/>
    <w:rsid w:val="00E30BFB"/>
    <w:rsid w:val="00E31B57"/>
    <w:rsid w:val="00E33AE1"/>
    <w:rsid w:val="00E35413"/>
    <w:rsid w:val="00E35763"/>
    <w:rsid w:val="00E40213"/>
    <w:rsid w:val="00E4033D"/>
    <w:rsid w:val="00E413AA"/>
    <w:rsid w:val="00E42AE6"/>
    <w:rsid w:val="00E47499"/>
    <w:rsid w:val="00E47F4F"/>
    <w:rsid w:val="00E47FCF"/>
    <w:rsid w:val="00E501C4"/>
    <w:rsid w:val="00E5097F"/>
    <w:rsid w:val="00E519F4"/>
    <w:rsid w:val="00E51BC3"/>
    <w:rsid w:val="00E52489"/>
    <w:rsid w:val="00E52EB7"/>
    <w:rsid w:val="00E53E8E"/>
    <w:rsid w:val="00E5516A"/>
    <w:rsid w:val="00E55392"/>
    <w:rsid w:val="00E560D1"/>
    <w:rsid w:val="00E626FE"/>
    <w:rsid w:val="00E62E04"/>
    <w:rsid w:val="00E63529"/>
    <w:rsid w:val="00E635C9"/>
    <w:rsid w:val="00E67058"/>
    <w:rsid w:val="00E70669"/>
    <w:rsid w:val="00E7078C"/>
    <w:rsid w:val="00E70D79"/>
    <w:rsid w:val="00E713EA"/>
    <w:rsid w:val="00E73DF8"/>
    <w:rsid w:val="00E7476D"/>
    <w:rsid w:val="00E75BC4"/>
    <w:rsid w:val="00E8083D"/>
    <w:rsid w:val="00E862B3"/>
    <w:rsid w:val="00E865DD"/>
    <w:rsid w:val="00E86F8A"/>
    <w:rsid w:val="00E87B4A"/>
    <w:rsid w:val="00E90EEC"/>
    <w:rsid w:val="00E92D1D"/>
    <w:rsid w:val="00E931CF"/>
    <w:rsid w:val="00E9478F"/>
    <w:rsid w:val="00E95D4D"/>
    <w:rsid w:val="00E97CDD"/>
    <w:rsid w:val="00EA02C9"/>
    <w:rsid w:val="00EA0CA7"/>
    <w:rsid w:val="00EA15C9"/>
    <w:rsid w:val="00EA2EE9"/>
    <w:rsid w:val="00EA39D4"/>
    <w:rsid w:val="00EA44A1"/>
    <w:rsid w:val="00EA4D73"/>
    <w:rsid w:val="00EA5058"/>
    <w:rsid w:val="00EA7FEA"/>
    <w:rsid w:val="00EB0250"/>
    <w:rsid w:val="00EB139D"/>
    <w:rsid w:val="00EB2088"/>
    <w:rsid w:val="00EB2F4D"/>
    <w:rsid w:val="00EB2FFA"/>
    <w:rsid w:val="00EB3357"/>
    <w:rsid w:val="00EB3B00"/>
    <w:rsid w:val="00EB4FE3"/>
    <w:rsid w:val="00EC599B"/>
    <w:rsid w:val="00EC6D8D"/>
    <w:rsid w:val="00EC717F"/>
    <w:rsid w:val="00ED1219"/>
    <w:rsid w:val="00ED1FA8"/>
    <w:rsid w:val="00ED5F6E"/>
    <w:rsid w:val="00ED6093"/>
    <w:rsid w:val="00EE126E"/>
    <w:rsid w:val="00EE44A9"/>
    <w:rsid w:val="00EE4D17"/>
    <w:rsid w:val="00EF096A"/>
    <w:rsid w:val="00EF1E64"/>
    <w:rsid w:val="00EF5766"/>
    <w:rsid w:val="00EF58CB"/>
    <w:rsid w:val="00EF709C"/>
    <w:rsid w:val="00EF7F30"/>
    <w:rsid w:val="00F01DFC"/>
    <w:rsid w:val="00F03916"/>
    <w:rsid w:val="00F04783"/>
    <w:rsid w:val="00F056B9"/>
    <w:rsid w:val="00F0687D"/>
    <w:rsid w:val="00F06E9F"/>
    <w:rsid w:val="00F070BE"/>
    <w:rsid w:val="00F07132"/>
    <w:rsid w:val="00F079A2"/>
    <w:rsid w:val="00F07AF3"/>
    <w:rsid w:val="00F07BC5"/>
    <w:rsid w:val="00F105CE"/>
    <w:rsid w:val="00F1066A"/>
    <w:rsid w:val="00F1108D"/>
    <w:rsid w:val="00F1260C"/>
    <w:rsid w:val="00F15561"/>
    <w:rsid w:val="00F1657C"/>
    <w:rsid w:val="00F1793A"/>
    <w:rsid w:val="00F20CED"/>
    <w:rsid w:val="00F21D3A"/>
    <w:rsid w:val="00F22C2D"/>
    <w:rsid w:val="00F23D7C"/>
    <w:rsid w:val="00F24E0B"/>
    <w:rsid w:val="00F2747F"/>
    <w:rsid w:val="00F30E6A"/>
    <w:rsid w:val="00F340C5"/>
    <w:rsid w:val="00F341B9"/>
    <w:rsid w:val="00F34310"/>
    <w:rsid w:val="00F34DBB"/>
    <w:rsid w:val="00F35C65"/>
    <w:rsid w:val="00F36052"/>
    <w:rsid w:val="00F3657C"/>
    <w:rsid w:val="00F40F57"/>
    <w:rsid w:val="00F41C60"/>
    <w:rsid w:val="00F43463"/>
    <w:rsid w:val="00F4364A"/>
    <w:rsid w:val="00F456BB"/>
    <w:rsid w:val="00F45867"/>
    <w:rsid w:val="00F463B7"/>
    <w:rsid w:val="00F51B42"/>
    <w:rsid w:val="00F51C8C"/>
    <w:rsid w:val="00F531B9"/>
    <w:rsid w:val="00F53E44"/>
    <w:rsid w:val="00F54004"/>
    <w:rsid w:val="00F54835"/>
    <w:rsid w:val="00F55F65"/>
    <w:rsid w:val="00F570D9"/>
    <w:rsid w:val="00F57BA8"/>
    <w:rsid w:val="00F6069F"/>
    <w:rsid w:val="00F60C46"/>
    <w:rsid w:val="00F634AC"/>
    <w:rsid w:val="00F63619"/>
    <w:rsid w:val="00F63A16"/>
    <w:rsid w:val="00F65AD5"/>
    <w:rsid w:val="00F670CA"/>
    <w:rsid w:val="00F67111"/>
    <w:rsid w:val="00F71063"/>
    <w:rsid w:val="00F71D92"/>
    <w:rsid w:val="00F728A8"/>
    <w:rsid w:val="00F72E03"/>
    <w:rsid w:val="00F74049"/>
    <w:rsid w:val="00F761B7"/>
    <w:rsid w:val="00F76DD2"/>
    <w:rsid w:val="00F778A1"/>
    <w:rsid w:val="00F81553"/>
    <w:rsid w:val="00F822E3"/>
    <w:rsid w:val="00F84C6D"/>
    <w:rsid w:val="00F87301"/>
    <w:rsid w:val="00F91B1A"/>
    <w:rsid w:val="00F938DC"/>
    <w:rsid w:val="00F93FD8"/>
    <w:rsid w:val="00F956DE"/>
    <w:rsid w:val="00F9728D"/>
    <w:rsid w:val="00F97A7A"/>
    <w:rsid w:val="00F97C42"/>
    <w:rsid w:val="00FA1837"/>
    <w:rsid w:val="00FA1ED2"/>
    <w:rsid w:val="00FA261C"/>
    <w:rsid w:val="00FA2871"/>
    <w:rsid w:val="00FA3596"/>
    <w:rsid w:val="00FA4430"/>
    <w:rsid w:val="00FA6547"/>
    <w:rsid w:val="00FB0BC7"/>
    <w:rsid w:val="00FB0F4E"/>
    <w:rsid w:val="00FB10E2"/>
    <w:rsid w:val="00FB3DAD"/>
    <w:rsid w:val="00FB417D"/>
    <w:rsid w:val="00FB5108"/>
    <w:rsid w:val="00FB5698"/>
    <w:rsid w:val="00FB6FF1"/>
    <w:rsid w:val="00FB74EB"/>
    <w:rsid w:val="00FB75FB"/>
    <w:rsid w:val="00FC0AB9"/>
    <w:rsid w:val="00FC233E"/>
    <w:rsid w:val="00FC32BE"/>
    <w:rsid w:val="00FC6422"/>
    <w:rsid w:val="00FC67F6"/>
    <w:rsid w:val="00FC6952"/>
    <w:rsid w:val="00FC7A6B"/>
    <w:rsid w:val="00FD0F9B"/>
    <w:rsid w:val="00FD1374"/>
    <w:rsid w:val="00FD51FF"/>
    <w:rsid w:val="00FD6806"/>
    <w:rsid w:val="00FD6DB2"/>
    <w:rsid w:val="00FE2B64"/>
    <w:rsid w:val="00FE2C49"/>
    <w:rsid w:val="00FE2C73"/>
    <w:rsid w:val="00FE466C"/>
    <w:rsid w:val="00FE5F8B"/>
    <w:rsid w:val="00FE6E2F"/>
    <w:rsid w:val="00FE6F9B"/>
    <w:rsid w:val="00FE721B"/>
    <w:rsid w:val="00FE793B"/>
    <w:rsid w:val="00FF0571"/>
    <w:rsid w:val="00FF059E"/>
    <w:rsid w:val="00FF1C5A"/>
    <w:rsid w:val="00FF48BA"/>
    <w:rsid w:val="00FF5338"/>
    <w:rsid w:val="00FF5688"/>
    <w:rsid w:val="00FF648F"/>
    <w:rsid w:val="00FF6BE3"/>
    <w:rsid w:val="01744FBA"/>
    <w:rsid w:val="02A147E9"/>
    <w:rsid w:val="02C31095"/>
    <w:rsid w:val="031D1797"/>
    <w:rsid w:val="035E7E54"/>
    <w:rsid w:val="03BE7AAE"/>
    <w:rsid w:val="042D405A"/>
    <w:rsid w:val="04B836E6"/>
    <w:rsid w:val="05932A20"/>
    <w:rsid w:val="06085010"/>
    <w:rsid w:val="0808579C"/>
    <w:rsid w:val="0A122902"/>
    <w:rsid w:val="0A1E735B"/>
    <w:rsid w:val="0A475C55"/>
    <w:rsid w:val="0A8121B0"/>
    <w:rsid w:val="0B5A630E"/>
    <w:rsid w:val="0BA64D16"/>
    <w:rsid w:val="0C772F6E"/>
    <w:rsid w:val="0C900FEB"/>
    <w:rsid w:val="0D171171"/>
    <w:rsid w:val="0D202B4A"/>
    <w:rsid w:val="0D671310"/>
    <w:rsid w:val="0DBF0C7F"/>
    <w:rsid w:val="0E024B87"/>
    <w:rsid w:val="0E471C50"/>
    <w:rsid w:val="0E644C2B"/>
    <w:rsid w:val="0E7633F3"/>
    <w:rsid w:val="0EEA79A9"/>
    <w:rsid w:val="100B7180"/>
    <w:rsid w:val="105C48D7"/>
    <w:rsid w:val="10A676FE"/>
    <w:rsid w:val="10F8696D"/>
    <w:rsid w:val="11592BC4"/>
    <w:rsid w:val="11B1178D"/>
    <w:rsid w:val="12D017E8"/>
    <w:rsid w:val="142034CA"/>
    <w:rsid w:val="14223844"/>
    <w:rsid w:val="157C02A2"/>
    <w:rsid w:val="16781D3E"/>
    <w:rsid w:val="16B73EAE"/>
    <w:rsid w:val="18565038"/>
    <w:rsid w:val="18E62689"/>
    <w:rsid w:val="197F5775"/>
    <w:rsid w:val="19CA28B1"/>
    <w:rsid w:val="19CE14C0"/>
    <w:rsid w:val="1A626F8D"/>
    <w:rsid w:val="1A81318E"/>
    <w:rsid w:val="1AA72BF2"/>
    <w:rsid w:val="1B586AD4"/>
    <w:rsid w:val="1C737171"/>
    <w:rsid w:val="1CF20A94"/>
    <w:rsid w:val="1DA9315C"/>
    <w:rsid w:val="1F0B04AB"/>
    <w:rsid w:val="1F136866"/>
    <w:rsid w:val="1F45692D"/>
    <w:rsid w:val="1F8D79BF"/>
    <w:rsid w:val="1F996FAD"/>
    <w:rsid w:val="1FAC1BF5"/>
    <w:rsid w:val="204618AD"/>
    <w:rsid w:val="205639A3"/>
    <w:rsid w:val="205D5544"/>
    <w:rsid w:val="218262CB"/>
    <w:rsid w:val="21E1443C"/>
    <w:rsid w:val="22665C33"/>
    <w:rsid w:val="22C30F5F"/>
    <w:rsid w:val="230D467C"/>
    <w:rsid w:val="232F19D7"/>
    <w:rsid w:val="23356CF3"/>
    <w:rsid w:val="23394419"/>
    <w:rsid w:val="23865A9B"/>
    <w:rsid w:val="240665B0"/>
    <w:rsid w:val="243B3235"/>
    <w:rsid w:val="24532842"/>
    <w:rsid w:val="249266C1"/>
    <w:rsid w:val="24AF1386"/>
    <w:rsid w:val="25D04E50"/>
    <w:rsid w:val="27CB7F20"/>
    <w:rsid w:val="28186EB6"/>
    <w:rsid w:val="28580B2F"/>
    <w:rsid w:val="2948280F"/>
    <w:rsid w:val="2999796A"/>
    <w:rsid w:val="29FD0277"/>
    <w:rsid w:val="2A21187E"/>
    <w:rsid w:val="2AAD0F01"/>
    <w:rsid w:val="2AE20D73"/>
    <w:rsid w:val="2B01262E"/>
    <w:rsid w:val="2B7679E1"/>
    <w:rsid w:val="2B955834"/>
    <w:rsid w:val="2C9B6041"/>
    <w:rsid w:val="2D92328E"/>
    <w:rsid w:val="2E6B420B"/>
    <w:rsid w:val="2F0D52C2"/>
    <w:rsid w:val="30216F06"/>
    <w:rsid w:val="306727B0"/>
    <w:rsid w:val="30A41597"/>
    <w:rsid w:val="30C84096"/>
    <w:rsid w:val="31127EDF"/>
    <w:rsid w:val="314F44B9"/>
    <w:rsid w:val="3162267E"/>
    <w:rsid w:val="31BC6B2B"/>
    <w:rsid w:val="32E44D4B"/>
    <w:rsid w:val="33347107"/>
    <w:rsid w:val="33394958"/>
    <w:rsid w:val="335109CF"/>
    <w:rsid w:val="341C1B03"/>
    <w:rsid w:val="34D353B6"/>
    <w:rsid w:val="35C5152B"/>
    <w:rsid w:val="36081206"/>
    <w:rsid w:val="36091F27"/>
    <w:rsid w:val="365A56A9"/>
    <w:rsid w:val="36960EB4"/>
    <w:rsid w:val="36D61574"/>
    <w:rsid w:val="36EB085F"/>
    <w:rsid w:val="36FF2ACD"/>
    <w:rsid w:val="37D70AD5"/>
    <w:rsid w:val="37EF3139"/>
    <w:rsid w:val="38392C84"/>
    <w:rsid w:val="393D0552"/>
    <w:rsid w:val="39E16ABA"/>
    <w:rsid w:val="3AC31755"/>
    <w:rsid w:val="3AF3320F"/>
    <w:rsid w:val="3B273268"/>
    <w:rsid w:val="3B415F11"/>
    <w:rsid w:val="3CB21484"/>
    <w:rsid w:val="3CD81175"/>
    <w:rsid w:val="3CE37474"/>
    <w:rsid w:val="3D767438"/>
    <w:rsid w:val="3E3D42C7"/>
    <w:rsid w:val="3E7078ED"/>
    <w:rsid w:val="3F853513"/>
    <w:rsid w:val="404D5857"/>
    <w:rsid w:val="40FC3103"/>
    <w:rsid w:val="41664B56"/>
    <w:rsid w:val="419453CF"/>
    <w:rsid w:val="41EB5DCD"/>
    <w:rsid w:val="424422D5"/>
    <w:rsid w:val="42C55527"/>
    <w:rsid w:val="430F2F5F"/>
    <w:rsid w:val="438A31BB"/>
    <w:rsid w:val="44220635"/>
    <w:rsid w:val="45155EDD"/>
    <w:rsid w:val="454F1D39"/>
    <w:rsid w:val="4554734F"/>
    <w:rsid w:val="45997458"/>
    <w:rsid w:val="45BB50E5"/>
    <w:rsid w:val="463839A8"/>
    <w:rsid w:val="46E04A79"/>
    <w:rsid w:val="477508AD"/>
    <w:rsid w:val="489C4A8F"/>
    <w:rsid w:val="48B12D0A"/>
    <w:rsid w:val="48E54EE9"/>
    <w:rsid w:val="49204883"/>
    <w:rsid w:val="49732A40"/>
    <w:rsid w:val="4A334A5E"/>
    <w:rsid w:val="4A7933B4"/>
    <w:rsid w:val="4B3438C4"/>
    <w:rsid w:val="4BF661A3"/>
    <w:rsid w:val="4C2A2BB8"/>
    <w:rsid w:val="4C7042D7"/>
    <w:rsid w:val="4C9263D7"/>
    <w:rsid w:val="4CB80EC9"/>
    <w:rsid w:val="4E357E8B"/>
    <w:rsid w:val="4EA6257C"/>
    <w:rsid w:val="4F624D5E"/>
    <w:rsid w:val="4F6267DE"/>
    <w:rsid w:val="4F6B025A"/>
    <w:rsid w:val="50056F83"/>
    <w:rsid w:val="503E1024"/>
    <w:rsid w:val="50C32DE6"/>
    <w:rsid w:val="514B1819"/>
    <w:rsid w:val="51835FBF"/>
    <w:rsid w:val="52727066"/>
    <w:rsid w:val="52A0757D"/>
    <w:rsid w:val="52E43F6D"/>
    <w:rsid w:val="52E6154D"/>
    <w:rsid w:val="53302860"/>
    <w:rsid w:val="54D062C6"/>
    <w:rsid w:val="55AC70E1"/>
    <w:rsid w:val="578B7C17"/>
    <w:rsid w:val="58267451"/>
    <w:rsid w:val="588D4BFA"/>
    <w:rsid w:val="58D02D39"/>
    <w:rsid w:val="59103135"/>
    <w:rsid w:val="59397196"/>
    <w:rsid w:val="59EF456F"/>
    <w:rsid w:val="5A522F08"/>
    <w:rsid w:val="5AFF7905"/>
    <w:rsid w:val="5B321869"/>
    <w:rsid w:val="5B880079"/>
    <w:rsid w:val="5C10694A"/>
    <w:rsid w:val="5CEC2F75"/>
    <w:rsid w:val="5D9A6E07"/>
    <w:rsid w:val="5DAB1323"/>
    <w:rsid w:val="5DAE169B"/>
    <w:rsid w:val="5F5A0C98"/>
    <w:rsid w:val="604824DD"/>
    <w:rsid w:val="60884598"/>
    <w:rsid w:val="60A552FC"/>
    <w:rsid w:val="61001CE1"/>
    <w:rsid w:val="61584466"/>
    <w:rsid w:val="619828AA"/>
    <w:rsid w:val="62161D51"/>
    <w:rsid w:val="62D13935"/>
    <w:rsid w:val="62E35535"/>
    <w:rsid w:val="63622F1D"/>
    <w:rsid w:val="642F7C8C"/>
    <w:rsid w:val="64683C70"/>
    <w:rsid w:val="64BD71FB"/>
    <w:rsid w:val="65E676F8"/>
    <w:rsid w:val="6703252B"/>
    <w:rsid w:val="679B3355"/>
    <w:rsid w:val="67A36E34"/>
    <w:rsid w:val="67F672B4"/>
    <w:rsid w:val="68432A5C"/>
    <w:rsid w:val="686775A1"/>
    <w:rsid w:val="68F54224"/>
    <w:rsid w:val="69375983"/>
    <w:rsid w:val="699E1DF0"/>
    <w:rsid w:val="69AE2459"/>
    <w:rsid w:val="6A805FA4"/>
    <w:rsid w:val="6A967919"/>
    <w:rsid w:val="6B3B2987"/>
    <w:rsid w:val="6C056328"/>
    <w:rsid w:val="6CA60EE9"/>
    <w:rsid w:val="6CEC6744"/>
    <w:rsid w:val="6D34002C"/>
    <w:rsid w:val="6E0D0572"/>
    <w:rsid w:val="6E2E2026"/>
    <w:rsid w:val="6EFB4D85"/>
    <w:rsid w:val="6F486B53"/>
    <w:rsid w:val="6F9B1553"/>
    <w:rsid w:val="6FF32154"/>
    <w:rsid w:val="70447E3C"/>
    <w:rsid w:val="718C67DA"/>
    <w:rsid w:val="71973284"/>
    <w:rsid w:val="727534CC"/>
    <w:rsid w:val="72BF542B"/>
    <w:rsid w:val="72BF7FC0"/>
    <w:rsid w:val="72FE4251"/>
    <w:rsid w:val="73B7714F"/>
    <w:rsid w:val="74864F0C"/>
    <w:rsid w:val="74B37B85"/>
    <w:rsid w:val="75214C19"/>
    <w:rsid w:val="75B35466"/>
    <w:rsid w:val="75DC4673"/>
    <w:rsid w:val="76A23E5B"/>
    <w:rsid w:val="76DD4F3F"/>
    <w:rsid w:val="771E03CA"/>
    <w:rsid w:val="77961E54"/>
    <w:rsid w:val="77FC2DAB"/>
    <w:rsid w:val="782F4F2E"/>
    <w:rsid w:val="78D235BF"/>
    <w:rsid w:val="790A24F7"/>
    <w:rsid w:val="79D24F60"/>
    <w:rsid w:val="7A2A282B"/>
    <w:rsid w:val="7A724429"/>
    <w:rsid w:val="7B6D3834"/>
    <w:rsid w:val="7BE67942"/>
    <w:rsid w:val="7BED75DA"/>
    <w:rsid w:val="7C000573"/>
    <w:rsid w:val="7C3074C7"/>
    <w:rsid w:val="7C445507"/>
    <w:rsid w:val="7C9E6941"/>
    <w:rsid w:val="7CCE1A2C"/>
    <w:rsid w:val="7CF702FD"/>
    <w:rsid w:val="7D055BE4"/>
    <w:rsid w:val="7D5316BF"/>
    <w:rsid w:val="7D642B67"/>
    <w:rsid w:val="7DEC2DEF"/>
    <w:rsid w:val="7E2B263C"/>
    <w:rsid w:val="7E5343EE"/>
    <w:rsid w:val="7EB21477"/>
    <w:rsid w:val="7EEE6612"/>
    <w:rsid w:val="7EF223E7"/>
    <w:rsid w:val="7F410732"/>
    <w:rsid w:val="7F42380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qFormat="1"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99"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qFormat="1"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宋体"/>
      <w:kern w:val="2"/>
      <w:sz w:val="24"/>
      <w:szCs w:val="22"/>
      <w:lang w:val="en-US" w:eastAsia="zh-CN" w:bidi="ar-SA"/>
    </w:rPr>
  </w:style>
  <w:style w:type="paragraph" w:styleId="2">
    <w:name w:val="heading 1"/>
    <w:basedOn w:val="1"/>
    <w:next w:val="1"/>
    <w:link w:val="160"/>
    <w:qFormat/>
    <w:uiPriority w:val="0"/>
    <w:pPr>
      <w:numPr>
        <w:ilvl w:val="0"/>
        <w:numId w:val="1"/>
      </w:numPr>
      <w:spacing w:before="23"/>
      <w:ind w:left="431" w:right="323" w:hanging="431"/>
      <w:jc w:val="center"/>
      <w:outlineLvl w:val="0"/>
    </w:pPr>
    <w:rPr>
      <w:rFonts w:eastAsia="黑体" w:cs="Times New Roman"/>
      <w:sz w:val="44"/>
      <w:szCs w:val="44"/>
    </w:rPr>
  </w:style>
  <w:style w:type="paragraph" w:styleId="3">
    <w:name w:val="heading 2"/>
    <w:basedOn w:val="1"/>
    <w:next w:val="1"/>
    <w:link w:val="161"/>
    <w:qFormat/>
    <w:uiPriority w:val="0"/>
    <w:pPr>
      <w:numPr>
        <w:ilvl w:val="1"/>
        <w:numId w:val="1"/>
      </w:numPr>
      <w:tabs>
        <w:tab w:val="left" w:pos="420"/>
      </w:tabs>
      <w:spacing w:before="50" w:beforeLines="50"/>
      <w:ind w:left="0" w:firstLine="0"/>
      <w:outlineLvl w:val="1"/>
    </w:pPr>
    <w:rPr>
      <w:rFonts w:eastAsia="黑体" w:cs="Times New Roman"/>
      <w:sz w:val="32"/>
      <w:szCs w:val="32"/>
    </w:rPr>
  </w:style>
  <w:style w:type="paragraph" w:styleId="4">
    <w:name w:val="heading 3"/>
    <w:basedOn w:val="1"/>
    <w:next w:val="1"/>
    <w:link w:val="162"/>
    <w:qFormat/>
    <w:uiPriority w:val="0"/>
    <w:pPr>
      <w:numPr>
        <w:ilvl w:val="2"/>
        <w:numId w:val="1"/>
      </w:numPr>
      <w:spacing w:before="50" w:beforeLines="50"/>
      <w:outlineLvl w:val="2"/>
    </w:pPr>
    <w:rPr>
      <w:rFonts w:eastAsia="黑体" w:cs="黑体"/>
      <w:sz w:val="30"/>
      <w:szCs w:val="32"/>
    </w:rPr>
  </w:style>
  <w:style w:type="paragraph" w:styleId="5">
    <w:name w:val="heading 4"/>
    <w:basedOn w:val="1"/>
    <w:next w:val="1"/>
    <w:link w:val="163"/>
    <w:qFormat/>
    <w:uiPriority w:val="0"/>
    <w:pPr>
      <w:numPr>
        <w:ilvl w:val="3"/>
        <w:numId w:val="1"/>
      </w:numPr>
      <w:outlineLvl w:val="3"/>
    </w:pPr>
    <w:rPr>
      <w:rFonts w:ascii="宋体" w:hAnsi="宋体" w:eastAsia="黑体"/>
      <w:bCs/>
      <w:sz w:val="28"/>
      <w:szCs w:val="28"/>
    </w:rPr>
  </w:style>
  <w:style w:type="paragraph" w:styleId="6">
    <w:name w:val="heading 5"/>
    <w:basedOn w:val="1"/>
    <w:next w:val="1"/>
    <w:link w:val="164"/>
    <w:qFormat/>
    <w:uiPriority w:val="9"/>
    <w:pPr>
      <w:numPr>
        <w:ilvl w:val="4"/>
        <w:numId w:val="1"/>
      </w:numPr>
      <w:outlineLvl w:val="4"/>
    </w:pPr>
    <w:rPr>
      <w:rFonts w:ascii="宋体" w:hAnsi="宋体"/>
      <w:b/>
      <w:bCs/>
      <w:szCs w:val="24"/>
    </w:rPr>
  </w:style>
  <w:style w:type="paragraph" w:styleId="7">
    <w:name w:val="heading 6"/>
    <w:basedOn w:val="1"/>
    <w:next w:val="1"/>
    <w:link w:val="165"/>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link w:val="166"/>
    <w:qFormat/>
    <w:uiPriority w:val="9"/>
    <w:pPr>
      <w:keepNext/>
      <w:keepLines/>
      <w:numPr>
        <w:ilvl w:val="6"/>
        <w:numId w:val="1"/>
      </w:numPr>
      <w:spacing w:before="240" w:after="64" w:line="317" w:lineRule="auto"/>
      <w:outlineLvl w:val="6"/>
    </w:pPr>
    <w:rPr>
      <w:b/>
    </w:rPr>
  </w:style>
  <w:style w:type="paragraph" w:styleId="9">
    <w:name w:val="heading 8"/>
    <w:basedOn w:val="1"/>
    <w:next w:val="1"/>
    <w:link w:val="412"/>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link w:val="413"/>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56">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440"/>
      <w:jc w:val="left"/>
    </w:pPr>
    <w:rPr>
      <w:rFonts w:asciiTheme="minorHAnsi" w:eastAsiaTheme="minorHAnsi"/>
      <w:sz w:val="18"/>
      <w:szCs w:val="18"/>
    </w:rPr>
  </w:style>
  <w:style w:type="paragraph" w:styleId="12">
    <w:name w:val="Note Heading"/>
    <w:basedOn w:val="1"/>
    <w:next w:val="1"/>
    <w:link w:val="342"/>
    <w:qFormat/>
    <w:uiPriority w:val="0"/>
    <w:pPr>
      <w:jc w:val="center"/>
    </w:pPr>
  </w:style>
  <w:style w:type="paragraph" w:styleId="13">
    <w:name w:val="Normal Indent"/>
    <w:basedOn w:val="1"/>
    <w:link w:val="208"/>
    <w:unhideWhenUsed/>
    <w:qFormat/>
    <w:uiPriority w:val="0"/>
    <w:pPr>
      <w:ind w:firstLine="420"/>
    </w:pPr>
    <w:rPr>
      <w:rFonts w:cs="Times New Roman"/>
      <w:kern w:val="0"/>
      <w:szCs w:val="21"/>
    </w:rPr>
  </w:style>
  <w:style w:type="paragraph" w:styleId="14">
    <w:name w:val="caption"/>
    <w:basedOn w:val="1"/>
    <w:next w:val="1"/>
    <w:link w:val="222"/>
    <w:unhideWhenUsed/>
    <w:qFormat/>
    <w:uiPriority w:val="0"/>
    <w:rPr>
      <w:rFonts w:ascii="等线 Light" w:hAnsi="等线 Light" w:eastAsia="黑体" w:cs="Times New Roman"/>
      <w:kern w:val="0"/>
      <w:sz w:val="20"/>
      <w:szCs w:val="20"/>
    </w:rPr>
  </w:style>
  <w:style w:type="paragraph" w:styleId="15">
    <w:name w:val="List Bullet"/>
    <w:basedOn w:val="1"/>
    <w:qFormat/>
    <w:uiPriority w:val="0"/>
    <w:pPr>
      <w:tabs>
        <w:tab w:val="left" w:pos="360"/>
        <w:tab w:val="left" w:pos="900"/>
      </w:tabs>
      <w:snapToGrid/>
      <w:spacing w:line="312" w:lineRule="atLeast"/>
      <w:ind w:left="360" w:hanging="360" w:firstLineChars="0"/>
      <w:textAlignment w:val="baseline"/>
    </w:pPr>
    <w:rPr>
      <w:rFonts w:cs="Times New Roman"/>
      <w:kern w:val="0"/>
      <w:sz w:val="21"/>
      <w:szCs w:val="20"/>
    </w:rPr>
  </w:style>
  <w:style w:type="paragraph" w:styleId="16">
    <w:name w:val="Document Map"/>
    <w:basedOn w:val="1"/>
    <w:link w:val="220"/>
    <w:unhideWhenUsed/>
    <w:qFormat/>
    <w:uiPriority w:val="99"/>
    <w:rPr>
      <w:rFonts w:ascii="宋体" w:cs="Times New Roman"/>
      <w:kern w:val="0"/>
      <w:sz w:val="18"/>
      <w:szCs w:val="18"/>
    </w:rPr>
  </w:style>
  <w:style w:type="paragraph" w:styleId="17">
    <w:name w:val="annotation text"/>
    <w:basedOn w:val="1"/>
    <w:link w:val="110"/>
    <w:uiPriority w:val="0"/>
    <w:pPr>
      <w:jc w:val="left"/>
    </w:pPr>
  </w:style>
  <w:style w:type="paragraph" w:styleId="18">
    <w:name w:val="Body Text 3"/>
    <w:basedOn w:val="1"/>
    <w:link w:val="450"/>
    <w:qFormat/>
    <w:uiPriority w:val="0"/>
    <w:pPr>
      <w:adjustRightInd/>
      <w:snapToGrid/>
      <w:spacing w:after="120"/>
      <w:ind w:firstLine="0" w:firstLineChars="0"/>
    </w:pPr>
    <w:rPr>
      <w:rFonts w:cs="Times New Roman"/>
      <w:sz w:val="16"/>
      <w:szCs w:val="16"/>
    </w:rPr>
  </w:style>
  <w:style w:type="paragraph" w:styleId="19">
    <w:name w:val="Body Text"/>
    <w:basedOn w:val="1"/>
    <w:next w:val="20"/>
    <w:link w:val="189"/>
    <w:uiPriority w:val="1"/>
    <w:rPr>
      <w:rFonts w:ascii="宋体" w:hAnsi="宋体"/>
      <w:szCs w:val="24"/>
    </w:rPr>
  </w:style>
  <w:style w:type="paragraph" w:customStyle="1" w:styleId="20">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21">
    <w:name w:val="Body Text Indent"/>
    <w:basedOn w:val="1"/>
    <w:next w:val="22"/>
    <w:link w:val="153"/>
    <w:qFormat/>
    <w:uiPriority w:val="99"/>
    <w:pPr>
      <w:spacing w:after="120"/>
      <w:ind w:left="420" w:leftChars="200"/>
    </w:pPr>
  </w:style>
  <w:style w:type="paragraph" w:styleId="22">
    <w:name w:val="Body Text Indent 2"/>
    <w:basedOn w:val="1"/>
    <w:next w:val="23"/>
    <w:link w:val="232"/>
    <w:qFormat/>
    <w:uiPriority w:val="99"/>
    <w:pPr>
      <w:spacing w:after="120" w:line="480" w:lineRule="auto"/>
      <w:ind w:left="420" w:leftChars="200"/>
    </w:pPr>
  </w:style>
  <w:style w:type="paragraph" w:styleId="23">
    <w:name w:val="Body Text First Indent 2"/>
    <w:basedOn w:val="21"/>
    <w:next w:val="24"/>
    <w:link w:val="495"/>
    <w:qFormat/>
    <w:uiPriority w:val="0"/>
    <w:pPr>
      <w:ind w:firstLine="420"/>
    </w:pPr>
  </w:style>
  <w:style w:type="paragraph" w:styleId="24">
    <w:name w:val="Body Text First Indent"/>
    <w:basedOn w:val="19"/>
    <w:next w:val="1"/>
    <w:link w:val="500"/>
    <w:qFormat/>
    <w:uiPriority w:val="0"/>
    <w:pPr>
      <w:ind w:firstLine="420" w:firstLineChars="100"/>
    </w:pPr>
  </w:style>
  <w:style w:type="paragraph" w:styleId="25">
    <w:name w:val="List 2"/>
    <w:basedOn w:val="1"/>
    <w:uiPriority w:val="0"/>
    <w:pPr>
      <w:adjustRightInd/>
      <w:snapToGrid/>
      <w:ind w:left="100" w:leftChars="200" w:hanging="200" w:hangingChars="200"/>
    </w:pPr>
    <w:rPr>
      <w:rFonts w:cs="Times New Roman"/>
      <w:sz w:val="21"/>
      <w:szCs w:val="24"/>
    </w:rPr>
  </w:style>
  <w:style w:type="paragraph" w:styleId="26">
    <w:name w:val="List Bullet 2"/>
    <w:basedOn w:val="1"/>
    <w:uiPriority w:val="0"/>
    <w:pPr>
      <w:tabs>
        <w:tab w:val="left" w:pos="780"/>
      </w:tabs>
      <w:spacing w:line="560" w:lineRule="exact"/>
      <w:ind w:left="780" w:hanging="360" w:firstLineChars="0"/>
    </w:pPr>
    <w:rPr>
      <w:rFonts w:cs="Times New Roman"/>
      <w:szCs w:val="24"/>
    </w:rPr>
  </w:style>
  <w:style w:type="paragraph" w:styleId="27">
    <w:name w:val="toc 5"/>
    <w:basedOn w:val="1"/>
    <w:next w:val="1"/>
    <w:unhideWhenUsed/>
    <w:uiPriority w:val="39"/>
    <w:pPr>
      <w:ind w:left="960"/>
      <w:jc w:val="left"/>
    </w:pPr>
    <w:rPr>
      <w:rFonts w:asciiTheme="minorHAnsi" w:eastAsiaTheme="minorHAnsi"/>
      <w:sz w:val="18"/>
      <w:szCs w:val="18"/>
    </w:rPr>
  </w:style>
  <w:style w:type="paragraph" w:styleId="28">
    <w:name w:val="toc 3"/>
    <w:basedOn w:val="1"/>
    <w:next w:val="1"/>
    <w:uiPriority w:val="39"/>
    <w:pPr>
      <w:ind w:left="480"/>
      <w:jc w:val="left"/>
    </w:pPr>
    <w:rPr>
      <w:rFonts w:asciiTheme="minorHAnsi" w:eastAsiaTheme="minorHAnsi"/>
      <w:i/>
      <w:iCs/>
      <w:sz w:val="20"/>
      <w:szCs w:val="20"/>
    </w:rPr>
  </w:style>
  <w:style w:type="paragraph" w:styleId="29">
    <w:name w:val="Plain Text"/>
    <w:basedOn w:val="1"/>
    <w:link w:val="401"/>
    <w:qFormat/>
    <w:uiPriority w:val="0"/>
    <w:pPr>
      <w:adjustRightInd/>
      <w:snapToGrid/>
      <w:spacing w:line="240" w:lineRule="auto"/>
      <w:ind w:firstLine="0" w:firstLineChars="0"/>
    </w:pPr>
    <w:rPr>
      <w:rFonts w:ascii="宋体" w:hAnsi="Courier New" w:cs="Times New Roman"/>
      <w:sz w:val="21"/>
      <w:szCs w:val="20"/>
    </w:rPr>
  </w:style>
  <w:style w:type="paragraph" w:styleId="30">
    <w:name w:val="List Bullet 5"/>
    <w:basedOn w:val="1"/>
    <w:qFormat/>
    <w:uiPriority w:val="0"/>
    <w:pPr>
      <w:numPr>
        <w:ilvl w:val="0"/>
        <w:numId w:val="2"/>
      </w:numPr>
      <w:adjustRightInd/>
      <w:snapToGrid/>
      <w:spacing w:line="240" w:lineRule="auto"/>
    </w:pPr>
    <w:rPr>
      <w:rFonts w:cs="Times New Roman"/>
      <w:sz w:val="21"/>
      <w:szCs w:val="24"/>
    </w:rPr>
  </w:style>
  <w:style w:type="paragraph" w:styleId="31">
    <w:name w:val="List Number 4"/>
    <w:basedOn w:val="1"/>
    <w:qFormat/>
    <w:uiPriority w:val="0"/>
    <w:pPr>
      <w:numPr>
        <w:ilvl w:val="0"/>
        <w:numId w:val="3"/>
      </w:numPr>
      <w:adjustRightInd/>
      <w:snapToGrid/>
      <w:spacing w:before="25" w:beforeLines="25" w:after="25" w:afterLines="25" w:line="240" w:lineRule="auto"/>
    </w:pPr>
    <w:rPr>
      <w:rFonts w:cs="Times New Roman"/>
      <w:sz w:val="21"/>
      <w:szCs w:val="24"/>
    </w:rPr>
  </w:style>
  <w:style w:type="paragraph" w:styleId="32">
    <w:name w:val="toc 8"/>
    <w:basedOn w:val="1"/>
    <w:next w:val="1"/>
    <w:unhideWhenUsed/>
    <w:qFormat/>
    <w:uiPriority w:val="39"/>
    <w:pPr>
      <w:ind w:left="1680"/>
      <w:jc w:val="left"/>
    </w:pPr>
    <w:rPr>
      <w:rFonts w:asciiTheme="minorHAnsi" w:eastAsiaTheme="minorHAnsi"/>
      <w:sz w:val="18"/>
      <w:szCs w:val="18"/>
    </w:rPr>
  </w:style>
  <w:style w:type="paragraph" w:styleId="33">
    <w:name w:val="Date"/>
    <w:basedOn w:val="1"/>
    <w:next w:val="1"/>
    <w:link w:val="390"/>
    <w:uiPriority w:val="0"/>
    <w:pPr>
      <w:adjustRightInd/>
      <w:snapToGrid/>
      <w:spacing w:line="240" w:lineRule="auto"/>
      <w:ind w:left="100" w:leftChars="2500" w:firstLine="0" w:firstLineChars="0"/>
      <w:jc w:val="left"/>
    </w:pPr>
    <w:rPr>
      <w:rFonts w:eastAsia="Times New Roman" w:cs="Times New Roman"/>
      <w:color w:val="000000"/>
      <w:kern w:val="0"/>
      <w:szCs w:val="24"/>
      <w:lang w:eastAsia="en-US" w:bidi="en-US"/>
    </w:rPr>
  </w:style>
  <w:style w:type="paragraph" w:styleId="34">
    <w:name w:val="Balloon Text"/>
    <w:basedOn w:val="1"/>
    <w:link w:val="109"/>
    <w:uiPriority w:val="99"/>
    <w:rPr>
      <w:sz w:val="18"/>
      <w:szCs w:val="18"/>
    </w:rPr>
  </w:style>
  <w:style w:type="paragraph" w:styleId="35">
    <w:name w:val="footer"/>
    <w:basedOn w:val="1"/>
    <w:link w:val="127"/>
    <w:uiPriority w:val="99"/>
    <w:pPr>
      <w:tabs>
        <w:tab w:val="center" w:pos="4153"/>
        <w:tab w:val="right" w:pos="8306"/>
      </w:tabs>
      <w:jc w:val="left"/>
    </w:pPr>
    <w:rPr>
      <w:sz w:val="18"/>
    </w:rPr>
  </w:style>
  <w:style w:type="paragraph" w:styleId="36">
    <w:name w:val="header"/>
    <w:basedOn w:val="1"/>
    <w:link w:val="135"/>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37">
    <w:name w:val="toc 1"/>
    <w:basedOn w:val="1"/>
    <w:next w:val="1"/>
    <w:qFormat/>
    <w:uiPriority w:val="39"/>
    <w:pPr>
      <w:spacing w:before="120" w:after="120"/>
      <w:jc w:val="left"/>
    </w:pPr>
    <w:rPr>
      <w:rFonts w:asciiTheme="minorHAnsi" w:eastAsiaTheme="minorHAnsi"/>
      <w:b/>
      <w:bCs/>
      <w:caps/>
      <w:sz w:val="20"/>
      <w:szCs w:val="20"/>
    </w:rPr>
  </w:style>
  <w:style w:type="paragraph" w:styleId="38">
    <w:name w:val="toc 4"/>
    <w:basedOn w:val="1"/>
    <w:next w:val="1"/>
    <w:unhideWhenUsed/>
    <w:qFormat/>
    <w:uiPriority w:val="39"/>
    <w:pPr>
      <w:ind w:left="720"/>
      <w:jc w:val="left"/>
    </w:pPr>
    <w:rPr>
      <w:rFonts w:asciiTheme="minorHAnsi" w:eastAsiaTheme="minorHAnsi"/>
      <w:sz w:val="18"/>
      <w:szCs w:val="18"/>
    </w:rPr>
  </w:style>
  <w:style w:type="paragraph" w:styleId="39">
    <w:name w:val="index heading"/>
    <w:basedOn w:val="1"/>
    <w:next w:val="40"/>
    <w:qFormat/>
    <w:uiPriority w:val="0"/>
    <w:pPr>
      <w:adjustRightInd/>
      <w:snapToGrid/>
      <w:ind w:firstLine="0" w:firstLineChars="0"/>
    </w:pPr>
    <w:rPr>
      <w:rFonts w:ascii="Arial" w:hAnsi="Arial" w:cs="Arial"/>
      <w:b/>
      <w:bCs/>
      <w:sz w:val="21"/>
      <w:szCs w:val="24"/>
    </w:rPr>
  </w:style>
  <w:style w:type="paragraph" w:styleId="40">
    <w:name w:val="index 1"/>
    <w:basedOn w:val="1"/>
    <w:next w:val="1"/>
    <w:uiPriority w:val="0"/>
    <w:pPr>
      <w:adjustRightInd/>
      <w:snapToGrid/>
      <w:ind w:firstLine="0" w:firstLineChars="0"/>
    </w:pPr>
    <w:rPr>
      <w:rFonts w:cs="Times New Roman"/>
      <w:sz w:val="21"/>
      <w:szCs w:val="24"/>
    </w:rPr>
  </w:style>
  <w:style w:type="paragraph" w:styleId="41">
    <w:name w:val="List"/>
    <w:basedOn w:val="1"/>
    <w:link w:val="199"/>
    <w:uiPriority w:val="99"/>
    <w:pPr>
      <w:spacing w:line="240" w:lineRule="auto"/>
      <w:ind w:left="200" w:hanging="200" w:hangingChars="200"/>
    </w:pPr>
    <w:rPr>
      <w:sz w:val="21"/>
    </w:rPr>
  </w:style>
  <w:style w:type="paragraph" w:styleId="42">
    <w:name w:val="footnote text"/>
    <w:basedOn w:val="1"/>
    <w:link w:val="567"/>
    <w:uiPriority w:val="0"/>
    <w:pPr>
      <w:adjustRightInd/>
      <w:ind w:firstLine="0" w:firstLineChars="0"/>
      <w:jc w:val="left"/>
    </w:pPr>
    <w:rPr>
      <w:rFonts w:cs="Times New Roman"/>
      <w:kern w:val="0"/>
      <w:sz w:val="18"/>
      <w:szCs w:val="18"/>
    </w:rPr>
  </w:style>
  <w:style w:type="paragraph" w:styleId="43">
    <w:name w:val="toc 6"/>
    <w:basedOn w:val="1"/>
    <w:next w:val="1"/>
    <w:unhideWhenUsed/>
    <w:qFormat/>
    <w:uiPriority w:val="39"/>
    <w:pPr>
      <w:ind w:left="1200"/>
      <w:jc w:val="left"/>
    </w:pPr>
    <w:rPr>
      <w:rFonts w:asciiTheme="minorHAnsi" w:eastAsiaTheme="minorHAnsi"/>
      <w:sz w:val="18"/>
      <w:szCs w:val="18"/>
    </w:rPr>
  </w:style>
  <w:style w:type="paragraph" w:styleId="44">
    <w:name w:val="Body Text Indent 3"/>
    <w:basedOn w:val="1"/>
    <w:link w:val="439"/>
    <w:qFormat/>
    <w:uiPriority w:val="0"/>
    <w:pPr>
      <w:adjustRightInd/>
      <w:snapToGrid/>
      <w:spacing w:after="120"/>
      <w:ind w:left="420" w:leftChars="200" w:firstLine="0" w:firstLineChars="0"/>
    </w:pPr>
    <w:rPr>
      <w:rFonts w:cs="Times New Roman"/>
      <w:sz w:val="16"/>
      <w:szCs w:val="16"/>
    </w:rPr>
  </w:style>
  <w:style w:type="paragraph" w:styleId="45">
    <w:name w:val="toc 2"/>
    <w:basedOn w:val="1"/>
    <w:next w:val="1"/>
    <w:qFormat/>
    <w:uiPriority w:val="39"/>
    <w:pPr>
      <w:ind w:left="240"/>
      <w:jc w:val="left"/>
    </w:pPr>
    <w:rPr>
      <w:rFonts w:asciiTheme="minorHAnsi" w:eastAsiaTheme="minorHAnsi"/>
      <w:smallCaps/>
      <w:sz w:val="20"/>
      <w:szCs w:val="20"/>
    </w:rPr>
  </w:style>
  <w:style w:type="paragraph" w:styleId="46">
    <w:name w:val="toc 9"/>
    <w:basedOn w:val="1"/>
    <w:next w:val="1"/>
    <w:unhideWhenUsed/>
    <w:qFormat/>
    <w:uiPriority w:val="39"/>
    <w:pPr>
      <w:ind w:left="1920"/>
      <w:jc w:val="left"/>
    </w:pPr>
    <w:rPr>
      <w:rFonts w:asciiTheme="minorHAnsi" w:eastAsiaTheme="minorHAnsi"/>
      <w:sz w:val="18"/>
      <w:szCs w:val="18"/>
    </w:rPr>
  </w:style>
  <w:style w:type="paragraph" w:styleId="47">
    <w:name w:val="Body Text 2"/>
    <w:basedOn w:val="1"/>
    <w:link w:val="440"/>
    <w:qFormat/>
    <w:uiPriority w:val="0"/>
    <w:pPr>
      <w:adjustRightInd/>
      <w:snapToGrid/>
      <w:spacing w:after="120" w:line="480" w:lineRule="auto"/>
      <w:ind w:firstLine="0" w:firstLineChars="0"/>
    </w:pPr>
    <w:rPr>
      <w:rFonts w:cs="Times New Roman"/>
      <w:sz w:val="21"/>
      <w:szCs w:val="24"/>
    </w:rPr>
  </w:style>
  <w:style w:type="paragraph" w:styleId="48">
    <w:name w:val="List Continue 2"/>
    <w:basedOn w:val="1"/>
    <w:uiPriority w:val="0"/>
    <w:pPr>
      <w:adjustRightInd/>
      <w:snapToGrid/>
      <w:spacing w:after="120"/>
      <w:ind w:left="840" w:leftChars="400" w:firstLine="0" w:firstLineChars="0"/>
    </w:pPr>
    <w:rPr>
      <w:rFonts w:cs="Times New Roman"/>
      <w:sz w:val="18"/>
      <w:szCs w:val="20"/>
    </w:rPr>
  </w:style>
  <w:style w:type="paragraph" w:styleId="49">
    <w:name w:val="HTML Preformatted"/>
    <w:basedOn w:val="1"/>
    <w:link w:val="497"/>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ind w:firstLine="0" w:firstLineChars="0"/>
      <w:jc w:val="left"/>
    </w:pPr>
    <w:rPr>
      <w:rFonts w:ascii="黑体" w:hAnsi="Courier New" w:eastAsia="黑体" w:cs="黑体"/>
      <w:kern w:val="0"/>
      <w:sz w:val="20"/>
      <w:szCs w:val="20"/>
    </w:rPr>
  </w:style>
  <w:style w:type="paragraph" w:styleId="50">
    <w:name w:val="Normal (Web)"/>
    <w:basedOn w:val="1"/>
    <w:uiPriority w:val="99"/>
    <w:pPr>
      <w:spacing w:before="100" w:beforeAutospacing="1" w:after="100" w:afterAutospacing="1"/>
    </w:pPr>
    <w:rPr>
      <w:rFonts w:cs="Times New Roman"/>
    </w:rPr>
  </w:style>
  <w:style w:type="paragraph" w:styleId="51">
    <w:name w:val="Title"/>
    <w:basedOn w:val="1"/>
    <w:next w:val="1"/>
    <w:link w:val="470"/>
    <w:uiPriority w:val="0"/>
    <w:pPr>
      <w:jc w:val="center"/>
    </w:pPr>
    <w:rPr>
      <w:rFonts w:ascii="Microsoft JhengHei UI" w:hAnsi="Microsoft JhengHei UI" w:eastAsia="Microsoft JhengHei UI" w:cs="Microsoft JhengHei UI"/>
      <w:b/>
      <w:bCs/>
      <w:sz w:val="48"/>
      <w:szCs w:val="48"/>
    </w:rPr>
  </w:style>
  <w:style w:type="paragraph" w:styleId="52">
    <w:name w:val="annotation subject"/>
    <w:basedOn w:val="17"/>
    <w:next w:val="17"/>
    <w:link w:val="111"/>
    <w:qFormat/>
    <w:uiPriority w:val="99"/>
    <w:rPr>
      <w:b/>
      <w:bCs/>
    </w:rPr>
  </w:style>
  <w:style w:type="table" w:styleId="54">
    <w:name w:val="Table Grid"/>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5">
    <w:name w:val="Light Shading Accent 1"/>
    <w:basedOn w:val="53"/>
    <w:qFormat/>
    <w:uiPriority w:val="60"/>
    <w:rPr>
      <w:rFonts w:ascii="等线" w:hAnsi="等线" w:eastAsia="等线"/>
      <w:color w:val="2F5496"/>
      <w:sz w:val="22"/>
      <w:szCs w:val="22"/>
    </w:rPr>
    <w:tblPr>
      <w:tblBorders>
        <w:top w:val="single" w:color="4472C4" w:sz="8" w:space="0"/>
        <w:bottom w:val="single" w:color="4472C4" w:sz="8" w:space="0"/>
      </w:tblBorders>
    </w:tblPr>
    <w:tblStylePr w:type="fir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styleId="57">
    <w:name w:val="Strong"/>
    <w:qFormat/>
    <w:uiPriority w:val="22"/>
    <w:rPr>
      <w:b/>
      <w:bCs/>
    </w:rPr>
  </w:style>
  <w:style w:type="character" w:styleId="58">
    <w:name w:val="page number"/>
    <w:qFormat/>
    <w:uiPriority w:val="0"/>
  </w:style>
  <w:style w:type="character" w:styleId="59">
    <w:name w:val="FollowedHyperlink"/>
    <w:unhideWhenUsed/>
    <w:qFormat/>
    <w:uiPriority w:val="99"/>
    <w:rPr>
      <w:color w:val="800080"/>
      <w:u w:val="single"/>
    </w:rPr>
  </w:style>
  <w:style w:type="character" w:styleId="60">
    <w:name w:val="Emphasis"/>
    <w:qFormat/>
    <w:uiPriority w:val="0"/>
    <w:rPr>
      <w:i/>
      <w:iCs/>
    </w:rPr>
  </w:style>
  <w:style w:type="character" w:styleId="61">
    <w:name w:val="Hyperlink"/>
    <w:unhideWhenUsed/>
    <w:uiPriority w:val="99"/>
    <w:rPr>
      <w:color w:val="0000FF"/>
      <w:u w:val="single"/>
    </w:rPr>
  </w:style>
  <w:style w:type="character" w:styleId="62">
    <w:name w:val="annotation reference"/>
    <w:uiPriority w:val="0"/>
    <w:rPr>
      <w:sz w:val="21"/>
      <w:szCs w:val="21"/>
    </w:rPr>
  </w:style>
  <w:style w:type="paragraph" w:customStyle="1" w:styleId="63">
    <w:name w:val="样式 正文文本缩进 + 行距: 1.5 倍行距"/>
    <w:basedOn w:val="1"/>
    <w:uiPriority w:val="0"/>
    <w:pPr>
      <w:spacing w:after="120"/>
      <w:ind w:left="32" w:leftChars="32"/>
    </w:pPr>
  </w:style>
  <w:style w:type="paragraph" w:customStyle="1" w:styleId="64">
    <w:name w:val="0正文"/>
    <w:basedOn w:val="21"/>
    <w:link w:val="65"/>
    <w:uiPriority w:val="0"/>
    <w:pPr>
      <w:ind w:firstLine="720"/>
    </w:pPr>
    <w:rPr>
      <w:rFonts w:cs="Times New Roman"/>
    </w:rPr>
  </w:style>
  <w:style w:type="character" w:customStyle="1" w:styleId="65">
    <w:name w:val="0正文 Char"/>
    <w:link w:val="64"/>
    <w:qFormat/>
    <w:uiPriority w:val="0"/>
    <w:rPr>
      <w:rFonts w:ascii="Times New Roman" w:hAnsi="Times New Roman" w:eastAsia="宋体" w:cs="Times New Roman"/>
      <w:sz w:val="24"/>
      <w:szCs w:val="22"/>
      <w:lang w:val="en-US" w:eastAsia="zh-CN" w:bidi="ar-SA"/>
    </w:rPr>
  </w:style>
  <w:style w:type="table" w:customStyle="1" w:styleId="66">
    <w:name w:val="Table Normal"/>
    <w:unhideWhenUsed/>
    <w:qFormat/>
    <w:uiPriority w:val="0"/>
    <w:tblPr>
      <w:tblCellMar>
        <w:top w:w="0" w:type="dxa"/>
        <w:left w:w="0" w:type="dxa"/>
        <w:bottom w:w="0" w:type="dxa"/>
        <w:right w:w="0" w:type="dxa"/>
      </w:tblCellMar>
    </w:tblPr>
  </w:style>
  <w:style w:type="paragraph" w:styleId="67">
    <w:name w:val="List Paragraph"/>
    <w:basedOn w:val="1"/>
    <w:link w:val="129"/>
    <w:qFormat/>
    <w:uiPriority w:val="34"/>
    <w:pPr>
      <w:ind w:firstLine="0"/>
    </w:pPr>
    <w:rPr>
      <w:rFonts w:ascii="宋体" w:hAnsi="宋体"/>
    </w:rPr>
  </w:style>
  <w:style w:type="paragraph" w:customStyle="1" w:styleId="68">
    <w:name w:val="Table Paragraph"/>
    <w:basedOn w:val="1"/>
    <w:qFormat/>
    <w:uiPriority w:val="1"/>
    <w:rPr>
      <w:rFonts w:ascii="宋体" w:hAnsi="宋体"/>
    </w:rPr>
  </w:style>
  <w:style w:type="paragraph" w:customStyle="1" w:styleId="69">
    <w:name w:val="②级"/>
    <w:basedOn w:val="51"/>
    <w:qFormat/>
    <w:uiPriority w:val="0"/>
    <w:pPr>
      <w:spacing w:line="415" w:lineRule="auto"/>
      <w:outlineLvl w:val="1"/>
    </w:pPr>
    <w:rPr>
      <w:sz w:val="32"/>
    </w:rPr>
  </w:style>
  <w:style w:type="paragraph" w:customStyle="1" w:styleId="70">
    <w:name w:val="表正文"/>
    <w:basedOn w:val="1"/>
    <w:uiPriority w:val="0"/>
    <w:pPr>
      <w:spacing w:line="288" w:lineRule="auto"/>
      <w:ind w:left="22" w:leftChars="9" w:right="22" w:rightChars="9" w:firstLine="0" w:firstLineChars="0"/>
      <w:jc w:val="center"/>
    </w:pPr>
    <w:rPr>
      <w:rFonts w:cs="Times New Roman"/>
      <w:sz w:val="21"/>
      <w:lang w:eastAsia="en-US"/>
    </w:rPr>
  </w:style>
  <w:style w:type="paragraph" w:customStyle="1" w:styleId="71">
    <w:name w:val="小标题"/>
    <w:basedOn w:val="1"/>
    <w:qFormat/>
    <w:uiPriority w:val="0"/>
    <w:pPr>
      <w:autoSpaceDE w:val="0"/>
      <w:autoSpaceDN w:val="0"/>
      <w:spacing w:before="50" w:beforeLines="50"/>
      <w:jc w:val="left"/>
    </w:pPr>
    <w:rPr>
      <w:b/>
      <w:kern w:val="0"/>
    </w:rPr>
  </w:style>
  <w:style w:type="paragraph" w:customStyle="1" w:styleId="72">
    <w:name w:val="a表格内文字"/>
    <w:basedOn w:val="1"/>
    <w:qFormat/>
    <w:uiPriority w:val="0"/>
    <w:pPr>
      <w:jc w:val="center"/>
    </w:pPr>
    <w:rPr>
      <w:color w:val="000000"/>
      <w:sz w:val="21"/>
      <w:szCs w:val="21"/>
    </w:rPr>
  </w:style>
  <w:style w:type="paragraph" w:customStyle="1" w:styleId="73">
    <w:name w:val="Default"/>
    <w:next w:val="23"/>
    <w:qFormat/>
    <w:uiPriority w:val="0"/>
    <w:pPr>
      <w:widowControl w:val="0"/>
      <w:autoSpaceDE w:val="0"/>
      <w:autoSpaceDN w:val="0"/>
      <w:adjustRightInd w:val="0"/>
    </w:pPr>
    <w:rPr>
      <w:rFonts w:ascii="Simsun (Founder Extended)" w:hAnsi="Calibri" w:eastAsia="Simsun (Founder Extended)" w:cs="Simsun (Founder Extended)"/>
      <w:color w:val="000000"/>
      <w:sz w:val="24"/>
      <w:szCs w:val="24"/>
      <w:lang w:val="en-US" w:eastAsia="zh-CN" w:bidi="ar-SA"/>
    </w:rPr>
  </w:style>
  <w:style w:type="paragraph" w:customStyle="1" w:styleId="74">
    <w:name w:val="WPSOffice手动目录 1"/>
    <w:qFormat/>
    <w:uiPriority w:val="0"/>
    <w:rPr>
      <w:rFonts w:ascii="Calibri" w:hAnsi="Calibri" w:eastAsia="宋体" w:cs="Times New Roman"/>
      <w:lang w:val="en-US" w:eastAsia="zh-CN" w:bidi="ar-SA"/>
    </w:rPr>
  </w:style>
  <w:style w:type="paragraph" w:customStyle="1" w:styleId="75">
    <w:name w:val="WPSOffice手动目录 3"/>
    <w:qFormat/>
    <w:uiPriority w:val="0"/>
    <w:pPr>
      <w:ind w:left="400" w:leftChars="400"/>
    </w:pPr>
    <w:rPr>
      <w:rFonts w:ascii="Calibri" w:hAnsi="Calibri" w:eastAsia="宋体" w:cs="Times New Roman"/>
      <w:lang w:val="en-US" w:eastAsia="zh-CN" w:bidi="ar-SA"/>
    </w:rPr>
  </w:style>
  <w:style w:type="paragraph" w:customStyle="1" w:styleId="76">
    <w:name w:val="WPSOffice手动目录 2"/>
    <w:qFormat/>
    <w:uiPriority w:val="0"/>
    <w:pPr>
      <w:ind w:left="200" w:leftChars="200"/>
    </w:pPr>
    <w:rPr>
      <w:rFonts w:ascii="Calibri" w:hAnsi="Calibri" w:eastAsia="宋体" w:cs="Times New Roman"/>
      <w:lang w:val="en-US" w:eastAsia="zh-CN" w:bidi="ar-SA"/>
    </w:rPr>
  </w:style>
  <w:style w:type="paragraph" w:customStyle="1" w:styleId="77">
    <w:name w:val="二级标题（）"/>
    <w:basedOn w:val="1"/>
    <w:qFormat/>
    <w:uiPriority w:val="0"/>
    <w:pPr>
      <w:outlineLvl w:val="1"/>
    </w:pPr>
    <w:rPr>
      <w:rFonts w:eastAsia="黑体" w:cs="Times New Roman"/>
      <w:color w:val="5B9BD5"/>
      <w:sz w:val="30"/>
      <w:szCs w:val="30"/>
    </w:rPr>
  </w:style>
  <w:style w:type="paragraph" w:customStyle="1" w:styleId="78">
    <w:name w:val="一级标题（）"/>
    <w:basedOn w:val="1"/>
    <w:qFormat/>
    <w:uiPriority w:val="0"/>
    <w:pPr>
      <w:jc w:val="center"/>
      <w:outlineLvl w:val="0"/>
    </w:pPr>
    <w:rPr>
      <w:rFonts w:eastAsia="黑体" w:cs="Times New Roman"/>
      <w:bCs/>
      <w:color w:val="5B9BD5"/>
      <w:sz w:val="36"/>
      <w:szCs w:val="28"/>
    </w:rPr>
  </w:style>
  <w:style w:type="paragraph" w:customStyle="1" w:styleId="79">
    <w:name w:val="报告书正文（林）"/>
    <w:basedOn w:val="1"/>
    <w:qFormat/>
    <w:uiPriority w:val="0"/>
    <w:pPr>
      <w:topLinePunct/>
      <w:textAlignment w:val="baseline"/>
    </w:pPr>
    <w:rPr>
      <w:color w:val="000000"/>
    </w:rPr>
  </w:style>
  <w:style w:type="paragraph" w:customStyle="1" w:styleId="80">
    <w:name w:val="标题111"/>
    <w:basedOn w:val="81"/>
    <w:qFormat/>
    <w:uiPriority w:val="0"/>
    <w:pPr>
      <w:ind w:firstLine="0" w:firstLineChars="0"/>
    </w:pPr>
  </w:style>
  <w:style w:type="paragraph" w:customStyle="1" w:styleId="81">
    <w:name w:val="标题1111"/>
    <w:basedOn w:val="82"/>
    <w:qFormat/>
    <w:uiPriority w:val="0"/>
    <w:pPr>
      <w:spacing w:before="163" w:after="326"/>
    </w:pPr>
    <w:rPr>
      <w:color w:val="0000FF"/>
    </w:rPr>
  </w:style>
  <w:style w:type="paragraph" w:customStyle="1" w:styleId="82">
    <w:name w:val="报告书标题1（林）"/>
    <w:basedOn w:val="2"/>
    <w:next w:val="1"/>
    <w:qFormat/>
    <w:uiPriority w:val="0"/>
    <w:pPr>
      <w:pageBreakBefore/>
      <w:numPr>
        <w:numId w:val="0"/>
      </w:numPr>
      <w:spacing w:before="50" w:beforeLines="50"/>
      <w:ind w:firstLine="200" w:firstLineChars="200"/>
      <w:textAlignment w:val="center"/>
    </w:pPr>
    <w:rPr>
      <w:kern w:val="32"/>
    </w:rPr>
  </w:style>
  <w:style w:type="paragraph" w:customStyle="1" w:styleId="83">
    <w:name w:val="标题333"/>
    <w:basedOn w:val="84"/>
    <w:qFormat/>
    <w:uiPriority w:val="0"/>
    <w:pPr>
      <w:numPr>
        <w:ilvl w:val="0"/>
        <w:numId w:val="0"/>
      </w:numPr>
      <w:tabs>
        <w:tab w:val="left" w:pos="420"/>
      </w:tabs>
      <w:spacing w:before="0" w:beforeLines="0" w:after="0" w:afterLines="0"/>
      <w:outlineLvl w:val="2"/>
    </w:pPr>
  </w:style>
  <w:style w:type="paragraph" w:customStyle="1" w:styleId="84">
    <w:name w:val="报告书标题2（林）"/>
    <w:basedOn w:val="3"/>
    <w:next w:val="1"/>
    <w:qFormat/>
    <w:uiPriority w:val="0"/>
    <w:pPr>
      <w:numPr>
        <w:numId w:val="4"/>
      </w:numPr>
      <w:spacing w:after="50" w:afterLines="50"/>
    </w:pPr>
    <w:rPr>
      <w:sz w:val="28"/>
      <w:szCs w:val="28"/>
    </w:rPr>
  </w:style>
  <w:style w:type="paragraph" w:customStyle="1" w:styleId="85">
    <w:name w:val="表格标题（）"/>
    <w:basedOn w:val="1"/>
    <w:qFormat/>
    <w:uiPriority w:val="0"/>
    <w:pPr>
      <w:jc w:val="center"/>
    </w:pPr>
    <w:rPr>
      <w:rFonts w:eastAsia="黑体" w:cs="Times New Roman"/>
      <w:color w:val="5B9BD5"/>
      <w:lang w:val="zh-CN" w:bidi="he-IL"/>
    </w:rPr>
  </w:style>
  <w:style w:type="paragraph" w:customStyle="1" w:styleId="86">
    <w:name w:val="表格中文字"/>
    <w:basedOn w:val="1"/>
    <w:qFormat/>
    <w:uiPriority w:val="0"/>
    <w:pPr>
      <w:spacing w:line="240" w:lineRule="auto"/>
      <w:ind w:firstLine="0" w:firstLineChars="0"/>
      <w:jc w:val="center"/>
    </w:pPr>
    <w:rPr>
      <w:sz w:val="21"/>
    </w:rPr>
  </w:style>
  <w:style w:type="paragraph" w:customStyle="1" w:styleId="87">
    <w:name w:val="表格标题"/>
    <w:link w:val="125"/>
    <w:qFormat/>
    <w:uiPriority w:val="0"/>
    <w:pPr>
      <w:numPr>
        <w:ilvl w:val="4"/>
        <w:numId w:val="5"/>
      </w:numPr>
      <w:adjustRightInd w:val="0"/>
      <w:snapToGrid w:val="0"/>
      <w:spacing w:before="50" w:beforeLines="50"/>
      <w:jc w:val="center"/>
    </w:pPr>
    <w:rPr>
      <w:rFonts w:ascii="Times New Roman" w:hAnsi="Times New Roman" w:eastAsia="宋体" w:cs="Times New Roman"/>
      <w:b/>
      <w:kern w:val="2"/>
      <w:sz w:val="24"/>
      <w:szCs w:val="28"/>
      <w:lang w:val="en-US" w:eastAsia="zh-CN" w:bidi="ar-SA"/>
    </w:rPr>
  </w:style>
  <w:style w:type="paragraph" w:customStyle="1" w:styleId="88">
    <w:name w:val="表格内文字"/>
    <w:basedOn w:val="89"/>
    <w:qFormat/>
    <w:uiPriority w:val="0"/>
    <w:pPr>
      <w:spacing w:line="240" w:lineRule="auto"/>
    </w:pPr>
    <w:rPr>
      <w:b w:val="0"/>
      <w:sz w:val="21"/>
    </w:rPr>
  </w:style>
  <w:style w:type="paragraph" w:customStyle="1" w:styleId="89">
    <w:name w:val="表头"/>
    <w:basedOn w:val="1"/>
    <w:qFormat/>
    <w:uiPriority w:val="0"/>
    <w:pPr>
      <w:ind w:firstLine="0" w:firstLineChars="0"/>
      <w:jc w:val="center"/>
    </w:pPr>
    <w:rPr>
      <w:b/>
    </w:rPr>
  </w:style>
  <w:style w:type="paragraph" w:customStyle="1" w:styleId="90">
    <w:name w:val="表格的字"/>
    <w:basedOn w:val="1"/>
    <w:qFormat/>
    <w:uiPriority w:val="0"/>
    <w:pPr>
      <w:spacing w:line="240" w:lineRule="auto"/>
      <w:ind w:firstLine="0" w:firstLineChars="0"/>
      <w:jc w:val="center"/>
    </w:pPr>
    <w:rPr>
      <w:sz w:val="21"/>
    </w:rPr>
  </w:style>
  <w:style w:type="paragraph" w:customStyle="1" w:styleId="91">
    <w:name w:val="11111表土"/>
    <w:basedOn w:val="1"/>
    <w:qFormat/>
    <w:uiPriority w:val="0"/>
    <w:pPr>
      <w:widowControl/>
      <w:spacing w:line="240" w:lineRule="auto"/>
      <w:ind w:firstLine="0" w:firstLineChars="0"/>
      <w:jc w:val="center"/>
    </w:pPr>
    <w:rPr>
      <w:rFonts w:eastAsia="黑体"/>
      <w:kern w:val="0"/>
    </w:rPr>
  </w:style>
  <w:style w:type="paragraph" w:customStyle="1" w:styleId="92">
    <w:name w:val="111表格的格式"/>
    <w:basedOn w:val="93"/>
    <w:qFormat/>
    <w:uiPriority w:val="0"/>
  </w:style>
  <w:style w:type="paragraph" w:customStyle="1" w:styleId="93">
    <w:name w:val="规范表格文"/>
    <w:basedOn w:val="19"/>
    <w:qFormat/>
    <w:uiPriority w:val="0"/>
    <w:pPr>
      <w:spacing w:line="240" w:lineRule="auto"/>
      <w:ind w:firstLine="0" w:firstLineChars="0"/>
      <w:jc w:val="center"/>
    </w:pPr>
    <w:rPr>
      <w:sz w:val="21"/>
    </w:rPr>
  </w:style>
  <w:style w:type="paragraph" w:customStyle="1" w:styleId="94">
    <w:name w:val="111正文的格式"/>
    <w:basedOn w:val="1"/>
    <w:qFormat/>
    <w:uiPriority w:val="0"/>
    <w:rPr>
      <w:bCs/>
      <w:kern w:val="0"/>
    </w:rPr>
  </w:style>
  <w:style w:type="paragraph" w:customStyle="1" w:styleId="95">
    <w:name w:val="Table Text"/>
    <w:basedOn w:val="1"/>
    <w:semiHidden/>
    <w:qFormat/>
    <w:uiPriority w:val="0"/>
    <w:rPr>
      <w:rFonts w:ascii="宋体" w:hAnsi="宋体"/>
      <w:szCs w:val="24"/>
      <w:lang w:eastAsia="en-US"/>
    </w:rPr>
  </w:style>
  <w:style w:type="paragraph" w:customStyle="1" w:styleId="96">
    <w:name w:val="图 居中"/>
    <w:basedOn w:val="1"/>
    <w:qFormat/>
    <w:uiPriority w:val="0"/>
    <w:pPr>
      <w:spacing w:line="240" w:lineRule="auto"/>
      <w:ind w:firstLine="0" w:firstLineChars="0"/>
      <w:jc w:val="center"/>
    </w:pPr>
  </w:style>
  <w:style w:type="paragraph" w:customStyle="1" w:styleId="97">
    <w:name w:val="图，单倍行距"/>
    <w:qFormat/>
    <w:uiPriority w:val="0"/>
    <w:pPr>
      <w:jc w:val="center"/>
    </w:pPr>
    <w:rPr>
      <w:rFonts w:ascii="Calibri" w:hAnsi="Calibri" w:eastAsia="宋体" w:cs="Times New Roman"/>
      <w:bCs/>
      <w:kern w:val="2"/>
      <w:sz w:val="24"/>
      <w:szCs w:val="32"/>
      <w:lang w:val="en-US" w:eastAsia="zh-CN" w:bidi="ar-SA"/>
    </w:rPr>
  </w:style>
  <w:style w:type="paragraph" w:customStyle="1" w:styleId="98">
    <w:name w:val="图"/>
    <w:link w:val="99"/>
    <w:qFormat/>
    <w:uiPriority w:val="0"/>
    <w:pPr>
      <w:spacing w:line="360" w:lineRule="auto"/>
      <w:jc w:val="center"/>
    </w:pPr>
    <w:rPr>
      <w:rFonts w:ascii="Calibri" w:hAnsi="Calibri" w:eastAsia="宋体" w:cs="Times New Roman"/>
      <w:kern w:val="2"/>
      <w:sz w:val="24"/>
      <w:szCs w:val="24"/>
      <w:lang w:val="en-US" w:eastAsia="zh-CN" w:bidi="ar-SA"/>
    </w:rPr>
  </w:style>
  <w:style w:type="character" w:customStyle="1" w:styleId="99">
    <w:name w:val="图 Char"/>
    <w:link w:val="98"/>
    <w:qFormat/>
    <w:uiPriority w:val="0"/>
    <w:rPr>
      <w:rFonts w:ascii="Times New Roman" w:hAnsi="Times New Roman" w:eastAsia="宋体" w:cs="Times New Roman"/>
      <w:kern w:val="2"/>
      <w:sz w:val="24"/>
      <w:szCs w:val="24"/>
      <w:lang w:val="en-US" w:eastAsia="zh-CN" w:bidi="ar-SA"/>
    </w:rPr>
  </w:style>
  <w:style w:type="paragraph" w:customStyle="1" w:styleId="100">
    <w:name w:val="图件"/>
    <w:basedOn w:val="1"/>
    <w:link w:val="150"/>
    <w:qFormat/>
    <w:uiPriority w:val="0"/>
    <w:pPr>
      <w:widowControl/>
      <w:ind w:firstLine="0" w:firstLineChars="0"/>
      <w:jc w:val="center"/>
    </w:pPr>
    <w:rPr>
      <w:b/>
      <w:bCs/>
      <w:color w:val="000000"/>
      <w:szCs w:val="20"/>
    </w:rPr>
  </w:style>
  <w:style w:type="character" w:customStyle="1" w:styleId="101">
    <w:name w:val="表名 Char"/>
    <w:qFormat/>
    <w:uiPriority w:val="0"/>
    <w:rPr>
      <w:rFonts w:eastAsia="宋体"/>
      <w:b/>
      <w:bCs/>
      <w:kern w:val="2"/>
      <w:sz w:val="24"/>
      <w:szCs w:val="32"/>
      <w:lang w:val="en-US" w:eastAsia="zh-CN" w:bidi="ar-SA"/>
    </w:rPr>
  </w:style>
  <w:style w:type="paragraph" w:customStyle="1" w:styleId="102">
    <w:name w:val="样式 样式 表格底下标注 + 首行缩进:  2 字符 + 首行缩进:  2 字符"/>
    <w:basedOn w:val="103"/>
    <w:qFormat/>
    <w:uiPriority w:val="0"/>
    <w:pPr>
      <w:spacing w:before="30" w:beforeLines="30"/>
    </w:pPr>
    <w:rPr>
      <w:bCs w:val="0"/>
    </w:rPr>
  </w:style>
  <w:style w:type="paragraph" w:customStyle="1" w:styleId="103">
    <w:name w:val="样式 表格底下标注 + 首行缩进:  2 字符"/>
    <w:basedOn w:val="104"/>
    <w:qFormat/>
    <w:uiPriority w:val="0"/>
    <w:rPr>
      <w:rFonts w:cs="宋体"/>
      <w:b w:val="0"/>
      <w:szCs w:val="20"/>
    </w:rPr>
  </w:style>
  <w:style w:type="paragraph" w:customStyle="1" w:styleId="104">
    <w:name w:val="表格底下标注"/>
    <w:uiPriority w:val="0"/>
    <w:pPr>
      <w:spacing w:line="360" w:lineRule="auto"/>
      <w:ind w:firstLine="200" w:firstLineChars="200"/>
    </w:pPr>
    <w:rPr>
      <w:rFonts w:ascii="Calibri" w:hAnsi="Calibri" w:eastAsia="宋体" w:cs="Times New Roman"/>
      <w:b/>
      <w:bCs/>
      <w:kern w:val="2"/>
      <w:sz w:val="18"/>
      <w:szCs w:val="32"/>
      <w:lang w:val="en-US" w:eastAsia="zh-CN" w:bidi="ar-SA"/>
    </w:rPr>
  </w:style>
  <w:style w:type="paragraph" w:customStyle="1" w:styleId="105">
    <w:name w:val="表格内容"/>
    <w:link w:val="126"/>
    <w:qFormat/>
    <w:uiPriority w:val="0"/>
    <w:pPr>
      <w:adjustRightInd w:val="0"/>
      <w:snapToGrid w:val="0"/>
      <w:spacing w:before="30" w:after="30"/>
    </w:pPr>
    <w:rPr>
      <w:rFonts w:ascii="Times New Roman" w:hAnsi="Times New Roman" w:eastAsia="宋体" w:cs="宋体"/>
      <w:kern w:val="2"/>
      <w:sz w:val="21"/>
      <w:szCs w:val="28"/>
      <w:lang w:val="en-US" w:eastAsia="zh-CN" w:bidi="ar-SA"/>
    </w:rPr>
  </w:style>
  <w:style w:type="paragraph" w:customStyle="1" w:styleId="106">
    <w:name w:val="正文(首行缩进)"/>
    <w:basedOn w:val="1"/>
    <w:uiPriority w:val="0"/>
    <w:pPr>
      <w:ind w:firstLine="420"/>
    </w:pPr>
    <w:rPr>
      <w:kern w:val="24"/>
    </w:rPr>
  </w:style>
  <w:style w:type="character" w:customStyle="1" w:styleId="107">
    <w:name w:val="font31"/>
    <w:qFormat/>
    <w:uiPriority w:val="0"/>
    <w:rPr>
      <w:rFonts w:hint="default" w:ascii="Times New Roman" w:hAnsi="Times New Roman" w:cs="Times New Roman"/>
      <w:color w:val="000000"/>
      <w:sz w:val="24"/>
      <w:szCs w:val="24"/>
      <w:u w:val="none"/>
    </w:rPr>
  </w:style>
  <w:style w:type="character" w:customStyle="1" w:styleId="108">
    <w:name w:val="font01"/>
    <w:uiPriority w:val="0"/>
    <w:rPr>
      <w:rFonts w:hint="eastAsia" w:ascii="宋体" w:hAnsi="宋体" w:eastAsia="宋体" w:cs="宋体"/>
      <w:color w:val="000000"/>
      <w:sz w:val="24"/>
      <w:szCs w:val="24"/>
      <w:u w:val="none"/>
    </w:rPr>
  </w:style>
  <w:style w:type="character" w:customStyle="1" w:styleId="109">
    <w:name w:val="批注框文本 字符1"/>
    <w:link w:val="34"/>
    <w:qFormat/>
    <w:uiPriority w:val="0"/>
    <w:rPr>
      <w:rFonts w:ascii="宋体" w:hAnsi="宋体" w:cs="宋体"/>
      <w:sz w:val="18"/>
      <w:szCs w:val="18"/>
    </w:rPr>
  </w:style>
  <w:style w:type="character" w:customStyle="1" w:styleId="110">
    <w:name w:val="批注文字 字符1"/>
    <w:link w:val="17"/>
    <w:qFormat/>
    <w:uiPriority w:val="99"/>
    <w:rPr>
      <w:rFonts w:ascii="宋体" w:hAnsi="宋体" w:cs="宋体"/>
      <w:sz w:val="22"/>
      <w:szCs w:val="22"/>
    </w:rPr>
  </w:style>
  <w:style w:type="character" w:customStyle="1" w:styleId="111">
    <w:name w:val="批注主题 字符1"/>
    <w:link w:val="52"/>
    <w:uiPriority w:val="0"/>
    <w:rPr>
      <w:rFonts w:ascii="宋体" w:hAnsi="宋体" w:cs="宋体"/>
      <w:b/>
      <w:bCs/>
      <w:sz w:val="22"/>
      <w:szCs w:val="22"/>
    </w:rPr>
  </w:style>
  <w:style w:type="paragraph" w:customStyle="1" w:styleId="112">
    <w:name w:val="修订1"/>
    <w:hidden/>
    <w:unhideWhenUsed/>
    <w:qFormat/>
    <w:uiPriority w:val="99"/>
    <w:rPr>
      <w:rFonts w:ascii="宋体" w:hAnsi="宋体" w:eastAsia="宋体" w:cs="宋体"/>
      <w:sz w:val="22"/>
      <w:szCs w:val="22"/>
      <w:lang w:val="en-US" w:eastAsia="zh-CN" w:bidi="ar-SA"/>
    </w:rPr>
  </w:style>
  <w:style w:type="character" w:customStyle="1" w:styleId="113">
    <w:name w:val="未处理的提及1"/>
    <w:semiHidden/>
    <w:unhideWhenUsed/>
    <w:qFormat/>
    <w:uiPriority w:val="99"/>
    <w:rPr>
      <w:color w:val="605E5C"/>
      <w:shd w:val="clear" w:color="auto" w:fill="E1DFDD"/>
    </w:rPr>
  </w:style>
  <w:style w:type="paragraph" w:customStyle="1" w:styleId="114">
    <w:name w:val="一级标题"/>
    <w:link w:val="115"/>
    <w:qFormat/>
    <w:uiPriority w:val="0"/>
    <w:pPr>
      <w:numPr>
        <w:ilvl w:val="0"/>
        <w:numId w:val="5"/>
      </w:numPr>
      <w:adjustRightInd w:val="0"/>
      <w:snapToGrid w:val="0"/>
      <w:spacing w:before="240" w:after="240" w:line="360" w:lineRule="auto"/>
      <w:jc w:val="center"/>
      <w:outlineLvl w:val="0"/>
    </w:pPr>
    <w:rPr>
      <w:rFonts w:ascii="宋体" w:hAnsi="宋体" w:eastAsia="宋体" w:cs="Arial"/>
      <w:b/>
      <w:kern w:val="2"/>
      <w:sz w:val="32"/>
      <w:szCs w:val="28"/>
      <w:lang w:val="en-US" w:eastAsia="zh-CN" w:bidi="ar-SA"/>
    </w:rPr>
  </w:style>
  <w:style w:type="character" w:customStyle="1" w:styleId="115">
    <w:name w:val="一级标题 Char"/>
    <w:link w:val="114"/>
    <w:qFormat/>
    <w:uiPriority w:val="0"/>
    <w:rPr>
      <w:rFonts w:ascii="宋体" w:hAnsi="宋体" w:cs="Arial"/>
      <w:b/>
      <w:kern w:val="2"/>
      <w:sz w:val="32"/>
      <w:szCs w:val="28"/>
    </w:rPr>
  </w:style>
  <w:style w:type="paragraph" w:customStyle="1" w:styleId="116">
    <w:name w:val="二级标题"/>
    <w:link w:val="117"/>
    <w:qFormat/>
    <w:uiPriority w:val="0"/>
    <w:pPr>
      <w:numPr>
        <w:ilvl w:val="1"/>
        <w:numId w:val="5"/>
      </w:numPr>
      <w:adjustRightInd w:val="0"/>
      <w:snapToGrid w:val="0"/>
      <w:spacing w:before="120" w:after="120" w:line="360" w:lineRule="auto"/>
      <w:outlineLvl w:val="1"/>
    </w:pPr>
    <w:rPr>
      <w:rFonts w:ascii="Times New Roman" w:hAnsi="Times New Roman" w:eastAsia="宋体" w:cs="Times New Roman"/>
      <w:b/>
      <w:kern w:val="2"/>
      <w:sz w:val="30"/>
      <w:szCs w:val="30"/>
      <w:lang w:val="en-US" w:eastAsia="zh-CN" w:bidi="ar-SA"/>
    </w:rPr>
  </w:style>
  <w:style w:type="character" w:customStyle="1" w:styleId="117">
    <w:name w:val="二级标题 Char"/>
    <w:link w:val="116"/>
    <w:uiPriority w:val="0"/>
    <w:rPr>
      <w:rFonts w:ascii="Times New Roman" w:hAnsi="Times New Roman"/>
      <w:b/>
      <w:kern w:val="2"/>
      <w:sz w:val="30"/>
      <w:szCs w:val="30"/>
    </w:rPr>
  </w:style>
  <w:style w:type="paragraph" w:customStyle="1" w:styleId="118">
    <w:name w:val="四级标题"/>
    <w:link w:val="119"/>
    <w:qFormat/>
    <w:uiPriority w:val="0"/>
    <w:pPr>
      <w:numPr>
        <w:ilvl w:val="3"/>
        <w:numId w:val="5"/>
      </w:numPr>
      <w:adjustRightInd w:val="0"/>
      <w:snapToGrid w:val="0"/>
      <w:spacing w:before="60" w:after="60" w:line="360" w:lineRule="auto"/>
      <w:outlineLvl w:val="3"/>
    </w:pPr>
    <w:rPr>
      <w:rFonts w:ascii="Times New Roman" w:hAnsi="Times New Roman" w:eastAsia="宋体" w:cs="Times New Roman"/>
      <w:b/>
      <w:kern w:val="2"/>
      <w:sz w:val="24"/>
      <w:szCs w:val="28"/>
      <w:lang w:val="en-US" w:eastAsia="zh-CN" w:bidi="ar-SA"/>
    </w:rPr>
  </w:style>
  <w:style w:type="character" w:customStyle="1" w:styleId="119">
    <w:name w:val="四级标题 Char"/>
    <w:link w:val="118"/>
    <w:qFormat/>
    <w:uiPriority w:val="0"/>
    <w:rPr>
      <w:rFonts w:ascii="Times New Roman" w:hAnsi="Times New Roman"/>
      <w:b/>
      <w:kern w:val="2"/>
      <w:sz w:val="24"/>
      <w:szCs w:val="28"/>
    </w:rPr>
  </w:style>
  <w:style w:type="paragraph" w:customStyle="1" w:styleId="120">
    <w:name w:val="三级标题"/>
    <w:next w:val="1"/>
    <w:link w:val="121"/>
    <w:qFormat/>
    <w:uiPriority w:val="0"/>
    <w:pPr>
      <w:numPr>
        <w:ilvl w:val="2"/>
        <w:numId w:val="5"/>
      </w:numPr>
      <w:adjustRightInd w:val="0"/>
      <w:snapToGrid w:val="0"/>
      <w:spacing w:before="60" w:after="60" w:line="360" w:lineRule="auto"/>
      <w:outlineLvl w:val="2"/>
    </w:pPr>
    <w:rPr>
      <w:rFonts w:ascii="Times New Roman" w:hAnsi="Times New Roman" w:eastAsia="宋体" w:cs="Times New Roman"/>
      <w:b/>
      <w:color w:val="000000"/>
      <w:kern w:val="2"/>
      <w:sz w:val="28"/>
      <w:szCs w:val="28"/>
      <w:lang w:val="en-US" w:eastAsia="zh-CN" w:bidi="ar-SA"/>
    </w:rPr>
  </w:style>
  <w:style w:type="character" w:customStyle="1" w:styleId="121">
    <w:name w:val="三级标题 Char"/>
    <w:link w:val="120"/>
    <w:qFormat/>
    <w:uiPriority w:val="0"/>
    <w:rPr>
      <w:rFonts w:ascii="Times New Roman" w:hAnsi="Times New Roman"/>
      <w:b/>
      <w:color w:val="000000"/>
      <w:kern w:val="2"/>
      <w:sz w:val="28"/>
      <w:szCs w:val="28"/>
    </w:rPr>
  </w:style>
  <w:style w:type="paragraph" w:customStyle="1" w:styleId="122">
    <w:name w:val="图件标题"/>
    <w:qFormat/>
    <w:uiPriority w:val="0"/>
    <w:pPr>
      <w:numPr>
        <w:ilvl w:val="5"/>
        <w:numId w:val="5"/>
      </w:numPr>
      <w:adjustRightInd w:val="0"/>
      <w:snapToGrid w:val="0"/>
      <w:spacing w:before="40" w:after="100"/>
      <w:jc w:val="center"/>
    </w:pPr>
    <w:rPr>
      <w:rFonts w:ascii="Times New Roman" w:hAnsi="Times New Roman" w:eastAsia="宋体" w:cs="Times New Roman"/>
      <w:b/>
      <w:kern w:val="2"/>
      <w:sz w:val="24"/>
      <w:szCs w:val="28"/>
      <w:lang w:val="en-US" w:eastAsia="zh-CN" w:bidi="ar-SA"/>
    </w:rPr>
  </w:style>
  <w:style w:type="paragraph" w:customStyle="1" w:styleId="123">
    <w:name w:val="正文自动编号"/>
    <w:qFormat/>
    <w:uiPriority w:val="0"/>
    <w:pPr>
      <w:numPr>
        <w:ilvl w:val="0"/>
        <w:numId w:val="6"/>
      </w:numPr>
      <w:tabs>
        <w:tab w:val="left" w:pos="0"/>
        <w:tab w:val="left" w:pos="1134"/>
      </w:tabs>
      <w:adjustRightInd w:val="0"/>
      <w:snapToGrid w:val="0"/>
      <w:spacing w:line="360" w:lineRule="auto"/>
      <w:ind w:firstLine="200" w:firstLineChars="200"/>
    </w:pPr>
    <w:rPr>
      <w:rFonts w:ascii="Times New Roman" w:hAnsi="Times New Roman" w:eastAsia="宋体" w:cs="Times New Roman"/>
      <w:kern w:val="2"/>
      <w:sz w:val="24"/>
      <w:szCs w:val="22"/>
      <w:lang w:val="en-US" w:eastAsia="zh-CN" w:bidi="ar-SA"/>
    </w:rPr>
  </w:style>
  <w:style w:type="paragraph" w:customStyle="1" w:styleId="124">
    <w:name w:val="正文上"/>
    <w:basedOn w:val="1"/>
    <w:qFormat/>
    <w:uiPriority w:val="0"/>
    <w:pPr>
      <w:spacing w:before="120" w:beforeLines="50"/>
      <w:ind w:firstLine="480"/>
    </w:pPr>
    <w:rPr>
      <w:rFonts w:cs="Times New Roman"/>
    </w:rPr>
  </w:style>
  <w:style w:type="character" w:customStyle="1" w:styleId="125">
    <w:name w:val="标题4 Char1"/>
    <w:link w:val="87"/>
    <w:qFormat/>
    <w:uiPriority w:val="0"/>
    <w:rPr>
      <w:rFonts w:ascii="Times New Roman" w:hAnsi="Times New Roman"/>
      <w:b/>
      <w:kern w:val="2"/>
      <w:sz w:val="24"/>
      <w:szCs w:val="28"/>
    </w:rPr>
  </w:style>
  <w:style w:type="character" w:customStyle="1" w:styleId="126">
    <w:name w:val="表格内容 Char Char"/>
    <w:link w:val="105"/>
    <w:qFormat/>
    <w:uiPriority w:val="0"/>
    <w:rPr>
      <w:rFonts w:ascii="Times New Roman" w:hAnsi="Times New Roman" w:cs="宋体"/>
      <w:kern w:val="2"/>
      <w:sz w:val="21"/>
      <w:szCs w:val="28"/>
    </w:rPr>
  </w:style>
  <w:style w:type="character" w:customStyle="1" w:styleId="127">
    <w:name w:val="页脚 字符"/>
    <w:link w:val="35"/>
    <w:qFormat/>
    <w:uiPriority w:val="99"/>
    <w:rPr>
      <w:rFonts w:ascii="Times New Roman" w:hAnsi="Times New Roman" w:cs="宋体"/>
      <w:kern w:val="2"/>
      <w:sz w:val="18"/>
      <w:szCs w:val="22"/>
    </w:rPr>
  </w:style>
  <w:style w:type="table" w:customStyle="1" w:styleId="128">
    <w:name w:val="表格样式11"/>
    <w:basedOn w:val="53"/>
    <w:qFormat/>
    <w:uiPriority w:val="0"/>
    <w:pPr>
      <w:spacing w:line="240" w:lineRule="atLeast"/>
      <w:jc w:val="center"/>
    </w:pPr>
    <w:rPr>
      <w:rFonts w:ascii="Times New Roman" w:hAnsi="Times New Roman" w:eastAsia="Times New Roman"/>
      <w:sz w:val="21"/>
      <w:szCs w:val="21"/>
    </w:rPr>
    <w:tblPr>
      <w:tblBorders>
        <w:top w:val="single" w:color="auto" w:sz="12" w:space="0"/>
        <w:bottom w:val="single" w:color="auto" w:sz="12" w:space="0"/>
        <w:insideH w:val="single" w:color="auto" w:sz="6" w:space="0"/>
        <w:insideV w:val="single" w:color="auto" w:sz="6" w:space="0"/>
      </w:tblBorders>
    </w:tblPr>
    <w:tcPr>
      <w:vAlign w:val="center"/>
    </w:tcPr>
  </w:style>
  <w:style w:type="character" w:customStyle="1" w:styleId="129">
    <w:name w:val="列表段落 字符"/>
    <w:link w:val="67"/>
    <w:qFormat/>
    <w:uiPriority w:val="34"/>
    <w:rPr>
      <w:rFonts w:ascii="宋体" w:hAnsi="宋体" w:cs="宋体"/>
      <w:kern w:val="2"/>
      <w:sz w:val="24"/>
      <w:szCs w:val="22"/>
    </w:rPr>
  </w:style>
  <w:style w:type="paragraph" w:customStyle="1" w:styleId="130">
    <w:name w:val="5段落"/>
    <w:basedOn w:val="1"/>
    <w:link w:val="131"/>
    <w:qFormat/>
    <w:uiPriority w:val="0"/>
    <w:pPr>
      <w:adjustRightInd/>
      <w:snapToGrid/>
      <w:ind w:firstLine="480"/>
    </w:pPr>
    <w:rPr>
      <w:rFonts w:cs="Times New Roman"/>
      <w:color w:val="000000"/>
      <w:szCs w:val="24"/>
    </w:rPr>
  </w:style>
  <w:style w:type="character" w:customStyle="1" w:styleId="131">
    <w:name w:val="5段落 Char"/>
    <w:link w:val="130"/>
    <w:uiPriority w:val="0"/>
    <w:rPr>
      <w:rFonts w:ascii="Times New Roman" w:hAnsi="Times New Roman"/>
      <w:color w:val="000000"/>
      <w:kern w:val="2"/>
      <w:sz w:val="24"/>
      <w:szCs w:val="24"/>
    </w:rPr>
  </w:style>
  <w:style w:type="paragraph" w:customStyle="1" w:styleId="132">
    <w:name w:val="6"/>
    <w:basedOn w:val="1"/>
    <w:next w:val="67"/>
    <w:qFormat/>
    <w:uiPriority w:val="34"/>
    <w:pPr>
      <w:adjustRightInd/>
      <w:snapToGrid/>
      <w:spacing w:line="240" w:lineRule="auto"/>
      <w:ind w:firstLine="420"/>
    </w:pPr>
    <w:rPr>
      <w:rFonts w:cs="Times New Roman"/>
      <w:sz w:val="21"/>
      <w:szCs w:val="24"/>
    </w:rPr>
  </w:style>
  <w:style w:type="character" w:customStyle="1" w:styleId="133">
    <w:name w:val="表格 Char Char Char Char"/>
    <w:link w:val="134"/>
    <w:qFormat/>
    <w:uiPriority w:val="0"/>
    <w:rPr>
      <w:rFonts w:ascii="Times New Roman" w:hAnsi="Times New Roman"/>
      <w:kern w:val="2"/>
      <w:sz w:val="15"/>
      <w:szCs w:val="21"/>
    </w:rPr>
  </w:style>
  <w:style w:type="paragraph" w:customStyle="1" w:styleId="134">
    <w:name w:val="表格"/>
    <w:basedOn w:val="1"/>
    <w:link w:val="133"/>
    <w:uiPriority w:val="0"/>
    <w:pPr>
      <w:widowControl/>
      <w:spacing w:line="240" w:lineRule="auto"/>
      <w:jc w:val="center"/>
    </w:pPr>
    <w:rPr>
      <w:rFonts w:cs="Times New Roman"/>
      <w:sz w:val="15"/>
      <w:szCs w:val="21"/>
    </w:rPr>
  </w:style>
  <w:style w:type="character" w:customStyle="1" w:styleId="135">
    <w:name w:val="页眉 字符"/>
    <w:link w:val="36"/>
    <w:qFormat/>
    <w:uiPriority w:val="0"/>
    <w:rPr>
      <w:rFonts w:ascii="Times New Roman" w:hAnsi="Times New Roman" w:cs="宋体"/>
      <w:kern w:val="2"/>
      <w:sz w:val="18"/>
      <w:szCs w:val="22"/>
    </w:rPr>
  </w:style>
  <w:style w:type="paragraph" w:customStyle="1" w:styleId="136">
    <w:name w:val="1级标题"/>
    <w:basedOn w:val="1"/>
    <w:next w:val="1"/>
    <w:link w:val="138"/>
    <w:qFormat/>
    <w:uiPriority w:val="0"/>
    <w:pPr>
      <w:numPr>
        <w:ilvl w:val="0"/>
        <w:numId w:val="7"/>
      </w:numPr>
      <w:adjustRightInd/>
      <w:snapToGrid/>
      <w:spacing w:before="120" w:after="120" w:line="240" w:lineRule="auto"/>
      <w:ind w:firstLineChars="0"/>
      <w:jc w:val="center"/>
      <w:outlineLvl w:val="0"/>
    </w:pPr>
    <w:rPr>
      <w:rFonts w:ascii="黑体" w:hAnsi="黑体" w:eastAsia="黑体" w:cs="Times New Roman"/>
      <w:b/>
      <w:sz w:val="32"/>
      <w:szCs w:val="32"/>
    </w:rPr>
  </w:style>
  <w:style w:type="paragraph" w:customStyle="1" w:styleId="137">
    <w:name w:val="2级标题"/>
    <w:basedOn w:val="1"/>
    <w:next w:val="1"/>
    <w:link w:val="140"/>
    <w:uiPriority w:val="0"/>
    <w:pPr>
      <w:numPr>
        <w:ilvl w:val="1"/>
        <w:numId w:val="7"/>
      </w:numPr>
      <w:tabs>
        <w:tab w:val="left" w:pos="1369"/>
      </w:tabs>
      <w:adjustRightInd/>
      <w:snapToGrid/>
      <w:spacing w:before="120" w:after="120" w:line="240" w:lineRule="auto"/>
      <w:ind w:firstLineChars="0"/>
      <w:outlineLvl w:val="1"/>
    </w:pPr>
    <w:rPr>
      <w:rFonts w:eastAsia="黑体" w:cs="Times New Roman"/>
      <w:b/>
      <w:sz w:val="30"/>
      <w:szCs w:val="30"/>
    </w:rPr>
  </w:style>
  <w:style w:type="character" w:customStyle="1" w:styleId="138">
    <w:name w:val="1级标题 Char"/>
    <w:link w:val="136"/>
    <w:qFormat/>
    <w:uiPriority w:val="0"/>
    <w:rPr>
      <w:rFonts w:ascii="黑体" w:hAnsi="黑体" w:eastAsia="黑体"/>
      <w:b/>
      <w:kern w:val="2"/>
      <w:sz w:val="32"/>
      <w:szCs w:val="32"/>
    </w:rPr>
  </w:style>
  <w:style w:type="paragraph" w:customStyle="1" w:styleId="139">
    <w:name w:val="3级标题"/>
    <w:basedOn w:val="1"/>
    <w:next w:val="1"/>
    <w:link w:val="142"/>
    <w:qFormat/>
    <w:uiPriority w:val="0"/>
    <w:pPr>
      <w:numPr>
        <w:ilvl w:val="2"/>
        <w:numId w:val="7"/>
      </w:numPr>
      <w:tabs>
        <w:tab w:val="left" w:pos="1369"/>
      </w:tabs>
      <w:adjustRightInd/>
      <w:snapToGrid/>
      <w:spacing w:before="120" w:after="120"/>
      <w:ind w:firstLineChars="0"/>
      <w:jc w:val="left"/>
      <w:outlineLvl w:val="2"/>
    </w:pPr>
    <w:rPr>
      <w:rFonts w:cs="Times New Roman"/>
      <w:b/>
      <w:sz w:val="28"/>
      <w:szCs w:val="28"/>
    </w:rPr>
  </w:style>
  <w:style w:type="character" w:customStyle="1" w:styleId="140">
    <w:name w:val="2级标题 Char"/>
    <w:link w:val="137"/>
    <w:uiPriority w:val="0"/>
    <w:rPr>
      <w:rFonts w:ascii="Times New Roman" w:hAnsi="Times New Roman" w:eastAsia="黑体"/>
      <w:b/>
      <w:kern w:val="2"/>
      <w:sz w:val="30"/>
      <w:szCs w:val="30"/>
    </w:rPr>
  </w:style>
  <w:style w:type="paragraph" w:customStyle="1" w:styleId="141">
    <w:name w:val="4级标题"/>
    <w:basedOn w:val="1"/>
    <w:next w:val="1"/>
    <w:link w:val="238"/>
    <w:qFormat/>
    <w:uiPriority w:val="0"/>
    <w:pPr>
      <w:numPr>
        <w:ilvl w:val="3"/>
        <w:numId w:val="7"/>
      </w:numPr>
      <w:tabs>
        <w:tab w:val="left" w:pos="1369"/>
      </w:tabs>
      <w:adjustRightInd/>
      <w:snapToGrid/>
      <w:spacing w:before="120" w:after="120"/>
      <w:ind w:firstLineChars="0"/>
      <w:outlineLvl w:val="3"/>
    </w:pPr>
    <w:rPr>
      <w:rFonts w:cs="Times New Roman"/>
      <w:b/>
      <w:szCs w:val="24"/>
    </w:rPr>
  </w:style>
  <w:style w:type="character" w:customStyle="1" w:styleId="142">
    <w:name w:val="3级标题 Char"/>
    <w:link w:val="139"/>
    <w:qFormat/>
    <w:uiPriority w:val="0"/>
    <w:rPr>
      <w:rFonts w:ascii="Times New Roman" w:hAnsi="Times New Roman"/>
      <w:b/>
      <w:kern w:val="2"/>
      <w:sz w:val="28"/>
      <w:szCs w:val="28"/>
    </w:rPr>
  </w:style>
  <w:style w:type="paragraph" w:customStyle="1" w:styleId="143">
    <w:name w:val="6标题-表头"/>
    <w:basedOn w:val="1"/>
    <w:next w:val="1"/>
    <w:link w:val="224"/>
    <w:uiPriority w:val="0"/>
    <w:pPr>
      <w:numPr>
        <w:ilvl w:val="4"/>
        <w:numId w:val="7"/>
      </w:numPr>
      <w:tabs>
        <w:tab w:val="left" w:pos="1369"/>
      </w:tabs>
      <w:adjustRightInd/>
      <w:snapToGrid/>
      <w:ind w:firstLineChars="0"/>
      <w:jc w:val="center"/>
    </w:pPr>
    <w:rPr>
      <w:rFonts w:cs="Times New Roman"/>
      <w:b/>
      <w:szCs w:val="24"/>
    </w:rPr>
  </w:style>
  <w:style w:type="paragraph" w:customStyle="1" w:styleId="144">
    <w:name w:val="7标题-图名"/>
    <w:basedOn w:val="1"/>
    <w:next w:val="1"/>
    <w:link w:val="175"/>
    <w:qFormat/>
    <w:uiPriority w:val="0"/>
    <w:pPr>
      <w:numPr>
        <w:ilvl w:val="5"/>
        <w:numId w:val="7"/>
      </w:numPr>
      <w:adjustRightInd/>
      <w:snapToGrid/>
      <w:ind w:firstLineChars="0"/>
      <w:jc w:val="center"/>
    </w:pPr>
    <w:rPr>
      <w:rFonts w:cs="Times New Roman"/>
      <w:b/>
      <w:color w:val="000000"/>
    </w:rPr>
  </w:style>
  <w:style w:type="paragraph" w:customStyle="1" w:styleId="145">
    <w:name w:val="2"/>
    <w:basedOn w:val="1"/>
    <w:next w:val="67"/>
    <w:qFormat/>
    <w:uiPriority w:val="34"/>
    <w:pPr>
      <w:adjustRightInd/>
      <w:snapToGrid/>
      <w:spacing w:line="240" w:lineRule="auto"/>
      <w:ind w:firstLine="420"/>
    </w:pPr>
    <w:rPr>
      <w:rFonts w:cs="Times New Roman"/>
      <w:sz w:val="21"/>
      <w:szCs w:val="24"/>
    </w:rPr>
  </w:style>
  <w:style w:type="paragraph" w:customStyle="1" w:styleId="146">
    <w:name w:val="1"/>
    <w:basedOn w:val="1"/>
    <w:next w:val="67"/>
    <w:uiPriority w:val="34"/>
    <w:pPr>
      <w:adjustRightInd/>
      <w:snapToGrid/>
      <w:spacing w:line="240" w:lineRule="auto"/>
      <w:ind w:firstLine="420"/>
    </w:pPr>
    <w:rPr>
      <w:rFonts w:cs="Times New Roman"/>
      <w:sz w:val="21"/>
      <w:szCs w:val="24"/>
    </w:rPr>
  </w:style>
  <w:style w:type="table" w:customStyle="1" w:styleId="147">
    <w:name w:val="常用"/>
    <w:basedOn w:val="53"/>
    <w:qFormat/>
    <w:uiPriority w:val="99"/>
    <w:pPr>
      <w:adjustRightInd w:val="0"/>
      <w:snapToGrid w:val="0"/>
      <w:jc w:val="center"/>
    </w:pPr>
    <w:rPr>
      <w:rFonts w:ascii="Times New Roman" w:hAnsi="Times New Roman"/>
      <w:snapToGrid w:val="0"/>
      <w:sz w:val="21"/>
      <w:szCs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148">
    <w:name w:val="font71"/>
    <w:qFormat/>
    <w:uiPriority w:val="0"/>
    <w:rPr>
      <w:rFonts w:hint="eastAsia" w:ascii="宋体" w:hAnsi="宋体" w:eastAsia="宋体" w:cs="宋体"/>
      <w:color w:val="000000"/>
      <w:sz w:val="21"/>
      <w:szCs w:val="21"/>
      <w:u w:val="none"/>
    </w:rPr>
  </w:style>
  <w:style w:type="table" w:customStyle="1" w:styleId="149">
    <w:name w:val="常用1"/>
    <w:basedOn w:val="53"/>
    <w:uiPriority w:val="99"/>
    <w:pPr>
      <w:adjustRightInd w:val="0"/>
      <w:snapToGrid w:val="0"/>
      <w:jc w:val="center"/>
    </w:pPr>
    <w:rPr>
      <w:rFonts w:ascii="Times New Roman" w:hAnsi="Times New Roman"/>
      <w:snapToGrid w:val="0"/>
      <w:sz w:val="21"/>
      <w:szCs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150">
    <w:name w:val="图件 Char"/>
    <w:link w:val="100"/>
    <w:qFormat/>
    <w:uiPriority w:val="0"/>
    <w:rPr>
      <w:rFonts w:ascii="Times New Roman" w:hAnsi="Times New Roman" w:cs="宋体"/>
      <w:b/>
      <w:bCs/>
      <w:color w:val="000000"/>
      <w:kern w:val="2"/>
      <w:sz w:val="24"/>
    </w:rPr>
  </w:style>
  <w:style w:type="paragraph" w:customStyle="1" w:styleId="151">
    <w:name w:val="font0"/>
    <w:basedOn w:val="1"/>
    <w:qFormat/>
    <w:uiPriority w:val="0"/>
    <w:pPr>
      <w:widowControl/>
      <w:adjustRightInd/>
      <w:snapToGrid/>
      <w:spacing w:before="100" w:beforeLines="25" w:beforeAutospacing="1" w:after="100" w:afterLines="25" w:afterAutospacing="1" w:line="240" w:lineRule="auto"/>
      <w:ind w:firstLine="0" w:firstLineChars="0"/>
      <w:jc w:val="left"/>
    </w:pPr>
    <w:rPr>
      <w:rFonts w:hint="eastAsia" w:ascii="宋体" w:hAnsi="宋体" w:cs="Arial Unicode MS"/>
      <w:kern w:val="0"/>
      <w:szCs w:val="24"/>
    </w:rPr>
  </w:style>
  <w:style w:type="table" w:customStyle="1" w:styleId="152">
    <w:name w:val="表格框31"/>
    <w:basedOn w:val="53"/>
    <w:qFormat/>
    <w:locked/>
    <w:uiPriority w:val="0"/>
    <w:pPr>
      <w:adjustRightInd w:val="0"/>
      <w:snapToGrid w:val="0"/>
      <w:jc w:val="center"/>
    </w:pPr>
    <w:tblPr>
      <w:jc w:val="center"/>
      <w:tblBorders>
        <w:top w:val="single" w:color="000000" w:sz="12" w:space="0"/>
        <w:bottom w:val="single" w:color="000000" w:sz="12" w:space="0"/>
        <w:insideH w:val="single" w:color="000000" w:sz="4" w:space="0"/>
        <w:insideV w:val="single" w:color="000000" w:sz="4" w:space="0"/>
      </w:tblBorders>
      <w:tblCellMar>
        <w:left w:w="0" w:type="dxa"/>
        <w:right w:w="0" w:type="dxa"/>
      </w:tblCellMar>
    </w:tblPr>
    <w:trPr>
      <w:cantSplit/>
      <w:tblHeader/>
      <w:jc w:val="center"/>
    </w:trPr>
    <w:tcPr>
      <w:vAlign w:val="center"/>
    </w:tcPr>
  </w:style>
  <w:style w:type="character" w:customStyle="1" w:styleId="153">
    <w:name w:val="正文文本缩进 字符1"/>
    <w:link w:val="21"/>
    <w:qFormat/>
    <w:uiPriority w:val="99"/>
    <w:rPr>
      <w:rFonts w:ascii="Times New Roman" w:hAnsi="Times New Roman" w:cs="宋体"/>
      <w:kern w:val="2"/>
      <w:sz w:val="24"/>
      <w:szCs w:val="22"/>
    </w:rPr>
  </w:style>
  <w:style w:type="character" w:customStyle="1" w:styleId="154">
    <w:name w:val="正文文本缩进 字符"/>
    <w:qFormat/>
    <w:uiPriority w:val="99"/>
    <w:rPr>
      <w:rFonts w:ascii="Times New Roman" w:hAnsi="Times New Roman"/>
      <w:kern w:val="2"/>
      <w:sz w:val="24"/>
      <w:szCs w:val="22"/>
    </w:rPr>
  </w:style>
  <w:style w:type="character" w:customStyle="1" w:styleId="155">
    <w:name w:val="批注文字 字符"/>
    <w:uiPriority w:val="99"/>
    <w:rPr>
      <w:rFonts w:ascii="Times New Roman" w:hAnsi="Times New Roman"/>
      <w:kern w:val="2"/>
      <w:sz w:val="24"/>
      <w:szCs w:val="22"/>
    </w:rPr>
  </w:style>
  <w:style w:type="character" w:customStyle="1" w:styleId="156">
    <w:name w:val="批注主题 字符"/>
    <w:qFormat/>
    <w:uiPriority w:val="99"/>
    <w:rPr>
      <w:rFonts w:ascii="Times New Roman" w:hAnsi="Times New Roman"/>
      <w:b/>
      <w:bCs/>
      <w:kern w:val="2"/>
      <w:sz w:val="24"/>
      <w:szCs w:val="22"/>
    </w:rPr>
  </w:style>
  <w:style w:type="table" w:customStyle="1" w:styleId="157">
    <w:name w:val="表格样式1"/>
    <w:basedOn w:val="53"/>
    <w:qFormat/>
    <w:uiPriority w:val="0"/>
    <w:pPr>
      <w:widowControl w:val="0"/>
      <w:jc w:val="center"/>
    </w:pPr>
    <w:rPr>
      <w:rFonts w:ascii="Times New Roman" w:hAnsi="Times New Roman"/>
      <w:sz w:val="21"/>
      <w:szCs w:val="21"/>
    </w:rPr>
    <w:tblPr>
      <w:tblBorders>
        <w:top w:val="single" w:color="auto" w:sz="12" w:space="0"/>
        <w:bottom w:val="single" w:color="auto" w:sz="12" w:space="0"/>
        <w:insideH w:val="single" w:color="auto" w:sz="6" w:space="0"/>
        <w:insideV w:val="single" w:color="auto" w:sz="6" w:space="0"/>
      </w:tblBorders>
    </w:tblPr>
    <w:tcPr>
      <w:tcMar>
        <w:left w:w="57" w:type="dxa"/>
        <w:right w:w="57" w:type="dxa"/>
      </w:tcMar>
      <w:vAlign w:val="center"/>
    </w:tcPr>
  </w:style>
  <w:style w:type="paragraph" w:customStyle="1" w:styleId="158">
    <w:name w:val="标题-表头"/>
    <w:basedOn w:val="1"/>
    <w:next w:val="1"/>
    <w:link w:val="270"/>
    <w:uiPriority w:val="0"/>
    <w:pPr>
      <w:tabs>
        <w:tab w:val="left" w:pos="1369"/>
      </w:tabs>
      <w:adjustRightInd/>
      <w:snapToGrid/>
      <w:ind w:firstLine="0" w:firstLineChars="0"/>
      <w:jc w:val="center"/>
    </w:pPr>
    <w:rPr>
      <w:rFonts w:ascii="Calibri" w:hAnsi="Calibri" w:cs="Times New Roman"/>
      <w:b/>
      <w:szCs w:val="24"/>
    </w:rPr>
  </w:style>
  <w:style w:type="paragraph" w:customStyle="1" w:styleId="159">
    <w:name w:val="标题-图名"/>
    <w:basedOn w:val="1"/>
    <w:next w:val="1"/>
    <w:qFormat/>
    <w:uiPriority w:val="0"/>
    <w:pPr>
      <w:adjustRightInd/>
      <w:snapToGrid/>
      <w:ind w:firstLine="0" w:firstLineChars="0"/>
      <w:jc w:val="center"/>
    </w:pPr>
    <w:rPr>
      <w:rFonts w:cs="Times New Roman"/>
      <w:b/>
      <w:color w:val="000000"/>
    </w:rPr>
  </w:style>
  <w:style w:type="character" w:customStyle="1" w:styleId="160">
    <w:name w:val="标题 1 字符"/>
    <w:link w:val="2"/>
    <w:qFormat/>
    <w:uiPriority w:val="0"/>
    <w:rPr>
      <w:rFonts w:ascii="Times New Roman" w:hAnsi="Times New Roman" w:eastAsia="黑体"/>
      <w:kern w:val="2"/>
      <w:sz w:val="44"/>
      <w:szCs w:val="44"/>
    </w:rPr>
  </w:style>
  <w:style w:type="character" w:customStyle="1" w:styleId="161">
    <w:name w:val="标题 2 字符"/>
    <w:link w:val="3"/>
    <w:uiPriority w:val="0"/>
    <w:rPr>
      <w:rFonts w:ascii="Times New Roman" w:hAnsi="Times New Roman" w:eastAsia="黑体"/>
      <w:kern w:val="2"/>
      <w:sz w:val="32"/>
      <w:szCs w:val="32"/>
    </w:rPr>
  </w:style>
  <w:style w:type="character" w:customStyle="1" w:styleId="162">
    <w:name w:val="标题 3 字符"/>
    <w:link w:val="4"/>
    <w:qFormat/>
    <w:uiPriority w:val="0"/>
    <w:rPr>
      <w:rFonts w:ascii="Times New Roman" w:hAnsi="Times New Roman" w:eastAsia="黑体" w:cs="黑体"/>
      <w:kern w:val="2"/>
      <w:sz w:val="30"/>
      <w:szCs w:val="32"/>
    </w:rPr>
  </w:style>
  <w:style w:type="character" w:customStyle="1" w:styleId="163">
    <w:name w:val="标题 4 字符"/>
    <w:link w:val="5"/>
    <w:qFormat/>
    <w:uiPriority w:val="9"/>
    <w:rPr>
      <w:rFonts w:ascii="宋体" w:hAnsi="宋体" w:eastAsia="黑体" w:cs="宋体"/>
      <w:bCs/>
      <w:kern w:val="2"/>
      <w:sz w:val="28"/>
      <w:szCs w:val="28"/>
    </w:rPr>
  </w:style>
  <w:style w:type="character" w:customStyle="1" w:styleId="164">
    <w:name w:val="标题 5 字符"/>
    <w:link w:val="6"/>
    <w:uiPriority w:val="9"/>
    <w:rPr>
      <w:rFonts w:ascii="宋体" w:hAnsi="宋体" w:cs="宋体"/>
      <w:b/>
      <w:bCs/>
      <w:kern w:val="2"/>
      <w:sz w:val="24"/>
      <w:szCs w:val="24"/>
    </w:rPr>
  </w:style>
  <w:style w:type="character" w:customStyle="1" w:styleId="165">
    <w:name w:val="标题 6 字符"/>
    <w:link w:val="7"/>
    <w:qFormat/>
    <w:uiPriority w:val="0"/>
    <w:rPr>
      <w:rFonts w:ascii="Arial" w:hAnsi="Arial" w:eastAsia="黑体" w:cs="宋体"/>
      <w:b/>
      <w:kern w:val="2"/>
      <w:sz w:val="24"/>
      <w:szCs w:val="22"/>
    </w:rPr>
  </w:style>
  <w:style w:type="character" w:customStyle="1" w:styleId="166">
    <w:name w:val="标题 7 字符"/>
    <w:link w:val="8"/>
    <w:qFormat/>
    <w:uiPriority w:val="9"/>
    <w:rPr>
      <w:rFonts w:ascii="Times New Roman" w:hAnsi="Times New Roman" w:cs="宋体"/>
      <w:b/>
      <w:kern w:val="2"/>
      <w:sz w:val="24"/>
      <w:szCs w:val="22"/>
    </w:rPr>
  </w:style>
  <w:style w:type="character" w:customStyle="1" w:styleId="167">
    <w:name w:val="表格标题 字符"/>
    <w:uiPriority w:val="0"/>
    <w:rPr>
      <w:rFonts w:ascii="Times New Roman" w:hAnsi="Times New Roman"/>
      <w:b/>
      <w:kern w:val="2"/>
      <w:sz w:val="24"/>
      <w:szCs w:val="28"/>
    </w:rPr>
  </w:style>
  <w:style w:type="paragraph" w:customStyle="1" w:styleId="168">
    <w:name w:val="段落"/>
    <w:basedOn w:val="1"/>
    <w:link w:val="169"/>
    <w:qFormat/>
    <w:uiPriority w:val="0"/>
    <w:pPr>
      <w:adjustRightInd/>
    </w:pPr>
    <w:rPr>
      <w:rFonts w:cs="Times New Roman"/>
      <w:color w:val="000000"/>
      <w:szCs w:val="24"/>
    </w:rPr>
  </w:style>
  <w:style w:type="character" w:customStyle="1" w:styleId="169">
    <w:name w:val="段落 Char"/>
    <w:link w:val="168"/>
    <w:qFormat/>
    <w:uiPriority w:val="0"/>
    <w:rPr>
      <w:rFonts w:ascii="Times New Roman" w:hAnsi="Times New Roman"/>
      <w:color w:val="000000"/>
      <w:kern w:val="2"/>
      <w:sz w:val="24"/>
      <w:szCs w:val="24"/>
    </w:rPr>
  </w:style>
  <w:style w:type="paragraph" w:customStyle="1" w:styleId="170">
    <w:name w:val="7表格标题"/>
    <w:basedOn w:val="1"/>
    <w:next w:val="1"/>
    <w:link w:val="171"/>
    <w:semiHidden/>
    <w:uiPriority w:val="0"/>
    <w:pPr>
      <w:numPr>
        <w:ilvl w:val="4"/>
        <w:numId w:val="8"/>
      </w:numPr>
      <w:adjustRightInd/>
      <w:ind w:firstLineChars="0"/>
      <w:jc w:val="center"/>
    </w:pPr>
    <w:rPr>
      <w:rFonts w:cs="Times New Roman"/>
      <w:b/>
      <w:szCs w:val="28"/>
    </w:rPr>
  </w:style>
  <w:style w:type="character" w:customStyle="1" w:styleId="171">
    <w:name w:val="7表格标题 Char"/>
    <w:link w:val="170"/>
    <w:semiHidden/>
    <w:qFormat/>
    <w:uiPriority w:val="0"/>
    <w:rPr>
      <w:rFonts w:ascii="Times New Roman" w:hAnsi="Times New Roman"/>
      <w:b/>
      <w:kern w:val="2"/>
      <w:sz w:val="24"/>
      <w:szCs w:val="28"/>
    </w:rPr>
  </w:style>
  <w:style w:type="paragraph" w:customStyle="1" w:styleId="172">
    <w:name w:val="8图件标题"/>
    <w:basedOn w:val="170"/>
    <w:next w:val="1"/>
    <w:semiHidden/>
    <w:qFormat/>
    <w:uiPriority w:val="0"/>
    <w:pPr>
      <w:numPr>
        <w:ilvl w:val="5"/>
      </w:numPr>
      <w:ind w:left="2520" w:hanging="420"/>
    </w:pPr>
  </w:style>
  <w:style w:type="paragraph" w:customStyle="1" w:styleId="173">
    <w:name w:val="TOC 标题1"/>
    <w:basedOn w:val="2"/>
    <w:next w:val="1"/>
    <w:uiPriority w:val="39"/>
    <w:pPr>
      <w:keepNext/>
      <w:keepLines/>
      <w:numPr>
        <w:numId w:val="0"/>
      </w:numPr>
      <w:spacing w:before="340" w:after="330" w:line="578" w:lineRule="auto"/>
      <w:ind w:right="0" w:firstLine="200" w:firstLineChars="200"/>
      <w:jc w:val="both"/>
      <w:outlineLvl w:val="9"/>
    </w:pPr>
    <w:rPr>
      <w:rFonts w:eastAsia="宋体"/>
      <w:b/>
      <w:bCs/>
      <w:kern w:val="44"/>
    </w:rPr>
  </w:style>
  <w:style w:type="paragraph" w:customStyle="1" w:styleId="174">
    <w:name w:val="段落编号"/>
    <w:basedOn w:val="1"/>
    <w:qFormat/>
    <w:uiPriority w:val="0"/>
    <w:pPr>
      <w:ind w:firstLine="0" w:firstLineChars="0"/>
    </w:pPr>
    <w:rPr>
      <w:rFonts w:cs="Times New Roman"/>
      <w:kern w:val="0"/>
      <w:szCs w:val="21"/>
    </w:rPr>
  </w:style>
  <w:style w:type="character" w:customStyle="1" w:styleId="175">
    <w:name w:val="7标题-图名 Char"/>
    <w:link w:val="144"/>
    <w:qFormat/>
    <w:uiPriority w:val="0"/>
    <w:rPr>
      <w:rFonts w:ascii="Times New Roman" w:hAnsi="Times New Roman"/>
      <w:b/>
      <w:color w:val="000000"/>
      <w:kern w:val="2"/>
      <w:sz w:val="24"/>
      <w:szCs w:val="22"/>
    </w:rPr>
  </w:style>
  <w:style w:type="paragraph" w:customStyle="1" w:styleId="176">
    <w:name w:val="图表标题"/>
    <w:basedOn w:val="1"/>
    <w:next w:val="1"/>
    <w:uiPriority w:val="0"/>
    <w:pPr>
      <w:ind w:firstLine="300" w:firstLineChars="0"/>
      <w:jc w:val="center"/>
      <w:outlineLvl w:val="4"/>
    </w:pPr>
    <w:rPr>
      <w:rFonts w:cs="Times New Roman"/>
      <w:b/>
      <w:kern w:val="0"/>
      <w:szCs w:val="21"/>
    </w:rPr>
  </w:style>
  <w:style w:type="paragraph" w:customStyle="1" w:styleId="177">
    <w:name w:val="表格格式"/>
    <w:basedOn w:val="1"/>
    <w:next w:val="1"/>
    <w:link w:val="218"/>
    <w:qFormat/>
    <w:uiPriority w:val="0"/>
    <w:pPr>
      <w:spacing w:line="240" w:lineRule="auto"/>
      <w:ind w:firstLine="0" w:firstLineChars="0"/>
      <w:jc w:val="left"/>
    </w:pPr>
    <w:rPr>
      <w:rFonts w:eastAsia="等线" w:cs="Times New Roman"/>
      <w:snapToGrid w:val="0"/>
      <w:kern w:val="0"/>
      <w:sz w:val="21"/>
      <w:szCs w:val="21"/>
    </w:rPr>
  </w:style>
  <w:style w:type="paragraph" w:customStyle="1" w:styleId="178">
    <w:name w:val="标注格式"/>
    <w:basedOn w:val="1"/>
    <w:next w:val="1"/>
    <w:qFormat/>
    <w:uiPriority w:val="0"/>
    <w:pPr>
      <w:spacing w:line="240" w:lineRule="auto"/>
      <w:ind w:firstLine="480" w:firstLineChars="0"/>
    </w:pPr>
    <w:rPr>
      <w:rFonts w:cs="Times New Roman"/>
      <w:b/>
      <w:kern w:val="0"/>
      <w:sz w:val="18"/>
      <w:szCs w:val="18"/>
    </w:rPr>
  </w:style>
  <w:style w:type="paragraph" w:customStyle="1" w:styleId="179">
    <w:name w:val="页眉页脚"/>
    <w:basedOn w:val="1"/>
    <w:next w:val="1"/>
    <w:uiPriority w:val="0"/>
    <w:pPr>
      <w:pBdr>
        <w:bottom w:val="single" w:color="auto" w:sz="6" w:space="1"/>
      </w:pBdr>
      <w:spacing w:line="240" w:lineRule="auto"/>
      <w:ind w:firstLine="0" w:firstLineChars="0"/>
      <w:jc w:val="left"/>
    </w:pPr>
    <w:rPr>
      <w:rFonts w:cs="Times New Roman"/>
      <w:kern w:val="0"/>
      <w:sz w:val="18"/>
      <w:szCs w:val="21"/>
    </w:rPr>
  </w:style>
  <w:style w:type="paragraph" w:customStyle="1" w:styleId="180">
    <w:name w:val="引用格式"/>
    <w:basedOn w:val="1"/>
    <w:next w:val="1"/>
    <w:qFormat/>
    <w:uiPriority w:val="0"/>
    <w:pPr>
      <w:ind w:firstLine="420"/>
    </w:pPr>
    <w:rPr>
      <w:rFonts w:eastAsia="楷体" w:cs="Times New Roman"/>
      <w:kern w:val="0"/>
      <w:szCs w:val="21"/>
    </w:rPr>
  </w:style>
  <w:style w:type="character" w:customStyle="1" w:styleId="181">
    <w:name w:val="页脚 Char"/>
    <w:qFormat/>
    <w:uiPriority w:val="0"/>
    <w:rPr>
      <w:rFonts w:ascii="Times New Roman" w:hAnsi="Times New Roman" w:eastAsia="宋体" w:cs="Times New Roman"/>
      <w:sz w:val="18"/>
      <w:szCs w:val="18"/>
    </w:rPr>
  </w:style>
  <w:style w:type="paragraph" w:customStyle="1" w:styleId="182">
    <w:name w:val="正文文本 31"/>
    <w:basedOn w:val="1"/>
    <w:uiPriority w:val="0"/>
    <w:pPr>
      <w:snapToGrid/>
      <w:spacing w:line="360" w:lineRule="atLeast"/>
      <w:ind w:firstLine="0" w:firstLineChars="0"/>
      <w:jc w:val="center"/>
      <w:textAlignment w:val="baseline"/>
    </w:pPr>
    <w:rPr>
      <w:rFonts w:ascii="仿宋体" w:hAnsi="宋体" w:eastAsia="仿宋体" w:cs="Times New Roman"/>
      <w:kern w:val="0"/>
      <w:szCs w:val="20"/>
    </w:rPr>
  </w:style>
  <w:style w:type="paragraph" w:customStyle="1" w:styleId="183">
    <w:name w:val="普通(网站)1"/>
    <w:basedOn w:val="1"/>
    <w:qFormat/>
    <w:uiPriority w:val="0"/>
    <w:pPr>
      <w:widowControl/>
      <w:adjustRightInd/>
      <w:snapToGrid/>
      <w:spacing w:before="100" w:beforeAutospacing="1" w:after="100" w:afterAutospacing="1" w:line="240" w:lineRule="auto"/>
      <w:ind w:firstLine="0" w:firstLineChars="0"/>
      <w:jc w:val="left"/>
    </w:pPr>
    <w:rPr>
      <w:rFonts w:hint="eastAsia" w:ascii="宋体" w:hAnsi="宋体" w:cs="Times New Roman"/>
      <w:szCs w:val="20"/>
    </w:rPr>
  </w:style>
  <w:style w:type="table" w:customStyle="1" w:styleId="184">
    <w:name w:val="论文表格"/>
    <w:basedOn w:val="53"/>
    <w:qFormat/>
    <w:uiPriority w:val="99"/>
    <w:rPr>
      <w:rFonts w:ascii="等线" w:hAnsi="等线" w:eastAsia="等线"/>
      <w:kern w:val="2"/>
      <w:sz w:val="21"/>
      <w:szCs w:val="21"/>
    </w:rPr>
    <w:tblPr>
      <w:tblBorders>
        <w:top w:val="single" w:color="auto" w:sz="12" w:space="0"/>
        <w:bottom w:val="single" w:color="auto" w:sz="12" w:space="0"/>
      </w:tblBorders>
    </w:tblPr>
    <w:tcPr>
      <w:vAlign w:val="center"/>
    </w:tcPr>
    <w:tblStylePr w:type="firstRow">
      <w:pPr>
        <w:wordWrap/>
        <w:adjustRightInd w:val="0"/>
        <w:snapToGrid w:val="0"/>
        <w:spacing w:before="0" w:beforeLines="0" w:beforeAutospacing="0" w:after="0" w:afterLines="0" w:afterAutospacing="0" w:line="240" w:lineRule="auto"/>
        <w:ind w:left="0" w:leftChars="0" w:right="0" w:rightChars="0" w:firstLine="0" w:firstLineChars="0"/>
        <w:contextualSpacing w:val="0"/>
        <w:jc w:val="center"/>
        <w:outlineLvl w:val="9"/>
      </w:pPr>
      <w:rPr>
        <w:rFonts w:ascii="Times New Roman" w:hAnsi="Times New Roman" w:eastAsia="宋体"/>
        <w:b w:val="0"/>
        <w:i w:val="0"/>
        <w:caps w:val="0"/>
        <w:smallCaps w:val="0"/>
        <w:strike w:val="0"/>
        <w:dstrike w:val="0"/>
        <w:vanish w:val="0"/>
        <w:color w:val="auto"/>
        <w:sz w:val="21"/>
        <w:vertAlign w:val="baseline"/>
      </w:rPr>
      <w:tblPr>
        <w:jc w:val="center"/>
      </w:tblPr>
      <w:trPr>
        <w:tblHeader/>
        <w:jc w:val="center"/>
      </w:trPr>
      <w:tcPr>
        <w:tcBorders>
          <w:top w:val="single" w:color="auto" w:sz="12" w:space="0"/>
          <w:left w:val="nil"/>
          <w:bottom w:val="single" w:color="auto" w:sz="4" w:space="0"/>
          <w:right w:val="nil"/>
          <w:insideH w:val="nil"/>
          <w:insideV w:val="nil"/>
          <w:tl2br w:val="nil"/>
          <w:tr2bl w:val="nil"/>
        </w:tcBorders>
        <w:vAlign w:val="center"/>
      </w:tcPr>
    </w:tblStylePr>
  </w:style>
  <w:style w:type="character" w:customStyle="1" w:styleId="185">
    <w:name w:val="表格内容 Char"/>
    <w:qFormat/>
    <w:uiPriority w:val="0"/>
    <w:rPr>
      <w:kern w:val="2"/>
      <w:sz w:val="21"/>
      <w:szCs w:val="21"/>
      <w:lang w:val="en-US" w:eastAsia="zh-CN" w:bidi="ar-SA"/>
    </w:rPr>
  </w:style>
  <w:style w:type="paragraph" w:customStyle="1" w:styleId="186">
    <w:name w:val="SSEC表字居中 20150323"/>
    <w:link w:val="187"/>
    <w:qFormat/>
    <w:uiPriority w:val="0"/>
    <w:pPr>
      <w:adjustRightInd w:val="0"/>
      <w:snapToGrid w:val="0"/>
      <w:jc w:val="center"/>
      <w:textAlignment w:val="center"/>
    </w:pPr>
    <w:rPr>
      <w:rFonts w:ascii="宋体" w:hAnsi="Times New Roman" w:eastAsia="宋体" w:cs="Times New Roman"/>
      <w:kern w:val="2"/>
      <w:sz w:val="21"/>
      <w:szCs w:val="21"/>
      <w:lang w:val="en-US" w:eastAsia="zh-CN" w:bidi="ar-SA"/>
    </w:rPr>
  </w:style>
  <w:style w:type="character" w:customStyle="1" w:styleId="187">
    <w:name w:val="SSEC表字居中 20150323 Char"/>
    <w:link w:val="186"/>
    <w:uiPriority w:val="0"/>
    <w:rPr>
      <w:rFonts w:ascii="宋体" w:hAnsi="Times New Roman"/>
      <w:kern w:val="2"/>
      <w:sz w:val="21"/>
      <w:szCs w:val="21"/>
    </w:rPr>
  </w:style>
  <w:style w:type="paragraph" w:customStyle="1" w:styleId="188">
    <w:name w:val="报告正文"/>
    <w:basedOn w:val="1"/>
    <w:link w:val="723"/>
    <w:qFormat/>
    <w:uiPriority w:val="0"/>
    <w:pPr>
      <w:adjustRightInd/>
      <w:snapToGrid/>
      <w:spacing w:line="400" w:lineRule="exact"/>
      <w:ind w:firstLine="482" w:firstLineChars="0"/>
    </w:pPr>
    <w:rPr>
      <w:rFonts w:cs="Times New Roman"/>
      <w:szCs w:val="20"/>
    </w:rPr>
  </w:style>
  <w:style w:type="character" w:customStyle="1" w:styleId="189">
    <w:name w:val="正文文本 字符"/>
    <w:link w:val="19"/>
    <w:qFormat/>
    <w:uiPriority w:val="0"/>
    <w:rPr>
      <w:rFonts w:ascii="宋体" w:hAnsi="宋体" w:cs="宋体"/>
      <w:kern w:val="2"/>
      <w:sz w:val="24"/>
      <w:szCs w:val="24"/>
    </w:rPr>
  </w:style>
  <w:style w:type="paragraph" w:customStyle="1" w:styleId="190">
    <w:name w:val="正文格式"/>
    <w:next w:val="1"/>
    <w:link w:val="191"/>
    <w:uiPriority w:val="0"/>
    <w:pPr>
      <w:spacing w:before="120" w:beforeLines="50" w:line="440" w:lineRule="exact"/>
      <w:ind w:firstLine="560" w:firstLineChars="200"/>
    </w:pPr>
    <w:rPr>
      <w:rFonts w:ascii="Times New Roman" w:hAnsi="Times New Roman" w:eastAsia="方正仿宋_GB2312" w:cs="Times New Roman"/>
      <w:kern w:val="2"/>
      <w:sz w:val="28"/>
      <w:szCs w:val="28"/>
      <w:lang w:val="en-US" w:eastAsia="zh-CN" w:bidi="ar-SA"/>
    </w:rPr>
  </w:style>
  <w:style w:type="character" w:customStyle="1" w:styleId="191">
    <w:name w:val="正文格式 Char"/>
    <w:link w:val="190"/>
    <w:qFormat/>
    <w:uiPriority w:val="0"/>
    <w:rPr>
      <w:rFonts w:ascii="Times New Roman" w:hAnsi="Times New Roman" w:eastAsia="方正仿宋_GB2312"/>
      <w:kern w:val="2"/>
      <w:sz w:val="28"/>
      <w:szCs w:val="28"/>
    </w:rPr>
  </w:style>
  <w:style w:type="paragraph" w:customStyle="1" w:styleId="192">
    <w:name w:val="表格内字体"/>
    <w:basedOn w:val="190"/>
    <w:next w:val="190"/>
    <w:qFormat/>
    <w:uiPriority w:val="0"/>
    <w:pPr>
      <w:spacing w:before="0" w:beforeLines="0" w:line="240" w:lineRule="auto"/>
      <w:ind w:firstLine="0" w:firstLineChars="0"/>
      <w:jc w:val="center"/>
    </w:pPr>
    <w:rPr>
      <w:rFonts w:eastAsia="宋体"/>
      <w:kern w:val="0"/>
      <w:sz w:val="21"/>
      <w:szCs w:val="24"/>
      <w:lang w:val="zh-CN"/>
    </w:rPr>
  </w:style>
  <w:style w:type="paragraph" w:customStyle="1" w:styleId="193">
    <w:name w:val="T标题1级"/>
    <w:basedOn w:val="2"/>
    <w:next w:val="1"/>
    <w:qFormat/>
    <w:uiPriority w:val="0"/>
    <w:pPr>
      <w:keepNext/>
      <w:widowControl/>
      <w:numPr>
        <w:numId w:val="9"/>
      </w:numPr>
      <w:tabs>
        <w:tab w:val="center" w:pos="500"/>
      </w:tabs>
      <w:overflowPunct w:val="0"/>
      <w:snapToGrid/>
      <w:spacing w:before="156" w:beforeLines="50" w:after="156" w:afterLines="50"/>
      <w:ind w:right="0" w:firstLine="0" w:firstLineChars="0"/>
      <w:jc w:val="both"/>
      <w:textAlignment w:val="center"/>
    </w:pPr>
    <w:rPr>
      <w:rFonts w:eastAsia="方正仿宋_GB2312"/>
      <w:b/>
      <w:kern w:val="44"/>
      <w:sz w:val="28"/>
      <w:szCs w:val="28"/>
    </w:rPr>
  </w:style>
  <w:style w:type="paragraph" w:customStyle="1" w:styleId="194">
    <w:name w:val="T标题2级"/>
    <w:basedOn w:val="3"/>
    <w:next w:val="4"/>
    <w:qFormat/>
    <w:uiPriority w:val="0"/>
    <w:pPr>
      <w:keepNext/>
      <w:keepLines/>
      <w:widowControl/>
      <w:numPr>
        <w:numId w:val="9"/>
      </w:numPr>
      <w:tabs>
        <w:tab w:val="center" w:pos="500"/>
        <w:tab w:val="clear" w:pos="420"/>
      </w:tabs>
      <w:overflowPunct w:val="0"/>
      <w:adjustRightInd/>
      <w:snapToGrid/>
      <w:spacing w:before="120" w:after="120" w:afterLines="50"/>
      <w:ind w:firstLine="0" w:firstLineChars="0"/>
      <w:contextualSpacing/>
      <w:jc w:val="left"/>
      <w:textAlignment w:val="center"/>
    </w:pPr>
    <w:rPr>
      <w:rFonts w:eastAsia="方正仿宋_GB2312"/>
      <w:b/>
      <w:kern w:val="0"/>
      <w:sz w:val="24"/>
      <w:szCs w:val="24"/>
      <w:lang w:val="zh-CN"/>
    </w:rPr>
  </w:style>
  <w:style w:type="paragraph" w:customStyle="1" w:styleId="195">
    <w:name w:val="T标题5级"/>
    <w:basedOn w:val="6"/>
    <w:next w:val="1"/>
    <w:uiPriority w:val="0"/>
    <w:pPr>
      <w:keepNext/>
      <w:keepLines/>
      <w:widowControl/>
      <w:numPr>
        <w:numId w:val="9"/>
      </w:numPr>
      <w:overflowPunct w:val="0"/>
      <w:autoSpaceDE w:val="0"/>
      <w:autoSpaceDN w:val="0"/>
      <w:snapToGrid/>
      <w:ind w:firstLine="0" w:firstLineChars="0"/>
      <w:jc w:val="left"/>
      <w:textAlignment w:val="baseline"/>
    </w:pPr>
    <w:rPr>
      <w:rFonts w:ascii="Times New Roman" w:hAnsi="Times New Roman" w:eastAsia="方正仿宋_GB2312" w:cs="Times New Roman"/>
      <w:b w:val="0"/>
      <w:bCs w:val="0"/>
      <w:kern w:val="0"/>
    </w:rPr>
  </w:style>
  <w:style w:type="paragraph" w:customStyle="1" w:styleId="196">
    <w:name w:val="p0"/>
    <w:basedOn w:val="1"/>
    <w:qFormat/>
    <w:uiPriority w:val="0"/>
    <w:pPr>
      <w:widowControl/>
      <w:adjustRightInd/>
      <w:snapToGrid/>
      <w:spacing w:line="240" w:lineRule="auto"/>
      <w:ind w:firstLine="0" w:firstLineChars="0"/>
    </w:pPr>
    <w:rPr>
      <w:rFonts w:cs="Times New Roman"/>
      <w:kern w:val="0"/>
      <w:sz w:val="21"/>
      <w:szCs w:val="20"/>
    </w:rPr>
  </w:style>
  <w:style w:type="paragraph" w:customStyle="1" w:styleId="197">
    <w:name w:val="样式1"/>
    <w:basedOn w:val="1"/>
    <w:link w:val="198"/>
    <w:qFormat/>
    <w:uiPriority w:val="0"/>
    <w:pPr>
      <w:adjustRightInd/>
      <w:snapToGrid/>
      <w:spacing w:line="240" w:lineRule="auto"/>
      <w:ind w:firstLine="0" w:firstLineChars="0"/>
    </w:pPr>
    <w:rPr>
      <w:rFonts w:cs="Times New Roman"/>
      <w:sz w:val="21"/>
      <w:szCs w:val="20"/>
    </w:rPr>
  </w:style>
  <w:style w:type="character" w:customStyle="1" w:styleId="198">
    <w:name w:val="样式1 Char"/>
    <w:link w:val="197"/>
    <w:uiPriority w:val="0"/>
    <w:rPr>
      <w:rFonts w:ascii="Times New Roman" w:hAnsi="Times New Roman"/>
      <w:kern w:val="2"/>
      <w:sz w:val="21"/>
    </w:rPr>
  </w:style>
  <w:style w:type="character" w:customStyle="1" w:styleId="199">
    <w:name w:val="列表 字符"/>
    <w:link w:val="41"/>
    <w:qFormat/>
    <w:locked/>
    <w:uiPriority w:val="99"/>
    <w:rPr>
      <w:rFonts w:ascii="Times New Roman" w:hAnsi="Times New Roman" w:cs="宋体"/>
      <w:kern w:val="2"/>
      <w:sz w:val="21"/>
      <w:szCs w:val="22"/>
    </w:rPr>
  </w:style>
  <w:style w:type="paragraph" w:customStyle="1" w:styleId="200">
    <w:name w:val="能力-表格正文"/>
    <w:basedOn w:val="1"/>
    <w:qFormat/>
    <w:uiPriority w:val="0"/>
    <w:pPr>
      <w:adjustRightInd/>
      <w:snapToGrid/>
      <w:spacing w:line="240" w:lineRule="auto"/>
      <w:ind w:firstLine="0" w:firstLineChars="0"/>
      <w:jc w:val="center"/>
    </w:pPr>
    <w:rPr>
      <w:rFonts w:cs="Times New Roman"/>
      <w:sz w:val="21"/>
    </w:rPr>
  </w:style>
  <w:style w:type="table" w:customStyle="1" w:styleId="201">
    <w:name w:val="网格型浅色1"/>
    <w:basedOn w:val="53"/>
    <w:qFormat/>
    <w:uiPriority w:val="40"/>
    <w:rPr>
      <w:rFonts w:ascii="等线" w:hAnsi="等线" w:eastAsia="等线"/>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202">
    <w:name w:val="4"/>
    <w:basedOn w:val="1"/>
    <w:next w:val="13"/>
    <w:qFormat/>
    <w:uiPriority w:val="99"/>
    <w:pPr>
      <w:adjustRightInd/>
      <w:snapToGrid/>
      <w:spacing w:line="240" w:lineRule="auto"/>
      <w:ind w:firstLine="420" w:firstLineChars="0"/>
    </w:pPr>
    <w:rPr>
      <w:rFonts w:cs="Times New Roman"/>
      <w:sz w:val="21"/>
      <w:szCs w:val="20"/>
    </w:rPr>
  </w:style>
  <w:style w:type="character" w:customStyle="1" w:styleId="203">
    <w:name w:val="能力-标题4 Char"/>
    <w:link w:val="204"/>
    <w:qFormat/>
    <w:uiPriority w:val="99"/>
    <w:rPr>
      <w:b/>
      <w:sz w:val="24"/>
      <w:szCs w:val="22"/>
    </w:rPr>
  </w:style>
  <w:style w:type="paragraph" w:customStyle="1" w:styleId="204">
    <w:name w:val="能力-标题4"/>
    <w:next w:val="1"/>
    <w:link w:val="203"/>
    <w:uiPriority w:val="99"/>
    <w:pPr>
      <w:numPr>
        <w:ilvl w:val="3"/>
        <w:numId w:val="10"/>
      </w:numPr>
      <w:spacing w:line="360" w:lineRule="auto"/>
      <w:outlineLvl w:val="3"/>
    </w:pPr>
    <w:rPr>
      <w:rFonts w:ascii="Calibri" w:hAnsi="Calibri" w:eastAsia="宋体" w:cs="Times New Roman"/>
      <w:b/>
      <w:sz w:val="24"/>
      <w:szCs w:val="22"/>
      <w:lang w:val="en-US" w:eastAsia="zh-CN" w:bidi="ar-SA"/>
    </w:rPr>
  </w:style>
  <w:style w:type="paragraph" w:customStyle="1" w:styleId="205">
    <w:name w:val="能力-标题1"/>
    <w:next w:val="1"/>
    <w:qFormat/>
    <w:uiPriority w:val="99"/>
    <w:pPr>
      <w:numPr>
        <w:ilvl w:val="0"/>
        <w:numId w:val="10"/>
      </w:numPr>
      <w:spacing w:line="360" w:lineRule="auto"/>
      <w:jc w:val="center"/>
      <w:outlineLvl w:val="0"/>
    </w:pPr>
    <w:rPr>
      <w:rFonts w:ascii="Times New Roman" w:hAnsi="Times New Roman" w:eastAsia="宋体" w:cs="Times New Roman"/>
      <w:b/>
      <w:kern w:val="2"/>
      <w:sz w:val="28"/>
      <w:szCs w:val="22"/>
      <w:lang w:val="en-US" w:eastAsia="zh-CN" w:bidi="ar-SA"/>
    </w:rPr>
  </w:style>
  <w:style w:type="paragraph" w:customStyle="1" w:styleId="206">
    <w:name w:val="能力-标题2"/>
    <w:next w:val="1"/>
    <w:qFormat/>
    <w:uiPriority w:val="99"/>
    <w:pPr>
      <w:numPr>
        <w:ilvl w:val="1"/>
        <w:numId w:val="10"/>
      </w:numPr>
      <w:spacing w:line="360" w:lineRule="auto"/>
      <w:jc w:val="center"/>
      <w:outlineLvl w:val="1"/>
    </w:pPr>
    <w:rPr>
      <w:rFonts w:ascii="Times New Roman" w:hAnsi="Times New Roman" w:eastAsia="宋体" w:cs="Times New Roman"/>
      <w:b/>
      <w:kern w:val="2"/>
      <w:sz w:val="24"/>
      <w:szCs w:val="22"/>
      <w:lang w:val="en-US" w:eastAsia="zh-CN" w:bidi="ar-SA"/>
    </w:rPr>
  </w:style>
  <w:style w:type="paragraph" w:customStyle="1" w:styleId="207">
    <w:name w:val="能力-标题3"/>
    <w:next w:val="1"/>
    <w:link w:val="230"/>
    <w:uiPriority w:val="0"/>
    <w:pPr>
      <w:numPr>
        <w:ilvl w:val="2"/>
        <w:numId w:val="10"/>
      </w:numPr>
      <w:spacing w:line="360" w:lineRule="auto"/>
      <w:outlineLvl w:val="2"/>
    </w:pPr>
    <w:rPr>
      <w:rFonts w:ascii="Times New Roman" w:hAnsi="Times New Roman" w:eastAsia="宋体" w:cs="Times New Roman"/>
      <w:b/>
      <w:kern w:val="2"/>
      <w:sz w:val="24"/>
      <w:szCs w:val="22"/>
      <w:lang w:val="en-US" w:eastAsia="zh-CN" w:bidi="ar-SA"/>
    </w:rPr>
  </w:style>
  <w:style w:type="character" w:customStyle="1" w:styleId="208">
    <w:name w:val="正文缩进 字符"/>
    <w:link w:val="13"/>
    <w:qFormat/>
    <w:uiPriority w:val="0"/>
    <w:rPr>
      <w:rFonts w:ascii="Times New Roman" w:hAnsi="Times New Roman"/>
      <w:sz w:val="24"/>
      <w:szCs w:val="21"/>
    </w:rPr>
  </w:style>
  <w:style w:type="paragraph" w:customStyle="1" w:styleId="209">
    <w:name w:val="B图表标题"/>
    <w:basedOn w:val="1"/>
    <w:link w:val="210"/>
    <w:qFormat/>
    <w:uiPriority w:val="0"/>
    <w:pPr>
      <w:spacing w:line="240" w:lineRule="auto"/>
      <w:ind w:firstLine="0" w:firstLineChars="0"/>
      <w:jc w:val="center"/>
    </w:pPr>
    <w:rPr>
      <w:rFonts w:ascii="宋体" w:hAnsi="宋体" w:cs="Times New Roman"/>
      <w:b/>
      <w:szCs w:val="24"/>
    </w:rPr>
  </w:style>
  <w:style w:type="character" w:customStyle="1" w:styleId="210">
    <w:name w:val="B图表标题 Char"/>
    <w:link w:val="209"/>
    <w:uiPriority w:val="0"/>
    <w:rPr>
      <w:rFonts w:ascii="宋体" w:hAnsi="宋体"/>
      <w:b/>
      <w:kern w:val="2"/>
      <w:sz w:val="24"/>
      <w:szCs w:val="24"/>
    </w:rPr>
  </w:style>
  <w:style w:type="paragraph" w:customStyle="1" w:styleId="211">
    <w:name w:val="能力-正文"/>
    <w:basedOn w:val="1"/>
    <w:qFormat/>
    <w:uiPriority w:val="99"/>
    <w:pPr>
      <w:adjustRightInd/>
      <w:snapToGrid/>
    </w:pPr>
    <w:rPr>
      <w:rFonts w:cs="Times New Roman"/>
    </w:rPr>
  </w:style>
  <w:style w:type="character" w:customStyle="1" w:styleId="212">
    <w:name w:val="font61"/>
    <w:qFormat/>
    <w:uiPriority w:val="0"/>
    <w:rPr>
      <w:rFonts w:hint="eastAsia" w:ascii="宋体" w:hAnsi="宋体" w:eastAsia="宋体" w:cs="宋体"/>
      <w:color w:val="000000"/>
      <w:sz w:val="21"/>
      <w:szCs w:val="21"/>
      <w:u w:val="none"/>
      <w:vertAlign w:val="superscript"/>
    </w:rPr>
  </w:style>
  <w:style w:type="character" w:customStyle="1" w:styleId="213">
    <w:name w:val="font41"/>
    <w:uiPriority w:val="0"/>
    <w:rPr>
      <w:rFonts w:hint="eastAsia" w:ascii="宋体" w:hAnsi="宋体" w:eastAsia="宋体" w:cs="宋体"/>
      <w:color w:val="000000"/>
      <w:sz w:val="21"/>
      <w:szCs w:val="21"/>
      <w:u w:val="none"/>
    </w:rPr>
  </w:style>
  <w:style w:type="character" w:customStyle="1" w:styleId="214">
    <w:name w:val="font21"/>
    <w:qFormat/>
    <w:uiPriority w:val="0"/>
    <w:rPr>
      <w:rFonts w:hint="eastAsia" w:ascii="宋体" w:hAnsi="宋体" w:eastAsia="宋体" w:cs="宋体"/>
      <w:color w:val="000000"/>
      <w:sz w:val="21"/>
      <w:szCs w:val="21"/>
      <w:u w:val="none"/>
    </w:rPr>
  </w:style>
  <w:style w:type="character" w:customStyle="1" w:styleId="215">
    <w:name w:val="font51"/>
    <w:qFormat/>
    <w:uiPriority w:val="0"/>
    <w:rPr>
      <w:rFonts w:hint="default" w:ascii="Times New Roman" w:hAnsi="Times New Roman" w:cs="Times New Roman"/>
      <w:color w:val="000000"/>
      <w:sz w:val="21"/>
      <w:szCs w:val="21"/>
      <w:u w:val="none"/>
      <w:vertAlign w:val="superscript"/>
    </w:rPr>
  </w:style>
  <w:style w:type="paragraph" w:customStyle="1" w:styleId="216">
    <w:name w:val="5级正文"/>
    <w:basedOn w:val="1"/>
    <w:uiPriority w:val="0"/>
    <w:pPr>
      <w:adjustRightInd/>
      <w:snapToGrid/>
      <w:jc w:val="left"/>
    </w:pPr>
    <w:rPr>
      <w:rFonts w:ascii="宋体" w:hAnsi="宋体" w:cs="Times New Roman"/>
      <w:szCs w:val="24"/>
    </w:rPr>
  </w:style>
  <w:style w:type="character" w:customStyle="1" w:styleId="217">
    <w:name w:val="批注框文本 字符"/>
    <w:semiHidden/>
    <w:qFormat/>
    <w:uiPriority w:val="99"/>
    <w:rPr>
      <w:rFonts w:ascii="Times New Roman" w:hAnsi="Times New Roman" w:cs="Times New Roman"/>
      <w:sz w:val="18"/>
      <w:szCs w:val="18"/>
    </w:rPr>
  </w:style>
  <w:style w:type="character" w:customStyle="1" w:styleId="218">
    <w:name w:val="表格格式 Char"/>
    <w:link w:val="177"/>
    <w:qFormat/>
    <w:uiPriority w:val="0"/>
    <w:rPr>
      <w:rFonts w:ascii="Times New Roman" w:hAnsi="Times New Roman" w:eastAsia="等线"/>
      <w:snapToGrid w:val="0"/>
      <w:sz w:val="21"/>
      <w:szCs w:val="21"/>
    </w:rPr>
  </w:style>
  <w:style w:type="character" w:styleId="219">
    <w:name w:val="Placeholder Text"/>
    <w:semiHidden/>
    <w:uiPriority w:val="99"/>
    <w:rPr>
      <w:color w:val="808080"/>
    </w:rPr>
  </w:style>
  <w:style w:type="character" w:customStyle="1" w:styleId="220">
    <w:name w:val="文档结构图 字符"/>
    <w:link w:val="16"/>
    <w:qFormat/>
    <w:uiPriority w:val="99"/>
    <w:rPr>
      <w:rFonts w:ascii="宋体" w:hAnsi="Times New Roman"/>
      <w:sz w:val="18"/>
      <w:szCs w:val="18"/>
    </w:rPr>
  </w:style>
  <w:style w:type="paragraph" w:customStyle="1" w:styleId="221">
    <w:name w:val="04 四级标题"/>
    <w:next w:val="1"/>
    <w:semiHidden/>
    <w:qFormat/>
    <w:uiPriority w:val="0"/>
    <w:pPr>
      <w:numPr>
        <w:ilvl w:val="0"/>
        <w:numId w:val="11"/>
      </w:numPr>
      <w:spacing w:before="120" w:line="520" w:lineRule="exact"/>
    </w:pPr>
    <w:rPr>
      <w:rFonts w:ascii="宋体" w:hAnsi="宋体" w:eastAsia="宋体" w:cs="Times New Roman"/>
      <w:b/>
      <w:spacing w:val="-2"/>
      <w:kern w:val="2"/>
      <w:sz w:val="24"/>
      <w:szCs w:val="24"/>
      <w:lang w:val="en-US" w:eastAsia="zh-CN" w:bidi="ar-SA"/>
    </w:rPr>
  </w:style>
  <w:style w:type="character" w:customStyle="1" w:styleId="222">
    <w:name w:val="题注 字符"/>
    <w:link w:val="14"/>
    <w:qFormat/>
    <w:uiPriority w:val="0"/>
    <w:rPr>
      <w:rFonts w:ascii="等线 Light" w:hAnsi="等线 Light" w:eastAsia="黑体"/>
    </w:rPr>
  </w:style>
  <w:style w:type="paragraph" w:customStyle="1" w:styleId="223">
    <w:name w:val="报告书表格2"/>
    <w:basedOn w:val="1"/>
    <w:uiPriority w:val="0"/>
    <w:pPr>
      <w:spacing w:before="60" w:after="120" w:line="240" w:lineRule="atLeast"/>
      <w:ind w:firstLine="567" w:firstLineChars="0"/>
      <w:jc w:val="center"/>
      <w:textAlignment w:val="baseline"/>
    </w:pPr>
    <w:rPr>
      <w:rFonts w:cs="Times New Roman"/>
      <w:kern w:val="0"/>
      <w:sz w:val="28"/>
      <w:szCs w:val="20"/>
    </w:rPr>
  </w:style>
  <w:style w:type="character" w:customStyle="1" w:styleId="224">
    <w:name w:val="6标题-表头 Char"/>
    <w:link w:val="143"/>
    <w:qFormat/>
    <w:uiPriority w:val="0"/>
    <w:rPr>
      <w:rFonts w:ascii="Times New Roman" w:hAnsi="Times New Roman"/>
      <w:b/>
      <w:kern w:val="2"/>
      <w:sz w:val="24"/>
      <w:szCs w:val="24"/>
    </w:rPr>
  </w:style>
  <w:style w:type="character" w:customStyle="1" w:styleId="225">
    <w:name w:val="正文文本 (2) + 间距 0 pt"/>
    <w:qFormat/>
    <w:uiPriority w:val="99"/>
    <w:rPr>
      <w:rFonts w:ascii="黑体" w:eastAsia="黑体" w:cs="黑体"/>
      <w:spacing w:val="0"/>
      <w:sz w:val="13"/>
      <w:szCs w:val="13"/>
      <w:u w:val="none"/>
    </w:rPr>
  </w:style>
  <w:style w:type="character" w:customStyle="1" w:styleId="226">
    <w:name w:val="正文文本 (2)_"/>
    <w:link w:val="227"/>
    <w:uiPriority w:val="99"/>
    <w:rPr>
      <w:rFonts w:ascii="黑体" w:eastAsia="黑体" w:cs="黑体"/>
      <w:spacing w:val="10"/>
      <w:sz w:val="13"/>
      <w:szCs w:val="13"/>
      <w:shd w:val="clear" w:color="auto" w:fill="FFFFFF"/>
    </w:rPr>
  </w:style>
  <w:style w:type="paragraph" w:customStyle="1" w:styleId="227">
    <w:name w:val="正文文本 (2)1"/>
    <w:basedOn w:val="1"/>
    <w:link w:val="226"/>
    <w:qFormat/>
    <w:uiPriority w:val="99"/>
    <w:pPr>
      <w:shd w:val="clear" w:color="auto" w:fill="FFFFFF"/>
      <w:adjustRightInd/>
      <w:snapToGrid/>
      <w:spacing w:line="168" w:lineRule="exact"/>
      <w:ind w:firstLine="0" w:firstLineChars="0"/>
      <w:jc w:val="distribute"/>
    </w:pPr>
    <w:rPr>
      <w:rFonts w:ascii="黑体" w:hAnsi="Calibri" w:eastAsia="黑体" w:cs="黑体"/>
      <w:spacing w:val="10"/>
      <w:kern w:val="0"/>
      <w:sz w:val="13"/>
      <w:szCs w:val="13"/>
    </w:rPr>
  </w:style>
  <w:style w:type="character" w:customStyle="1" w:styleId="228">
    <w:name w:val="正文文本 (2) + 间距 2 pt"/>
    <w:qFormat/>
    <w:uiPriority w:val="99"/>
    <w:rPr>
      <w:rFonts w:ascii="黑体" w:eastAsia="黑体" w:cs="黑体"/>
      <w:spacing w:val="40"/>
      <w:sz w:val="13"/>
      <w:szCs w:val="13"/>
      <w:shd w:val="clear" w:color="auto" w:fill="FFFFFF"/>
    </w:rPr>
  </w:style>
  <w:style w:type="character" w:customStyle="1" w:styleId="229">
    <w:name w:val="正文文本 (2) + 间距 0 pt1"/>
    <w:uiPriority w:val="99"/>
    <w:rPr>
      <w:rFonts w:ascii="黑体" w:eastAsia="黑体" w:cs="黑体"/>
      <w:spacing w:val="-10"/>
      <w:sz w:val="13"/>
      <w:szCs w:val="13"/>
      <w:shd w:val="clear" w:color="auto" w:fill="FFFFFF"/>
    </w:rPr>
  </w:style>
  <w:style w:type="character" w:customStyle="1" w:styleId="230">
    <w:name w:val="能力-标题3 Char"/>
    <w:link w:val="207"/>
    <w:qFormat/>
    <w:uiPriority w:val="0"/>
    <w:rPr>
      <w:rFonts w:ascii="Times New Roman" w:hAnsi="Times New Roman"/>
      <w:b/>
      <w:kern w:val="2"/>
      <w:sz w:val="24"/>
      <w:szCs w:val="22"/>
    </w:rPr>
  </w:style>
  <w:style w:type="character" w:customStyle="1" w:styleId="231">
    <w:name w:val="正文缩进 字符1"/>
    <w:qFormat/>
    <w:uiPriority w:val="0"/>
  </w:style>
  <w:style w:type="character" w:customStyle="1" w:styleId="232">
    <w:name w:val="正文文本缩进 2 字符"/>
    <w:link w:val="22"/>
    <w:uiPriority w:val="99"/>
    <w:rPr>
      <w:rFonts w:ascii="Times New Roman" w:hAnsi="Times New Roman" w:cs="宋体"/>
      <w:kern w:val="2"/>
      <w:sz w:val="24"/>
      <w:szCs w:val="22"/>
    </w:rPr>
  </w:style>
  <w:style w:type="paragraph" w:customStyle="1" w:styleId="233">
    <w:name w:val="6级表名图名"/>
    <w:basedOn w:val="1"/>
    <w:qFormat/>
    <w:uiPriority w:val="99"/>
    <w:pPr>
      <w:adjustRightInd/>
      <w:snapToGrid/>
      <w:ind w:firstLine="480"/>
      <w:jc w:val="center"/>
    </w:pPr>
    <w:rPr>
      <w:rFonts w:ascii="宋体" w:hAnsi="宋体" w:cs="Times New Roman"/>
      <w:sz w:val="21"/>
      <w:szCs w:val="24"/>
    </w:rPr>
  </w:style>
  <w:style w:type="character" w:customStyle="1" w:styleId="234">
    <w:name w:val="表格文字 Char"/>
    <w:link w:val="235"/>
    <w:qFormat/>
    <w:uiPriority w:val="0"/>
    <w:rPr>
      <w:sz w:val="21"/>
      <w:szCs w:val="24"/>
    </w:rPr>
  </w:style>
  <w:style w:type="paragraph" w:customStyle="1" w:styleId="235">
    <w:name w:val="表格文字"/>
    <w:basedOn w:val="1"/>
    <w:link w:val="234"/>
    <w:uiPriority w:val="0"/>
    <w:pPr>
      <w:spacing w:line="240" w:lineRule="auto"/>
      <w:ind w:firstLine="0" w:firstLineChars="0"/>
      <w:jc w:val="center"/>
      <w:textAlignment w:val="baseline"/>
    </w:pPr>
    <w:rPr>
      <w:rFonts w:ascii="Calibri" w:hAnsi="Calibri" w:cs="Times New Roman"/>
      <w:kern w:val="0"/>
      <w:sz w:val="21"/>
      <w:szCs w:val="24"/>
    </w:rPr>
  </w:style>
  <w:style w:type="paragraph" w:customStyle="1" w:styleId="236">
    <w:name w:val="9表格内容"/>
    <w:basedOn w:val="1"/>
    <w:next w:val="1"/>
    <w:link w:val="237"/>
    <w:qFormat/>
    <w:uiPriority w:val="0"/>
    <w:pPr>
      <w:jc w:val="center"/>
    </w:pPr>
    <w:rPr>
      <w:rFonts w:cs="Times New Roman"/>
      <w:szCs w:val="28"/>
    </w:rPr>
  </w:style>
  <w:style w:type="character" w:customStyle="1" w:styleId="237">
    <w:name w:val="9表格内容 Char"/>
    <w:link w:val="236"/>
    <w:qFormat/>
    <w:uiPriority w:val="0"/>
    <w:rPr>
      <w:rFonts w:ascii="Times New Roman" w:hAnsi="Times New Roman"/>
      <w:kern w:val="2"/>
      <w:sz w:val="24"/>
      <w:szCs w:val="28"/>
    </w:rPr>
  </w:style>
  <w:style w:type="character" w:customStyle="1" w:styleId="238">
    <w:name w:val="4级标题 Char"/>
    <w:link w:val="141"/>
    <w:qFormat/>
    <w:uiPriority w:val="0"/>
    <w:rPr>
      <w:rFonts w:ascii="Times New Roman" w:hAnsi="Times New Roman"/>
      <w:b/>
      <w:kern w:val="2"/>
      <w:sz w:val="24"/>
      <w:szCs w:val="24"/>
    </w:rPr>
  </w:style>
  <w:style w:type="paragraph" w:customStyle="1" w:styleId="239">
    <w:name w:val="xu-正文"/>
    <w:basedOn w:val="1"/>
    <w:link w:val="240"/>
    <w:qFormat/>
    <w:uiPriority w:val="0"/>
    <w:pPr>
      <w:widowControl/>
    </w:pPr>
    <w:rPr>
      <w:rFonts w:eastAsia="方正仿宋_GB2312" w:cs="Times New Roman"/>
      <w:kern w:val="0"/>
    </w:rPr>
  </w:style>
  <w:style w:type="character" w:customStyle="1" w:styleId="240">
    <w:name w:val="xu-正文 Char"/>
    <w:link w:val="239"/>
    <w:qFormat/>
    <w:uiPriority w:val="0"/>
    <w:rPr>
      <w:rFonts w:ascii="Times New Roman" w:hAnsi="Times New Roman" w:eastAsia="方正仿宋_GB2312"/>
      <w:sz w:val="24"/>
      <w:szCs w:val="22"/>
    </w:rPr>
  </w:style>
  <w:style w:type="paragraph" w:customStyle="1" w:styleId="241">
    <w:name w:val="xyb表格"/>
    <w:next w:val="1"/>
    <w:uiPriority w:val="0"/>
    <w:pPr>
      <w:jc w:val="center"/>
    </w:pPr>
    <w:rPr>
      <w:rFonts w:ascii="Calibri" w:hAnsi="Calibri" w:eastAsia="宋体" w:cs="Times New Roman"/>
      <w:color w:val="000000"/>
      <w:kern w:val="2"/>
      <w:sz w:val="21"/>
      <w:szCs w:val="24"/>
      <w:lang w:val="en-US" w:eastAsia="zh-CN" w:bidi="ar-SA"/>
    </w:rPr>
  </w:style>
  <w:style w:type="character" w:customStyle="1" w:styleId="242">
    <w:name w:val="xc正文 Char"/>
    <w:link w:val="243"/>
    <w:qFormat/>
    <w:uiPriority w:val="0"/>
    <w:rPr>
      <w:kern w:val="2"/>
      <w:sz w:val="24"/>
      <w:szCs w:val="24"/>
    </w:rPr>
  </w:style>
  <w:style w:type="paragraph" w:customStyle="1" w:styleId="243">
    <w:name w:val="xc正文"/>
    <w:basedOn w:val="1"/>
    <w:link w:val="242"/>
    <w:qFormat/>
    <w:uiPriority w:val="0"/>
    <w:pPr>
      <w:adjustRightInd/>
      <w:snapToGrid/>
      <w:ind w:firstLine="480"/>
      <w:jc w:val="left"/>
    </w:pPr>
    <w:rPr>
      <w:rFonts w:ascii="Calibri" w:hAnsi="Calibri" w:cs="Times New Roman"/>
      <w:szCs w:val="24"/>
    </w:rPr>
  </w:style>
  <w:style w:type="paragraph" w:customStyle="1" w:styleId="244">
    <w:name w:val="msonormal"/>
    <w:basedOn w:val="1"/>
    <w:uiPriority w:val="0"/>
    <w:pPr>
      <w:widowControl/>
      <w:adjustRightInd/>
      <w:snapToGrid/>
      <w:spacing w:before="100" w:beforeAutospacing="1" w:after="100" w:afterAutospacing="1" w:line="240" w:lineRule="auto"/>
      <w:ind w:firstLine="0" w:firstLineChars="0"/>
      <w:jc w:val="left"/>
    </w:pPr>
    <w:rPr>
      <w:rFonts w:ascii="宋体" w:hAnsi="宋体"/>
      <w:kern w:val="0"/>
      <w:szCs w:val="24"/>
    </w:rPr>
  </w:style>
  <w:style w:type="table" w:customStyle="1" w:styleId="245">
    <w:name w:val="表格样式"/>
    <w:basedOn w:val="53"/>
    <w:qFormat/>
    <w:uiPriority w:val="0"/>
    <w:pPr>
      <w:adjustRightInd w:val="0"/>
      <w:snapToGrid w:val="0"/>
      <w:spacing w:before="30" w:after="30"/>
      <w:jc w:val="center"/>
    </w:pPr>
    <w:rPr>
      <w:rFonts w:ascii="Times New Roman" w:hAnsi="Times New Roman"/>
      <w:sz w:val="21"/>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table" w:customStyle="1" w:styleId="246">
    <w:name w:val="表格框21"/>
    <w:basedOn w:val="53"/>
    <w:qFormat/>
    <w:locked/>
    <w:uiPriority w:val="0"/>
    <w:pPr>
      <w:adjustRightInd w:val="0"/>
      <w:snapToGrid w:val="0"/>
      <w:jc w:val="center"/>
    </w:pPr>
    <w:tblPr>
      <w:jc w:val="center"/>
      <w:tblBorders>
        <w:top w:val="single" w:color="000000" w:sz="12" w:space="0"/>
        <w:bottom w:val="single" w:color="000000" w:sz="12" w:space="0"/>
        <w:insideH w:val="single" w:color="000000" w:sz="4" w:space="0"/>
        <w:insideV w:val="single" w:color="000000" w:sz="4" w:space="0"/>
      </w:tblBorders>
      <w:tblCellMar>
        <w:left w:w="0" w:type="dxa"/>
        <w:right w:w="0" w:type="dxa"/>
      </w:tblCellMar>
    </w:tblPr>
    <w:trPr>
      <w:cantSplit/>
      <w:tblHeader/>
      <w:jc w:val="center"/>
    </w:trPr>
    <w:tcPr>
      <w:vAlign w:val="center"/>
    </w:tcPr>
  </w:style>
  <w:style w:type="table" w:customStyle="1" w:styleId="247">
    <w:name w:val="表格框3"/>
    <w:basedOn w:val="53"/>
    <w:qFormat/>
    <w:locked/>
    <w:uiPriority w:val="0"/>
    <w:pPr>
      <w:adjustRightInd w:val="0"/>
      <w:snapToGrid w:val="0"/>
      <w:jc w:val="center"/>
    </w:pPr>
    <w:tblPr>
      <w:jc w:val="center"/>
      <w:tblBorders>
        <w:top w:val="single" w:color="000000" w:sz="12" w:space="0"/>
        <w:bottom w:val="single" w:color="000000" w:sz="12" w:space="0"/>
        <w:insideH w:val="single" w:color="000000" w:sz="4" w:space="0"/>
        <w:insideV w:val="single" w:color="000000" w:sz="4" w:space="0"/>
      </w:tblBorders>
      <w:tblCellMar>
        <w:left w:w="0" w:type="dxa"/>
        <w:right w:w="0" w:type="dxa"/>
      </w:tblCellMar>
    </w:tblPr>
    <w:trPr>
      <w:cantSplit/>
      <w:tblHeader/>
      <w:jc w:val="center"/>
    </w:trPr>
    <w:tcPr>
      <w:vAlign w:val="center"/>
    </w:tcPr>
  </w:style>
  <w:style w:type="paragraph" w:customStyle="1" w:styleId="248">
    <w:name w:val="6表格"/>
    <w:basedOn w:val="1"/>
    <w:qFormat/>
    <w:uiPriority w:val="0"/>
    <w:pPr>
      <w:adjustRightInd/>
      <w:snapToGrid/>
      <w:spacing w:line="240" w:lineRule="auto"/>
      <w:ind w:firstLine="0" w:firstLineChars="0"/>
      <w:jc w:val="center"/>
    </w:pPr>
    <w:rPr>
      <w:rFonts w:cs="Times New Roman"/>
      <w:sz w:val="21"/>
      <w:szCs w:val="24"/>
    </w:rPr>
  </w:style>
  <w:style w:type="paragraph" w:customStyle="1" w:styleId="249">
    <w:name w:val="az"/>
    <w:basedOn w:val="1"/>
    <w:qFormat/>
    <w:uiPriority w:val="0"/>
    <w:pPr>
      <w:topLinePunct/>
      <w:adjustRightInd/>
      <w:ind w:firstLine="480"/>
    </w:pPr>
    <w:rPr>
      <w:rFonts w:cs="Times New Roman"/>
      <w:szCs w:val="24"/>
    </w:rPr>
  </w:style>
  <w:style w:type="paragraph" w:customStyle="1" w:styleId="250">
    <w:name w:val="样式 首行缩进:  2 字符"/>
    <w:basedOn w:val="1"/>
    <w:link w:val="251"/>
    <w:uiPriority w:val="0"/>
    <w:pPr>
      <w:adjustRightInd/>
      <w:spacing w:line="300" w:lineRule="auto"/>
    </w:pPr>
    <w:rPr>
      <w:rFonts w:ascii="宋体" w:cs="Times New Roman"/>
      <w:sz w:val="28"/>
      <w:szCs w:val="20"/>
      <w:lang w:val="zh-CN"/>
    </w:rPr>
  </w:style>
  <w:style w:type="character" w:customStyle="1" w:styleId="251">
    <w:name w:val="样式 首行缩进:  2 字符 Char"/>
    <w:link w:val="250"/>
    <w:qFormat/>
    <w:uiPriority w:val="0"/>
    <w:rPr>
      <w:rFonts w:ascii="宋体" w:hAnsi="Times New Roman"/>
      <w:kern w:val="2"/>
      <w:sz w:val="28"/>
      <w:lang w:val="zh-CN" w:eastAsia="zh-CN"/>
    </w:rPr>
  </w:style>
  <w:style w:type="paragraph" w:customStyle="1" w:styleId="252">
    <w:name w:val="7表格(治)"/>
    <w:link w:val="253"/>
    <w:qFormat/>
    <w:uiPriority w:val="0"/>
    <w:pPr>
      <w:jc w:val="center"/>
    </w:pPr>
    <w:rPr>
      <w:rFonts w:ascii="Times New Roman" w:hAnsi="Times New Roman" w:eastAsia="宋体" w:cs="Times New Roman"/>
      <w:sz w:val="21"/>
      <w:lang w:val="en-US" w:eastAsia="zh-CN" w:bidi="ar-SA"/>
    </w:rPr>
  </w:style>
  <w:style w:type="character" w:customStyle="1" w:styleId="253">
    <w:name w:val="7表格(治) Char"/>
    <w:link w:val="252"/>
    <w:uiPriority w:val="0"/>
    <w:rPr>
      <w:rFonts w:ascii="Times New Roman" w:hAnsi="Times New Roman"/>
      <w:sz w:val="21"/>
    </w:rPr>
  </w:style>
  <w:style w:type="character" w:customStyle="1" w:styleId="254">
    <w:name w:val="font81"/>
    <w:qFormat/>
    <w:uiPriority w:val="0"/>
    <w:rPr>
      <w:rFonts w:hint="default" w:ascii="Times New Roman" w:hAnsi="Times New Roman" w:cs="Times New Roman"/>
      <w:color w:val="000000"/>
      <w:sz w:val="22"/>
      <w:szCs w:val="22"/>
      <w:u w:val="none"/>
      <w:vertAlign w:val="superscript"/>
    </w:rPr>
  </w:style>
  <w:style w:type="character" w:customStyle="1" w:styleId="255">
    <w:name w:val="font11"/>
    <w:qFormat/>
    <w:uiPriority w:val="0"/>
    <w:rPr>
      <w:rFonts w:hint="eastAsia" w:ascii="宋体" w:hAnsi="宋体" w:eastAsia="宋体" w:cs="宋体"/>
      <w:color w:val="000000"/>
      <w:sz w:val="22"/>
      <w:szCs w:val="22"/>
      <w:u w:val="none"/>
    </w:rPr>
  </w:style>
  <w:style w:type="character" w:customStyle="1" w:styleId="256">
    <w:name w:val="font91"/>
    <w:uiPriority w:val="0"/>
    <w:rPr>
      <w:rFonts w:hint="default" w:ascii="Times New Roman" w:hAnsi="Times New Roman" w:cs="Times New Roman"/>
      <w:color w:val="000000"/>
      <w:sz w:val="22"/>
      <w:szCs w:val="22"/>
      <w:u w:val="none"/>
      <w:vertAlign w:val="superscript"/>
    </w:rPr>
  </w:style>
  <w:style w:type="paragraph" w:customStyle="1" w:styleId="257">
    <w:name w:val="A正文"/>
    <w:basedOn w:val="1"/>
    <w:link w:val="258"/>
    <w:qFormat/>
    <w:uiPriority w:val="0"/>
    <w:pPr>
      <w:ind w:firstLine="480"/>
    </w:pPr>
    <w:rPr>
      <w:szCs w:val="24"/>
    </w:rPr>
  </w:style>
  <w:style w:type="character" w:customStyle="1" w:styleId="258">
    <w:name w:val="A正文 Char"/>
    <w:link w:val="257"/>
    <w:qFormat/>
    <w:uiPriority w:val="0"/>
    <w:rPr>
      <w:rFonts w:ascii="Times New Roman" w:hAnsi="Times New Roman" w:cs="宋体"/>
      <w:kern w:val="2"/>
      <w:sz w:val="24"/>
      <w:szCs w:val="24"/>
    </w:rPr>
  </w:style>
  <w:style w:type="paragraph" w:customStyle="1" w:styleId="259">
    <w:name w:val="t表格文字居中"/>
    <w:basedOn w:val="1"/>
    <w:link w:val="260"/>
    <w:uiPriority w:val="0"/>
    <w:pPr>
      <w:widowControl/>
      <w:tabs>
        <w:tab w:val="left" w:pos="1771"/>
        <w:tab w:val="left" w:pos="2608"/>
      </w:tabs>
      <w:suppressAutoHyphens/>
      <w:spacing w:line="240" w:lineRule="auto"/>
      <w:ind w:firstLine="0" w:firstLineChars="0"/>
      <w:jc w:val="center"/>
    </w:pPr>
    <w:rPr>
      <w:rFonts w:cs="Times New Roman"/>
      <w:color w:val="000000"/>
      <w:sz w:val="21"/>
      <w:szCs w:val="21"/>
      <w:lang w:val="zh-CN" w:eastAsia="en-US"/>
    </w:rPr>
  </w:style>
  <w:style w:type="character" w:customStyle="1" w:styleId="260">
    <w:name w:val="t表格文字居中 Char"/>
    <w:link w:val="259"/>
    <w:qFormat/>
    <w:uiPriority w:val="0"/>
    <w:rPr>
      <w:rFonts w:ascii="Times New Roman" w:hAnsi="Times New Roman"/>
      <w:color w:val="000000"/>
      <w:kern w:val="2"/>
      <w:sz w:val="21"/>
      <w:szCs w:val="21"/>
      <w:lang w:val="zh-CN" w:eastAsia="en-US"/>
    </w:rPr>
  </w:style>
  <w:style w:type="paragraph" w:customStyle="1" w:styleId="261">
    <w:name w:val="题注-表"/>
    <w:basedOn w:val="14"/>
    <w:next w:val="1"/>
    <w:link w:val="262"/>
    <w:qFormat/>
    <w:uiPriority w:val="0"/>
    <w:pPr>
      <w:spacing w:line="240" w:lineRule="auto"/>
      <w:ind w:firstLine="0" w:firstLineChars="0"/>
      <w:jc w:val="center"/>
    </w:pPr>
    <w:rPr>
      <w:rFonts w:ascii="Times New Roman" w:hAnsi="Times New Roman" w:eastAsia="宋体" w:cs="Cambria"/>
      <w:kern w:val="2"/>
      <w:sz w:val="24"/>
      <w:szCs w:val="24"/>
    </w:rPr>
  </w:style>
  <w:style w:type="character" w:customStyle="1" w:styleId="262">
    <w:name w:val="题注-表 Char"/>
    <w:link w:val="261"/>
    <w:uiPriority w:val="0"/>
    <w:rPr>
      <w:rFonts w:ascii="Times New Roman" w:hAnsi="Times New Roman" w:cs="Cambria"/>
      <w:kern w:val="2"/>
      <w:sz w:val="24"/>
      <w:szCs w:val="24"/>
    </w:rPr>
  </w:style>
  <w:style w:type="character" w:customStyle="1" w:styleId="263">
    <w:name w:val="F加粗文字"/>
    <w:qFormat/>
    <w:uiPriority w:val="0"/>
    <w:rPr>
      <w:rFonts w:ascii="Times New Roman" w:hAnsi="Times New Roman" w:eastAsia="宋体"/>
      <w:b/>
    </w:rPr>
  </w:style>
  <w:style w:type="character" w:customStyle="1" w:styleId="264">
    <w:name w:val="F文字-上标"/>
    <w:qFormat/>
    <w:uiPriority w:val="0"/>
    <w:rPr>
      <w:sz w:val="24"/>
      <w:szCs w:val="24"/>
      <w:u w:val="none"/>
      <w:vertAlign w:val="superscript"/>
    </w:rPr>
  </w:style>
  <w:style w:type="paragraph" w:customStyle="1" w:styleId="265">
    <w:name w:val="t表格文字左齐"/>
    <w:basedOn w:val="1"/>
    <w:uiPriority w:val="0"/>
    <w:pPr>
      <w:spacing w:line="240" w:lineRule="auto"/>
      <w:ind w:firstLine="0" w:firstLineChars="0"/>
    </w:pPr>
    <w:rPr>
      <w:sz w:val="21"/>
      <w:szCs w:val="21"/>
    </w:rPr>
  </w:style>
  <w:style w:type="paragraph" w:styleId="266">
    <w:name w:val="No Spacing"/>
    <w:link w:val="267"/>
    <w:qFormat/>
    <w:uiPriority w:val="1"/>
    <w:pPr>
      <w:widowControl w:val="0"/>
      <w:spacing w:line="360" w:lineRule="auto"/>
      <w:ind w:firstLine="200" w:firstLineChars="200"/>
      <w:jc w:val="both"/>
    </w:pPr>
    <w:rPr>
      <w:rFonts w:ascii="Times New Roman" w:hAnsi="Times New Roman" w:eastAsia="方正仿宋_GB2312" w:cs="Times New Roman"/>
      <w:kern w:val="2"/>
      <w:sz w:val="24"/>
      <w:szCs w:val="22"/>
      <w:lang w:val="en-US" w:eastAsia="zh-CN" w:bidi="ar-SA"/>
    </w:rPr>
  </w:style>
  <w:style w:type="character" w:customStyle="1" w:styleId="267">
    <w:name w:val="无间隔 字符"/>
    <w:link w:val="266"/>
    <w:qFormat/>
    <w:uiPriority w:val="1"/>
    <w:rPr>
      <w:rFonts w:ascii="Times New Roman" w:hAnsi="Times New Roman" w:eastAsia="方正仿宋_GB2312"/>
      <w:kern w:val="2"/>
      <w:sz w:val="24"/>
      <w:szCs w:val="22"/>
    </w:rPr>
  </w:style>
  <w:style w:type="paragraph" w:customStyle="1" w:styleId="268">
    <w:name w:val="正文上半行"/>
    <w:basedOn w:val="1"/>
    <w:next w:val="1"/>
    <w:uiPriority w:val="0"/>
    <w:pPr>
      <w:adjustRightInd/>
      <w:snapToGrid/>
      <w:spacing w:before="163" w:beforeLines="50"/>
      <w:ind w:firstLine="480"/>
    </w:pPr>
    <w:rPr>
      <w:rFonts w:cs="Times New Roman"/>
    </w:rPr>
  </w:style>
  <w:style w:type="character" w:customStyle="1" w:styleId="269">
    <w:name w:val="页脚 字符1"/>
    <w:qFormat/>
    <w:uiPriority w:val="0"/>
    <w:rPr>
      <w:rFonts w:ascii="Times New Roman" w:hAnsi="Times New Roman" w:cs="宋体"/>
      <w:sz w:val="18"/>
      <w:szCs w:val="18"/>
    </w:rPr>
  </w:style>
  <w:style w:type="character" w:customStyle="1" w:styleId="270">
    <w:name w:val="标题-表头 Char"/>
    <w:link w:val="158"/>
    <w:qFormat/>
    <w:uiPriority w:val="0"/>
    <w:rPr>
      <w:b/>
      <w:kern w:val="2"/>
      <w:sz w:val="24"/>
      <w:szCs w:val="24"/>
    </w:rPr>
  </w:style>
  <w:style w:type="paragraph" w:customStyle="1" w:styleId="271">
    <w:name w:val="Char"/>
    <w:basedOn w:val="1"/>
    <w:uiPriority w:val="0"/>
    <w:pPr>
      <w:adjustRightInd/>
      <w:snapToGrid/>
      <w:spacing w:line="240" w:lineRule="auto"/>
      <w:ind w:left="-48" w:firstLine="0" w:firstLineChars="0"/>
    </w:pPr>
    <w:rPr>
      <w:rFonts w:cs="Times New Roman"/>
      <w:sz w:val="21"/>
      <w:szCs w:val="24"/>
    </w:rPr>
  </w:style>
  <w:style w:type="paragraph" w:customStyle="1" w:styleId="272">
    <w:name w:val="8表格后段落"/>
    <w:basedOn w:val="130"/>
    <w:link w:val="273"/>
    <w:qFormat/>
    <w:uiPriority w:val="0"/>
    <w:pPr>
      <w:adjustRightInd w:val="0"/>
      <w:spacing w:before="156" w:beforeLines="50"/>
      <w:ind w:firstLine="200"/>
    </w:pPr>
    <w:rPr>
      <w:kern w:val="0"/>
    </w:rPr>
  </w:style>
  <w:style w:type="character" w:customStyle="1" w:styleId="273">
    <w:name w:val="8表格后段落 Char"/>
    <w:link w:val="272"/>
    <w:qFormat/>
    <w:uiPriority w:val="0"/>
    <w:rPr>
      <w:rFonts w:ascii="Times New Roman" w:hAnsi="Times New Roman"/>
      <w:color w:val="000000"/>
      <w:sz w:val="24"/>
      <w:szCs w:val="24"/>
    </w:rPr>
  </w:style>
  <w:style w:type="character" w:customStyle="1" w:styleId="274">
    <w:name w:val="5段落 字符"/>
    <w:uiPriority w:val="0"/>
    <w:rPr>
      <w:kern w:val="2"/>
      <w:sz w:val="21"/>
      <w:szCs w:val="24"/>
    </w:rPr>
  </w:style>
  <w:style w:type="paragraph" w:customStyle="1" w:styleId="275">
    <w:name w:val="6表格标题"/>
    <w:basedOn w:val="130"/>
    <w:next w:val="130"/>
    <w:qFormat/>
    <w:uiPriority w:val="0"/>
    <w:pPr>
      <w:ind w:firstLine="0" w:firstLineChars="0"/>
      <w:jc w:val="center"/>
    </w:pPr>
    <w:rPr>
      <w:b/>
      <w:color w:val="auto"/>
      <w:sz w:val="21"/>
    </w:rPr>
  </w:style>
  <w:style w:type="paragraph" w:customStyle="1" w:styleId="276">
    <w:name w:val="7图件标题"/>
    <w:basedOn w:val="275"/>
    <w:next w:val="130"/>
    <w:qFormat/>
    <w:uiPriority w:val="0"/>
  </w:style>
  <w:style w:type="paragraph" w:customStyle="1" w:styleId="277">
    <w:name w:val="章-wd"/>
    <w:basedOn w:val="2"/>
    <w:uiPriority w:val="0"/>
    <w:pPr>
      <w:keepNext/>
      <w:keepLines/>
      <w:numPr>
        <w:ilvl w:val="0"/>
        <w:numId w:val="12"/>
      </w:numPr>
      <w:adjustRightInd/>
      <w:snapToGrid/>
      <w:spacing w:before="100" w:beforeAutospacing="1" w:after="100" w:afterAutospacing="1" w:line="240" w:lineRule="auto"/>
      <w:ind w:left="0" w:right="0" w:firstLine="0" w:firstLineChars="0"/>
    </w:pPr>
    <w:rPr>
      <w:rFonts w:ascii="黑体" w:hAnsi="Calibri"/>
      <w:bCs/>
      <w:color w:val="000000"/>
      <w:kern w:val="44"/>
      <w:sz w:val="36"/>
      <w:szCs w:val="36"/>
    </w:rPr>
  </w:style>
  <w:style w:type="paragraph" w:customStyle="1" w:styleId="278">
    <w:name w:val="节2-wd"/>
    <w:basedOn w:val="4"/>
    <w:next w:val="1"/>
    <w:qFormat/>
    <w:uiPriority w:val="0"/>
    <w:pPr>
      <w:keepNext/>
      <w:keepLines/>
      <w:numPr>
        <w:numId w:val="12"/>
      </w:numPr>
      <w:adjustRightInd/>
      <w:snapToGrid/>
      <w:spacing w:after="50" w:afterLines="50" w:line="240" w:lineRule="auto"/>
      <w:ind w:firstLineChars="0"/>
    </w:pPr>
    <w:rPr>
      <w:rFonts w:ascii="宋体" w:hAnsi="Arial" w:eastAsia="宋体" w:cs="Times New Roman"/>
      <w:b/>
      <w:bCs/>
      <w:color w:val="333300"/>
      <w:sz w:val="28"/>
      <w:szCs w:val="28"/>
    </w:rPr>
  </w:style>
  <w:style w:type="paragraph" w:customStyle="1" w:styleId="279">
    <w:name w:val="节3-wd"/>
    <w:basedOn w:val="5"/>
    <w:qFormat/>
    <w:uiPriority w:val="0"/>
    <w:pPr>
      <w:keepNext/>
      <w:keepLines/>
      <w:numPr>
        <w:numId w:val="12"/>
      </w:numPr>
      <w:adjustRightInd/>
      <w:snapToGrid/>
      <w:spacing w:before="50" w:beforeLines="50" w:line="240" w:lineRule="auto"/>
      <w:ind w:firstLineChars="0"/>
    </w:pPr>
    <w:rPr>
      <w:rFonts w:hAnsi="Arial" w:eastAsia="宋体" w:cs="Times New Roman"/>
    </w:rPr>
  </w:style>
  <w:style w:type="paragraph" w:customStyle="1" w:styleId="280">
    <w:name w:val="表格中正文"/>
    <w:link w:val="281"/>
    <w:qFormat/>
    <w:uiPriority w:val="0"/>
    <w:pPr>
      <w:wordWrap w:val="0"/>
      <w:autoSpaceDE w:val="0"/>
      <w:autoSpaceDN w:val="0"/>
      <w:adjustRightInd w:val="0"/>
      <w:snapToGrid w:val="0"/>
      <w:spacing w:line="360" w:lineRule="auto"/>
      <w:ind w:firstLine="200" w:firstLineChars="200"/>
    </w:pPr>
    <w:rPr>
      <w:rFonts w:ascii="Times New Roman" w:hAnsi="Times New Roman" w:eastAsia="宋体" w:cs="宋体"/>
      <w:sz w:val="24"/>
      <w:szCs w:val="21"/>
      <w:lang w:val="en-US" w:eastAsia="zh-CN" w:bidi="ar-SA"/>
    </w:rPr>
  </w:style>
  <w:style w:type="character" w:customStyle="1" w:styleId="281">
    <w:name w:val="表格中正文 字符"/>
    <w:link w:val="280"/>
    <w:qFormat/>
    <w:uiPriority w:val="0"/>
    <w:rPr>
      <w:rFonts w:ascii="Times New Roman" w:hAnsi="Times New Roman" w:cs="宋体"/>
      <w:sz w:val="24"/>
      <w:szCs w:val="21"/>
    </w:rPr>
  </w:style>
  <w:style w:type="paragraph" w:customStyle="1" w:styleId="282">
    <w:name w:val="cucd-2"/>
    <w:next w:val="283"/>
    <w:uiPriority w:val="0"/>
    <w:pPr>
      <w:numPr>
        <w:ilvl w:val="1"/>
        <w:numId w:val="13"/>
      </w:numPr>
      <w:spacing w:line="360" w:lineRule="auto"/>
      <w:ind w:firstLine="200" w:firstLineChars="200"/>
      <w:jc w:val="both"/>
      <w:outlineLvl w:val="1"/>
    </w:pPr>
    <w:rPr>
      <w:rFonts w:ascii="宋体" w:hAnsi="宋体" w:eastAsia="黑体" w:cs="Times New Roman"/>
      <w:b/>
      <w:bCs/>
      <w:kern w:val="2"/>
      <w:sz w:val="30"/>
      <w:szCs w:val="24"/>
      <w:lang w:val="en-US" w:eastAsia="zh-CN" w:bidi="ar-SA"/>
    </w:rPr>
  </w:style>
  <w:style w:type="paragraph" w:customStyle="1" w:styleId="283">
    <w:name w:val="cucd-3"/>
    <w:next w:val="284"/>
    <w:qFormat/>
    <w:uiPriority w:val="0"/>
    <w:pPr>
      <w:numPr>
        <w:ilvl w:val="2"/>
        <w:numId w:val="13"/>
      </w:numPr>
      <w:spacing w:line="360" w:lineRule="auto"/>
      <w:ind w:firstLine="200" w:firstLineChars="200"/>
      <w:jc w:val="both"/>
      <w:outlineLvl w:val="2"/>
    </w:pPr>
    <w:rPr>
      <w:rFonts w:ascii="宋体" w:hAnsi="宋体" w:eastAsia="宋体" w:cs="Times New Roman"/>
      <w:b/>
      <w:kern w:val="2"/>
      <w:sz w:val="28"/>
      <w:szCs w:val="24"/>
      <w:lang w:val="en-US" w:eastAsia="zh-CN" w:bidi="ar-SA"/>
    </w:rPr>
  </w:style>
  <w:style w:type="paragraph" w:customStyle="1" w:styleId="284">
    <w:name w:val="cucd-4"/>
    <w:next w:val="1"/>
    <w:qFormat/>
    <w:uiPriority w:val="0"/>
    <w:pPr>
      <w:numPr>
        <w:ilvl w:val="3"/>
        <w:numId w:val="13"/>
      </w:numPr>
      <w:spacing w:line="360" w:lineRule="auto"/>
      <w:ind w:firstLine="200" w:firstLineChars="200"/>
      <w:jc w:val="both"/>
      <w:outlineLvl w:val="3"/>
    </w:pPr>
    <w:rPr>
      <w:rFonts w:ascii="宋体" w:hAnsi="宋体" w:eastAsia="宋体" w:cs="Times New Roman"/>
      <w:b/>
      <w:kern w:val="2"/>
      <w:sz w:val="24"/>
      <w:szCs w:val="24"/>
      <w:lang w:val="en-US" w:eastAsia="zh-CN" w:bidi="ar-SA"/>
    </w:rPr>
  </w:style>
  <w:style w:type="paragraph" w:customStyle="1" w:styleId="285">
    <w:name w:val="cucd-1"/>
    <w:next w:val="282"/>
    <w:uiPriority w:val="0"/>
    <w:pPr>
      <w:pageBreakBefore/>
      <w:numPr>
        <w:ilvl w:val="0"/>
        <w:numId w:val="13"/>
      </w:numPr>
      <w:spacing w:before="312" w:beforeLines="100" w:after="156" w:afterLines="50" w:line="360" w:lineRule="auto"/>
      <w:ind w:firstLine="200" w:firstLineChars="200"/>
      <w:jc w:val="center"/>
      <w:outlineLvl w:val="0"/>
    </w:pPr>
    <w:rPr>
      <w:rFonts w:ascii="宋体" w:hAnsi="宋体" w:eastAsia="黑体" w:cs="Times New Roman"/>
      <w:b/>
      <w:kern w:val="2"/>
      <w:sz w:val="36"/>
      <w:szCs w:val="24"/>
      <w:lang w:val="en-US" w:eastAsia="zh-CN" w:bidi="ar-SA"/>
    </w:rPr>
  </w:style>
  <w:style w:type="character" w:customStyle="1" w:styleId="286">
    <w:name w:val="表头 Char Char"/>
    <w:qFormat/>
    <w:uiPriority w:val="0"/>
    <w:rPr>
      <w:rFonts w:ascii="黑体" w:eastAsia="黑体"/>
      <w:b/>
      <w:kern w:val="2"/>
      <w:sz w:val="24"/>
      <w:lang w:val="en-US" w:eastAsia="zh-CN" w:bidi="ar-SA"/>
    </w:rPr>
  </w:style>
  <w:style w:type="paragraph" w:customStyle="1" w:styleId="287">
    <w:name w:val="样式 宋体 小四"/>
    <w:basedOn w:val="1"/>
    <w:qFormat/>
    <w:uiPriority w:val="0"/>
    <w:pPr>
      <w:ind w:firstLine="480"/>
    </w:pPr>
    <w:rPr>
      <w:rFonts w:cs="Times New Roman"/>
      <w:szCs w:val="20"/>
    </w:rPr>
  </w:style>
  <w:style w:type="paragraph" w:customStyle="1" w:styleId="288">
    <w:name w:val="font5"/>
    <w:basedOn w:val="1"/>
    <w:uiPriority w:val="0"/>
    <w:pPr>
      <w:widowControl/>
      <w:adjustRightInd/>
      <w:snapToGrid/>
      <w:spacing w:before="100" w:beforeAutospacing="1" w:after="100" w:afterAutospacing="1" w:line="240" w:lineRule="auto"/>
      <w:ind w:firstLine="0" w:firstLineChars="0"/>
      <w:jc w:val="left"/>
    </w:pPr>
    <w:rPr>
      <w:rFonts w:ascii="宋体" w:hAnsi="宋体"/>
      <w:kern w:val="0"/>
      <w:sz w:val="18"/>
      <w:szCs w:val="18"/>
    </w:rPr>
  </w:style>
  <w:style w:type="paragraph" w:customStyle="1" w:styleId="289">
    <w:name w:val="font6"/>
    <w:basedOn w:val="1"/>
    <w:qFormat/>
    <w:uiPriority w:val="0"/>
    <w:pPr>
      <w:widowControl/>
      <w:adjustRightInd/>
      <w:snapToGrid/>
      <w:spacing w:before="100" w:beforeAutospacing="1" w:after="100" w:afterAutospacing="1" w:line="240" w:lineRule="auto"/>
      <w:ind w:firstLine="0" w:firstLineChars="0"/>
      <w:jc w:val="left"/>
    </w:pPr>
    <w:rPr>
      <w:rFonts w:ascii="宋体" w:hAnsi="宋体"/>
      <w:color w:val="000000"/>
      <w:kern w:val="0"/>
      <w:sz w:val="18"/>
      <w:szCs w:val="18"/>
    </w:rPr>
  </w:style>
  <w:style w:type="paragraph" w:customStyle="1" w:styleId="290">
    <w:name w:val="font7"/>
    <w:basedOn w:val="1"/>
    <w:qFormat/>
    <w:uiPriority w:val="0"/>
    <w:pPr>
      <w:widowControl/>
      <w:adjustRightInd/>
      <w:snapToGrid/>
      <w:spacing w:before="100" w:beforeAutospacing="1" w:after="100" w:afterAutospacing="1" w:line="240" w:lineRule="auto"/>
      <w:ind w:firstLine="0" w:firstLineChars="0"/>
      <w:jc w:val="left"/>
    </w:pPr>
    <w:rPr>
      <w:rFonts w:cs="Times New Roman"/>
      <w:color w:val="000000"/>
      <w:kern w:val="0"/>
      <w:sz w:val="18"/>
      <w:szCs w:val="18"/>
    </w:rPr>
  </w:style>
  <w:style w:type="paragraph" w:customStyle="1" w:styleId="291">
    <w:name w:val="xl63"/>
    <w:basedOn w:val="1"/>
    <w:uiPriority w:val="0"/>
    <w:pPr>
      <w:widowControl/>
      <w:pBdr>
        <w:bottom w:val="single" w:color="auto" w:sz="8" w:space="0"/>
        <w:right w:val="single" w:color="auto" w:sz="8" w:space="0"/>
      </w:pBdr>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292">
    <w:name w:val="xl64"/>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293">
    <w:name w:val="xl65"/>
    <w:basedOn w:val="1"/>
    <w:qFormat/>
    <w:uiPriority w:val="0"/>
    <w:pPr>
      <w:widowControl/>
      <w:pBdr>
        <w:bottom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294">
    <w:name w:val="xl66"/>
    <w:basedOn w:val="1"/>
    <w:uiPriority w:val="0"/>
    <w:pPr>
      <w:widowControl/>
      <w:pBdr>
        <w:bottom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295">
    <w:name w:val="xl67"/>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296">
    <w:name w:val="xl68"/>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297">
    <w:name w:val="xl69"/>
    <w:basedOn w:val="1"/>
    <w:uiPriority w:val="0"/>
    <w:pPr>
      <w:widowControl/>
      <w:pBdr>
        <w:bottom w:val="single" w:color="auto" w:sz="8" w:space="0"/>
        <w:right w:val="single" w:color="auto" w:sz="8" w:space="0"/>
      </w:pBdr>
      <w:shd w:val="clear" w:color="000000" w:fill="FF00FF"/>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298">
    <w:name w:val="xl70"/>
    <w:basedOn w:val="1"/>
    <w:qFormat/>
    <w:uiPriority w:val="0"/>
    <w:pPr>
      <w:widowControl/>
      <w:pBdr>
        <w:bottom w:val="single" w:color="auto" w:sz="8" w:space="0"/>
        <w:right w:val="single" w:color="auto" w:sz="8" w:space="0"/>
      </w:pBdr>
      <w:shd w:val="clear" w:color="000000" w:fill="FF00FF"/>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299">
    <w:name w:val="xl71"/>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300">
    <w:name w:val="xl72"/>
    <w:basedOn w:val="1"/>
    <w:uiPriority w:val="0"/>
    <w:pPr>
      <w:widowControl/>
      <w:pBdr>
        <w:bottom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01">
    <w:name w:val="xl73"/>
    <w:basedOn w:val="1"/>
    <w:qFormat/>
    <w:uiPriority w:val="0"/>
    <w:pPr>
      <w:widowControl/>
      <w:pBdr>
        <w:bottom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302">
    <w:name w:val="xl74"/>
    <w:basedOn w:val="1"/>
    <w:qFormat/>
    <w:uiPriority w:val="0"/>
    <w:pPr>
      <w:widowControl/>
      <w:pBdr>
        <w:bottom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303">
    <w:name w:val="xl75"/>
    <w:basedOn w:val="1"/>
    <w:uiPriority w:val="0"/>
    <w:pPr>
      <w:widowControl/>
      <w:pBdr>
        <w:bottom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304">
    <w:name w:val="xl76"/>
    <w:basedOn w:val="1"/>
    <w:qFormat/>
    <w:uiPriority w:val="0"/>
    <w:pPr>
      <w:widowControl/>
      <w:pBdr>
        <w:bottom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305">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9BBB59"/>
      <w:adjustRightInd/>
      <w:snapToGrid/>
      <w:spacing w:before="100" w:beforeAutospacing="1" w:after="100" w:afterAutospacing="1" w:line="240" w:lineRule="auto"/>
      <w:ind w:firstLine="0" w:firstLineChars="0"/>
      <w:jc w:val="center"/>
      <w:textAlignment w:val="center"/>
    </w:pPr>
    <w:rPr>
      <w:rFonts w:cs="Times New Roman"/>
      <w:kern w:val="0"/>
      <w:sz w:val="21"/>
      <w:szCs w:val="21"/>
    </w:rPr>
  </w:style>
  <w:style w:type="paragraph" w:customStyle="1" w:styleId="306">
    <w:name w:val="xl78"/>
    <w:basedOn w:val="1"/>
    <w:uiPriority w:val="0"/>
    <w:pPr>
      <w:widowControl/>
      <w:pBdr>
        <w:top w:val="single" w:color="auto" w:sz="4" w:space="0"/>
        <w:left w:val="single" w:color="auto" w:sz="4" w:space="0"/>
        <w:bottom w:val="single" w:color="auto" w:sz="4" w:space="0"/>
        <w:right w:val="single" w:color="auto" w:sz="4" w:space="0"/>
      </w:pBdr>
      <w:shd w:val="clear" w:color="000000" w:fill="9BBB59"/>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07">
    <w:name w:val="xl79"/>
    <w:basedOn w:val="1"/>
    <w:qFormat/>
    <w:uiPriority w:val="0"/>
    <w:pPr>
      <w:widowControl/>
      <w:pBdr>
        <w:top w:val="single" w:color="auto" w:sz="8" w:space="0"/>
        <w:left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cs="Times New Roman"/>
      <w:kern w:val="0"/>
      <w:sz w:val="21"/>
      <w:szCs w:val="21"/>
    </w:rPr>
  </w:style>
  <w:style w:type="paragraph" w:customStyle="1" w:styleId="308">
    <w:name w:val="xl80"/>
    <w:basedOn w:val="1"/>
    <w:qFormat/>
    <w:uiPriority w:val="0"/>
    <w:pPr>
      <w:widowControl/>
      <w:pBdr>
        <w:left w:val="single" w:color="auto" w:sz="8" w:space="0"/>
        <w:bottom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cs="Times New Roman"/>
      <w:kern w:val="0"/>
      <w:sz w:val="21"/>
      <w:szCs w:val="21"/>
    </w:rPr>
  </w:style>
  <w:style w:type="paragraph" w:customStyle="1" w:styleId="309">
    <w:name w:val="xl81"/>
    <w:basedOn w:val="1"/>
    <w:uiPriority w:val="0"/>
    <w:pPr>
      <w:widowControl/>
      <w:pBdr>
        <w:left w:val="single" w:color="auto" w:sz="8" w:space="0"/>
        <w:bottom w:val="single" w:color="auto" w:sz="12"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cs="Times New Roman"/>
      <w:kern w:val="0"/>
      <w:sz w:val="21"/>
      <w:szCs w:val="21"/>
    </w:rPr>
  </w:style>
  <w:style w:type="paragraph" w:customStyle="1" w:styleId="310">
    <w:name w:val="xl82"/>
    <w:basedOn w:val="1"/>
    <w:qFormat/>
    <w:uiPriority w:val="0"/>
    <w:pPr>
      <w:widowControl/>
      <w:pBdr>
        <w:left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cs="Times New Roman"/>
      <w:kern w:val="0"/>
      <w:sz w:val="21"/>
      <w:szCs w:val="21"/>
    </w:rPr>
  </w:style>
  <w:style w:type="paragraph" w:customStyle="1" w:styleId="311">
    <w:name w:val="xl83"/>
    <w:basedOn w:val="1"/>
    <w:qFormat/>
    <w:uiPriority w:val="0"/>
    <w:pPr>
      <w:widowControl/>
      <w:pBdr>
        <w:left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cs="Times New Roman"/>
      <w:kern w:val="0"/>
      <w:sz w:val="21"/>
      <w:szCs w:val="21"/>
    </w:rPr>
  </w:style>
  <w:style w:type="paragraph" w:customStyle="1" w:styleId="312">
    <w:name w:val="xl84"/>
    <w:basedOn w:val="1"/>
    <w:uiPriority w:val="0"/>
    <w:pPr>
      <w:widowControl/>
      <w:pBdr>
        <w:left w:val="single" w:color="auto" w:sz="8" w:space="0"/>
        <w:bottom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cs="Times New Roman"/>
      <w:kern w:val="0"/>
      <w:sz w:val="21"/>
      <w:szCs w:val="21"/>
    </w:rPr>
  </w:style>
  <w:style w:type="paragraph" w:customStyle="1" w:styleId="313">
    <w:name w:val="xl85"/>
    <w:basedOn w:val="1"/>
    <w:qFormat/>
    <w:uiPriority w:val="0"/>
    <w:pPr>
      <w:widowControl/>
      <w:pBdr>
        <w:top w:val="single" w:color="auto" w:sz="8" w:space="0"/>
        <w:left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cs="Times New Roman"/>
      <w:kern w:val="0"/>
      <w:sz w:val="21"/>
      <w:szCs w:val="21"/>
    </w:rPr>
  </w:style>
  <w:style w:type="paragraph" w:customStyle="1" w:styleId="314">
    <w:name w:val="xl86"/>
    <w:basedOn w:val="1"/>
    <w:qFormat/>
    <w:uiPriority w:val="0"/>
    <w:pPr>
      <w:widowControl/>
      <w:pBdr>
        <w:top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315">
    <w:name w:val="xl87"/>
    <w:basedOn w:val="1"/>
    <w:uiPriority w:val="0"/>
    <w:pPr>
      <w:widowControl/>
      <w:pBdr>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316">
    <w:name w:val="xl88"/>
    <w:basedOn w:val="1"/>
    <w:qFormat/>
    <w:uiPriority w:val="0"/>
    <w:pPr>
      <w:widowControl/>
      <w:pBdr>
        <w:bottom w:val="single" w:color="auto" w:sz="12"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cs="Times New Roman"/>
      <w:kern w:val="0"/>
      <w:sz w:val="18"/>
      <w:szCs w:val="18"/>
    </w:rPr>
  </w:style>
  <w:style w:type="paragraph" w:customStyle="1" w:styleId="317">
    <w:name w:val="xl89"/>
    <w:basedOn w:val="1"/>
    <w:qFormat/>
    <w:uiPriority w:val="0"/>
    <w:pPr>
      <w:widowControl/>
      <w:pBdr>
        <w:top w:val="single" w:color="auto" w:sz="8" w:space="0"/>
        <w:lef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18">
    <w:name w:val="xl90"/>
    <w:basedOn w:val="1"/>
    <w:uiPriority w:val="0"/>
    <w:pPr>
      <w:widowControl/>
      <w:pBdr>
        <w:top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19">
    <w:name w:val="xl91"/>
    <w:basedOn w:val="1"/>
    <w:qFormat/>
    <w:uiPriority w:val="0"/>
    <w:pPr>
      <w:widowControl/>
      <w:pBdr>
        <w:lef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20">
    <w:name w:val="xl92"/>
    <w:basedOn w:val="1"/>
    <w:qFormat/>
    <w:uiPriority w:val="0"/>
    <w:pPr>
      <w:widowControl/>
      <w:pBdr>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21">
    <w:name w:val="xl93"/>
    <w:basedOn w:val="1"/>
    <w:uiPriority w:val="0"/>
    <w:pPr>
      <w:widowControl/>
      <w:pBdr>
        <w:left w:val="single" w:color="auto" w:sz="8" w:space="0"/>
        <w:bottom w:val="single" w:color="auto" w:sz="12"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22">
    <w:name w:val="xl94"/>
    <w:basedOn w:val="1"/>
    <w:qFormat/>
    <w:uiPriority w:val="0"/>
    <w:pPr>
      <w:widowControl/>
      <w:pBdr>
        <w:bottom w:val="single" w:color="auto" w:sz="12"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23">
    <w:name w:val="xl95"/>
    <w:basedOn w:val="1"/>
    <w:qFormat/>
    <w:uiPriority w:val="0"/>
    <w:pPr>
      <w:widowControl/>
      <w:pBdr>
        <w:left w:val="single" w:color="auto" w:sz="8" w:space="0"/>
        <w:bottom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24">
    <w:name w:val="xl96"/>
    <w:basedOn w:val="1"/>
    <w:uiPriority w:val="0"/>
    <w:pPr>
      <w:widowControl/>
      <w:pBdr>
        <w:bottom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25">
    <w:name w:val="xl97"/>
    <w:basedOn w:val="1"/>
    <w:qFormat/>
    <w:uiPriority w:val="0"/>
    <w:pPr>
      <w:widowControl/>
      <w:pBdr>
        <w:left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26">
    <w:name w:val="xl98"/>
    <w:basedOn w:val="1"/>
    <w:qFormat/>
    <w:uiPriority w:val="0"/>
    <w:pPr>
      <w:widowControl/>
      <w:pBdr>
        <w:left w:val="single" w:color="auto" w:sz="8" w:space="0"/>
        <w:bottom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27">
    <w:name w:val="xl99"/>
    <w:basedOn w:val="1"/>
    <w:uiPriority w:val="0"/>
    <w:pPr>
      <w:widowControl/>
      <w:pBdr>
        <w:top w:val="single" w:color="auto" w:sz="8" w:space="0"/>
        <w:lef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28">
    <w:name w:val="xl100"/>
    <w:basedOn w:val="1"/>
    <w:qFormat/>
    <w:uiPriority w:val="0"/>
    <w:pPr>
      <w:widowControl/>
      <w:pBdr>
        <w:lef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29">
    <w:name w:val="xl101"/>
    <w:basedOn w:val="1"/>
    <w:qFormat/>
    <w:uiPriority w:val="0"/>
    <w:pPr>
      <w:widowControl/>
      <w:pBdr>
        <w:left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30">
    <w:name w:val="xl102"/>
    <w:basedOn w:val="1"/>
    <w:uiPriority w:val="0"/>
    <w:pPr>
      <w:widowControl/>
      <w:pBdr>
        <w:left w:val="single" w:color="auto" w:sz="8" w:space="0"/>
        <w:bottom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31">
    <w:name w:val="xl103"/>
    <w:basedOn w:val="1"/>
    <w:qFormat/>
    <w:uiPriority w:val="0"/>
    <w:pPr>
      <w:widowControl/>
      <w:pBdr>
        <w:top w:val="single" w:color="auto" w:sz="8" w:space="0"/>
        <w:left w:val="single" w:color="auto" w:sz="8" w:space="0"/>
        <w:right w:val="single" w:color="auto" w:sz="8" w:space="0"/>
      </w:pBdr>
      <w:shd w:val="clear" w:color="000000" w:fill="9BBB59"/>
      <w:adjustRightInd/>
      <w:snapToGrid/>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332">
    <w:name w:val="xl104"/>
    <w:basedOn w:val="1"/>
    <w:qFormat/>
    <w:uiPriority w:val="0"/>
    <w:pPr>
      <w:widowControl/>
      <w:pBdr>
        <w:top w:val="single" w:color="auto" w:sz="12" w:space="0"/>
        <w:left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33">
    <w:name w:val="xl105"/>
    <w:basedOn w:val="1"/>
    <w:uiPriority w:val="0"/>
    <w:pPr>
      <w:widowControl/>
      <w:pBdr>
        <w:left w:val="single" w:color="auto" w:sz="8" w:space="0"/>
        <w:bottom w:val="single" w:color="auto" w:sz="8"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34">
    <w:name w:val="xl106"/>
    <w:basedOn w:val="1"/>
    <w:qFormat/>
    <w:uiPriority w:val="0"/>
    <w:pPr>
      <w:widowControl/>
      <w:pBdr>
        <w:top w:val="single" w:color="auto" w:sz="12" w:space="0"/>
        <w:left w:val="single" w:color="auto" w:sz="8" w:space="0"/>
        <w:right w:val="single" w:color="auto" w:sz="8" w:space="0"/>
      </w:pBdr>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35">
    <w:name w:val="xl107"/>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36">
    <w:name w:val="xl108"/>
    <w:basedOn w:val="1"/>
    <w:uiPriority w:val="0"/>
    <w:pPr>
      <w:widowControl/>
      <w:pBdr>
        <w:top w:val="single" w:color="auto" w:sz="12" w:space="0"/>
        <w:left w:val="single" w:color="auto" w:sz="8" w:space="0"/>
        <w:bottom w:val="single" w:color="auto" w:sz="8" w:space="0"/>
      </w:pBdr>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37">
    <w:name w:val="xl109"/>
    <w:basedOn w:val="1"/>
    <w:qFormat/>
    <w:uiPriority w:val="0"/>
    <w:pPr>
      <w:widowControl/>
      <w:pBdr>
        <w:top w:val="single" w:color="auto" w:sz="12" w:space="0"/>
        <w:bottom w:val="single" w:color="auto" w:sz="8" w:space="0"/>
      </w:pBdr>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38">
    <w:name w:val="xl110"/>
    <w:basedOn w:val="1"/>
    <w:qFormat/>
    <w:uiPriority w:val="0"/>
    <w:pPr>
      <w:widowControl/>
      <w:pBdr>
        <w:top w:val="single" w:color="auto" w:sz="12" w:space="0"/>
        <w:bottom w:val="single" w:color="auto" w:sz="8" w:space="0"/>
        <w:right w:val="single" w:color="auto" w:sz="8" w:space="0"/>
      </w:pBdr>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39">
    <w:name w:val="xl111"/>
    <w:basedOn w:val="1"/>
    <w:uiPriority w:val="0"/>
    <w:pPr>
      <w:widowControl/>
      <w:pBdr>
        <w:top w:val="single" w:color="auto" w:sz="12" w:space="0"/>
        <w:righ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40">
    <w:name w:val="xl112"/>
    <w:basedOn w:val="1"/>
    <w:qFormat/>
    <w:uiPriority w:val="0"/>
    <w:pPr>
      <w:widowControl/>
      <w:pBdr>
        <w:top w:val="single" w:color="auto" w:sz="12" w:space="0"/>
        <w:left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paragraph" w:customStyle="1" w:styleId="341">
    <w:name w:val="xl113"/>
    <w:basedOn w:val="1"/>
    <w:qFormat/>
    <w:uiPriority w:val="0"/>
    <w:pPr>
      <w:widowControl/>
      <w:pBdr>
        <w:left w:val="single" w:color="auto" w:sz="8" w:space="0"/>
        <w:bottom w:val="single" w:color="auto" w:sz="8" w:space="0"/>
      </w:pBdr>
      <w:shd w:val="clear" w:color="000000" w:fill="808080"/>
      <w:adjustRightInd/>
      <w:snapToGrid/>
      <w:spacing w:before="100" w:beforeAutospacing="1" w:after="100" w:afterAutospacing="1" w:line="240" w:lineRule="auto"/>
      <w:ind w:firstLine="0" w:firstLineChars="0"/>
      <w:jc w:val="center"/>
      <w:textAlignment w:val="center"/>
    </w:pPr>
    <w:rPr>
      <w:rFonts w:ascii="宋体" w:hAnsi="宋体"/>
      <w:kern w:val="0"/>
      <w:sz w:val="18"/>
      <w:szCs w:val="18"/>
    </w:rPr>
  </w:style>
  <w:style w:type="character" w:customStyle="1" w:styleId="342">
    <w:name w:val="注释标题 字符"/>
    <w:link w:val="12"/>
    <w:uiPriority w:val="0"/>
    <w:rPr>
      <w:rFonts w:ascii="Times New Roman" w:hAnsi="Times New Roman" w:cs="宋体"/>
      <w:kern w:val="2"/>
      <w:sz w:val="24"/>
      <w:szCs w:val="22"/>
    </w:rPr>
  </w:style>
  <w:style w:type="character" w:customStyle="1" w:styleId="343">
    <w:name w:val="Char Style 24"/>
    <w:link w:val="344"/>
    <w:qFormat/>
    <w:uiPriority w:val="0"/>
    <w:rPr>
      <w:rFonts w:ascii="黑体" w:hAnsi="黑体" w:eastAsia="黑体" w:cs="黑体"/>
      <w:b/>
      <w:bCs/>
      <w:sz w:val="30"/>
      <w:szCs w:val="30"/>
      <w:lang w:val="zh-CN" w:bidi="zh-CN"/>
    </w:rPr>
  </w:style>
  <w:style w:type="paragraph" w:customStyle="1" w:styleId="344">
    <w:name w:val="Style 23"/>
    <w:basedOn w:val="1"/>
    <w:link w:val="343"/>
    <w:qFormat/>
    <w:uiPriority w:val="0"/>
    <w:pPr>
      <w:adjustRightInd/>
      <w:snapToGrid/>
      <w:spacing w:before="250" w:after="200" w:line="240" w:lineRule="auto"/>
      <w:ind w:firstLine="70" w:firstLineChars="0"/>
      <w:jc w:val="left"/>
      <w:outlineLvl w:val="0"/>
    </w:pPr>
    <w:rPr>
      <w:rFonts w:ascii="黑体" w:hAnsi="黑体" w:eastAsia="黑体" w:cs="黑体"/>
      <w:b/>
      <w:bCs/>
      <w:kern w:val="0"/>
      <w:sz w:val="30"/>
      <w:szCs w:val="30"/>
      <w:lang w:val="zh-CN" w:bidi="zh-CN"/>
    </w:rPr>
  </w:style>
  <w:style w:type="character" w:customStyle="1" w:styleId="345">
    <w:name w:val="Char Style 21"/>
    <w:link w:val="346"/>
    <w:uiPriority w:val="0"/>
    <w:rPr>
      <w:rFonts w:ascii="宋体" w:hAnsi="宋体" w:cs="宋体"/>
      <w:lang w:val="zh-CN" w:bidi="zh-CN"/>
    </w:rPr>
  </w:style>
  <w:style w:type="paragraph" w:customStyle="1" w:styleId="346">
    <w:name w:val="Style 20"/>
    <w:basedOn w:val="1"/>
    <w:link w:val="345"/>
    <w:qFormat/>
    <w:uiPriority w:val="0"/>
    <w:pPr>
      <w:adjustRightInd/>
      <w:snapToGrid/>
      <w:spacing w:line="403" w:lineRule="auto"/>
      <w:ind w:firstLine="400" w:firstLineChars="0"/>
      <w:jc w:val="left"/>
    </w:pPr>
    <w:rPr>
      <w:rFonts w:ascii="宋体" w:hAnsi="宋体"/>
      <w:kern w:val="0"/>
      <w:sz w:val="20"/>
      <w:szCs w:val="20"/>
      <w:lang w:val="zh-CN" w:bidi="zh-CN"/>
    </w:rPr>
  </w:style>
  <w:style w:type="character" w:customStyle="1" w:styleId="347">
    <w:name w:val="Char Style 3"/>
    <w:link w:val="348"/>
    <w:qFormat/>
    <w:uiPriority w:val="0"/>
    <w:rPr>
      <w:rFonts w:ascii="宋体" w:hAnsi="宋体" w:cs="宋体"/>
      <w:lang w:val="zh-CN" w:bidi="zh-CN"/>
    </w:rPr>
  </w:style>
  <w:style w:type="paragraph" w:customStyle="1" w:styleId="348">
    <w:name w:val="Style 2"/>
    <w:basedOn w:val="1"/>
    <w:link w:val="347"/>
    <w:qFormat/>
    <w:uiPriority w:val="0"/>
    <w:pPr>
      <w:adjustRightInd/>
      <w:snapToGrid/>
      <w:spacing w:line="403" w:lineRule="auto"/>
      <w:ind w:firstLine="400" w:firstLineChars="0"/>
      <w:jc w:val="left"/>
    </w:pPr>
    <w:rPr>
      <w:rFonts w:ascii="宋体" w:hAnsi="宋体"/>
      <w:kern w:val="0"/>
      <w:sz w:val="20"/>
      <w:szCs w:val="20"/>
      <w:lang w:val="zh-CN" w:bidi="zh-CN"/>
    </w:rPr>
  </w:style>
  <w:style w:type="character" w:customStyle="1" w:styleId="349">
    <w:name w:val="Char Style 14"/>
    <w:link w:val="350"/>
    <w:qFormat/>
    <w:uiPriority w:val="0"/>
    <w:rPr>
      <w:rFonts w:ascii="黑体" w:hAnsi="黑体" w:eastAsia="黑体" w:cs="黑体"/>
      <w:lang w:val="zh-CN" w:bidi="zh-CN"/>
    </w:rPr>
  </w:style>
  <w:style w:type="paragraph" w:customStyle="1" w:styleId="350">
    <w:name w:val="Style 13"/>
    <w:basedOn w:val="1"/>
    <w:link w:val="349"/>
    <w:qFormat/>
    <w:uiPriority w:val="0"/>
    <w:pPr>
      <w:adjustRightInd/>
      <w:snapToGrid/>
      <w:spacing w:after="140" w:line="240" w:lineRule="auto"/>
      <w:ind w:firstLine="440" w:firstLineChars="0"/>
      <w:jc w:val="left"/>
    </w:pPr>
    <w:rPr>
      <w:rFonts w:ascii="黑体" w:hAnsi="黑体" w:eastAsia="黑体" w:cs="黑体"/>
      <w:kern w:val="0"/>
      <w:sz w:val="20"/>
      <w:szCs w:val="20"/>
      <w:lang w:val="zh-CN" w:bidi="zh-CN"/>
    </w:rPr>
  </w:style>
  <w:style w:type="character" w:customStyle="1" w:styleId="351">
    <w:name w:val="Char Style 19"/>
    <w:link w:val="352"/>
    <w:qFormat/>
    <w:uiPriority w:val="0"/>
    <w:rPr>
      <w:rFonts w:ascii="宋体" w:hAnsi="宋体" w:cs="宋体"/>
      <w:b/>
      <w:bCs/>
      <w:sz w:val="28"/>
      <w:szCs w:val="28"/>
      <w:lang w:val="zh-CN" w:bidi="zh-CN"/>
    </w:rPr>
  </w:style>
  <w:style w:type="paragraph" w:customStyle="1" w:styleId="352">
    <w:name w:val="Style 18"/>
    <w:basedOn w:val="1"/>
    <w:link w:val="351"/>
    <w:qFormat/>
    <w:uiPriority w:val="0"/>
    <w:pPr>
      <w:adjustRightInd/>
      <w:snapToGrid/>
      <w:spacing w:line="240" w:lineRule="auto"/>
      <w:ind w:firstLine="0" w:firstLineChars="0"/>
      <w:jc w:val="left"/>
    </w:pPr>
    <w:rPr>
      <w:rFonts w:ascii="宋体" w:hAnsi="宋体"/>
      <w:b/>
      <w:bCs/>
      <w:kern w:val="0"/>
      <w:sz w:val="28"/>
      <w:szCs w:val="28"/>
      <w:lang w:val="zh-CN" w:bidi="zh-CN"/>
    </w:rPr>
  </w:style>
  <w:style w:type="character" w:customStyle="1" w:styleId="353">
    <w:name w:val="Char Style 27"/>
    <w:link w:val="354"/>
    <w:qFormat/>
    <w:uiPriority w:val="0"/>
    <w:rPr>
      <w:lang w:val="zh-CN" w:bidi="zh-CN"/>
    </w:rPr>
  </w:style>
  <w:style w:type="paragraph" w:customStyle="1" w:styleId="354">
    <w:name w:val="Style 26"/>
    <w:basedOn w:val="1"/>
    <w:link w:val="353"/>
    <w:qFormat/>
    <w:uiPriority w:val="0"/>
    <w:pPr>
      <w:adjustRightInd/>
      <w:snapToGrid/>
      <w:spacing w:line="240" w:lineRule="auto"/>
      <w:ind w:firstLine="0" w:firstLineChars="0"/>
      <w:jc w:val="left"/>
    </w:pPr>
    <w:rPr>
      <w:rFonts w:ascii="Calibri" w:hAnsi="Calibri" w:cs="Times New Roman"/>
      <w:kern w:val="0"/>
      <w:sz w:val="20"/>
      <w:szCs w:val="20"/>
      <w:lang w:val="zh-CN" w:bidi="zh-CN"/>
    </w:rPr>
  </w:style>
  <w:style w:type="character" w:customStyle="1" w:styleId="355">
    <w:name w:val="Char Style 30"/>
    <w:link w:val="356"/>
    <w:qFormat/>
    <w:uiPriority w:val="0"/>
    <w:rPr>
      <w:rFonts w:ascii="宋体" w:hAnsi="宋体" w:cs="宋体"/>
      <w:b/>
      <w:bCs/>
      <w:lang w:val="zh-CN" w:bidi="zh-CN"/>
    </w:rPr>
  </w:style>
  <w:style w:type="paragraph" w:customStyle="1" w:styleId="356">
    <w:name w:val="Style 29"/>
    <w:basedOn w:val="1"/>
    <w:link w:val="355"/>
    <w:qFormat/>
    <w:uiPriority w:val="0"/>
    <w:pPr>
      <w:adjustRightInd/>
      <w:snapToGrid/>
      <w:spacing w:line="394" w:lineRule="auto"/>
      <w:ind w:firstLine="0" w:firstLineChars="0"/>
      <w:jc w:val="left"/>
      <w:outlineLvl w:val="1"/>
    </w:pPr>
    <w:rPr>
      <w:rFonts w:ascii="宋体" w:hAnsi="宋体"/>
      <w:b/>
      <w:bCs/>
      <w:kern w:val="0"/>
      <w:sz w:val="20"/>
      <w:szCs w:val="20"/>
      <w:lang w:val="zh-CN" w:bidi="zh-CN"/>
    </w:rPr>
  </w:style>
  <w:style w:type="character" w:customStyle="1" w:styleId="357">
    <w:name w:val="Char Style 35"/>
    <w:link w:val="358"/>
    <w:qFormat/>
    <w:uiPriority w:val="0"/>
    <w:rPr>
      <w:rFonts w:ascii="宋体" w:hAnsi="宋体" w:cs="宋体"/>
      <w:lang w:val="zh-CN" w:bidi="zh-CN"/>
    </w:rPr>
  </w:style>
  <w:style w:type="paragraph" w:customStyle="1" w:styleId="358">
    <w:name w:val="Style 34"/>
    <w:basedOn w:val="1"/>
    <w:link w:val="357"/>
    <w:qFormat/>
    <w:uiPriority w:val="0"/>
    <w:pPr>
      <w:adjustRightInd/>
      <w:snapToGrid/>
      <w:spacing w:line="240" w:lineRule="auto"/>
      <w:ind w:firstLine="0" w:firstLineChars="0"/>
      <w:jc w:val="left"/>
    </w:pPr>
    <w:rPr>
      <w:rFonts w:ascii="宋体" w:hAnsi="宋体"/>
      <w:kern w:val="0"/>
      <w:sz w:val="20"/>
      <w:szCs w:val="20"/>
      <w:lang w:val="zh-CN" w:bidi="zh-CN"/>
    </w:rPr>
  </w:style>
  <w:style w:type="character" w:customStyle="1" w:styleId="359">
    <w:name w:val="Char Style 40"/>
    <w:link w:val="360"/>
    <w:qFormat/>
    <w:uiPriority w:val="0"/>
    <w:rPr>
      <w:rFonts w:ascii="宋体" w:hAnsi="宋体" w:cs="宋体"/>
      <w:lang w:val="zh-CN" w:bidi="zh-CN"/>
    </w:rPr>
  </w:style>
  <w:style w:type="paragraph" w:customStyle="1" w:styleId="360">
    <w:name w:val="Style 39"/>
    <w:basedOn w:val="1"/>
    <w:link w:val="359"/>
    <w:qFormat/>
    <w:uiPriority w:val="0"/>
    <w:pPr>
      <w:adjustRightInd/>
      <w:snapToGrid/>
      <w:spacing w:line="240" w:lineRule="auto"/>
      <w:ind w:firstLine="0" w:firstLineChars="0"/>
      <w:jc w:val="left"/>
    </w:pPr>
    <w:rPr>
      <w:rFonts w:ascii="宋体" w:hAnsi="宋体"/>
      <w:kern w:val="0"/>
      <w:sz w:val="20"/>
      <w:szCs w:val="20"/>
      <w:lang w:val="zh-CN" w:bidi="zh-CN"/>
    </w:rPr>
  </w:style>
  <w:style w:type="character" w:customStyle="1" w:styleId="361">
    <w:name w:val="Char Style 46"/>
    <w:link w:val="362"/>
    <w:qFormat/>
    <w:uiPriority w:val="0"/>
    <w:rPr>
      <w:rFonts w:ascii="宋体" w:hAnsi="宋体" w:cs="宋体"/>
      <w:lang w:val="zh-CN" w:bidi="zh-CN"/>
    </w:rPr>
  </w:style>
  <w:style w:type="paragraph" w:customStyle="1" w:styleId="362">
    <w:name w:val="Style 45"/>
    <w:basedOn w:val="1"/>
    <w:link w:val="361"/>
    <w:qFormat/>
    <w:uiPriority w:val="0"/>
    <w:pPr>
      <w:adjustRightInd/>
      <w:snapToGrid/>
      <w:spacing w:line="406" w:lineRule="auto"/>
      <w:ind w:firstLine="0" w:firstLineChars="0"/>
      <w:jc w:val="left"/>
      <w:outlineLvl w:val="2"/>
    </w:pPr>
    <w:rPr>
      <w:rFonts w:ascii="宋体" w:hAnsi="宋体"/>
      <w:kern w:val="0"/>
      <w:sz w:val="20"/>
      <w:szCs w:val="20"/>
      <w:lang w:val="zh-CN" w:bidi="zh-CN"/>
    </w:rPr>
  </w:style>
  <w:style w:type="character" w:customStyle="1" w:styleId="363">
    <w:name w:val="Char Style 53"/>
    <w:link w:val="364"/>
    <w:qFormat/>
    <w:uiPriority w:val="0"/>
    <w:rPr>
      <w:rFonts w:ascii="宋体" w:hAnsi="宋体" w:cs="宋体"/>
      <w:b/>
      <w:bCs/>
      <w:lang w:val="zh-CN" w:bidi="zh-CN"/>
    </w:rPr>
  </w:style>
  <w:style w:type="paragraph" w:customStyle="1" w:styleId="364">
    <w:name w:val="Style 52"/>
    <w:basedOn w:val="1"/>
    <w:link w:val="363"/>
    <w:qFormat/>
    <w:uiPriority w:val="0"/>
    <w:pPr>
      <w:adjustRightInd/>
      <w:snapToGrid/>
      <w:spacing w:line="240" w:lineRule="auto"/>
      <w:ind w:firstLine="0" w:firstLineChars="0"/>
      <w:jc w:val="left"/>
    </w:pPr>
    <w:rPr>
      <w:rFonts w:ascii="宋体" w:hAnsi="宋体"/>
      <w:b/>
      <w:bCs/>
      <w:kern w:val="0"/>
      <w:sz w:val="20"/>
      <w:szCs w:val="20"/>
      <w:lang w:val="zh-CN" w:bidi="zh-CN"/>
    </w:rPr>
  </w:style>
  <w:style w:type="character" w:customStyle="1" w:styleId="365">
    <w:name w:val="Char Style 62"/>
    <w:link w:val="366"/>
    <w:qFormat/>
    <w:uiPriority w:val="0"/>
    <w:rPr>
      <w:lang w:val="zh-CN" w:bidi="zh-CN"/>
    </w:rPr>
  </w:style>
  <w:style w:type="paragraph" w:customStyle="1" w:styleId="366">
    <w:name w:val="Style 61"/>
    <w:basedOn w:val="1"/>
    <w:link w:val="365"/>
    <w:qFormat/>
    <w:uiPriority w:val="0"/>
    <w:pPr>
      <w:adjustRightInd/>
      <w:snapToGrid/>
      <w:spacing w:line="466" w:lineRule="exact"/>
      <w:ind w:firstLine="500" w:firstLineChars="0"/>
      <w:jc w:val="left"/>
    </w:pPr>
    <w:rPr>
      <w:rFonts w:ascii="Calibri" w:hAnsi="Calibri" w:cs="Times New Roman"/>
      <w:kern w:val="0"/>
      <w:sz w:val="20"/>
      <w:szCs w:val="20"/>
      <w:lang w:val="zh-CN" w:bidi="zh-CN"/>
    </w:rPr>
  </w:style>
  <w:style w:type="character" w:customStyle="1" w:styleId="367">
    <w:name w:val="Char Style 65"/>
    <w:link w:val="368"/>
    <w:qFormat/>
    <w:uiPriority w:val="0"/>
    <w:rPr>
      <w:sz w:val="18"/>
      <w:szCs w:val="18"/>
      <w:lang w:val="zh-CN" w:bidi="zh-CN"/>
    </w:rPr>
  </w:style>
  <w:style w:type="paragraph" w:customStyle="1" w:styleId="368">
    <w:name w:val="Style 64"/>
    <w:basedOn w:val="1"/>
    <w:link w:val="367"/>
    <w:qFormat/>
    <w:uiPriority w:val="0"/>
    <w:pPr>
      <w:adjustRightInd/>
      <w:snapToGrid/>
      <w:spacing w:line="240" w:lineRule="auto"/>
      <w:ind w:firstLine="0" w:firstLineChars="0"/>
      <w:jc w:val="left"/>
    </w:pPr>
    <w:rPr>
      <w:rFonts w:ascii="Calibri" w:hAnsi="Calibri" w:cs="Times New Roman"/>
      <w:kern w:val="0"/>
      <w:sz w:val="18"/>
      <w:szCs w:val="18"/>
      <w:lang w:val="zh-CN" w:bidi="zh-CN"/>
    </w:rPr>
  </w:style>
  <w:style w:type="character" w:customStyle="1" w:styleId="369">
    <w:name w:val="Char Style 75"/>
    <w:link w:val="370"/>
    <w:qFormat/>
    <w:uiPriority w:val="0"/>
    <w:rPr>
      <w:sz w:val="18"/>
      <w:szCs w:val="18"/>
      <w:lang w:val="zh-CN" w:bidi="zh-CN"/>
    </w:rPr>
  </w:style>
  <w:style w:type="paragraph" w:customStyle="1" w:styleId="370">
    <w:name w:val="Style 74"/>
    <w:basedOn w:val="1"/>
    <w:link w:val="369"/>
    <w:qFormat/>
    <w:uiPriority w:val="0"/>
    <w:pPr>
      <w:adjustRightInd/>
      <w:snapToGrid/>
      <w:spacing w:after="200" w:line="293" w:lineRule="exact"/>
      <w:ind w:firstLine="0" w:firstLineChars="0"/>
      <w:jc w:val="center"/>
    </w:pPr>
    <w:rPr>
      <w:rFonts w:ascii="Calibri" w:hAnsi="Calibri" w:cs="Times New Roman"/>
      <w:kern w:val="0"/>
      <w:sz w:val="18"/>
      <w:szCs w:val="18"/>
      <w:lang w:val="zh-CN" w:bidi="zh-CN"/>
    </w:rPr>
  </w:style>
  <w:style w:type="character" w:customStyle="1" w:styleId="371">
    <w:name w:val="Char Style 87"/>
    <w:link w:val="372"/>
    <w:qFormat/>
    <w:uiPriority w:val="0"/>
    <w:rPr>
      <w:lang w:val="zh-CN"/>
    </w:rPr>
  </w:style>
  <w:style w:type="paragraph" w:customStyle="1" w:styleId="372">
    <w:name w:val="Style 86"/>
    <w:basedOn w:val="1"/>
    <w:link w:val="371"/>
    <w:qFormat/>
    <w:uiPriority w:val="0"/>
    <w:pPr>
      <w:adjustRightInd/>
      <w:snapToGrid/>
      <w:spacing w:line="240" w:lineRule="auto"/>
      <w:ind w:firstLine="0" w:firstLineChars="0"/>
      <w:jc w:val="left"/>
    </w:pPr>
    <w:rPr>
      <w:rFonts w:ascii="Calibri" w:hAnsi="Calibri" w:cs="Times New Roman"/>
      <w:kern w:val="0"/>
      <w:sz w:val="20"/>
      <w:szCs w:val="20"/>
      <w:lang w:val="zh-CN"/>
    </w:rPr>
  </w:style>
  <w:style w:type="character" w:customStyle="1" w:styleId="373">
    <w:name w:val="Char Style 111"/>
    <w:link w:val="374"/>
    <w:qFormat/>
    <w:uiPriority w:val="0"/>
    <w:rPr>
      <w:lang w:val="zh-CN"/>
    </w:rPr>
  </w:style>
  <w:style w:type="paragraph" w:customStyle="1" w:styleId="374">
    <w:name w:val="Style 110"/>
    <w:basedOn w:val="1"/>
    <w:link w:val="373"/>
    <w:qFormat/>
    <w:uiPriority w:val="0"/>
    <w:pPr>
      <w:adjustRightInd/>
      <w:snapToGrid/>
      <w:spacing w:line="240" w:lineRule="auto"/>
      <w:ind w:firstLine="0" w:firstLineChars="0"/>
      <w:jc w:val="left"/>
    </w:pPr>
    <w:rPr>
      <w:rFonts w:ascii="Calibri" w:hAnsi="Calibri" w:cs="Times New Roman"/>
      <w:kern w:val="0"/>
      <w:sz w:val="20"/>
      <w:szCs w:val="20"/>
      <w:lang w:val="zh-CN"/>
    </w:rPr>
  </w:style>
  <w:style w:type="character" w:customStyle="1" w:styleId="375">
    <w:name w:val="Char Style 121"/>
    <w:link w:val="376"/>
    <w:qFormat/>
    <w:uiPriority w:val="0"/>
    <w:rPr>
      <w:rFonts w:ascii="Arial" w:hAnsi="Arial" w:eastAsia="Arial" w:cs="Arial"/>
      <w:sz w:val="22"/>
      <w:szCs w:val="22"/>
      <w:lang w:val="zh-CN" w:bidi="zh-CN"/>
    </w:rPr>
  </w:style>
  <w:style w:type="paragraph" w:customStyle="1" w:styleId="376">
    <w:name w:val="Style 120"/>
    <w:basedOn w:val="1"/>
    <w:link w:val="375"/>
    <w:qFormat/>
    <w:uiPriority w:val="0"/>
    <w:pPr>
      <w:adjustRightInd/>
      <w:snapToGrid/>
      <w:spacing w:line="240" w:lineRule="auto"/>
      <w:ind w:firstLine="0" w:firstLineChars="0"/>
      <w:jc w:val="left"/>
    </w:pPr>
    <w:rPr>
      <w:rFonts w:ascii="Arial" w:hAnsi="Arial" w:eastAsia="Arial" w:cs="Arial"/>
      <w:kern w:val="0"/>
      <w:sz w:val="22"/>
      <w:lang w:val="zh-CN" w:bidi="zh-CN"/>
    </w:rPr>
  </w:style>
  <w:style w:type="character" w:customStyle="1" w:styleId="377">
    <w:name w:val="Char Style 136"/>
    <w:link w:val="378"/>
    <w:qFormat/>
    <w:uiPriority w:val="0"/>
    <w:rPr>
      <w:i/>
      <w:iCs/>
      <w:sz w:val="14"/>
      <w:szCs w:val="14"/>
      <w:lang w:val="zh-CN" w:bidi="zh-CN"/>
    </w:rPr>
  </w:style>
  <w:style w:type="paragraph" w:customStyle="1" w:styleId="378">
    <w:name w:val="Style 135"/>
    <w:basedOn w:val="1"/>
    <w:link w:val="377"/>
    <w:qFormat/>
    <w:uiPriority w:val="0"/>
    <w:pPr>
      <w:adjustRightInd/>
      <w:snapToGrid/>
      <w:spacing w:after="20" w:line="240" w:lineRule="auto"/>
      <w:ind w:firstLine="0" w:firstLineChars="0"/>
      <w:jc w:val="center"/>
    </w:pPr>
    <w:rPr>
      <w:rFonts w:ascii="Calibri" w:hAnsi="Calibri" w:cs="Times New Roman"/>
      <w:i/>
      <w:iCs/>
      <w:kern w:val="0"/>
      <w:sz w:val="14"/>
      <w:szCs w:val="14"/>
      <w:lang w:val="zh-CN" w:bidi="zh-CN"/>
    </w:rPr>
  </w:style>
  <w:style w:type="character" w:customStyle="1" w:styleId="379">
    <w:name w:val="Char Style 173"/>
    <w:link w:val="380"/>
    <w:qFormat/>
    <w:uiPriority w:val="0"/>
    <w:rPr>
      <w:rFonts w:ascii="宋体" w:hAnsi="宋体" w:cs="宋体"/>
      <w:b/>
      <w:bCs/>
      <w:lang w:val="zh-CN" w:bidi="zh-CN"/>
    </w:rPr>
  </w:style>
  <w:style w:type="paragraph" w:customStyle="1" w:styleId="380">
    <w:name w:val="Style 172"/>
    <w:basedOn w:val="1"/>
    <w:link w:val="379"/>
    <w:qFormat/>
    <w:uiPriority w:val="0"/>
    <w:pPr>
      <w:adjustRightInd/>
      <w:snapToGrid/>
      <w:spacing w:line="396" w:lineRule="auto"/>
      <w:ind w:firstLine="0" w:firstLineChars="0"/>
      <w:jc w:val="left"/>
      <w:outlineLvl w:val="3"/>
    </w:pPr>
    <w:rPr>
      <w:rFonts w:ascii="宋体" w:hAnsi="宋体"/>
      <w:b/>
      <w:bCs/>
      <w:kern w:val="0"/>
      <w:sz w:val="20"/>
      <w:szCs w:val="20"/>
      <w:lang w:val="zh-CN" w:bidi="zh-CN"/>
    </w:rPr>
  </w:style>
  <w:style w:type="character" w:customStyle="1" w:styleId="381">
    <w:name w:val="Char Style 12"/>
    <w:link w:val="382"/>
    <w:qFormat/>
    <w:uiPriority w:val="0"/>
    <w:rPr>
      <w:rFonts w:ascii="宋体" w:hAnsi="宋体" w:cs="宋体"/>
      <w:sz w:val="22"/>
      <w:szCs w:val="22"/>
      <w:lang w:val="zh-CN" w:bidi="zh-CN"/>
    </w:rPr>
  </w:style>
  <w:style w:type="paragraph" w:customStyle="1" w:styleId="382">
    <w:name w:val="Style 11"/>
    <w:basedOn w:val="1"/>
    <w:link w:val="381"/>
    <w:qFormat/>
    <w:uiPriority w:val="0"/>
    <w:pPr>
      <w:adjustRightInd/>
      <w:snapToGrid/>
      <w:spacing w:line="430" w:lineRule="auto"/>
      <w:ind w:firstLine="400" w:firstLineChars="0"/>
      <w:jc w:val="left"/>
    </w:pPr>
    <w:rPr>
      <w:rFonts w:ascii="宋体" w:hAnsi="宋体"/>
      <w:kern w:val="0"/>
      <w:sz w:val="22"/>
      <w:lang w:val="zh-CN" w:bidi="zh-CN"/>
    </w:rPr>
  </w:style>
  <w:style w:type="paragraph" w:customStyle="1" w:styleId="383">
    <w:name w:val="浩口正文"/>
    <w:basedOn w:val="1"/>
    <w:qFormat/>
    <w:uiPriority w:val="0"/>
    <w:pPr>
      <w:adjustRightInd/>
      <w:snapToGrid/>
      <w:spacing w:line="240" w:lineRule="auto"/>
      <w:ind w:firstLine="0" w:firstLineChars="0"/>
    </w:pPr>
    <w:rPr>
      <w:rFonts w:cs="Times New Roman"/>
      <w:sz w:val="28"/>
      <w:szCs w:val="28"/>
    </w:rPr>
  </w:style>
  <w:style w:type="paragraph" w:customStyle="1" w:styleId="384">
    <w:name w:val="Decimal Aligned"/>
    <w:basedOn w:val="1"/>
    <w:qFormat/>
    <w:uiPriority w:val="40"/>
    <w:pPr>
      <w:widowControl/>
      <w:tabs>
        <w:tab w:val="decimal" w:pos="360"/>
      </w:tabs>
      <w:adjustRightInd/>
      <w:snapToGrid/>
      <w:spacing w:after="200" w:line="276" w:lineRule="auto"/>
      <w:ind w:firstLine="0" w:firstLineChars="0"/>
      <w:jc w:val="left"/>
    </w:pPr>
    <w:rPr>
      <w:rFonts w:ascii="等线" w:hAnsi="等线" w:eastAsia="等线" w:cs="Times New Roman"/>
      <w:kern w:val="0"/>
      <w:sz w:val="22"/>
    </w:rPr>
  </w:style>
  <w:style w:type="paragraph" w:customStyle="1" w:styleId="385">
    <w:name w:val="font8"/>
    <w:basedOn w:val="1"/>
    <w:qFormat/>
    <w:uiPriority w:val="0"/>
    <w:pPr>
      <w:widowControl/>
      <w:adjustRightInd/>
      <w:snapToGrid/>
      <w:spacing w:before="100" w:beforeAutospacing="1" w:after="100" w:afterAutospacing="1" w:line="240" w:lineRule="auto"/>
      <w:ind w:firstLine="0" w:firstLineChars="0"/>
      <w:jc w:val="left"/>
    </w:pPr>
    <w:rPr>
      <w:rFonts w:cs="Times New Roman"/>
      <w:i/>
      <w:iCs/>
      <w:kern w:val="0"/>
      <w:sz w:val="20"/>
      <w:szCs w:val="20"/>
    </w:rPr>
  </w:style>
  <w:style w:type="paragraph" w:customStyle="1" w:styleId="386">
    <w:name w:val="font9"/>
    <w:basedOn w:val="1"/>
    <w:qFormat/>
    <w:uiPriority w:val="0"/>
    <w:pPr>
      <w:widowControl/>
      <w:adjustRightInd/>
      <w:snapToGrid/>
      <w:spacing w:before="100" w:beforeAutospacing="1" w:after="100" w:afterAutospacing="1" w:line="240" w:lineRule="auto"/>
      <w:ind w:firstLine="0" w:firstLineChars="0"/>
      <w:jc w:val="left"/>
    </w:pPr>
    <w:rPr>
      <w:rFonts w:ascii="宋体" w:hAnsi="宋体"/>
      <w:kern w:val="0"/>
      <w:sz w:val="20"/>
      <w:szCs w:val="20"/>
    </w:rPr>
  </w:style>
  <w:style w:type="paragraph" w:customStyle="1" w:styleId="387">
    <w:name w:val="font10"/>
    <w:basedOn w:val="1"/>
    <w:qFormat/>
    <w:uiPriority w:val="0"/>
    <w:pPr>
      <w:widowControl/>
      <w:adjustRightInd/>
      <w:snapToGrid/>
      <w:spacing w:before="100" w:beforeAutospacing="1" w:after="100" w:afterAutospacing="1" w:line="240" w:lineRule="auto"/>
      <w:ind w:firstLine="0" w:firstLineChars="0"/>
      <w:jc w:val="left"/>
    </w:pPr>
    <w:rPr>
      <w:rFonts w:ascii="宋体" w:hAnsi="宋体"/>
      <w:i/>
      <w:iCs/>
      <w:kern w:val="0"/>
      <w:sz w:val="20"/>
      <w:szCs w:val="20"/>
    </w:rPr>
  </w:style>
  <w:style w:type="paragraph" w:customStyle="1" w:styleId="388">
    <w:name w:val="TOC 标题11"/>
    <w:basedOn w:val="2"/>
    <w:next w:val="1"/>
    <w:unhideWhenUsed/>
    <w:qFormat/>
    <w:uiPriority w:val="39"/>
    <w:pPr>
      <w:keepNext/>
      <w:keepLines/>
      <w:widowControl/>
      <w:numPr>
        <w:numId w:val="0"/>
      </w:numPr>
      <w:adjustRightInd/>
      <w:snapToGrid/>
      <w:spacing w:before="240" w:line="259" w:lineRule="auto"/>
      <w:ind w:right="0"/>
      <w:jc w:val="left"/>
      <w:outlineLvl w:val="9"/>
    </w:pPr>
    <w:rPr>
      <w:rFonts w:ascii="等线 Light" w:hAnsi="等线 Light" w:eastAsia="等线 Light"/>
      <w:color w:val="2F5496"/>
      <w:kern w:val="0"/>
      <w:sz w:val="32"/>
      <w:szCs w:val="32"/>
    </w:rPr>
  </w:style>
  <w:style w:type="character" w:customStyle="1" w:styleId="389">
    <w:name w:val="标题 3 Char"/>
    <w:qFormat/>
    <w:uiPriority w:val="9"/>
    <w:rPr>
      <w:rFonts w:ascii="Times New Roman" w:hAnsi="Times New Roman"/>
      <w:b/>
      <w:bCs/>
      <w:sz w:val="24"/>
      <w:szCs w:val="32"/>
    </w:rPr>
  </w:style>
  <w:style w:type="character" w:customStyle="1" w:styleId="390">
    <w:name w:val="日期 字符"/>
    <w:link w:val="33"/>
    <w:qFormat/>
    <w:uiPriority w:val="0"/>
    <w:rPr>
      <w:rFonts w:ascii="Times New Roman" w:hAnsi="Times New Roman" w:eastAsia="Times New Roman"/>
      <w:color w:val="000000"/>
      <w:sz w:val="24"/>
      <w:szCs w:val="24"/>
      <w:lang w:eastAsia="en-US" w:bidi="en-US"/>
    </w:rPr>
  </w:style>
  <w:style w:type="character" w:customStyle="1" w:styleId="391">
    <w:name w:val="ref"/>
    <w:basedOn w:val="56"/>
    <w:uiPriority w:val="0"/>
  </w:style>
  <w:style w:type="character" w:customStyle="1" w:styleId="392">
    <w:name w:val="text_orsx5"/>
    <w:basedOn w:val="56"/>
    <w:qFormat/>
    <w:uiPriority w:val="0"/>
  </w:style>
  <w:style w:type="paragraph" w:customStyle="1" w:styleId="393">
    <w:name w:val="font12"/>
    <w:basedOn w:val="1"/>
    <w:uiPriority w:val="0"/>
    <w:pPr>
      <w:widowControl/>
      <w:adjustRightInd/>
      <w:snapToGrid/>
      <w:spacing w:before="100" w:beforeAutospacing="1" w:after="100" w:afterAutospacing="1" w:line="240" w:lineRule="auto"/>
      <w:ind w:firstLine="0" w:firstLineChars="0"/>
      <w:jc w:val="left"/>
    </w:pPr>
    <w:rPr>
      <w:rFonts w:cs="Times New Roman"/>
      <w:i/>
      <w:iCs/>
      <w:color w:val="000000"/>
      <w:kern w:val="0"/>
      <w:sz w:val="18"/>
      <w:szCs w:val="18"/>
    </w:rPr>
  </w:style>
  <w:style w:type="paragraph" w:customStyle="1" w:styleId="394">
    <w:name w:val="font13"/>
    <w:basedOn w:val="1"/>
    <w:qFormat/>
    <w:uiPriority w:val="0"/>
    <w:pPr>
      <w:widowControl/>
      <w:adjustRightInd/>
      <w:snapToGrid/>
      <w:spacing w:before="100" w:beforeAutospacing="1" w:after="100" w:afterAutospacing="1" w:line="240" w:lineRule="auto"/>
      <w:ind w:firstLine="0" w:firstLineChars="0"/>
      <w:jc w:val="left"/>
    </w:pPr>
    <w:rPr>
      <w:rFonts w:cs="Times New Roman"/>
      <w:i/>
      <w:iCs/>
      <w:color w:val="000000"/>
      <w:kern w:val="0"/>
      <w:sz w:val="20"/>
      <w:szCs w:val="20"/>
    </w:rPr>
  </w:style>
  <w:style w:type="paragraph" w:customStyle="1" w:styleId="395">
    <w:name w:val="font14"/>
    <w:basedOn w:val="1"/>
    <w:uiPriority w:val="0"/>
    <w:pPr>
      <w:widowControl/>
      <w:adjustRightInd/>
      <w:snapToGrid/>
      <w:spacing w:before="100" w:beforeAutospacing="1" w:after="100" w:afterAutospacing="1" w:line="240" w:lineRule="auto"/>
      <w:ind w:firstLine="0" w:firstLineChars="0"/>
      <w:jc w:val="left"/>
    </w:pPr>
    <w:rPr>
      <w:rFonts w:ascii="宋体" w:hAnsi="宋体"/>
      <w:color w:val="000000"/>
      <w:kern w:val="0"/>
      <w:sz w:val="20"/>
      <w:szCs w:val="20"/>
    </w:rPr>
  </w:style>
  <w:style w:type="paragraph" w:customStyle="1" w:styleId="396">
    <w:name w:val="font15"/>
    <w:basedOn w:val="1"/>
    <w:qFormat/>
    <w:uiPriority w:val="0"/>
    <w:pPr>
      <w:widowControl/>
      <w:adjustRightInd/>
      <w:snapToGrid/>
      <w:spacing w:before="100" w:beforeAutospacing="1" w:after="100" w:afterAutospacing="1" w:line="240" w:lineRule="auto"/>
      <w:ind w:firstLine="0" w:firstLineChars="0"/>
      <w:jc w:val="left"/>
    </w:pPr>
    <w:rPr>
      <w:rFonts w:cs="Times New Roman"/>
      <w:b/>
      <w:bCs/>
      <w:color w:val="000000"/>
      <w:kern w:val="0"/>
      <w:sz w:val="20"/>
      <w:szCs w:val="20"/>
    </w:rPr>
  </w:style>
  <w:style w:type="paragraph" w:customStyle="1" w:styleId="397">
    <w:name w:val="font16"/>
    <w:basedOn w:val="1"/>
    <w:uiPriority w:val="0"/>
    <w:pPr>
      <w:widowControl/>
      <w:adjustRightInd/>
      <w:snapToGrid/>
      <w:spacing w:before="100" w:beforeAutospacing="1" w:after="100" w:afterAutospacing="1" w:line="240" w:lineRule="auto"/>
      <w:ind w:firstLine="0" w:firstLineChars="0"/>
      <w:jc w:val="left"/>
    </w:pPr>
    <w:rPr>
      <w:rFonts w:ascii="仿宋" w:hAnsi="仿宋" w:eastAsia="仿宋"/>
      <w:color w:val="000000"/>
      <w:kern w:val="0"/>
      <w:sz w:val="20"/>
      <w:szCs w:val="20"/>
    </w:rPr>
  </w:style>
  <w:style w:type="table" w:customStyle="1" w:styleId="398">
    <w:name w:val="网格型1"/>
    <w:basedOn w:val="53"/>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
    <w:name w:val="报告表格1"/>
    <w:basedOn w:val="54"/>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top w:w="28" w:type="dxa"/>
        <w:bottom w:w="28" w:type="dxa"/>
      </w:tblCellMar>
    </w:tblPr>
    <w:tcPr>
      <w:vAlign w:val="center"/>
    </w:tcPr>
    <w:tblStylePr w:type="firstRow">
      <w:rPr>
        <w:rFonts w:eastAsia="New York"/>
        <w:sz w:val="21"/>
      </w:rPr>
      <w:tcPr>
        <w:tcBorders>
          <w:top w:val="single" w:color="auto" w:sz="12" w:space="0"/>
          <w:left w:val="nil"/>
          <w:bottom w:val="nil"/>
          <w:right w:val="nil"/>
          <w:insideH w:val="single" w:sz="6" w:space="0"/>
          <w:insideV w:val="single" w:sz="6" w:space="0"/>
          <w:tl2br w:val="nil"/>
          <w:tr2bl w:val="nil"/>
        </w:tcBorders>
      </w:tcPr>
    </w:tblStylePr>
    <w:tblStylePr w:type="lastRow">
      <w:tcPr>
        <w:tcBorders>
          <w:bottom w:val="single" w:color="auto" w:sz="12" w:space="0"/>
        </w:tcBorders>
      </w:tcPr>
    </w:tblStylePr>
  </w:style>
  <w:style w:type="character" w:customStyle="1" w:styleId="400">
    <w:name w:val="正文文本 (2) + Sylfaen3"/>
    <w:qFormat/>
    <w:uiPriority w:val="99"/>
    <w:rPr>
      <w:rFonts w:ascii="Sylfaen" w:hAnsi="Sylfaen" w:eastAsia="MingLiU" w:cs="Sylfaen"/>
      <w:spacing w:val="60"/>
      <w:sz w:val="20"/>
      <w:szCs w:val="20"/>
      <w:shd w:val="clear" w:color="auto" w:fill="FFFFFF"/>
      <w:lang w:eastAsia="en-US"/>
    </w:rPr>
  </w:style>
  <w:style w:type="character" w:customStyle="1" w:styleId="401">
    <w:name w:val="纯文本 字符"/>
    <w:link w:val="29"/>
    <w:qFormat/>
    <w:uiPriority w:val="0"/>
    <w:rPr>
      <w:rFonts w:ascii="宋体" w:hAnsi="Courier New"/>
      <w:kern w:val="2"/>
      <w:sz w:val="21"/>
    </w:rPr>
  </w:style>
  <w:style w:type="character" w:customStyle="1" w:styleId="402">
    <w:name w:val="纯文本 字符1"/>
    <w:basedOn w:val="56"/>
    <w:qFormat/>
    <w:uiPriority w:val="0"/>
    <w:rPr>
      <w:rFonts w:hAnsi="Courier New" w:cs="Courier New" w:asciiTheme="minorEastAsia" w:eastAsiaTheme="minorEastAsia"/>
      <w:kern w:val="2"/>
      <w:sz w:val="24"/>
      <w:szCs w:val="22"/>
    </w:rPr>
  </w:style>
  <w:style w:type="paragraph" w:customStyle="1" w:styleId="403">
    <w:name w:val="报告书正文"/>
    <w:basedOn w:val="1"/>
    <w:link w:val="426"/>
    <w:qFormat/>
    <w:uiPriority w:val="0"/>
    <w:pPr>
      <w:adjustRightInd/>
      <w:snapToGrid/>
      <w:spacing w:line="300" w:lineRule="auto"/>
    </w:pPr>
    <w:rPr>
      <w:rFonts w:cs="Times New Roman"/>
      <w:szCs w:val="20"/>
    </w:rPr>
  </w:style>
  <w:style w:type="paragraph" w:customStyle="1" w:styleId="404">
    <w:name w:val="正文 lsp"/>
    <w:basedOn w:val="1"/>
    <w:qFormat/>
    <w:uiPriority w:val="0"/>
    <w:pPr>
      <w:adjustRightInd/>
      <w:snapToGrid/>
      <w:ind w:firstLine="480"/>
    </w:pPr>
    <w:rPr>
      <w:rFonts w:ascii="宋体" w:cs="Times New Roman"/>
      <w:szCs w:val="20"/>
    </w:rPr>
  </w:style>
  <w:style w:type="paragraph" w:customStyle="1" w:styleId="405">
    <w:name w:val="Char1 Char Char Char Char Char Char Char"/>
    <w:basedOn w:val="1"/>
    <w:qFormat/>
    <w:uiPriority w:val="0"/>
    <w:pPr>
      <w:adjustRightInd/>
      <w:snapToGrid/>
    </w:pPr>
    <w:rPr>
      <w:rFonts w:ascii="宋体" w:hAnsi="宋体"/>
      <w:szCs w:val="24"/>
    </w:rPr>
  </w:style>
  <w:style w:type="character" w:customStyle="1" w:styleId="406">
    <w:name w:val="样式2 Char Char"/>
    <w:link w:val="407"/>
    <w:qFormat/>
    <w:uiPriority w:val="0"/>
    <w:rPr>
      <w:sz w:val="24"/>
      <w:szCs w:val="24"/>
    </w:rPr>
  </w:style>
  <w:style w:type="paragraph" w:customStyle="1" w:styleId="407">
    <w:name w:val="样式2"/>
    <w:basedOn w:val="1"/>
    <w:link w:val="406"/>
    <w:qFormat/>
    <w:uiPriority w:val="0"/>
    <w:pPr>
      <w:autoSpaceDE w:val="0"/>
      <w:autoSpaceDN w:val="0"/>
      <w:snapToGrid/>
      <w:spacing w:line="240" w:lineRule="auto"/>
      <w:ind w:firstLine="0" w:firstLineChars="0"/>
      <w:jc w:val="left"/>
      <w:textAlignment w:val="baseline"/>
    </w:pPr>
    <w:rPr>
      <w:rFonts w:ascii="Calibri" w:hAnsi="Calibri" w:cs="Times New Roman"/>
      <w:kern w:val="0"/>
      <w:szCs w:val="24"/>
    </w:rPr>
  </w:style>
  <w:style w:type="paragraph" w:customStyle="1" w:styleId="408">
    <w:name w:val="正文部分"/>
    <w:basedOn w:val="19"/>
    <w:qFormat/>
    <w:uiPriority w:val="0"/>
    <w:pPr>
      <w:spacing w:line="460" w:lineRule="exact"/>
      <w:jc w:val="left"/>
      <w:textAlignment w:val="baseline"/>
    </w:pPr>
    <w:rPr>
      <w:rFonts w:hAnsi="仿宋" w:eastAsia="仿宋" w:cs="Times New Roman"/>
    </w:rPr>
  </w:style>
  <w:style w:type="character" w:customStyle="1" w:styleId="409">
    <w:name w:val="批注文字 Char"/>
    <w:qFormat/>
    <w:uiPriority w:val="0"/>
    <w:rPr>
      <w:rFonts w:ascii="宋体" w:hAnsi="宋体" w:cs="宋体"/>
      <w:sz w:val="22"/>
      <w:szCs w:val="22"/>
    </w:rPr>
  </w:style>
  <w:style w:type="paragraph" w:customStyle="1" w:styleId="410">
    <w:name w:val="7"/>
    <w:basedOn w:val="1"/>
    <w:next w:val="67"/>
    <w:qFormat/>
    <w:uiPriority w:val="34"/>
    <w:pPr>
      <w:adjustRightInd/>
      <w:snapToGrid/>
      <w:spacing w:line="240" w:lineRule="auto"/>
      <w:ind w:firstLine="420"/>
    </w:pPr>
    <w:rPr>
      <w:rFonts w:cs="Times New Roman"/>
      <w:sz w:val="21"/>
      <w:szCs w:val="24"/>
    </w:rPr>
  </w:style>
  <w:style w:type="paragraph" w:customStyle="1" w:styleId="411">
    <w:name w:val="标题3"/>
    <w:basedOn w:val="1"/>
    <w:qFormat/>
    <w:uiPriority w:val="0"/>
    <w:pPr>
      <w:adjustRightInd/>
      <w:snapToGrid/>
      <w:spacing w:beforeLines="50"/>
      <w:ind w:firstLine="0" w:firstLineChars="0"/>
      <w:outlineLvl w:val="2"/>
    </w:pPr>
    <w:rPr>
      <w:rFonts w:eastAsia="黑体" w:cs="Times New Roman"/>
      <w:sz w:val="28"/>
      <w:szCs w:val="28"/>
    </w:rPr>
  </w:style>
  <w:style w:type="character" w:customStyle="1" w:styleId="412">
    <w:name w:val="标题 8 字符"/>
    <w:basedOn w:val="56"/>
    <w:link w:val="9"/>
    <w:qFormat/>
    <w:uiPriority w:val="0"/>
    <w:rPr>
      <w:rFonts w:ascii="Arial" w:hAnsi="Arial" w:eastAsia="黑体" w:cs="宋体"/>
      <w:kern w:val="2"/>
      <w:sz w:val="24"/>
      <w:szCs w:val="22"/>
    </w:rPr>
  </w:style>
  <w:style w:type="character" w:customStyle="1" w:styleId="413">
    <w:name w:val="标题 9 字符"/>
    <w:basedOn w:val="56"/>
    <w:link w:val="10"/>
    <w:qFormat/>
    <w:uiPriority w:val="0"/>
    <w:rPr>
      <w:rFonts w:ascii="Arial" w:hAnsi="Arial" w:eastAsia="黑体" w:cs="宋体"/>
      <w:kern w:val="2"/>
      <w:sz w:val="21"/>
      <w:szCs w:val="22"/>
    </w:rPr>
  </w:style>
  <w:style w:type="paragraph" w:customStyle="1" w:styleId="414">
    <w:name w:val="Char Char9"/>
    <w:basedOn w:val="1"/>
    <w:qFormat/>
    <w:uiPriority w:val="0"/>
    <w:pPr>
      <w:adjustRightInd/>
      <w:snapToGrid/>
      <w:spacing w:line="240" w:lineRule="auto"/>
      <w:ind w:firstLine="0" w:firstLineChars="0"/>
    </w:pPr>
    <w:rPr>
      <w:rFonts w:cs="Times New Roman"/>
      <w:sz w:val="21"/>
      <w:szCs w:val="24"/>
    </w:rPr>
  </w:style>
  <w:style w:type="paragraph" w:customStyle="1" w:styleId="415">
    <w:name w:val="报告书正文 Char Char"/>
    <w:basedOn w:val="1"/>
    <w:link w:val="416"/>
    <w:qFormat/>
    <w:uiPriority w:val="0"/>
    <w:pPr>
      <w:adjustRightInd/>
      <w:snapToGrid/>
      <w:spacing w:line="300" w:lineRule="auto"/>
      <w:ind w:firstLine="480"/>
    </w:pPr>
    <w:rPr>
      <w:rFonts w:cs="Times New Roman"/>
      <w:szCs w:val="24"/>
    </w:rPr>
  </w:style>
  <w:style w:type="character" w:customStyle="1" w:styleId="416">
    <w:name w:val="报告书正文 Char Char Char"/>
    <w:link w:val="415"/>
    <w:qFormat/>
    <w:uiPriority w:val="0"/>
    <w:rPr>
      <w:rFonts w:ascii="Times New Roman" w:hAnsi="Times New Roman"/>
      <w:kern w:val="2"/>
      <w:sz w:val="24"/>
      <w:szCs w:val="24"/>
    </w:rPr>
  </w:style>
  <w:style w:type="paragraph" w:customStyle="1" w:styleId="417">
    <w:name w:val="Char Char Char Char Char Char Char Char Char Char Char Char1 Char Char Char Char Char Char Char"/>
    <w:basedOn w:val="16"/>
    <w:qFormat/>
    <w:uiPriority w:val="0"/>
    <w:pPr>
      <w:shd w:val="clear" w:color="auto" w:fill="000080"/>
      <w:adjustRightInd/>
      <w:snapToGrid/>
      <w:ind w:firstLine="0" w:firstLineChars="0"/>
    </w:pPr>
    <w:rPr>
      <w:rFonts w:ascii="Tahoma" w:hAnsi="Tahoma"/>
      <w:kern w:val="2"/>
      <w:sz w:val="24"/>
      <w:szCs w:val="24"/>
    </w:rPr>
  </w:style>
  <w:style w:type="paragraph" w:customStyle="1" w:styleId="418">
    <w:name w:val="样式 首行缩进:  0.99 厘米"/>
    <w:basedOn w:val="1"/>
    <w:link w:val="652"/>
    <w:qFormat/>
    <w:uiPriority w:val="0"/>
    <w:pPr>
      <w:suppressAutoHyphens/>
      <w:adjustRightInd/>
      <w:snapToGrid/>
      <w:ind w:firstLine="560" w:firstLineChars="0"/>
    </w:pPr>
    <w:rPr>
      <w:rFonts w:ascii="宋体" w:hAnsi="宋体"/>
      <w:kern w:val="1"/>
      <w:szCs w:val="20"/>
      <w:lang w:eastAsia="ar-SA"/>
    </w:rPr>
  </w:style>
  <w:style w:type="paragraph" w:customStyle="1" w:styleId="419">
    <w:name w:val="xl59"/>
    <w:basedOn w:val="1"/>
    <w:qFormat/>
    <w:uiPriority w:val="0"/>
    <w:pPr>
      <w:widowControl/>
      <w:pBdr>
        <w:left w:val="single" w:color="auto" w:sz="8" w:space="0"/>
        <w:bottom w:val="single" w:color="auto" w:sz="4" w:space="0"/>
        <w:right w:val="single" w:color="auto" w:sz="4" w:space="0"/>
      </w:pBdr>
      <w:adjustRightInd/>
      <w:snapToGrid/>
      <w:spacing w:before="100" w:beforeAutospacing="1" w:after="100" w:afterAutospacing="1"/>
      <w:ind w:firstLine="0" w:firstLineChars="0"/>
      <w:jc w:val="center"/>
      <w:textAlignment w:val="center"/>
    </w:pPr>
    <w:rPr>
      <w:rFonts w:ascii="宋体" w:hAnsi="宋体" w:cs="Times New Roman"/>
      <w:kern w:val="0"/>
      <w:szCs w:val="24"/>
    </w:rPr>
  </w:style>
  <w:style w:type="paragraph" w:customStyle="1" w:styleId="420">
    <w:name w:val="样式 标题 3标题 3 Char Char Char标题 3 Char题 3标题 3 Char Char标题 3 Ch...2"/>
    <w:basedOn w:val="4"/>
    <w:qFormat/>
    <w:uiPriority w:val="0"/>
    <w:pPr>
      <w:keepNext/>
      <w:keepLines/>
      <w:numPr>
        <w:ilvl w:val="0"/>
        <w:numId w:val="0"/>
      </w:numPr>
      <w:tabs>
        <w:tab w:val="clear" w:pos="0"/>
      </w:tabs>
      <w:spacing w:before="0"/>
    </w:pPr>
    <w:rPr>
      <w:rFonts w:ascii="宋体" w:hAnsi="宋体" w:eastAsia="宋体" w:cs="Times New Roman"/>
      <w:b/>
      <w:sz w:val="28"/>
      <w:szCs w:val="28"/>
    </w:rPr>
  </w:style>
  <w:style w:type="paragraph" w:customStyle="1" w:styleId="421">
    <w:name w:val="1表格"/>
    <w:basedOn w:val="1"/>
    <w:qFormat/>
    <w:uiPriority w:val="0"/>
    <w:pPr>
      <w:adjustRightInd/>
      <w:spacing w:line="300" w:lineRule="auto"/>
      <w:ind w:firstLine="0" w:firstLineChars="0"/>
      <w:jc w:val="center"/>
    </w:pPr>
    <w:rPr>
      <w:rFonts w:cs="Times New Roman"/>
      <w:color w:val="000000"/>
      <w:spacing w:val="4"/>
      <w:kern w:val="0"/>
      <w:sz w:val="21"/>
      <w:szCs w:val="24"/>
    </w:rPr>
  </w:style>
  <w:style w:type="paragraph" w:customStyle="1" w:styleId="422">
    <w:name w:val="样式 (西文) 仿宋_GB2312 首行缩进:  0.99 厘米"/>
    <w:basedOn w:val="1"/>
    <w:qFormat/>
    <w:uiPriority w:val="0"/>
    <w:pPr>
      <w:suppressAutoHyphens/>
      <w:adjustRightInd/>
      <w:snapToGrid/>
      <w:ind w:firstLine="560" w:firstLineChars="0"/>
    </w:pPr>
    <w:rPr>
      <w:rFonts w:ascii="方正仿宋_GB2312" w:hAnsi="方正仿宋_GB2312" w:cs="Times New Roman"/>
      <w:kern w:val="1"/>
      <w:szCs w:val="20"/>
      <w:lang w:eastAsia="ar-SA"/>
    </w:rPr>
  </w:style>
  <w:style w:type="paragraph" w:customStyle="1" w:styleId="423">
    <w:name w:val="正文文本缩进 31"/>
    <w:basedOn w:val="1"/>
    <w:qFormat/>
    <w:uiPriority w:val="0"/>
    <w:pPr>
      <w:suppressAutoHyphens/>
      <w:adjustRightInd/>
      <w:snapToGrid/>
      <w:spacing w:before="280" w:after="280"/>
      <w:ind w:firstLine="560" w:firstLineChars="0"/>
    </w:pPr>
    <w:rPr>
      <w:rFonts w:ascii="宋体" w:hAnsi="宋体" w:cs="Times New Roman"/>
      <w:kern w:val="1"/>
      <w:szCs w:val="24"/>
      <w:lang w:eastAsia="ar-SA"/>
    </w:rPr>
  </w:style>
  <w:style w:type="character" w:customStyle="1" w:styleId="424">
    <w:name w:val="表格 Char"/>
    <w:qFormat/>
    <w:uiPriority w:val="0"/>
    <w:rPr>
      <w:rFonts w:ascii="宋体" w:hAnsi="Courier New" w:eastAsia="宋体" w:cs="宋体-18030"/>
      <w:kern w:val="2"/>
      <w:sz w:val="21"/>
      <w:szCs w:val="21"/>
      <w:lang w:val="en-US" w:eastAsia="zh-CN" w:bidi="ar-SA"/>
    </w:rPr>
  </w:style>
  <w:style w:type="paragraph" w:customStyle="1" w:styleId="425">
    <w:name w:val="Char2 Char Char Char"/>
    <w:basedOn w:val="1"/>
    <w:qFormat/>
    <w:uiPriority w:val="0"/>
    <w:pPr>
      <w:adjustRightInd/>
      <w:snapToGrid/>
    </w:pPr>
    <w:rPr>
      <w:rFonts w:ascii="宋体" w:hAnsi="宋体"/>
      <w:szCs w:val="24"/>
    </w:rPr>
  </w:style>
  <w:style w:type="character" w:customStyle="1" w:styleId="426">
    <w:name w:val="报告书正文 Char"/>
    <w:link w:val="403"/>
    <w:qFormat/>
    <w:uiPriority w:val="0"/>
    <w:rPr>
      <w:rFonts w:ascii="Times New Roman" w:hAnsi="Times New Roman"/>
      <w:kern w:val="2"/>
      <w:sz w:val="24"/>
    </w:rPr>
  </w:style>
  <w:style w:type="character" w:customStyle="1" w:styleId="427">
    <w:name w:val="123YJ Char Char"/>
    <w:qFormat/>
    <w:uiPriority w:val="0"/>
    <w:rPr>
      <w:rFonts w:eastAsia="宋体"/>
      <w:kern w:val="2"/>
      <w:sz w:val="18"/>
      <w:szCs w:val="18"/>
      <w:lang w:val="en-US" w:eastAsia="zh-CN" w:bidi="ar-SA"/>
    </w:rPr>
  </w:style>
  <w:style w:type="character" w:customStyle="1" w:styleId="428">
    <w:name w:val="正式文字 Char"/>
    <w:link w:val="429"/>
    <w:qFormat/>
    <w:uiPriority w:val="0"/>
    <w:rPr>
      <w:rFonts w:ascii="宋体"/>
      <w:color w:val="000000"/>
      <w:sz w:val="28"/>
      <w:szCs w:val="30"/>
    </w:rPr>
  </w:style>
  <w:style w:type="paragraph" w:customStyle="1" w:styleId="429">
    <w:name w:val="正式文字"/>
    <w:basedOn w:val="1"/>
    <w:link w:val="428"/>
    <w:qFormat/>
    <w:uiPriority w:val="0"/>
    <w:pPr>
      <w:ind w:firstLine="567" w:firstLineChars="0"/>
    </w:pPr>
    <w:rPr>
      <w:rFonts w:ascii="宋体" w:hAnsi="Calibri" w:cs="Times New Roman"/>
      <w:color w:val="000000"/>
      <w:kern w:val="0"/>
      <w:sz w:val="28"/>
      <w:szCs w:val="30"/>
    </w:rPr>
  </w:style>
  <w:style w:type="paragraph" w:customStyle="1" w:styleId="430">
    <w:name w:val="表 头"/>
    <w:basedOn w:val="1"/>
    <w:qFormat/>
    <w:uiPriority w:val="0"/>
    <w:pPr>
      <w:snapToGrid/>
      <w:spacing w:line="300" w:lineRule="exact"/>
      <w:ind w:firstLine="0" w:firstLineChars="0"/>
      <w:jc w:val="center"/>
      <w:textAlignment w:val="baseline"/>
    </w:pPr>
    <w:rPr>
      <w:rFonts w:ascii="宋体" w:hAnsi="宋体" w:cs="Times New Roman"/>
      <w:color w:val="0000FF"/>
      <w:spacing w:val="10"/>
      <w:szCs w:val="24"/>
    </w:rPr>
  </w:style>
  <w:style w:type="paragraph" w:customStyle="1" w:styleId="431">
    <w:name w:val="xl26"/>
    <w:basedOn w:val="1"/>
    <w:qFormat/>
    <w:uiPriority w:val="0"/>
    <w:pPr>
      <w:widowControl/>
      <w:pBdr>
        <w:bottom w:val="single" w:color="auto" w:sz="4" w:space="0"/>
        <w:right w:val="single" w:color="auto" w:sz="4" w:space="0"/>
      </w:pBdr>
      <w:adjustRightInd/>
      <w:snapToGrid/>
      <w:spacing w:before="100" w:beforeAutospacing="1" w:after="100" w:afterAutospacing="1"/>
      <w:ind w:firstLine="0" w:firstLineChars="0"/>
      <w:jc w:val="center"/>
    </w:pPr>
    <w:rPr>
      <w:rFonts w:eastAsia="Arial Unicode MS" w:cs="Times New Roman"/>
      <w:kern w:val="0"/>
      <w:sz w:val="21"/>
      <w:szCs w:val="21"/>
    </w:rPr>
  </w:style>
  <w:style w:type="paragraph" w:customStyle="1" w:styleId="432">
    <w:name w:val="样式 宋体 居中"/>
    <w:basedOn w:val="1"/>
    <w:qFormat/>
    <w:uiPriority w:val="0"/>
    <w:pPr>
      <w:adjustRightInd/>
      <w:snapToGrid/>
      <w:ind w:firstLine="0" w:firstLineChars="0"/>
      <w:jc w:val="center"/>
    </w:pPr>
    <w:rPr>
      <w:rFonts w:ascii="宋体" w:hAnsi="宋体"/>
      <w:szCs w:val="20"/>
    </w:rPr>
  </w:style>
  <w:style w:type="paragraph" w:customStyle="1" w:styleId="433">
    <w:name w:val="样式 标题 2节标题 1.11.1标题2b2Seh2l22nd levelTitre22Header 2二...1"/>
    <w:basedOn w:val="3"/>
    <w:qFormat/>
    <w:uiPriority w:val="0"/>
    <w:pPr>
      <w:keepNext/>
      <w:keepLines/>
      <w:numPr>
        <w:ilvl w:val="0"/>
        <w:numId w:val="0"/>
      </w:numPr>
      <w:tabs>
        <w:tab w:val="clear" w:pos="420"/>
      </w:tabs>
      <w:adjustRightInd/>
      <w:snapToGrid/>
      <w:spacing w:before="240" w:after="240"/>
    </w:pPr>
    <w:rPr>
      <w:rFonts w:ascii="宋体" w:hAnsi="宋体" w:eastAsia="宋体" w:cs="宋体"/>
      <w:bCs/>
      <w:color w:val="0070C0"/>
      <w:kern w:val="0"/>
      <w:sz w:val="30"/>
      <w:szCs w:val="20"/>
    </w:rPr>
  </w:style>
  <w:style w:type="paragraph" w:customStyle="1" w:styleId="434">
    <w:name w:val="样式 标题 3标题 3 Char题 3标题 3 Char Char Char条标题1.1.13h33rd leve..."/>
    <w:basedOn w:val="4"/>
    <w:qFormat/>
    <w:uiPriority w:val="0"/>
    <w:pPr>
      <w:keepNext/>
      <w:keepLines/>
      <w:numPr>
        <w:ilvl w:val="0"/>
        <w:numId w:val="0"/>
      </w:numPr>
      <w:tabs>
        <w:tab w:val="clear" w:pos="0"/>
      </w:tabs>
      <w:adjustRightInd/>
      <w:snapToGrid/>
      <w:spacing w:before="240" w:after="240" w:line="560" w:lineRule="exact"/>
    </w:pPr>
    <w:rPr>
      <w:rFonts w:ascii="宋体" w:hAnsi="宋体" w:eastAsia="宋体" w:cs="宋体"/>
      <w:b/>
      <w:bCs/>
      <w:sz w:val="28"/>
      <w:szCs w:val="20"/>
    </w:rPr>
  </w:style>
  <w:style w:type="paragraph" w:customStyle="1" w:styleId="435">
    <w:name w:val="Char3"/>
    <w:basedOn w:val="1"/>
    <w:qFormat/>
    <w:uiPriority w:val="0"/>
    <w:pPr>
      <w:adjustRightInd/>
      <w:snapToGrid/>
    </w:pPr>
    <w:rPr>
      <w:rFonts w:ascii="宋体" w:hAnsi="宋体"/>
      <w:szCs w:val="24"/>
    </w:rPr>
  </w:style>
  <w:style w:type="paragraph" w:customStyle="1" w:styleId="436">
    <w:name w:val="Char Char Char Char"/>
    <w:basedOn w:val="1"/>
    <w:qFormat/>
    <w:uiPriority w:val="0"/>
    <w:pPr>
      <w:jc w:val="left"/>
    </w:pPr>
    <w:rPr>
      <w:rFonts w:ascii="方正仿宋_GB2312" w:hAnsi="方正仿宋_GB2312" w:eastAsia="方正仿宋_GB2312"/>
      <w:szCs w:val="24"/>
    </w:rPr>
  </w:style>
  <w:style w:type="paragraph" w:customStyle="1" w:styleId="437">
    <w:name w:val="样式9"/>
    <w:basedOn w:val="3"/>
    <w:qFormat/>
    <w:uiPriority w:val="0"/>
    <w:pPr>
      <w:keepNext/>
      <w:keepLines/>
      <w:numPr>
        <w:ilvl w:val="0"/>
        <w:numId w:val="0"/>
      </w:numPr>
      <w:tabs>
        <w:tab w:val="clear" w:pos="420"/>
      </w:tabs>
      <w:adjustRightInd/>
      <w:snapToGrid/>
      <w:spacing w:before="260" w:after="260" w:line="416" w:lineRule="auto"/>
    </w:pPr>
    <w:rPr>
      <w:rFonts w:ascii="方正仿宋_GB2312" w:hAnsi="Arial"/>
      <w:bCs/>
      <w:color w:val="0070C0"/>
      <w:kern w:val="0"/>
    </w:rPr>
  </w:style>
  <w:style w:type="paragraph" w:customStyle="1" w:styleId="438">
    <w:name w:val="Char1 Char Char Char Char Char Char"/>
    <w:basedOn w:val="1"/>
    <w:next w:val="1"/>
    <w:qFormat/>
    <w:uiPriority w:val="0"/>
    <w:pPr>
      <w:adjustRightInd/>
      <w:snapToGrid/>
      <w:ind w:firstLine="0" w:firstLineChars="0"/>
    </w:pPr>
    <w:rPr>
      <w:rFonts w:cs="Times New Roman"/>
      <w:sz w:val="21"/>
      <w:szCs w:val="24"/>
    </w:rPr>
  </w:style>
  <w:style w:type="character" w:customStyle="1" w:styleId="439">
    <w:name w:val="正文文本缩进 3 字符"/>
    <w:basedOn w:val="56"/>
    <w:link w:val="44"/>
    <w:qFormat/>
    <w:uiPriority w:val="0"/>
    <w:rPr>
      <w:rFonts w:ascii="Times New Roman" w:hAnsi="Times New Roman"/>
      <w:kern w:val="2"/>
      <w:sz w:val="16"/>
      <w:szCs w:val="16"/>
    </w:rPr>
  </w:style>
  <w:style w:type="character" w:customStyle="1" w:styleId="440">
    <w:name w:val="正文文本 2 字符"/>
    <w:basedOn w:val="56"/>
    <w:link w:val="47"/>
    <w:qFormat/>
    <w:uiPriority w:val="0"/>
    <w:rPr>
      <w:rFonts w:ascii="Times New Roman" w:hAnsi="Times New Roman"/>
      <w:kern w:val="2"/>
      <w:sz w:val="21"/>
      <w:szCs w:val="24"/>
    </w:rPr>
  </w:style>
  <w:style w:type="paragraph" w:customStyle="1" w:styleId="441">
    <w:name w:val="xl29"/>
    <w:basedOn w:val="1"/>
    <w:qFormat/>
    <w:uiPriority w:val="0"/>
    <w:pPr>
      <w:widowControl/>
      <w:adjustRightInd/>
      <w:snapToGrid/>
      <w:spacing w:before="100" w:after="100"/>
      <w:ind w:firstLine="0" w:firstLineChars="0"/>
      <w:jc w:val="center"/>
    </w:pPr>
    <w:rPr>
      <w:rFonts w:cs="Times New Roman"/>
      <w:kern w:val="0"/>
      <w:szCs w:val="20"/>
    </w:rPr>
  </w:style>
  <w:style w:type="paragraph" w:customStyle="1" w:styleId="442">
    <w:name w:val="xl25"/>
    <w:basedOn w:val="1"/>
    <w:qFormat/>
    <w:uiPriority w:val="0"/>
    <w:pPr>
      <w:widowControl/>
      <w:adjustRightInd/>
      <w:snapToGrid/>
      <w:spacing w:before="100" w:beforeAutospacing="1" w:after="100" w:afterAutospacing="1"/>
      <w:ind w:firstLine="0" w:firstLineChars="0"/>
      <w:jc w:val="center"/>
      <w:textAlignment w:val="center"/>
    </w:pPr>
    <w:rPr>
      <w:rFonts w:ascii="Arial Unicode MS" w:hAnsi="Arial Unicode MS" w:eastAsia="Times New Roman" w:cs="Arial Unicode MS"/>
      <w:kern w:val="0"/>
      <w:szCs w:val="24"/>
    </w:rPr>
  </w:style>
  <w:style w:type="character" w:customStyle="1" w:styleId="443">
    <w:name w:val="表格 Char2"/>
    <w:qFormat/>
    <w:uiPriority w:val="0"/>
    <w:rPr>
      <w:rFonts w:ascii="Arial" w:hAnsi="Arial" w:eastAsia="宋体"/>
      <w:color w:val="000000"/>
      <w:kern w:val="2"/>
      <w:sz w:val="21"/>
      <w:lang w:val="en-US" w:eastAsia="zh-CN" w:bidi="ar-SA"/>
    </w:rPr>
  </w:style>
  <w:style w:type="character" w:customStyle="1" w:styleId="444">
    <w:name w:val="m lh15"/>
    <w:basedOn w:val="56"/>
    <w:qFormat/>
    <w:uiPriority w:val="0"/>
  </w:style>
  <w:style w:type="paragraph" w:customStyle="1" w:styleId="445">
    <w:name w:val="样式 样式 右侧:  -0.41 厘米 + 首行缩进:  2 字符"/>
    <w:basedOn w:val="1"/>
    <w:qFormat/>
    <w:uiPriority w:val="0"/>
    <w:pPr>
      <w:adjustRightInd/>
      <w:snapToGrid/>
      <w:ind w:firstLine="240" w:firstLineChars="100"/>
    </w:pPr>
    <w:rPr>
      <w:rFonts w:ascii="方正仿宋_GB2312" w:eastAsia="方正仿宋_GB2312" w:cs="Times New Roman"/>
      <w:szCs w:val="24"/>
    </w:rPr>
  </w:style>
  <w:style w:type="paragraph" w:customStyle="1" w:styleId="446">
    <w:name w:val="zhang正文"/>
    <w:basedOn w:val="21"/>
    <w:link w:val="447"/>
    <w:qFormat/>
    <w:uiPriority w:val="0"/>
    <w:pPr>
      <w:autoSpaceDE w:val="0"/>
      <w:autoSpaceDN w:val="0"/>
      <w:spacing w:after="0"/>
      <w:ind w:left="0" w:leftChars="0"/>
      <w:textAlignment w:val="baseline"/>
    </w:pPr>
    <w:rPr>
      <w:rFonts w:cs="Times New Roman"/>
      <w:kern w:val="0"/>
      <w:sz w:val="28"/>
      <w:szCs w:val="20"/>
      <w:lang w:bidi="he-IL"/>
    </w:rPr>
  </w:style>
  <w:style w:type="character" w:customStyle="1" w:styleId="447">
    <w:name w:val="zhang正文 Char"/>
    <w:link w:val="446"/>
    <w:qFormat/>
    <w:uiPriority w:val="0"/>
    <w:rPr>
      <w:rFonts w:ascii="Times New Roman" w:hAnsi="Times New Roman"/>
      <w:sz w:val="28"/>
      <w:lang w:bidi="he-IL"/>
    </w:rPr>
  </w:style>
  <w:style w:type="paragraph" w:customStyle="1" w:styleId="448">
    <w:name w:val="title4"/>
    <w:basedOn w:val="1"/>
    <w:qFormat/>
    <w:uiPriority w:val="0"/>
    <w:pPr>
      <w:tabs>
        <w:tab w:val="left" w:pos="645"/>
      </w:tabs>
      <w:adjustRightInd/>
      <w:snapToGrid/>
      <w:spacing w:beforeLines="50" w:line="480" w:lineRule="atLeast"/>
      <w:ind w:left="645" w:hanging="645" w:firstLineChars="0"/>
    </w:pPr>
    <w:rPr>
      <w:rFonts w:cs="Times New Roman"/>
      <w:b/>
      <w:sz w:val="28"/>
      <w:szCs w:val="24"/>
    </w:rPr>
  </w:style>
  <w:style w:type="character" w:customStyle="1" w:styleId="449">
    <w:name w:val="表号 Char"/>
    <w:qFormat/>
    <w:uiPriority w:val="0"/>
    <w:rPr>
      <w:rFonts w:eastAsia="宋体"/>
      <w:b/>
      <w:kern w:val="32"/>
      <w:sz w:val="24"/>
      <w:lang w:val="en-US" w:eastAsia="zh-CN" w:bidi="ar-SA"/>
    </w:rPr>
  </w:style>
  <w:style w:type="character" w:customStyle="1" w:styleId="450">
    <w:name w:val="正文文本 3 字符"/>
    <w:basedOn w:val="56"/>
    <w:link w:val="18"/>
    <w:qFormat/>
    <w:uiPriority w:val="0"/>
    <w:rPr>
      <w:rFonts w:ascii="Times New Roman" w:hAnsi="Times New Roman"/>
      <w:kern w:val="2"/>
      <w:sz w:val="16"/>
      <w:szCs w:val="16"/>
    </w:rPr>
  </w:style>
  <w:style w:type="paragraph" w:customStyle="1" w:styleId="451">
    <w:name w:val="xl36"/>
    <w:basedOn w:val="1"/>
    <w:qFormat/>
    <w:uiPriority w:val="0"/>
    <w:pPr>
      <w:widowControl/>
      <w:pBdr>
        <w:left w:val="single" w:color="auto" w:sz="8" w:space="0"/>
        <w:bottom w:val="single" w:color="auto" w:sz="4" w:space="0"/>
        <w:right w:val="single" w:color="auto" w:sz="4" w:space="0"/>
      </w:pBdr>
      <w:tabs>
        <w:tab w:val="left" w:pos="495"/>
      </w:tabs>
      <w:adjustRightInd/>
      <w:snapToGrid/>
      <w:spacing w:before="100" w:after="100"/>
      <w:ind w:firstLine="0" w:firstLineChars="0"/>
      <w:jc w:val="center"/>
    </w:pPr>
    <w:rPr>
      <w:rFonts w:ascii="宋体" w:hAnsi="宋体" w:cs="Times New Roman"/>
      <w:kern w:val="0"/>
      <w:szCs w:val="20"/>
    </w:rPr>
  </w:style>
  <w:style w:type="paragraph" w:customStyle="1" w:styleId="452">
    <w:name w:val="xl23"/>
    <w:basedOn w:val="1"/>
    <w:qFormat/>
    <w:uiPriority w:val="0"/>
    <w:pPr>
      <w:widowControl/>
      <w:adjustRightInd/>
      <w:snapToGrid/>
      <w:spacing w:before="100" w:beforeAutospacing="1" w:after="100" w:afterAutospacing="1"/>
      <w:ind w:firstLine="0" w:firstLineChars="0"/>
      <w:jc w:val="left"/>
    </w:pPr>
    <w:rPr>
      <w:rFonts w:cs="Times New Roman"/>
      <w:b/>
      <w:bCs/>
      <w:kern w:val="0"/>
      <w:sz w:val="32"/>
      <w:szCs w:val="32"/>
    </w:rPr>
  </w:style>
  <w:style w:type="paragraph" w:customStyle="1" w:styleId="453">
    <w:name w:val="表文"/>
    <w:basedOn w:val="1"/>
    <w:link w:val="454"/>
    <w:qFormat/>
    <w:uiPriority w:val="0"/>
    <w:pPr>
      <w:overflowPunct w:val="0"/>
      <w:adjustRightInd/>
      <w:snapToGrid/>
      <w:ind w:firstLine="0" w:firstLineChars="0"/>
      <w:jc w:val="center"/>
      <w:textAlignment w:val="baseline"/>
    </w:pPr>
    <w:rPr>
      <w:rFonts w:cs="Times New Roman"/>
      <w:sz w:val="21"/>
      <w:szCs w:val="21"/>
    </w:rPr>
  </w:style>
  <w:style w:type="character" w:customStyle="1" w:styleId="454">
    <w:name w:val="表文 Char"/>
    <w:link w:val="453"/>
    <w:qFormat/>
    <w:uiPriority w:val="0"/>
    <w:rPr>
      <w:rFonts w:ascii="Times New Roman" w:hAnsi="Times New Roman"/>
      <w:kern w:val="2"/>
      <w:sz w:val="21"/>
      <w:szCs w:val="21"/>
    </w:rPr>
  </w:style>
  <w:style w:type="paragraph" w:customStyle="1" w:styleId="455">
    <w:name w:val="样式 标题 2 + 段前: 0.5 行"/>
    <w:basedOn w:val="3"/>
    <w:link w:val="456"/>
    <w:qFormat/>
    <w:uiPriority w:val="0"/>
    <w:pPr>
      <w:keepLines/>
      <w:numPr>
        <w:ilvl w:val="0"/>
        <w:numId w:val="0"/>
      </w:numPr>
      <w:tabs>
        <w:tab w:val="clear" w:pos="420"/>
      </w:tabs>
      <w:adjustRightInd/>
      <w:snapToGrid/>
      <w:spacing w:before="214"/>
    </w:pPr>
    <w:rPr>
      <w:rFonts w:eastAsia="宋体" w:cs="宋体"/>
      <w:bCs/>
      <w:color w:val="0070C0"/>
      <w:kern w:val="0"/>
    </w:rPr>
  </w:style>
  <w:style w:type="character" w:customStyle="1" w:styleId="456">
    <w:name w:val="样式 标题 2 + 段前: 0.5 行 Char"/>
    <w:link w:val="455"/>
    <w:qFormat/>
    <w:uiPriority w:val="0"/>
    <w:rPr>
      <w:rFonts w:ascii="Times New Roman" w:hAnsi="Times New Roman" w:cs="宋体"/>
      <w:bCs/>
      <w:color w:val="0070C0"/>
      <w:sz w:val="32"/>
      <w:szCs w:val="32"/>
    </w:rPr>
  </w:style>
  <w:style w:type="paragraph" w:customStyle="1" w:styleId="457">
    <w:name w:val="默认段落字体 Para Char"/>
    <w:basedOn w:val="1"/>
    <w:qFormat/>
    <w:uiPriority w:val="0"/>
    <w:pPr>
      <w:adjustRightInd/>
      <w:snapToGrid/>
    </w:pPr>
    <w:rPr>
      <w:rFonts w:ascii="宋体" w:hAnsi="宋体"/>
      <w:szCs w:val="24"/>
    </w:rPr>
  </w:style>
  <w:style w:type="paragraph" w:customStyle="1" w:styleId="458">
    <w:name w:val="样式12q"/>
    <w:basedOn w:val="1"/>
    <w:link w:val="459"/>
    <w:qFormat/>
    <w:uiPriority w:val="0"/>
    <w:pPr>
      <w:adjustRightInd/>
      <w:snapToGrid/>
      <w:ind w:firstLine="480"/>
    </w:pPr>
    <w:rPr>
      <w:rFonts w:ascii="宋体" w:hAnsi="宋体" w:cs="Times New Roman"/>
      <w:szCs w:val="24"/>
    </w:rPr>
  </w:style>
  <w:style w:type="character" w:customStyle="1" w:styleId="459">
    <w:name w:val="样式12q Char"/>
    <w:link w:val="458"/>
    <w:qFormat/>
    <w:uiPriority w:val="0"/>
    <w:rPr>
      <w:rFonts w:ascii="宋体" w:hAnsi="宋体"/>
      <w:kern w:val="2"/>
      <w:sz w:val="24"/>
      <w:szCs w:val="24"/>
    </w:rPr>
  </w:style>
  <w:style w:type="paragraph" w:customStyle="1" w:styleId="460">
    <w:name w:val="样式 标题 3条标题1.1.13h33rd levelH3l3CT标题 3 Char题 3标题 3 Char..."/>
    <w:basedOn w:val="4"/>
    <w:link w:val="461"/>
    <w:qFormat/>
    <w:uiPriority w:val="0"/>
    <w:pPr>
      <w:keepNext/>
      <w:keepLines/>
      <w:numPr>
        <w:ilvl w:val="0"/>
        <w:numId w:val="0"/>
      </w:numPr>
      <w:tabs>
        <w:tab w:val="clear" w:pos="0"/>
      </w:tabs>
      <w:adjustRightInd/>
      <w:snapToGrid/>
      <w:spacing w:before="0" w:line="240" w:lineRule="auto"/>
      <w:jc w:val="left"/>
    </w:pPr>
    <w:rPr>
      <w:rFonts w:ascii="宋体" w:hAnsi="宋体" w:eastAsia="宋体" w:cs="Times New Roman"/>
      <w:b/>
      <w:bCs/>
      <w:snapToGrid w:val="0"/>
      <w:spacing w:val="14"/>
      <w:w w:val="90"/>
      <w:kern w:val="0"/>
      <w:sz w:val="28"/>
      <w:szCs w:val="28"/>
    </w:rPr>
  </w:style>
  <w:style w:type="character" w:customStyle="1" w:styleId="461">
    <w:name w:val="样式 标题 3条标题1.1.13h33rd levelH3l3CT标题 3 Char题 3标题 3 Char... Char"/>
    <w:link w:val="460"/>
    <w:qFormat/>
    <w:uiPriority w:val="0"/>
    <w:rPr>
      <w:rFonts w:ascii="宋体" w:hAnsi="宋体"/>
      <w:b/>
      <w:bCs/>
      <w:snapToGrid w:val="0"/>
      <w:spacing w:val="14"/>
      <w:w w:val="90"/>
      <w:sz w:val="28"/>
      <w:szCs w:val="28"/>
    </w:rPr>
  </w:style>
  <w:style w:type="paragraph" w:customStyle="1" w:styleId="462">
    <w:name w:val="样式 样式 标题 2 + 段前: 0.5 行 + 小四"/>
    <w:basedOn w:val="455"/>
    <w:link w:val="463"/>
    <w:qFormat/>
    <w:uiPriority w:val="0"/>
    <w:pPr>
      <w:spacing w:before="156"/>
    </w:pPr>
    <w:rPr>
      <w:rFonts w:ascii="宋体" w:hAnsi="宋体"/>
      <w:sz w:val="30"/>
      <w:szCs w:val="28"/>
    </w:rPr>
  </w:style>
  <w:style w:type="character" w:customStyle="1" w:styleId="463">
    <w:name w:val="样式 样式 标题 2 + 段前: 0.5 行 + 小四 Char"/>
    <w:link w:val="462"/>
    <w:qFormat/>
    <w:uiPriority w:val="0"/>
    <w:rPr>
      <w:rFonts w:ascii="宋体" w:hAnsi="宋体" w:cs="宋体"/>
      <w:bCs/>
      <w:color w:val="0070C0"/>
      <w:sz w:val="30"/>
      <w:szCs w:val="28"/>
    </w:rPr>
  </w:style>
  <w:style w:type="paragraph" w:customStyle="1" w:styleId="464">
    <w:name w:val="表名"/>
    <w:basedOn w:val="29"/>
    <w:qFormat/>
    <w:uiPriority w:val="0"/>
    <w:pPr>
      <w:spacing w:line="360" w:lineRule="auto"/>
      <w:jc w:val="center"/>
    </w:pPr>
    <w:rPr>
      <w:rFonts w:eastAsia="方正仿宋_GB2312"/>
      <w:b/>
      <w:sz w:val="28"/>
      <w:szCs w:val="21"/>
    </w:rPr>
  </w:style>
  <w:style w:type="paragraph" w:customStyle="1" w:styleId="465">
    <w:name w:val="图形标题"/>
    <w:basedOn w:val="14"/>
    <w:qFormat/>
    <w:uiPriority w:val="0"/>
    <w:pPr>
      <w:adjustRightInd/>
      <w:ind w:firstLine="0" w:firstLineChars="0"/>
      <w:jc w:val="center"/>
    </w:pPr>
    <w:rPr>
      <w:rFonts w:ascii="宋体" w:hAnsi="宋体" w:eastAsia="宋体"/>
      <w:kern w:val="2"/>
      <w:sz w:val="21"/>
      <w:szCs w:val="21"/>
    </w:rPr>
  </w:style>
  <w:style w:type="paragraph" w:customStyle="1" w:styleId="466">
    <w:name w:val="标准"/>
    <w:basedOn w:val="1"/>
    <w:qFormat/>
    <w:uiPriority w:val="0"/>
    <w:pPr>
      <w:tabs>
        <w:tab w:val="left" w:pos="780"/>
      </w:tabs>
      <w:snapToGrid/>
      <w:spacing w:line="480" w:lineRule="exact"/>
      <w:ind w:left="200" w:leftChars="200" w:hanging="200" w:hangingChars="200"/>
      <w:textAlignment w:val="baseline"/>
    </w:pPr>
    <w:rPr>
      <w:rFonts w:cs="Times New Roman"/>
      <w:kern w:val="0"/>
      <w:sz w:val="28"/>
      <w:szCs w:val="20"/>
      <w:lang w:val="en-GB"/>
    </w:rPr>
  </w:style>
  <w:style w:type="character" w:customStyle="1" w:styleId="467">
    <w:name w:val="body-cn-black1"/>
    <w:basedOn w:val="56"/>
    <w:qFormat/>
    <w:uiPriority w:val="0"/>
  </w:style>
  <w:style w:type="paragraph" w:customStyle="1" w:styleId="468">
    <w:name w:val="xl57"/>
    <w:basedOn w:val="1"/>
    <w:qFormat/>
    <w:uiPriority w:val="0"/>
    <w:pPr>
      <w:widowControl/>
      <w:pBdr>
        <w:left w:val="single" w:color="auto" w:sz="8" w:space="0"/>
        <w:bottom w:val="double" w:color="auto" w:sz="6" w:space="0"/>
      </w:pBdr>
      <w:adjustRightInd/>
      <w:snapToGrid/>
      <w:spacing w:before="100" w:beforeAutospacing="1" w:after="100" w:afterAutospacing="1"/>
      <w:ind w:firstLine="0" w:firstLineChars="0"/>
      <w:jc w:val="center"/>
      <w:textAlignment w:val="center"/>
    </w:pPr>
    <w:rPr>
      <w:rFonts w:ascii="宋体" w:hAnsi="宋体" w:cs="Times New Roman"/>
      <w:kern w:val="0"/>
      <w:szCs w:val="24"/>
    </w:rPr>
  </w:style>
  <w:style w:type="paragraph" w:customStyle="1" w:styleId="469">
    <w:name w:val="Char Char Char1 Char"/>
    <w:basedOn w:val="1"/>
    <w:qFormat/>
    <w:uiPriority w:val="0"/>
    <w:pPr>
      <w:adjustRightInd/>
      <w:snapToGrid/>
    </w:pPr>
    <w:rPr>
      <w:rFonts w:ascii="宋体" w:hAnsi="宋体"/>
      <w:szCs w:val="24"/>
    </w:rPr>
  </w:style>
  <w:style w:type="character" w:customStyle="1" w:styleId="470">
    <w:name w:val="标题 字符"/>
    <w:basedOn w:val="56"/>
    <w:link w:val="51"/>
    <w:qFormat/>
    <w:uiPriority w:val="0"/>
    <w:rPr>
      <w:rFonts w:ascii="Microsoft JhengHei UI" w:hAnsi="Microsoft JhengHei UI" w:eastAsia="Microsoft JhengHei UI" w:cs="Microsoft JhengHei UI"/>
      <w:b/>
      <w:bCs/>
      <w:kern w:val="2"/>
      <w:sz w:val="48"/>
      <w:szCs w:val="48"/>
    </w:rPr>
  </w:style>
  <w:style w:type="paragraph" w:customStyle="1" w:styleId="471">
    <w:name w:val="Char1"/>
    <w:basedOn w:val="1"/>
    <w:qFormat/>
    <w:uiPriority w:val="0"/>
    <w:pPr>
      <w:adjustRightInd/>
      <w:snapToGrid/>
    </w:pPr>
    <w:rPr>
      <w:rFonts w:ascii="宋体" w:hAnsi="宋体"/>
      <w:szCs w:val="24"/>
    </w:rPr>
  </w:style>
  <w:style w:type="paragraph" w:customStyle="1" w:styleId="472">
    <w:name w:val="xl24"/>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ind w:firstLine="0" w:firstLineChars="0"/>
      <w:textAlignment w:val="top"/>
    </w:pPr>
    <w:rPr>
      <w:rFonts w:ascii="宋体" w:hAnsi="宋体"/>
      <w:kern w:val="0"/>
      <w:sz w:val="21"/>
      <w:szCs w:val="21"/>
    </w:rPr>
  </w:style>
  <w:style w:type="paragraph" w:customStyle="1" w:styleId="473">
    <w:name w:val="样式 正文文本缩进 2 + (中文) 仿宋_GB2312"/>
    <w:basedOn w:val="22"/>
    <w:qFormat/>
    <w:uiPriority w:val="0"/>
    <w:pPr>
      <w:adjustRightInd/>
      <w:snapToGrid/>
      <w:spacing w:after="0" w:line="240" w:lineRule="auto"/>
      <w:ind w:left="200" w:firstLine="550" w:firstLineChars="0"/>
    </w:pPr>
    <w:rPr>
      <w:rFonts w:eastAsia="方正仿宋_GB2312" w:cs="Times New Roman"/>
      <w:sz w:val="28"/>
      <w:szCs w:val="28"/>
    </w:rPr>
  </w:style>
  <w:style w:type="paragraph" w:customStyle="1" w:styleId="474">
    <w:name w:val="正文样式1"/>
    <w:basedOn w:val="1"/>
    <w:qFormat/>
    <w:uiPriority w:val="0"/>
    <w:pPr>
      <w:adjustRightInd/>
      <w:snapToGrid/>
      <w:ind w:firstLine="510" w:firstLineChars="0"/>
    </w:pPr>
    <w:rPr>
      <w:rFonts w:cs="Times New Roman"/>
      <w:kern w:val="0"/>
      <w:szCs w:val="24"/>
    </w:rPr>
  </w:style>
  <w:style w:type="paragraph" w:customStyle="1" w:styleId="475">
    <w:name w:val="xl28"/>
    <w:basedOn w:val="1"/>
    <w:qFormat/>
    <w:uiPriority w:val="0"/>
    <w:pPr>
      <w:widowControl/>
      <w:pBdr>
        <w:bottom w:val="single" w:color="auto" w:sz="4" w:space="0"/>
        <w:right w:val="single" w:color="auto" w:sz="4" w:space="0"/>
      </w:pBdr>
      <w:adjustRightInd/>
      <w:snapToGrid/>
      <w:spacing w:before="100" w:beforeAutospacing="1" w:after="100" w:afterAutospacing="1"/>
      <w:ind w:firstLine="0" w:firstLineChars="0"/>
      <w:jc w:val="right"/>
    </w:pPr>
    <w:rPr>
      <w:rFonts w:ascii="Arial Unicode MS" w:hAnsi="Arial Unicode MS" w:eastAsia="Times New Roman" w:cs="Arial Unicode MS"/>
      <w:color w:val="FF0000"/>
      <w:kern w:val="0"/>
      <w:sz w:val="21"/>
      <w:szCs w:val="21"/>
    </w:rPr>
  </w:style>
  <w:style w:type="paragraph" w:customStyle="1" w:styleId="476">
    <w:name w:val="表格1"/>
    <w:basedOn w:val="1"/>
    <w:qFormat/>
    <w:uiPriority w:val="0"/>
    <w:pPr>
      <w:snapToGrid/>
      <w:spacing w:line="20" w:lineRule="atLeast"/>
      <w:ind w:firstLine="0" w:firstLineChars="0"/>
      <w:jc w:val="center"/>
      <w:textAlignment w:val="center"/>
    </w:pPr>
    <w:rPr>
      <w:rFonts w:ascii="宋体"/>
      <w:kern w:val="0"/>
      <w:sz w:val="21"/>
      <w:szCs w:val="21"/>
    </w:rPr>
  </w:style>
  <w:style w:type="character" w:customStyle="1" w:styleId="477">
    <w:name w:val="页眉 Char"/>
    <w:qFormat/>
    <w:uiPriority w:val="99"/>
    <w:rPr>
      <w:rFonts w:eastAsia="宋体"/>
      <w:kern w:val="2"/>
      <w:sz w:val="18"/>
      <w:szCs w:val="18"/>
      <w:lang w:val="en-US" w:eastAsia="zh-CN"/>
    </w:rPr>
  </w:style>
  <w:style w:type="paragraph" w:customStyle="1" w:styleId="478">
    <w:name w:val="投标1"/>
    <w:basedOn w:val="1"/>
    <w:qFormat/>
    <w:uiPriority w:val="0"/>
    <w:pPr>
      <w:adjustRightInd/>
      <w:snapToGrid/>
      <w:spacing w:line="500" w:lineRule="exact"/>
      <w:ind w:firstLine="0" w:firstLineChars="0"/>
    </w:pPr>
    <w:rPr>
      <w:rFonts w:ascii="楷体_GB2312" w:eastAsia="楷体_GB2312" w:cs="楷体_GB2312"/>
      <w:sz w:val="28"/>
      <w:szCs w:val="28"/>
    </w:rPr>
  </w:style>
  <w:style w:type="paragraph" w:customStyle="1" w:styleId="479">
    <w:name w:val="批注框文本1"/>
    <w:basedOn w:val="1"/>
    <w:qFormat/>
    <w:uiPriority w:val="0"/>
    <w:pPr>
      <w:adjustRightInd/>
      <w:spacing w:beforeLines="50"/>
      <w:ind w:firstLine="0" w:firstLineChars="0"/>
    </w:pPr>
    <w:rPr>
      <w:rFonts w:cs="Times New Roman"/>
      <w:sz w:val="18"/>
      <w:szCs w:val="18"/>
    </w:rPr>
  </w:style>
  <w:style w:type="paragraph" w:customStyle="1" w:styleId="480">
    <w:name w:val="样式 样式 正文缩进s4 + 首行缩进:  2 字符 + 首行缩进:  2 字符"/>
    <w:basedOn w:val="1"/>
    <w:qFormat/>
    <w:uiPriority w:val="0"/>
    <w:pPr>
      <w:ind w:firstLine="0" w:firstLineChars="0"/>
      <w:jc w:val="center"/>
    </w:pPr>
    <w:rPr>
      <w:rFonts w:eastAsia="方正仿宋_GB2312" w:cs="Times New Roman"/>
      <w:b/>
      <w:bCs/>
      <w:sz w:val="28"/>
      <w:szCs w:val="20"/>
    </w:rPr>
  </w:style>
  <w:style w:type="character" w:customStyle="1" w:styleId="481">
    <w:name w:val="f14b1"/>
    <w:qFormat/>
    <w:uiPriority w:val="0"/>
    <w:rPr>
      <w:b/>
      <w:bCs/>
      <w:sz w:val="21"/>
      <w:szCs w:val="21"/>
    </w:rPr>
  </w:style>
  <w:style w:type="paragraph" w:customStyle="1" w:styleId="482">
    <w:name w:val="表5号字"/>
    <w:qFormat/>
    <w:uiPriority w:val="0"/>
    <w:pPr>
      <w:keepNext/>
      <w:widowControl w:val="0"/>
      <w:tabs>
        <w:tab w:val="left" w:pos="495"/>
      </w:tabs>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483">
    <w:name w:val="纯文本1"/>
    <w:basedOn w:val="1"/>
    <w:qFormat/>
    <w:uiPriority w:val="0"/>
    <w:pPr>
      <w:snapToGrid/>
      <w:ind w:firstLine="0" w:firstLineChars="0"/>
      <w:textAlignment w:val="baseline"/>
    </w:pPr>
    <w:rPr>
      <w:rFonts w:ascii="宋体" w:cs="Times New Roman"/>
      <w:kern w:val="0"/>
      <w:sz w:val="21"/>
      <w:szCs w:val="20"/>
    </w:rPr>
  </w:style>
  <w:style w:type="paragraph" w:customStyle="1" w:styleId="484">
    <w:name w:val="表格五号"/>
    <w:basedOn w:val="1"/>
    <w:qFormat/>
    <w:uiPriority w:val="0"/>
    <w:pPr>
      <w:spacing w:line="240" w:lineRule="exact"/>
      <w:ind w:firstLine="0" w:firstLineChars="0"/>
      <w:jc w:val="center"/>
    </w:pPr>
    <w:rPr>
      <w:rFonts w:hAnsi="宋体" w:cs="Times New Roman"/>
      <w:sz w:val="21"/>
      <w:szCs w:val="21"/>
    </w:rPr>
  </w:style>
  <w:style w:type="paragraph" w:customStyle="1" w:styleId="485">
    <w:name w:val="表中正文"/>
    <w:basedOn w:val="1"/>
    <w:link w:val="697"/>
    <w:qFormat/>
    <w:uiPriority w:val="0"/>
    <w:pPr>
      <w:autoSpaceDE w:val="0"/>
      <w:autoSpaceDN w:val="0"/>
      <w:spacing w:line="280" w:lineRule="exact"/>
      <w:ind w:firstLine="0" w:firstLineChars="0"/>
      <w:jc w:val="center"/>
    </w:pPr>
    <w:rPr>
      <w:rFonts w:ascii="宋体" w:cs="Times New Roman"/>
      <w:sz w:val="21"/>
      <w:szCs w:val="21"/>
    </w:rPr>
  </w:style>
  <w:style w:type="paragraph" w:customStyle="1" w:styleId="486">
    <w:name w:val="样式3"/>
    <w:basedOn w:val="1"/>
    <w:qFormat/>
    <w:uiPriority w:val="0"/>
    <w:pPr>
      <w:adjustRightInd/>
      <w:snapToGrid/>
      <w:spacing w:line="490" w:lineRule="exact"/>
      <w:ind w:firstLine="0" w:firstLineChars="0"/>
    </w:pPr>
    <w:rPr>
      <w:rFonts w:ascii="方正仿宋_GB2312" w:cs="Times New Roman"/>
      <w:sz w:val="21"/>
      <w:szCs w:val="20"/>
    </w:rPr>
  </w:style>
  <w:style w:type="paragraph" w:customStyle="1" w:styleId="487">
    <w:name w:val="表标题"/>
    <w:basedOn w:val="1"/>
    <w:qFormat/>
    <w:uiPriority w:val="0"/>
    <w:pPr>
      <w:adjustRightInd/>
      <w:snapToGrid/>
      <w:spacing w:line="560" w:lineRule="exact"/>
      <w:ind w:firstLine="0" w:firstLineChars="0"/>
      <w:jc w:val="center"/>
    </w:pPr>
    <w:rPr>
      <w:rFonts w:eastAsia="方正大标宋简体" w:cs="Times New Roman"/>
      <w:sz w:val="30"/>
      <w:szCs w:val="24"/>
    </w:rPr>
  </w:style>
  <w:style w:type="paragraph" w:customStyle="1" w:styleId="488">
    <w:name w:val="表注"/>
    <w:basedOn w:val="1"/>
    <w:qFormat/>
    <w:uiPriority w:val="0"/>
    <w:pPr>
      <w:keepLines/>
      <w:overflowPunct w:val="0"/>
      <w:snapToGrid/>
      <w:spacing w:before="60" w:line="288" w:lineRule="auto"/>
      <w:ind w:left="737" w:hanging="397" w:firstLineChars="0"/>
      <w:textAlignment w:val="baseline"/>
    </w:pPr>
    <w:rPr>
      <w:rFonts w:ascii="宋体" w:cs="Times New Roman"/>
      <w:color w:val="FF0000"/>
      <w:kern w:val="28"/>
      <w:sz w:val="21"/>
      <w:szCs w:val="20"/>
    </w:rPr>
  </w:style>
  <w:style w:type="paragraph" w:customStyle="1" w:styleId="489">
    <w:name w:val="xl51"/>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eastAsia="Arial Unicode MS" w:cs="Times New Roman"/>
      <w:kern w:val="0"/>
      <w:sz w:val="21"/>
      <w:szCs w:val="21"/>
    </w:rPr>
  </w:style>
  <w:style w:type="paragraph" w:customStyle="1" w:styleId="490">
    <w:name w:val="xl30"/>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hint="eastAsia" w:ascii="方正仿宋_GB2312" w:hAnsi="宋体" w:eastAsia="方正仿宋_GB2312" w:cs="Times New Roman"/>
      <w:kern w:val="0"/>
      <w:sz w:val="21"/>
      <w:szCs w:val="21"/>
    </w:rPr>
  </w:style>
  <w:style w:type="paragraph" w:customStyle="1" w:styleId="491">
    <w:name w:val="xl31"/>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hint="eastAsia" w:ascii="方正仿宋_GB2312" w:hAnsi="宋体" w:eastAsia="方正仿宋_GB2312" w:cs="Times New Roman"/>
      <w:kern w:val="0"/>
      <w:sz w:val="21"/>
      <w:szCs w:val="21"/>
    </w:rPr>
  </w:style>
  <w:style w:type="paragraph" w:customStyle="1" w:styleId="492">
    <w:name w:val="x2"/>
    <w:basedOn w:val="1"/>
    <w:qFormat/>
    <w:uiPriority w:val="0"/>
    <w:pPr>
      <w:adjustRightInd/>
      <w:snapToGrid/>
      <w:ind w:firstLine="562"/>
    </w:pPr>
    <w:rPr>
      <w:rFonts w:cs="Times New Roman"/>
      <w:b/>
      <w:bCs/>
      <w:sz w:val="28"/>
      <w:szCs w:val="24"/>
    </w:rPr>
  </w:style>
  <w:style w:type="paragraph" w:customStyle="1" w:styleId="493">
    <w:name w:val="x3"/>
    <w:basedOn w:val="1"/>
    <w:qFormat/>
    <w:uiPriority w:val="0"/>
    <w:pPr>
      <w:adjustRightInd/>
      <w:snapToGrid/>
      <w:ind w:firstLine="562"/>
    </w:pPr>
    <w:rPr>
      <w:rFonts w:ascii="宋体" w:cs="Times New Roman"/>
      <w:b/>
      <w:bCs/>
      <w:sz w:val="28"/>
      <w:szCs w:val="24"/>
    </w:rPr>
  </w:style>
  <w:style w:type="paragraph" w:customStyle="1" w:styleId="494">
    <w:name w:val="xl35"/>
    <w:basedOn w:val="1"/>
    <w:qFormat/>
    <w:uiPriority w:val="0"/>
    <w:pPr>
      <w:widowControl/>
      <w:adjustRightInd/>
      <w:snapToGrid/>
      <w:spacing w:before="100" w:beforeAutospacing="1" w:after="100" w:afterAutospacing="1"/>
      <w:ind w:firstLine="0" w:firstLineChars="0"/>
      <w:jc w:val="center"/>
    </w:pPr>
    <w:rPr>
      <w:rFonts w:ascii="宋体" w:hAnsi="宋体" w:cs="Times New Roman"/>
      <w:kern w:val="0"/>
      <w:szCs w:val="24"/>
    </w:rPr>
  </w:style>
  <w:style w:type="character" w:customStyle="1" w:styleId="495">
    <w:name w:val="正文文本首行缩进 2 字符"/>
    <w:basedOn w:val="154"/>
    <w:link w:val="23"/>
    <w:qFormat/>
    <w:uiPriority w:val="0"/>
    <w:rPr>
      <w:rFonts w:ascii="Times New Roman" w:hAnsi="Times New Roman" w:cs="宋体"/>
      <w:kern w:val="2"/>
      <w:sz w:val="24"/>
      <w:szCs w:val="22"/>
    </w:rPr>
  </w:style>
  <w:style w:type="character" w:customStyle="1" w:styleId="496">
    <w:name w:val="正文文字缩进 Char"/>
    <w:qFormat/>
    <w:uiPriority w:val="0"/>
    <w:rPr>
      <w:rFonts w:eastAsia="宋体"/>
      <w:kern w:val="2"/>
      <w:sz w:val="21"/>
      <w:szCs w:val="24"/>
      <w:lang w:val="en-US" w:eastAsia="zh-CN" w:bidi="ar-SA"/>
    </w:rPr>
  </w:style>
  <w:style w:type="character" w:customStyle="1" w:styleId="497">
    <w:name w:val="HTML 预设格式 字符"/>
    <w:basedOn w:val="56"/>
    <w:link w:val="49"/>
    <w:qFormat/>
    <w:uiPriority w:val="99"/>
    <w:rPr>
      <w:rFonts w:ascii="黑体" w:hAnsi="Courier New" w:eastAsia="黑体" w:cs="黑体"/>
    </w:rPr>
  </w:style>
  <w:style w:type="paragraph" w:customStyle="1" w:styleId="498">
    <w:name w:val="样式 标题 4 + 左侧:  0.42 厘米 右侧:  0.42 厘米"/>
    <w:basedOn w:val="5"/>
    <w:qFormat/>
    <w:uiPriority w:val="0"/>
    <w:pPr>
      <w:numPr>
        <w:ilvl w:val="0"/>
        <w:numId w:val="0"/>
      </w:numPr>
      <w:tabs>
        <w:tab w:val="clear" w:pos="420"/>
      </w:tabs>
      <w:spacing w:before="280" w:beforeLines="50"/>
      <w:ind w:firstLine="482"/>
    </w:pPr>
    <w:rPr>
      <w:rFonts w:ascii="Times New Roman" w:hAnsi="Times New Roman" w:eastAsia="宋体"/>
      <w:color w:val="000000"/>
      <w:kern w:val="0"/>
      <w:sz w:val="24"/>
      <w:szCs w:val="24"/>
    </w:rPr>
  </w:style>
  <w:style w:type="character" w:customStyle="1" w:styleId="499">
    <w:name w:val="p11"/>
    <w:qFormat/>
    <w:uiPriority w:val="0"/>
    <w:rPr>
      <w:rFonts w:ascii="宋体" w:hAnsi="宋体" w:eastAsia="宋体" w:cs="宋体"/>
      <w:sz w:val="18"/>
      <w:szCs w:val="18"/>
    </w:rPr>
  </w:style>
  <w:style w:type="character" w:customStyle="1" w:styleId="500">
    <w:name w:val="正文文本首行缩进 字符"/>
    <w:basedOn w:val="189"/>
    <w:link w:val="24"/>
    <w:qFormat/>
    <w:uiPriority w:val="0"/>
    <w:rPr>
      <w:rFonts w:ascii="宋体" w:hAnsi="宋体" w:cs="宋体"/>
      <w:kern w:val="2"/>
      <w:sz w:val="24"/>
      <w:szCs w:val="24"/>
    </w:rPr>
  </w:style>
  <w:style w:type="paragraph" w:customStyle="1" w:styleId="501">
    <w:name w:val="版心内容为四号字的样式"/>
    <w:basedOn w:val="1"/>
    <w:qFormat/>
    <w:uiPriority w:val="0"/>
    <w:pPr>
      <w:ind w:firstLine="560"/>
    </w:pPr>
    <w:rPr>
      <w:rFonts w:cs="Times New Roman"/>
      <w:color w:val="FF0000"/>
      <w:sz w:val="28"/>
      <w:szCs w:val="28"/>
    </w:rPr>
  </w:style>
  <w:style w:type="paragraph" w:customStyle="1" w:styleId="502">
    <w:name w:val="正文1"/>
    <w:basedOn w:val="1"/>
    <w:qFormat/>
    <w:uiPriority w:val="0"/>
    <w:pPr>
      <w:tabs>
        <w:tab w:val="left" w:pos="600"/>
      </w:tabs>
      <w:snapToGrid/>
      <w:spacing w:line="396" w:lineRule="atLeast"/>
      <w:ind w:firstLine="0" w:firstLineChars="0"/>
      <w:textAlignment w:val="baseline"/>
    </w:pPr>
    <w:rPr>
      <w:rFonts w:ascii="宋体"/>
      <w:kern w:val="0"/>
      <w:szCs w:val="24"/>
    </w:rPr>
  </w:style>
  <w:style w:type="paragraph" w:customStyle="1" w:styleId="503">
    <w:name w:val="样式 样式 样式 首行缩进:  2 字符 段前: 0.5 行 + 首行缩进:  2 字符 段前: 0.5 行 + 首行缩进:  ..."/>
    <w:basedOn w:val="1"/>
    <w:qFormat/>
    <w:uiPriority w:val="0"/>
    <w:pPr>
      <w:adjustRightInd/>
      <w:spacing w:beforeLines="50"/>
    </w:pPr>
    <w:rPr>
      <w:rFonts w:cs="Times New Roman"/>
      <w:szCs w:val="20"/>
    </w:rPr>
  </w:style>
  <w:style w:type="paragraph" w:customStyle="1" w:styleId="504">
    <w:name w:val="xl39"/>
    <w:basedOn w:val="1"/>
    <w:qFormat/>
    <w:uiPriority w:val="0"/>
    <w:pPr>
      <w:widowControl/>
      <w:pBdr>
        <w:left w:val="single" w:color="auto" w:sz="4" w:space="0"/>
        <w:bottom w:val="single" w:color="auto" w:sz="4" w:space="0"/>
      </w:pBdr>
      <w:adjustRightInd/>
      <w:spacing w:beforeLines="50" w:beforeAutospacing="1" w:after="100" w:afterAutospacing="1"/>
      <w:ind w:firstLine="480"/>
      <w:jc w:val="center"/>
    </w:pPr>
    <w:rPr>
      <w:rFonts w:ascii="Arial Unicode MS" w:hAnsi="Arial Unicode MS" w:eastAsia="Arial Unicode MS" w:cs="Arial Unicode MS"/>
      <w:kern w:val="0"/>
      <w:szCs w:val="24"/>
    </w:rPr>
  </w:style>
  <w:style w:type="paragraph" w:customStyle="1" w:styleId="50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Lines="50" w:beforeAutospacing="1" w:after="100" w:afterAutospacing="1"/>
      <w:ind w:firstLine="0" w:firstLineChars="0"/>
      <w:jc w:val="center"/>
      <w:textAlignment w:val="center"/>
    </w:pPr>
    <w:rPr>
      <w:rFonts w:hint="eastAsia" w:ascii="方正仿宋_GB2312" w:hAnsi="Arial Unicode MS" w:eastAsia="方正仿宋_GB2312" w:cs="Arial Unicode MS"/>
      <w:kern w:val="0"/>
      <w:sz w:val="20"/>
      <w:szCs w:val="20"/>
    </w:rPr>
  </w:style>
  <w:style w:type="paragraph" w:customStyle="1" w:styleId="50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Lines="50" w:beforeAutospacing="1" w:after="100" w:afterAutospacing="1"/>
      <w:ind w:firstLine="0" w:firstLineChars="0"/>
      <w:jc w:val="center"/>
      <w:textAlignment w:val="center"/>
    </w:pPr>
    <w:rPr>
      <w:rFonts w:eastAsia="Arial Unicode MS" w:cs="Times New Roman"/>
      <w:kern w:val="0"/>
      <w:sz w:val="20"/>
      <w:szCs w:val="20"/>
    </w:rPr>
  </w:style>
  <w:style w:type="paragraph" w:customStyle="1" w:styleId="50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Lines="50" w:beforeAutospacing="1" w:after="100" w:afterAutospacing="1"/>
      <w:ind w:firstLine="0" w:firstLineChars="0"/>
      <w:jc w:val="center"/>
      <w:textAlignment w:val="center"/>
    </w:pPr>
    <w:rPr>
      <w:rFonts w:eastAsia="Arial Unicode MS" w:cs="Times New Roman"/>
      <w:kern w:val="0"/>
      <w:sz w:val="20"/>
      <w:szCs w:val="20"/>
    </w:rPr>
  </w:style>
  <w:style w:type="paragraph" w:customStyle="1" w:styleId="50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Lines="50" w:beforeAutospacing="1" w:after="100" w:afterAutospacing="1"/>
      <w:ind w:firstLine="0" w:firstLineChars="0"/>
      <w:jc w:val="center"/>
      <w:textAlignment w:val="center"/>
    </w:pPr>
    <w:rPr>
      <w:rFonts w:eastAsia="Arial Unicode MS" w:cs="Times New Roman"/>
      <w:kern w:val="0"/>
      <w:sz w:val="20"/>
      <w:szCs w:val="20"/>
    </w:rPr>
  </w:style>
  <w:style w:type="paragraph" w:customStyle="1" w:styleId="509">
    <w:name w:val="xl38"/>
    <w:basedOn w:val="1"/>
    <w:qFormat/>
    <w:uiPriority w:val="0"/>
    <w:pPr>
      <w:widowControl/>
      <w:adjustRightInd/>
      <w:snapToGrid/>
      <w:spacing w:before="100" w:beforeAutospacing="1" w:after="100" w:afterAutospacing="1"/>
      <w:ind w:firstLine="0" w:firstLineChars="0"/>
      <w:jc w:val="center"/>
      <w:textAlignment w:val="center"/>
    </w:pPr>
    <w:rPr>
      <w:rFonts w:ascii="Arial Unicode MS" w:hAnsi="Arial Unicode MS" w:eastAsia="Arial Unicode MS" w:cs="Arial Unicode MS"/>
      <w:kern w:val="0"/>
      <w:szCs w:val="24"/>
    </w:rPr>
  </w:style>
  <w:style w:type="paragraph" w:customStyle="1" w:styleId="510">
    <w:name w:val="xl43"/>
    <w:basedOn w:val="1"/>
    <w:qFormat/>
    <w:uiPriority w:val="0"/>
    <w:pPr>
      <w:widowControl/>
      <w:pBdr>
        <w:left w:val="single" w:color="auto" w:sz="4" w:space="0"/>
        <w:bottom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1"/>
      <w:szCs w:val="21"/>
    </w:rPr>
  </w:style>
  <w:style w:type="paragraph" w:customStyle="1" w:styleId="511">
    <w:name w:val="td"/>
    <w:basedOn w:val="1"/>
    <w:qFormat/>
    <w:uiPriority w:val="0"/>
    <w:pPr>
      <w:widowControl/>
      <w:adjustRightInd/>
      <w:snapToGrid/>
      <w:spacing w:before="100" w:beforeAutospacing="1" w:after="100" w:afterAutospacing="1"/>
      <w:ind w:firstLine="0" w:firstLineChars="0"/>
      <w:jc w:val="left"/>
    </w:pPr>
    <w:rPr>
      <w:rFonts w:hint="eastAsia" w:ascii="宋体" w:hAnsi="宋体" w:cs="Times New Roman"/>
      <w:color w:val="000000"/>
      <w:kern w:val="0"/>
      <w:sz w:val="18"/>
      <w:szCs w:val="18"/>
    </w:rPr>
  </w:style>
  <w:style w:type="paragraph" w:customStyle="1" w:styleId="512">
    <w:name w:val="样式 左侧:  0.42 厘米 右侧:  0.42 厘米"/>
    <w:basedOn w:val="1"/>
    <w:qFormat/>
    <w:uiPriority w:val="0"/>
    <w:pPr>
      <w:adjustRightInd/>
      <w:spacing w:beforeLines="50"/>
      <w:ind w:firstLine="480"/>
    </w:pPr>
    <w:rPr>
      <w:rFonts w:cs="Times New Roman"/>
      <w:color w:val="FF0000"/>
      <w:szCs w:val="20"/>
    </w:rPr>
  </w:style>
  <w:style w:type="paragraph" w:customStyle="1" w:styleId="513">
    <w:name w:val="样式 标题 3 + 左侧:  0.42 厘米 右侧:  0.42 厘米"/>
    <w:basedOn w:val="4"/>
    <w:qFormat/>
    <w:uiPriority w:val="0"/>
    <w:pPr>
      <w:keepNext/>
      <w:keepLines/>
      <w:numPr>
        <w:ilvl w:val="0"/>
        <w:numId w:val="0"/>
      </w:numPr>
      <w:tabs>
        <w:tab w:val="clear" w:pos="0"/>
      </w:tabs>
      <w:adjustRightInd/>
    </w:pPr>
    <w:rPr>
      <w:rFonts w:ascii="方正仿宋_GB2312" w:eastAsia="方正仿宋_GB2312" w:cs="Times New Roman"/>
      <w:b/>
      <w:bCs/>
      <w:sz w:val="24"/>
      <w:szCs w:val="20"/>
    </w:rPr>
  </w:style>
  <w:style w:type="paragraph" w:customStyle="1" w:styleId="514">
    <w:name w:val="xl60"/>
    <w:basedOn w:val="1"/>
    <w:qFormat/>
    <w:uiPriority w:val="0"/>
    <w:pPr>
      <w:widowControl/>
      <w:pBdr>
        <w:bottom w:val="single" w:color="auto" w:sz="4" w:space="0"/>
        <w:right w:val="single" w:color="000000" w:sz="4" w:space="0"/>
      </w:pBdr>
      <w:adjustRightInd/>
      <w:snapToGrid/>
      <w:spacing w:before="100" w:beforeAutospacing="1" w:after="100" w:afterAutospacing="1"/>
      <w:ind w:firstLine="0" w:firstLineChars="0"/>
      <w:jc w:val="center"/>
    </w:pPr>
    <w:rPr>
      <w:rFonts w:hint="eastAsia" w:ascii="Arial Unicode MS" w:hAnsi="Arial Unicode MS" w:eastAsia="Arial Unicode MS" w:cs="Times New Roman"/>
      <w:kern w:val="0"/>
      <w:sz w:val="21"/>
      <w:szCs w:val="21"/>
    </w:rPr>
  </w:style>
  <w:style w:type="paragraph" w:customStyle="1" w:styleId="515">
    <w:name w:val="样式 标题 1 + 首行缩进:  2 字符 段前: 0.5 行"/>
    <w:basedOn w:val="2"/>
    <w:qFormat/>
    <w:uiPriority w:val="0"/>
    <w:pPr>
      <w:keepNext/>
      <w:keepLines/>
      <w:numPr>
        <w:numId w:val="0"/>
      </w:numPr>
      <w:adjustRightInd/>
      <w:snapToGrid/>
      <w:spacing w:before="214" w:beforeLines="50"/>
      <w:ind w:right="0"/>
      <w:jc w:val="left"/>
    </w:pPr>
    <w:rPr>
      <w:rFonts w:ascii="黑体" w:cs="宋体"/>
      <w:b/>
      <w:bCs/>
      <w:kern w:val="44"/>
      <w:sz w:val="36"/>
      <w:szCs w:val="36"/>
      <w:lang w:val="zh-CN"/>
    </w:rPr>
  </w:style>
  <w:style w:type="paragraph" w:customStyle="1" w:styleId="516">
    <w:name w:val="日期1"/>
    <w:basedOn w:val="1"/>
    <w:next w:val="1"/>
    <w:qFormat/>
    <w:uiPriority w:val="0"/>
    <w:pPr>
      <w:snapToGrid/>
      <w:ind w:firstLine="0" w:firstLineChars="0"/>
      <w:textAlignment w:val="baseline"/>
    </w:pPr>
    <w:rPr>
      <w:rFonts w:cs="Times New Roman"/>
      <w:snapToGrid w:val="0"/>
      <w:szCs w:val="20"/>
    </w:rPr>
  </w:style>
  <w:style w:type="paragraph" w:customStyle="1" w:styleId="517">
    <w:name w:val="样式 纯文本 + (中文) 宋体 二号 行距: 最小值 8 磅"/>
    <w:basedOn w:val="29"/>
    <w:qFormat/>
    <w:uiPriority w:val="0"/>
    <w:pPr>
      <w:snapToGrid w:val="0"/>
      <w:spacing w:beforeLines="50" w:line="160" w:lineRule="atLeast"/>
      <w:jc w:val="center"/>
    </w:pPr>
    <w:rPr>
      <w:rFonts w:ascii="Times New Roman" w:hAnsi="Times New Roman" w:cs="宋体"/>
      <w:spacing w:val="34"/>
      <w:sz w:val="44"/>
    </w:rPr>
  </w:style>
  <w:style w:type="paragraph" w:customStyle="1" w:styleId="518">
    <w:name w:val="表格2"/>
    <w:basedOn w:val="134"/>
    <w:qFormat/>
    <w:uiPriority w:val="0"/>
    <w:pPr>
      <w:spacing w:line="360" w:lineRule="auto"/>
      <w:jc w:val="left"/>
    </w:pPr>
    <w:rPr>
      <w:rFonts w:hAnsi="宋体"/>
      <w:snapToGrid w:val="0"/>
      <w:kern w:val="0"/>
      <w:sz w:val="18"/>
      <w:szCs w:val="18"/>
    </w:rPr>
  </w:style>
  <w:style w:type="paragraph" w:customStyle="1" w:styleId="519">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99CC"/>
      <w:adjustRightInd/>
      <w:snapToGrid/>
      <w:spacing w:before="100" w:beforeAutospacing="1" w:after="100" w:afterAutospacing="1"/>
      <w:ind w:firstLine="0" w:firstLineChars="0"/>
      <w:jc w:val="center"/>
    </w:pPr>
    <w:rPr>
      <w:rFonts w:eastAsia="Arial Unicode MS" w:cs="Times New Roman"/>
      <w:kern w:val="0"/>
      <w:sz w:val="22"/>
    </w:rPr>
  </w:style>
  <w:style w:type="paragraph" w:customStyle="1" w:styleId="520">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99"/>
      <w:adjustRightInd/>
      <w:snapToGrid/>
      <w:spacing w:before="100" w:beforeAutospacing="1" w:after="100" w:afterAutospacing="1"/>
      <w:ind w:firstLine="0" w:firstLineChars="0"/>
      <w:jc w:val="center"/>
    </w:pPr>
    <w:rPr>
      <w:rFonts w:eastAsia="Arial Unicode MS" w:cs="Times New Roman"/>
      <w:kern w:val="0"/>
      <w:sz w:val="22"/>
    </w:rPr>
  </w:style>
  <w:style w:type="paragraph" w:customStyle="1" w:styleId="521">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99CC"/>
      <w:adjustRightInd/>
      <w:snapToGrid/>
      <w:spacing w:before="100" w:beforeAutospacing="1" w:after="100" w:afterAutospacing="1"/>
      <w:ind w:firstLine="0" w:firstLineChars="0"/>
      <w:jc w:val="center"/>
    </w:pPr>
    <w:rPr>
      <w:rFonts w:eastAsia="Arial Unicode MS" w:cs="Times New Roman"/>
      <w:kern w:val="0"/>
      <w:sz w:val="22"/>
    </w:rPr>
  </w:style>
  <w:style w:type="paragraph" w:customStyle="1" w:styleId="522">
    <w:name w:val="xl44"/>
    <w:basedOn w:val="1"/>
    <w:qFormat/>
    <w:uiPriority w:val="0"/>
    <w:pPr>
      <w:widowControl/>
      <w:adjustRightInd/>
      <w:snapToGrid/>
      <w:spacing w:before="100" w:beforeAutospacing="1" w:after="100" w:afterAutospacing="1"/>
      <w:ind w:firstLine="0" w:firstLineChars="0"/>
      <w:jc w:val="center"/>
    </w:pPr>
    <w:rPr>
      <w:rFonts w:ascii="Arial Unicode MS" w:hAnsi="Arial Unicode MS" w:eastAsia="Arial Unicode MS" w:cs="Arial Unicode MS"/>
      <w:b/>
      <w:bCs/>
      <w:kern w:val="0"/>
      <w:szCs w:val="24"/>
    </w:rPr>
  </w:style>
  <w:style w:type="paragraph" w:customStyle="1" w:styleId="523">
    <w:name w:val="xl45"/>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1"/>
      <w:szCs w:val="21"/>
    </w:rPr>
  </w:style>
  <w:style w:type="paragraph" w:customStyle="1" w:styleId="524">
    <w:name w:val="xl46"/>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eastAsia="Arial Unicode MS" w:cs="Times New Roman"/>
      <w:kern w:val="0"/>
      <w:sz w:val="21"/>
      <w:szCs w:val="21"/>
    </w:rPr>
  </w:style>
  <w:style w:type="paragraph" w:customStyle="1" w:styleId="525">
    <w:name w:val="xl47"/>
    <w:basedOn w:val="1"/>
    <w:qFormat/>
    <w:uiPriority w:val="0"/>
    <w:pPr>
      <w:widowControl/>
      <w:pBdr>
        <w:top w:val="single" w:color="auto" w:sz="4" w:space="0"/>
        <w:bottom w:val="single" w:color="auto" w:sz="4" w:space="0"/>
      </w:pBdr>
      <w:adjustRightInd/>
      <w:snapToGrid/>
      <w:spacing w:before="100" w:beforeAutospacing="1" w:after="100" w:afterAutospacing="1"/>
      <w:ind w:firstLine="0" w:firstLineChars="0"/>
      <w:jc w:val="center"/>
    </w:pPr>
    <w:rPr>
      <w:rFonts w:eastAsia="Arial Unicode MS" w:cs="Times New Roman"/>
      <w:kern w:val="0"/>
      <w:sz w:val="21"/>
      <w:szCs w:val="21"/>
    </w:rPr>
  </w:style>
  <w:style w:type="paragraph" w:customStyle="1" w:styleId="526">
    <w:name w:val="xl48"/>
    <w:basedOn w:val="1"/>
    <w:qFormat/>
    <w:uiPriority w:val="0"/>
    <w:pPr>
      <w:widowControl/>
      <w:pBdr>
        <w:bottom w:val="single" w:color="auto" w:sz="4" w:space="0"/>
      </w:pBdr>
      <w:adjustRightInd/>
      <w:snapToGrid/>
      <w:spacing w:before="100" w:beforeAutospacing="1" w:after="100" w:afterAutospacing="1"/>
      <w:ind w:firstLine="0" w:firstLineChars="0"/>
      <w:jc w:val="left"/>
    </w:pPr>
    <w:rPr>
      <w:rFonts w:ascii="Arial Unicode MS" w:hAnsi="Arial Unicode MS" w:eastAsia="Arial Unicode MS" w:cs="Arial Unicode MS"/>
      <w:kern w:val="0"/>
      <w:sz w:val="21"/>
      <w:szCs w:val="21"/>
    </w:rPr>
  </w:style>
  <w:style w:type="paragraph" w:customStyle="1" w:styleId="527">
    <w:name w:val="xl49"/>
    <w:basedOn w:val="1"/>
    <w:qFormat/>
    <w:uiPriority w:val="0"/>
    <w:pPr>
      <w:widowControl/>
      <w:pBdr>
        <w:bottom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1"/>
      <w:szCs w:val="21"/>
    </w:rPr>
  </w:style>
  <w:style w:type="paragraph" w:customStyle="1" w:styleId="528">
    <w:name w:val="xl50"/>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1"/>
      <w:szCs w:val="21"/>
    </w:rPr>
  </w:style>
  <w:style w:type="paragraph" w:customStyle="1" w:styleId="529">
    <w:name w:val="xl5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0"/>
      <w:szCs w:val="20"/>
    </w:rPr>
  </w:style>
  <w:style w:type="paragraph" w:customStyle="1" w:styleId="530">
    <w:name w:val="xl53"/>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ind w:firstLine="0" w:firstLineChars="0"/>
      <w:jc w:val="center"/>
    </w:pPr>
    <w:rPr>
      <w:rFonts w:eastAsia="Arial Unicode MS" w:cs="Times New Roman"/>
      <w:kern w:val="0"/>
      <w:sz w:val="20"/>
      <w:szCs w:val="20"/>
    </w:rPr>
  </w:style>
  <w:style w:type="paragraph" w:customStyle="1" w:styleId="531">
    <w:name w:val="xl54"/>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0"/>
      <w:szCs w:val="20"/>
    </w:rPr>
  </w:style>
  <w:style w:type="paragraph" w:customStyle="1" w:styleId="532">
    <w:name w:val="xl55"/>
    <w:basedOn w:val="1"/>
    <w:qFormat/>
    <w:uiPriority w:val="0"/>
    <w:pPr>
      <w:widowControl/>
      <w:pBdr>
        <w:top w:val="single" w:color="auto" w:sz="4" w:space="0"/>
        <w:left w:val="single" w:color="auto" w:sz="4" w:space="0"/>
        <w:right w:val="single" w:color="auto" w:sz="4" w:space="0"/>
      </w:pBdr>
      <w:shd w:val="clear" w:color="auto" w:fill="CCFFCC"/>
      <w:adjustRightInd/>
      <w:snapToGrid/>
      <w:spacing w:before="100" w:beforeAutospacing="1" w:after="100" w:afterAutospacing="1"/>
      <w:ind w:firstLine="0" w:firstLineChars="0"/>
      <w:jc w:val="center"/>
    </w:pPr>
    <w:rPr>
      <w:rFonts w:ascii="Arial Unicode MS" w:hAnsi="Arial Unicode MS" w:eastAsia="Arial Unicode MS" w:cs="Arial Unicode MS"/>
      <w:kern w:val="0"/>
      <w:sz w:val="20"/>
      <w:szCs w:val="20"/>
    </w:rPr>
  </w:style>
  <w:style w:type="paragraph" w:customStyle="1" w:styleId="533">
    <w:name w:val="xl56"/>
    <w:basedOn w:val="1"/>
    <w:qFormat/>
    <w:uiPriority w:val="0"/>
    <w:pPr>
      <w:widowControl/>
      <w:pBdr>
        <w:left w:val="single" w:color="auto" w:sz="4" w:space="0"/>
        <w:bottom w:val="single" w:color="auto" w:sz="4" w:space="0"/>
        <w:right w:val="single" w:color="auto" w:sz="4" w:space="0"/>
      </w:pBdr>
      <w:shd w:val="clear" w:color="auto" w:fill="CCFFCC"/>
      <w:adjustRightInd/>
      <w:snapToGrid/>
      <w:spacing w:before="100" w:beforeAutospacing="1" w:after="100" w:afterAutospacing="1"/>
      <w:ind w:firstLine="0" w:firstLineChars="0"/>
      <w:jc w:val="center"/>
    </w:pPr>
    <w:rPr>
      <w:rFonts w:eastAsia="Arial Unicode MS" w:cs="Times New Roman"/>
      <w:kern w:val="0"/>
      <w:sz w:val="20"/>
      <w:szCs w:val="20"/>
    </w:rPr>
  </w:style>
  <w:style w:type="paragraph" w:customStyle="1" w:styleId="534">
    <w:name w:val="xl58"/>
    <w:basedOn w:val="1"/>
    <w:qFormat/>
    <w:uiPriority w:val="0"/>
    <w:pPr>
      <w:widowControl/>
      <w:adjustRightInd/>
      <w:snapToGrid/>
      <w:spacing w:before="100" w:beforeAutospacing="1" w:after="100" w:afterAutospacing="1"/>
      <w:ind w:firstLine="0" w:firstLineChars="0"/>
      <w:jc w:val="center"/>
    </w:pPr>
    <w:rPr>
      <w:rFonts w:ascii="Arial Unicode MS" w:hAnsi="Arial Unicode MS" w:eastAsia="Arial Unicode MS" w:cs="Arial Unicode MS"/>
      <w:b/>
      <w:bCs/>
      <w:kern w:val="0"/>
      <w:szCs w:val="24"/>
    </w:rPr>
  </w:style>
  <w:style w:type="paragraph" w:customStyle="1" w:styleId="535">
    <w:name w:val="xl61"/>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ind w:firstLine="0" w:firstLineChars="0"/>
      <w:jc w:val="center"/>
    </w:pPr>
    <w:rPr>
      <w:rFonts w:ascii="Arial Unicode MS" w:hAnsi="Arial Unicode MS" w:eastAsia="Arial Unicode MS" w:cs="Arial Unicode MS"/>
      <w:kern w:val="0"/>
      <w:sz w:val="20"/>
      <w:szCs w:val="20"/>
    </w:rPr>
  </w:style>
  <w:style w:type="paragraph" w:customStyle="1" w:styleId="536">
    <w:name w:val="xl62"/>
    <w:basedOn w:val="1"/>
    <w:qFormat/>
    <w:uiPriority w:val="0"/>
    <w:pPr>
      <w:widowControl/>
      <w:pBdr>
        <w:top w:val="single" w:color="auto" w:sz="4" w:space="0"/>
        <w:bottom w:val="single" w:color="auto" w:sz="4" w:space="0"/>
      </w:pBdr>
      <w:adjustRightInd/>
      <w:snapToGrid/>
      <w:spacing w:before="100" w:beforeAutospacing="1" w:after="100" w:afterAutospacing="1"/>
      <w:ind w:firstLine="0" w:firstLineChars="0"/>
      <w:jc w:val="center"/>
    </w:pPr>
    <w:rPr>
      <w:rFonts w:eastAsia="Arial Unicode MS" w:cs="Times New Roman"/>
      <w:kern w:val="0"/>
      <w:sz w:val="20"/>
      <w:szCs w:val="20"/>
    </w:rPr>
  </w:style>
  <w:style w:type="paragraph" w:customStyle="1" w:styleId="537">
    <w:name w:val="样式 五号 居中 段前: 0.5 行 行距: 最小值 12 磅"/>
    <w:basedOn w:val="1"/>
    <w:qFormat/>
    <w:uiPriority w:val="0"/>
    <w:pPr>
      <w:adjustRightInd/>
      <w:spacing w:beforeLines="50" w:line="240" w:lineRule="atLeast"/>
      <w:ind w:firstLine="0" w:firstLineChars="0"/>
      <w:jc w:val="center"/>
    </w:pPr>
    <w:rPr>
      <w:sz w:val="21"/>
      <w:szCs w:val="20"/>
    </w:rPr>
  </w:style>
  <w:style w:type="paragraph" w:customStyle="1" w:styleId="538">
    <w:name w:val="表头1"/>
    <w:basedOn w:val="1"/>
    <w:qFormat/>
    <w:uiPriority w:val="0"/>
    <w:pPr>
      <w:spacing w:before="100" w:beforeAutospacing="1" w:after="100" w:afterAutospacing="1"/>
      <w:ind w:firstLine="0" w:firstLineChars="0"/>
      <w:jc w:val="center"/>
    </w:pPr>
    <w:rPr>
      <w:rFonts w:cs="Times New Roman"/>
      <w:b/>
      <w:snapToGrid w:val="0"/>
      <w:szCs w:val="24"/>
    </w:rPr>
  </w:style>
  <w:style w:type="paragraph" w:customStyle="1" w:styleId="539">
    <w:name w:val="正文2"/>
    <w:basedOn w:val="1"/>
    <w:qFormat/>
    <w:uiPriority w:val="0"/>
    <w:pPr>
      <w:adjustRightInd/>
      <w:snapToGrid/>
      <w:ind w:firstLine="630" w:firstLineChars="0"/>
    </w:pPr>
    <w:rPr>
      <w:rFonts w:eastAsia="方正仿宋简体" w:cs="Times New Roman"/>
      <w:sz w:val="32"/>
      <w:szCs w:val="24"/>
    </w:rPr>
  </w:style>
  <w:style w:type="paragraph" w:customStyle="1" w:styleId="540">
    <w:name w:val="77"/>
    <w:basedOn w:val="1"/>
    <w:link w:val="541"/>
    <w:qFormat/>
    <w:uiPriority w:val="0"/>
    <w:pPr>
      <w:adjustRightInd/>
      <w:snapToGrid/>
      <w:contextualSpacing/>
      <w:jc w:val="left"/>
      <w:outlineLvl w:val="5"/>
    </w:pPr>
    <w:rPr>
      <w:rFonts w:ascii="方正仿宋_GB2312" w:hAnsi="宋体" w:eastAsia="方正仿宋_GB2312" w:cs="Times New Roman"/>
      <w:b/>
      <w:sz w:val="28"/>
      <w:szCs w:val="28"/>
    </w:rPr>
  </w:style>
  <w:style w:type="character" w:customStyle="1" w:styleId="541">
    <w:name w:val="77 Char"/>
    <w:link w:val="540"/>
    <w:qFormat/>
    <w:uiPriority w:val="0"/>
    <w:rPr>
      <w:rFonts w:ascii="方正仿宋_GB2312" w:hAnsi="宋体" w:eastAsia="方正仿宋_GB2312"/>
      <w:b/>
      <w:kern w:val="2"/>
      <w:sz w:val="28"/>
      <w:szCs w:val="28"/>
    </w:rPr>
  </w:style>
  <w:style w:type="paragraph" w:customStyle="1" w:styleId="542">
    <w:name w:val="样式4"/>
    <w:basedOn w:val="2"/>
    <w:qFormat/>
    <w:uiPriority w:val="0"/>
    <w:pPr>
      <w:keepNext/>
      <w:keepLines/>
      <w:numPr>
        <w:numId w:val="0"/>
      </w:numPr>
      <w:adjustRightInd/>
      <w:snapToGrid/>
      <w:spacing w:before="0" w:beforeLines="50" w:afterLines="50"/>
      <w:ind w:right="0"/>
    </w:pPr>
    <w:rPr>
      <w:rFonts w:ascii="方正仿宋_GB2312" w:hAnsi="方正仿宋_GB2312" w:eastAsia="宋体"/>
      <w:b/>
      <w:bCs/>
      <w:kern w:val="44"/>
      <w:sz w:val="36"/>
      <w:szCs w:val="36"/>
    </w:rPr>
  </w:style>
  <w:style w:type="paragraph" w:customStyle="1" w:styleId="543">
    <w:name w:val="样式5"/>
    <w:basedOn w:val="3"/>
    <w:qFormat/>
    <w:uiPriority w:val="0"/>
    <w:pPr>
      <w:keepNext/>
      <w:keepLines/>
      <w:numPr>
        <w:ilvl w:val="0"/>
        <w:numId w:val="0"/>
      </w:numPr>
      <w:tabs>
        <w:tab w:val="clear" w:pos="420"/>
      </w:tabs>
      <w:adjustRightInd/>
      <w:snapToGrid/>
      <w:spacing w:before="260" w:after="260" w:line="416" w:lineRule="auto"/>
    </w:pPr>
    <w:rPr>
      <w:rFonts w:ascii="方正仿宋_GB2312" w:hAnsi="方正仿宋_GB2312"/>
      <w:bCs/>
      <w:color w:val="0070C0"/>
      <w:kern w:val="0"/>
    </w:rPr>
  </w:style>
  <w:style w:type="paragraph" w:customStyle="1" w:styleId="544">
    <w:name w:val="样式6"/>
    <w:basedOn w:val="3"/>
    <w:qFormat/>
    <w:uiPriority w:val="0"/>
    <w:pPr>
      <w:keepNext/>
      <w:keepLines/>
      <w:numPr>
        <w:ilvl w:val="0"/>
        <w:numId w:val="0"/>
      </w:numPr>
      <w:tabs>
        <w:tab w:val="clear" w:pos="420"/>
      </w:tabs>
      <w:adjustRightInd/>
      <w:snapToGrid/>
      <w:spacing w:before="260" w:after="260" w:line="416" w:lineRule="auto"/>
    </w:pPr>
    <w:rPr>
      <w:rFonts w:ascii="方正仿宋_GB2312" w:hAnsi="方正仿宋_GB2312"/>
      <w:bCs/>
      <w:color w:val="0070C0"/>
      <w:kern w:val="0"/>
    </w:rPr>
  </w:style>
  <w:style w:type="paragraph" w:customStyle="1" w:styleId="545">
    <w:name w:val="样式7"/>
    <w:basedOn w:val="4"/>
    <w:qFormat/>
    <w:uiPriority w:val="0"/>
    <w:pPr>
      <w:keepNext/>
      <w:keepLines/>
      <w:numPr>
        <w:ilvl w:val="0"/>
        <w:numId w:val="0"/>
      </w:numPr>
      <w:tabs>
        <w:tab w:val="clear" w:pos="0"/>
      </w:tabs>
      <w:adjustRightInd/>
      <w:snapToGrid/>
      <w:spacing w:before="0"/>
    </w:pPr>
    <w:rPr>
      <w:rFonts w:ascii="方正仿宋_GB2312" w:hAnsi="方正仿宋_GB2312" w:eastAsia="方正仿宋_GB2312" w:cs="Times New Roman"/>
      <w:b/>
      <w:bCs/>
      <w:szCs w:val="30"/>
    </w:rPr>
  </w:style>
  <w:style w:type="paragraph" w:customStyle="1" w:styleId="546">
    <w:name w:val="样式8"/>
    <w:basedOn w:val="4"/>
    <w:qFormat/>
    <w:uiPriority w:val="0"/>
    <w:pPr>
      <w:keepNext/>
      <w:keepLines/>
      <w:numPr>
        <w:ilvl w:val="0"/>
        <w:numId w:val="0"/>
      </w:numPr>
      <w:tabs>
        <w:tab w:val="clear" w:pos="0"/>
      </w:tabs>
      <w:adjustRightInd/>
      <w:snapToGrid/>
      <w:spacing w:before="0"/>
    </w:pPr>
    <w:rPr>
      <w:rFonts w:ascii="方正仿宋_GB2312" w:hAnsi="方正仿宋_GB2312" w:eastAsia="方正仿宋_GB2312" w:cs="Times New Roman"/>
      <w:b/>
      <w:bCs/>
      <w:szCs w:val="30"/>
    </w:rPr>
  </w:style>
  <w:style w:type="paragraph" w:customStyle="1" w:styleId="547">
    <w:name w:val="样式10"/>
    <w:basedOn w:val="2"/>
    <w:qFormat/>
    <w:uiPriority w:val="0"/>
    <w:pPr>
      <w:keepNext/>
      <w:keepLines/>
      <w:numPr>
        <w:numId w:val="0"/>
      </w:numPr>
      <w:adjustRightInd/>
      <w:snapToGrid/>
      <w:spacing w:before="0" w:beforeLines="50" w:afterLines="50"/>
      <w:ind w:right="0"/>
    </w:pPr>
    <w:rPr>
      <w:rFonts w:ascii="方正仿宋_GB2312" w:hAnsi="方正仿宋_GB2312" w:eastAsia="宋体"/>
      <w:b/>
      <w:bCs/>
      <w:kern w:val="44"/>
      <w:sz w:val="36"/>
      <w:szCs w:val="36"/>
    </w:rPr>
  </w:style>
  <w:style w:type="paragraph" w:customStyle="1" w:styleId="548">
    <w:name w:val="样式11"/>
    <w:basedOn w:val="4"/>
    <w:qFormat/>
    <w:uiPriority w:val="0"/>
    <w:pPr>
      <w:keepNext/>
      <w:keepLines/>
      <w:numPr>
        <w:ilvl w:val="0"/>
        <w:numId w:val="0"/>
      </w:numPr>
      <w:tabs>
        <w:tab w:val="clear" w:pos="0"/>
      </w:tabs>
      <w:adjustRightInd/>
      <w:snapToGrid/>
      <w:spacing w:before="0"/>
    </w:pPr>
    <w:rPr>
      <w:rFonts w:ascii="方正仿宋_GB2312" w:eastAsia="方正仿宋_GB2312" w:cs="Times New Roman"/>
      <w:b/>
      <w:bCs/>
      <w:szCs w:val="28"/>
    </w:rPr>
  </w:style>
  <w:style w:type="paragraph" w:customStyle="1" w:styleId="549">
    <w:name w:val="样式12"/>
    <w:basedOn w:val="4"/>
    <w:qFormat/>
    <w:uiPriority w:val="0"/>
    <w:pPr>
      <w:keepNext/>
      <w:keepLines/>
      <w:numPr>
        <w:ilvl w:val="0"/>
        <w:numId w:val="0"/>
      </w:numPr>
      <w:tabs>
        <w:tab w:val="clear" w:pos="0"/>
      </w:tabs>
      <w:adjustRightInd/>
      <w:snapToGrid/>
      <w:spacing w:before="0"/>
    </w:pPr>
    <w:rPr>
      <w:rFonts w:ascii="方正仿宋_GB2312" w:eastAsia="方正仿宋_GB2312" w:cs="Times New Roman"/>
      <w:b/>
      <w:bCs/>
      <w:szCs w:val="28"/>
    </w:rPr>
  </w:style>
  <w:style w:type="paragraph" w:customStyle="1" w:styleId="550">
    <w:name w:val="样式13"/>
    <w:basedOn w:val="4"/>
    <w:qFormat/>
    <w:uiPriority w:val="0"/>
    <w:pPr>
      <w:keepNext/>
      <w:keepLines/>
      <w:numPr>
        <w:ilvl w:val="0"/>
        <w:numId w:val="0"/>
      </w:numPr>
      <w:tabs>
        <w:tab w:val="clear" w:pos="0"/>
      </w:tabs>
      <w:adjustRightInd/>
      <w:snapToGrid/>
      <w:spacing w:before="0"/>
    </w:pPr>
    <w:rPr>
      <w:rFonts w:ascii="方正仿宋_GB2312" w:eastAsia="方正仿宋_GB2312" w:cs="Times New Roman"/>
      <w:b/>
      <w:bCs/>
      <w:sz w:val="84"/>
      <w:szCs w:val="28"/>
    </w:rPr>
  </w:style>
  <w:style w:type="paragraph" w:customStyle="1" w:styleId="551">
    <w:name w:val="样式14"/>
    <w:basedOn w:val="4"/>
    <w:qFormat/>
    <w:uiPriority w:val="0"/>
    <w:pPr>
      <w:keepNext/>
      <w:keepLines/>
      <w:numPr>
        <w:ilvl w:val="0"/>
        <w:numId w:val="0"/>
      </w:numPr>
      <w:tabs>
        <w:tab w:val="clear" w:pos="0"/>
      </w:tabs>
      <w:adjustRightInd/>
      <w:snapToGrid/>
      <w:spacing w:before="0"/>
    </w:pPr>
    <w:rPr>
      <w:rFonts w:ascii="方正仿宋_GB2312" w:eastAsia="方正仿宋_GB2312" w:cs="Times New Roman"/>
      <w:b/>
      <w:bCs/>
      <w:sz w:val="52"/>
      <w:szCs w:val="28"/>
    </w:rPr>
  </w:style>
  <w:style w:type="paragraph" w:customStyle="1" w:styleId="552">
    <w:name w:val="5"/>
    <w:basedOn w:val="1"/>
    <w:next w:val="13"/>
    <w:qFormat/>
    <w:uiPriority w:val="0"/>
    <w:pPr>
      <w:adjustRightInd/>
      <w:snapToGrid/>
      <w:ind w:firstLine="420" w:firstLineChars="0"/>
    </w:pPr>
    <w:rPr>
      <w:rFonts w:cs="Times New Roman"/>
      <w:sz w:val="17"/>
      <w:szCs w:val="20"/>
    </w:rPr>
  </w:style>
  <w:style w:type="paragraph" w:customStyle="1" w:styleId="553">
    <w:name w:val="标题11"/>
    <w:basedOn w:val="1"/>
    <w:qFormat/>
    <w:uiPriority w:val="0"/>
    <w:pPr>
      <w:tabs>
        <w:tab w:val="left" w:pos="720"/>
      </w:tabs>
      <w:ind w:left="567" w:hanging="567" w:firstLineChars="0"/>
    </w:pPr>
    <w:rPr>
      <w:rFonts w:cs="Times New Roman"/>
      <w:sz w:val="28"/>
      <w:szCs w:val="20"/>
    </w:rPr>
  </w:style>
  <w:style w:type="paragraph" w:customStyle="1" w:styleId="554">
    <w:name w:val="图表头"/>
    <w:basedOn w:val="1"/>
    <w:link w:val="555"/>
    <w:qFormat/>
    <w:uiPriority w:val="0"/>
    <w:pPr>
      <w:tabs>
        <w:tab w:val="center" w:pos="4231"/>
        <w:tab w:val="right" w:pos="8463"/>
      </w:tabs>
      <w:snapToGrid/>
      <w:spacing w:line="540" w:lineRule="exact"/>
      <w:ind w:firstLine="0" w:firstLineChars="0"/>
      <w:jc w:val="center"/>
      <w:textAlignment w:val="baseline"/>
    </w:pPr>
    <w:rPr>
      <w:rFonts w:ascii="宋体" w:hAnsi="宋体" w:cs="Times New Roman"/>
      <w:b/>
      <w:spacing w:val="4"/>
      <w:sz w:val="28"/>
      <w:szCs w:val="28"/>
    </w:rPr>
  </w:style>
  <w:style w:type="character" w:customStyle="1" w:styleId="555">
    <w:name w:val="图表头 Char"/>
    <w:link w:val="554"/>
    <w:qFormat/>
    <w:uiPriority w:val="0"/>
    <w:rPr>
      <w:rFonts w:ascii="宋体" w:hAnsi="宋体"/>
      <w:b/>
      <w:spacing w:val="4"/>
      <w:kern w:val="2"/>
      <w:sz w:val="28"/>
      <w:szCs w:val="28"/>
    </w:rPr>
  </w:style>
  <w:style w:type="paragraph" w:customStyle="1" w:styleId="556">
    <w:name w:val="图表头2"/>
    <w:basedOn w:val="554"/>
    <w:qFormat/>
    <w:uiPriority w:val="0"/>
  </w:style>
  <w:style w:type="paragraph" w:customStyle="1" w:styleId="557">
    <w:name w:val="XCHG论文正文"/>
    <w:basedOn w:val="1"/>
    <w:qFormat/>
    <w:uiPriority w:val="0"/>
    <w:pPr>
      <w:adjustRightInd/>
      <w:snapToGrid/>
      <w:spacing w:line="300" w:lineRule="auto"/>
      <w:ind w:firstLine="480"/>
    </w:pPr>
    <w:rPr>
      <w:rFonts w:cs="Times New Roman"/>
      <w:color w:val="000000"/>
      <w:szCs w:val="24"/>
    </w:rPr>
  </w:style>
  <w:style w:type="paragraph" w:customStyle="1" w:styleId="558">
    <w:name w:val="公式"/>
    <w:next w:val="1"/>
    <w:qFormat/>
    <w:uiPriority w:val="0"/>
    <w:pPr>
      <w:spacing w:line="360" w:lineRule="auto"/>
      <w:jc w:val="center"/>
    </w:pPr>
    <w:rPr>
      <w:rFonts w:ascii="Times New Roman" w:hAnsi="Times New Roman" w:eastAsia="宋体" w:cs="Times New Roman"/>
      <w:kern w:val="2"/>
      <w:sz w:val="24"/>
      <w:szCs w:val="24"/>
      <w:lang w:val="en-US" w:eastAsia="zh-CN" w:bidi="ar-SA"/>
    </w:rPr>
  </w:style>
  <w:style w:type="paragraph" w:customStyle="1" w:styleId="559">
    <w:name w:val="表格文字居中"/>
    <w:qFormat/>
    <w:uiPriority w:val="0"/>
    <w:pPr>
      <w:adjustRightInd w:val="0"/>
      <w:snapToGrid w:val="0"/>
      <w:spacing w:beforeLines="10" w:afterLines="10" w:line="360" w:lineRule="auto"/>
      <w:jc w:val="center"/>
    </w:pPr>
    <w:rPr>
      <w:rFonts w:ascii="宋体" w:hAnsi="宋体" w:eastAsia="宋体" w:cs="Times New Roman"/>
      <w:sz w:val="24"/>
      <w:lang w:val="en-US" w:eastAsia="zh-CN" w:bidi="ar-SA"/>
    </w:rPr>
  </w:style>
  <w:style w:type="paragraph" w:customStyle="1" w:styleId="560">
    <w:name w:val="正文A"/>
    <w:qFormat/>
    <w:uiPriority w:val="0"/>
    <w:pPr>
      <w:widowControl w:val="0"/>
      <w:tabs>
        <w:tab w:val="left" w:pos="0"/>
      </w:tabs>
      <w:adjustRightInd w:val="0"/>
      <w:spacing w:line="360" w:lineRule="auto"/>
      <w:ind w:firstLine="200" w:firstLineChars="200"/>
      <w:jc w:val="both"/>
      <w:textAlignment w:val="baseline"/>
    </w:pPr>
    <w:rPr>
      <w:rFonts w:ascii="Times New Roman" w:hAnsi="Times New Roman" w:eastAsia="宋体" w:cs="Times New Roman"/>
      <w:snapToGrid w:val="0"/>
      <w:sz w:val="24"/>
      <w:lang w:val="en-US" w:eastAsia="zh-CN" w:bidi="ar-SA"/>
    </w:rPr>
  </w:style>
  <w:style w:type="paragraph" w:customStyle="1" w:styleId="561">
    <w:name w:val="报告书正文 Char Char Char Char Char"/>
    <w:basedOn w:val="1"/>
    <w:link w:val="562"/>
    <w:qFormat/>
    <w:uiPriority w:val="0"/>
    <w:pPr>
      <w:adjustRightInd/>
      <w:snapToGrid/>
      <w:spacing w:line="300" w:lineRule="auto"/>
      <w:ind w:firstLine="480"/>
    </w:pPr>
    <w:rPr>
      <w:rFonts w:cs="Times New Roman"/>
      <w:color w:val="000000"/>
      <w:szCs w:val="24"/>
    </w:rPr>
  </w:style>
  <w:style w:type="character" w:customStyle="1" w:styleId="562">
    <w:name w:val="报告书正文 Char Char Char Char Char Char"/>
    <w:link w:val="561"/>
    <w:qFormat/>
    <w:uiPriority w:val="0"/>
    <w:rPr>
      <w:rFonts w:ascii="Times New Roman" w:hAnsi="Times New Roman"/>
      <w:color w:val="000000"/>
      <w:kern w:val="2"/>
      <w:sz w:val="24"/>
      <w:szCs w:val="24"/>
    </w:rPr>
  </w:style>
  <w:style w:type="character" w:customStyle="1" w:styleId="563">
    <w:name w:val="报告书正文 Char Char Char Char"/>
    <w:qFormat/>
    <w:uiPriority w:val="0"/>
    <w:rPr>
      <w:rFonts w:eastAsia="宋体"/>
      <w:color w:val="000000"/>
      <w:kern w:val="2"/>
      <w:sz w:val="24"/>
      <w:szCs w:val="24"/>
      <w:lang w:val="en-US" w:eastAsia="zh-CN" w:bidi="ar-SA"/>
    </w:rPr>
  </w:style>
  <w:style w:type="paragraph" w:customStyle="1" w:styleId="564">
    <w:name w:val="自定义正文 Char Char Char Char"/>
    <w:link w:val="565"/>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565">
    <w:name w:val="自定义正文 Char Char Char Char Char"/>
    <w:link w:val="564"/>
    <w:qFormat/>
    <w:uiPriority w:val="0"/>
    <w:rPr>
      <w:rFonts w:ascii="Times New Roman" w:hAnsi="Times New Roman"/>
      <w:kern w:val="2"/>
      <w:position w:val="-28"/>
      <w:sz w:val="28"/>
      <w:szCs w:val="28"/>
    </w:rPr>
  </w:style>
  <w:style w:type="paragraph" w:customStyle="1" w:styleId="566">
    <w:name w:val="自定义正文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567">
    <w:name w:val="脚注文本 字符"/>
    <w:basedOn w:val="56"/>
    <w:link w:val="42"/>
    <w:qFormat/>
    <w:uiPriority w:val="0"/>
    <w:rPr>
      <w:rFonts w:ascii="Times New Roman" w:hAnsi="Times New Roman"/>
      <w:sz w:val="18"/>
      <w:szCs w:val="18"/>
    </w:rPr>
  </w:style>
  <w:style w:type="paragraph" w:customStyle="1" w:styleId="568">
    <w:name w:val="xl22"/>
    <w:basedOn w:val="1"/>
    <w:qFormat/>
    <w:uiPriority w:val="0"/>
    <w:pPr>
      <w:widowControl/>
      <w:pBdr>
        <w:bottom w:val="single" w:color="auto" w:sz="4" w:space="0"/>
        <w:right w:val="single" w:color="auto" w:sz="4" w:space="0"/>
      </w:pBdr>
      <w:adjustRightInd/>
      <w:snapToGrid/>
      <w:spacing w:before="100" w:beforeAutospacing="1" w:after="100" w:afterAutospacing="1"/>
      <w:ind w:firstLine="0" w:firstLineChars="0"/>
      <w:jc w:val="center"/>
    </w:pPr>
    <w:rPr>
      <w:rFonts w:ascii="宋体" w:hAnsi="宋体" w:cs="Times New Roman"/>
      <w:kern w:val="0"/>
      <w:sz w:val="21"/>
      <w:szCs w:val="21"/>
    </w:rPr>
  </w:style>
  <w:style w:type="paragraph" w:customStyle="1" w:styleId="569">
    <w:name w:val="表格（小）"/>
    <w:basedOn w:val="1"/>
    <w:qFormat/>
    <w:uiPriority w:val="0"/>
    <w:pPr>
      <w:ind w:firstLine="0" w:firstLineChars="0"/>
    </w:pPr>
    <w:rPr>
      <w:rFonts w:cs="Times New Roman"/>
      <w:snapToGrid w:val="0"/>
      <w:kern w:val="0"/>
      <w:sz w:val="21"/>
      <w:szCs w:val="20"/>
    </w:rPr>
  </w:style>
  <w:style w:type="paragraph" w:customStyle="1" w:styleId="570">
    <w:name w:val="Char Char Char Char Char Char Char"/>
    <w:basedOn w:val="1"/>
    <w:qFormat/>
    <w:uiPriority w:val="0"/>
    <w:pPr>
      <w:jc w:val="left"/>
    </w:pPr>
    <w:rPr>
      <w:rFonts w:ascii="方正仿宋_GB2312" w:hAnsi="方正仿宋_GB2312" w:eastAsia="方正仿宋_GB2312"/>
      <w:szCs w:val="24"/>
    </w:rPr>
  </w:style>
  <w:style w:type="paragraph" w:customStyle="1" w:styleId="571">
    <w:name w:val="表头 Char"/>
    <w:basedOn w:val="1"/>
    <w:qFormat/>
    <w:uiPriority w:val="0"/>
    <w:pPr>
      <w:spacing w:before="120" w:after="120" w:line="460" w:lineRule="atLeast"/>
      <w:ind w:firstLine="0" w:firstLineChars="0"/>
      <w:jc w:val="center"/>
    </w:pPr>
    <w:rPr>
      <w:rFonts w:ascii="黑体" w:eastAsia="黑体" w:cs="Times New Roman"/>
      <w:b/>
      <w:szCs w:val="20"/>
    </w:rPr>
  </w:style>
  <w:style w:type="paragraph" w:customStyle="1" w:styleId="572">
    <w:name w:val="样式 标题 1 + Times New Roman 行距: 1.5 倍行距"/>
    <w:basedOn w:val="2"/>
    <w:qFormat/>
    <w:uiPriority w:val="0"/>
    <w:pPr>
      <w:keepNext/>
      <w:keepLines/>
      <w:numPr>
        <w:numId w:val="0"/>
      </w:numPr>
      <w:adjustRightInd/>
      <w:snapToGrid/>
      <w:spacing w:before="0"/>
      <w:ind w:right="0"/>
      <w:jc w:val="left"/>
    </w:pPr>
    <w:rPr>
      <w:rFonts w:eastAsia="宋体" w:cs="宋体"/>
      <w:b/>
      <w:bCs/>
      <w:kern w:val="44"/>
      <w:sz w:val="36"/>
      <w:szCs w:val="20"/>
    </w:rPr>
  </w:style>
  <w:style w:type="paragraph" w:customStyle="1" w:styleId="573">
    <w:name w:val="Char Char Char1 Char Char Char2 Char Char Char Char"/>
    <w:basedOn w:val="1"/>
    <w:qFormat/>
    <w:uiPriority w:val="0"/>
    <w:pPr>
      <w:adjustRightInd/>
      <w:snapToGrid/>
    </w:pPr>
    <w:rPr>
      <w:rFonts w:ascii="宋体" w:hAnsi="宋体"/>
      <w:szCs w:val="24"/>
    </w:rPr>
  </w:style>
  <w:style w:type="character" w:customStyle="1" w:styleId="574">
    <w:name w:val="txt181"/>
    <w:qFormat/>
    <w:uiPriority w:val="0"/>
    <w:rPr>
      <w:rFonts w:hint="eastAsia" w:ascii="宋体" w:hAnsi="宋体" w:eastAsia="宋体"/>
      <w:b/>
      <w:bCs/>
      <w:color w:val="003CC8"/>
      <w:sz w:val="39"/>
      <w:szCs w:val="39"/>
      <w:u w:val="none"/>
    </w:rPr>
  </w:style>
  <w:style w:type="character" w:customStyle="1" w:styleId="575">
    <w:name w:val="正文文字缩进 Char Char1"/>
    <w:qFormat/>
    <w:uiPriority w:val="0"/>
    <w:rPr>
      <w:rFonts w:ascii="宋体" w:hAnsi="宋体" w:eastAsia="宋体"/>
      <w:kern w:val="2"/>
      <w:sz w:val="24"/>
      <w:szCs w:val="24"/>
      <w:lang w:val="en-US" w:eastAsia="zh-CN" w:bidi="ar-SA"/>
    </w:rPr>
  </w:style>
  <w:style w:type="paragraph" w:customStyle="1" w:styleId="576">
    <w:name w:val="HZZH正文"/>
    <w:basedOn w:val="1"/>
    <w:link w:val="577"/>
    <w:qFormat/>
    <w:uiPriority w:val="0"/>
    <w:pPr>
      <w:overflowPunct w:val="0"/>
      <w:adjustRightInd/>
      <w:snapToGrid/>
      <w:ind w:firstLine="540" w:firstLineChars="225"/>
    </w:pPr>
    <w:rPr>
      <w:rFonts w:ascii="宋体" w:hAnsi="宋体"/>
      <w:kern w:val="0"/>
      <w:szCs w:val="24"/>
    </w:rPr>
  </w:style>
  <w:style w:type="character" w:customStyle="1" w:styleId="577">
    <w:name w:val="HZZH正文 Char"/>
    <w:link w:val="576"/>
    <w:qFormat/>
    <w:uiPriority w:val="0"/>
    <w:rPr>
      <w:rFonts w:ascii="宋体" w:hAnsi="宋体" w:cs="宋体"/>
      <w:sz w:val="24"/>
      <w:szCs w:val="24"/>
    </w:rPr>
  </w:style>
  <w:style w:type="paragraph" w:customStyle="1" w:styleId="578">
    <w:name w:val="Normal1"/>
    <w:qFormat/>
    <w:uiPriority w:val="0"/>
    <w:pPr>
      <w:widowControl w:val="0"/>
      <w:adjustRightInd w:val="0"/>
      <w:spacing w:line="360" w:lineRule="auto"/>
      <w:jc w:val="both"/>
      <w:textAlignment w:val="baseline"/>
    </w:pPr>
    <w:rPr>
      <w:rFonts w:ascii="宋体" w:hAnsi="Times New Roman" w:eastAsia="宋体" w:cs="Times New Roman"/>
      <w:sz w:val="24"/>
      <w:lang w:val="en-US" w:eastAsia="zh-CN" w:bidi="ar-SA"/>
    </w:rPr>
  </w:style>
  <w:style w:type="character" w:customStyle="1" w:styleId="579">
    <w:name w:val="t_tag"/>
    <w:basedOn w:val="56"/>
    <w:qFormat/>
    <w:uiPriority w:val="0"/>
  </w:style>
  <w:style w:type="character" w:customStyle="1" w:styleId="580">
    <w:name w:val="标题1.1.1.1.1.1 Char"/>
    <w:qFormat/>
    <w:uiPriority w:val="0"/>
    <w:rPr>
      <w:rFonts w:ascii="Arial" w:hAnsi="Arial" w:eastAsia="黑体" w:cs="Arial"/>
      <w:b/>
      <w:bCs/>
      <w:sz w:val="24"/>
      <w:szCs w:val="24"/>
      <w:lang w:val="en-US" w:eastAsia="zh-CN" w:bidi="ar-SA"/>
    </w:rPr>
  </w:style>
  <w:style w:type="character" w:customStyle="1" w:styleId="581">
    <w:name w:val="项标题(1) Char Char"/>
    <w:qFormat/>
    <w:uiPriority w:val="0"/>
    <w:rPr>
      <w:rFonts w:eastAsia="宋体"/>
      <w:b/>
      <w:bCs/>
      <w:sz w:val="24"/>
      <w:szCs w:val="24"/>
      <w:lang w:val="en-US" w:eastAsia="zh-CN" w:bidi="ar-SA"/>
    </w:rPr>
  </w:style>
  <w:style w:type="character" w:customStyle="1" w:styleId="582">
    <w:name w:val="目标题 1) Char Char"/>
    <w:qFormat/>
    <w:uiPriority w:val="0"/>
    <w:rPr>
      <w:rFonts w:eastAsia="宋体"/>
      <w:sz w:val="24"/>
      <w:szCs w:val="24"/>
      <w:lang w:val="en-US" w:eastAsia="zh-CN" w:bidi="ar-SA"/>
    </w:rPr>
  </w:style>
  <w:style w:type="character" w:customStyle="1" w:styleId="583">
    <w:name w:val="正文文字缩进 Char Char"/>
    <w:qFormat/>
    <w:uiPriority w:val="0"/>
    <w:rPr>
      <w:rFonts w:ascii="宋体" w:hAnsi="宋体" w:eastAsia="宋体"/>
      <w:kern w:val="2"/>
      <w:sz w:val="24"/>
      <w:szCs w:val="24"/>
      <w:lang w:val="en-US" w:eastAsia="zh-CN" w:bidi="ar-SA"/>
    </w:rPr>
  </w:style>
  <w:style w:type="character" w:customStyle="1" w:styleId="584">
    <w:name w:val="123YJ Char"/>
    <w:qFormat/>
    <w:uiPriority w:val="0"/>
    <w:rPr>
      <w:rFonts w:eastAsia="宋体"/>
      <w:kern w:val="2"/>
      <w:sz w:val="18"/>
      <w:szCs w:val="18"/>
      <w:lang w:val="en-US" w:eastAsia="zh-CN" w:bidi="ar-SA"/>
    </w:rPr>
  </w:style>
  <w:style w:type="paragraph" w:customStyle="1" w:styleId="585">
    <w:name w:val="正文文本1.35"/>
    <w:basedOn w:val="19"/>
    <w:link w:val="586"/>
    <w:qFormat/>
    <w:uiPriority w:val="0"/>
    <w:pPr>
      <w:spacing w:line="324" w:lineRule="auto"/>
      <w:ind w:firstLine="560"/>
    </w:pPr>
    <w:rPr>
      <w:rFonts w:ascii="Times New Roman" w:hAnsi="Times New Roman"/>
      <w:sz w:val="28"/>
      <w:szCs w:val="28"/>
    </w:rPr>
  </w:style>
  <w:style w:type="character" w:customStyle="1" w:styleId="586">
    <w:name w:val="正文文本1.35 Char"/>
    <w:link w:val="585"/>
    <w:qFormat/>
    <w:uiPriority w:val="0"/>
    <w:rPr>
      <w:rFonts w:ascii="Times New Roman" w:hAnsi="Times New Roman" w:cs="宋体"/>
      <w:kern w:val="2"/>
      <w:sz w:val="28"/>
      <w:szCs w:val="28"/>
    </w:rPr>
  </w:style>
  <w:style w:type="paragraph" w:customStyle="1" w:styleId="587">
    <w:name w:val="表、图名"/>
    <w:basedOn w:val="1"/>
    <w:qFormat/>
    <w:uiPriority w:val="0"/>
    <w:pPr>
      <w:adjustRightInd/>
      <w:snapToGrid/>
      <w:spacing w:before="156" w:after="156"/>
      <w:ind w:firstLine="840" w:firstLineChars="300"/>
      <w:jc w:val="center"/>
    </w:pPr>
    <w:rPr>
      <w:rFonts w:ascii="黑体" w:hAnsi="宋体" w:eastAsia="黑体"/>
      <w:bCs/>
      <w:sz w:val="28"/>
      <w:szCs w:val="28"/>
    </w:rPr>
  </w:style>
  <w:style w:type="character" w:customStyle="1" w:styleId="588">
    <w:name w:val="f141"/>
    <w:qFormat/>
    <w:uiPriority w:val="0"/>
    <w:rPr>
      <w:sz w:val="21"/>
      <w:szCs w:val="21"/>
    </w:rPr>
  </w:style>
  <w:style w:type="character" w:customStyle="1" w:styleId="589">
    <w:name w:val="正文文本 Char"/>
    <w:qFormat/>
    <w:uiPriority w:val="0"/>
    <w:rPr>
      <w:rFonts w:eastAsia="宋体"/>
      <w:kern w:val="2"/>
      <w:sz w:val="21"/>
      <w:szCs w:val="24"/>
      <w:lang w:val="en-US" w:eastAsia="zh-CN" w:bidi="ar-SA"/>
    </w:rPr>
  </w:style>
  <w:style w:type="character" w:customStyle="1" w:styleId="590">
    <w:name w:val="样式 加宽量  12.9 磅"/>
    <w:qFormat/>
    <w:uiPriority w:val="0"/>
    <w:rPr>
      <w:spacing w:val="0"/>
      <w:kern w:val="0"/>
    </w:rPr>
  </w:style>
  <w:style w:type="paragraph" w:customStyle="1" w:styleId="591">
    <w:name w:val="Char Char Char2 Char"/>
    <w:basedOn w:val="1"/>
    <w:qFormat/>
    <w:uiPriority w:val="0"/>
    <w:pPr>
      <w:adjustRightInd/>
      <w:snapToGrid/>
    </w:pPr>
    <w:rPr>
      <w:rFonts w:ascii="宋体" w:hAnsi="宋体"/>
      <w:szCs w:val="24"/>
    </w:rPr>
  </w:style>
  <w:style w:type="paragraph" w:customStyle="1" w:styleId="592">
    <w:name w:val="Char11"/>
    <w:basedOn w:val="16"/>
    <w:qFormat/>
    <w:uiPriority w:val="0"/>
    <w:pPr>
      <w:shd w:val="clear" w:color="auto" w:fill="000080"/>
      <w:adjustRightInd/>
      <w:snapToGrid/>
      <w:ind w:firstLine="0" w:firstLineChars="0"/>
    </w:pPr>
    <w:rPr>
      <w:rFonts w:ascii="Tahoma" w:hAnsi="Tahoma"/>
      <w:kern w:val="2"/>
      <w:sz w:val="24"/>
      <w:szCs w:val="24"/>
    </w:rPr>
  </w:style>
  <w:style w:type="paragraph" w:customStyle="1" w:styleId="593">
    <w:name w:val="Char1 Char Char Char1"/>
    <w:basedOn w:val="1"/>
    <w:qFormat/>
    <w:uiPriority w:val="0"/>
    <w:pPr>
      <w:adjustRightInd/>
      <w:snapToGrid/>
    </w:pPr>
    <w:rPr>
      <w:rFonts w:ascii="宋体" w:hAnsi="宋体"/>
      <w:szCs w:val="24"/>
    </w:rPr>
  </w:style>
  <w:style w:type="character" w:customStyle="1" w:styleId="594">
    <w:name w:val="文档结构图 Char"/>
    <w:qFormat/>
    <w:uiPriority w:val="0"/>
    <w:rPr>
      <w:rFonts w:eastAsia="宋体"/>
      <w:kern w:val="2"/>
      <w:sz w:val="21"/>
      <w:szCs w:val="24"/>
      <w:lang w:val="en-US" w:eastAsia="zh-CN" w:bidi="ar-SA"/>
    </w:rPr>
  </w:style>
  <w:style w:type="paragraph" w:customStyle="1" w:styleId="595">
    <w:name w:val="Char2"/>
    <w:basedOn w:val="1"/>
    <w:qFormat/>
    <w:uiPriority w:val="0"/>
    <w:pPr>
      <w:adjustRightInd/>
      <w:snapToGrid/>
      <w:ind w:firstLine="487"/>
    </w:pPr>
    <w:rPr>
      <w:rFonts w:ascii="宋体" w:hAnsi="宋体"/>
      <w:szCs w:val="24"/>
    </w:rPr>
  </w:style>
  <w:style w:type="paragraph" w:customStyle="1" w:styleId="596">
    <w:name w:val="正文3"/>
    <w:qFormat/>
    <w:uiPriority w:val="0"/>
    <w:pPr>
      <w:widowControl w:val="0"/>
      <w:adjustRightInd w:val="0"/>
      <w:spacing w:line="360" w:lineRule="auto"/>
      <w:jc w:val="both"/>
      <w:textAlignment w:val="baseline"/>
    </w:pPr>
    <w:rPr>
      <w:rFonts w:ascii="宋体" w:hAnsi="Times New Roman" w:eastAsia="宋体" w:cs="Times New Roman"/>
      <w:sz w:val="24"/>
      <w:lang w:val="en-US" w:eastAsia="zh-CN" w:bidi="ar-SA"/>
    </w:rPr>
  </w:style>
  <w:style w:type="paragraph" w:customStyle="1" w:styleId="597">
    <w:name w:val="样式 标题 2节标题 1.11.1标题2b2Seh2l22nd levelTitre22Header 2二..."/>
    <w:basedOn w:val="3"/>
    <w:qFormat/>
    <w:uiPriority w:val="0"/>
    <w:pPr>
      <w:keepNext/>
      <w:keepLines/>
      <w:numPr>
        <w:ilvl w:val="0"/>
        <w:numId w:val="0"/>
      </w:numPr>
      <w:tabs>
        <w:tab w:val="clear" w:pos="420"/>
      </w:tabs>
      <w:adjustRightInd/>
      <w:snapToGrid/>
      <w:spacing w:before="260" w:after="260" w:line="416" w:lineRule="auto"/>
    </w:pPr>
    <w:rPr>
      <w:rFonts w:ascii="宋体" w:hAnsi="宋体" w:eastAsia="宋体"/>
      <w:bCs/>
      <w:color w:val="0070C0"/>
      <w:kern w:val="0"/>
      <w:sz w:val="30"/>
    </w:rPr>
  </w:style>
  <w:style w:type="paragraph" w:customStyle="1" w:styleId="598">
    <w:name w:val="样式 图表头2 + 宋体 加粗"/>
    <w:basedOn w:val="556"/>
    <w:qFormat/>
    <w:uiPriority w:val="0"/>
    <w:rPr>
      <w:b w:val="0"/>
      <w:bCs/>
      <w:sz w:val="24"/>
    </w:rPr>
  </w:style>
  <w:style w:type="paragraph" w:customStyle="1" w:styleId="599">
    <w:name w:val="样式 图表头 + 宋体 加粗"/>
    <w:basedOn w:val="554"/>
    <w:link w:val="600"/>
    <w:qFormat/>
    <w:uiPriority w:val="0"/>
    <w:rPr>
      <w:bCs/>
      <w:sz w:val="24"/>
    </w:rPr>
  </w:style>
  <w:style w:type="character" w:customStyle="1" w:styleId="600">
    <w:name w:val="样式 图表头 + 宋体 加粗 Char"/>
    <w:link w:val="599"/>
    <w:qFormat/>
    <w:uiPriority w:val="0"/>
    <w:rPr>
      <w:rFonts w:ascii="宋体" w:hAnsi="宋体"/>
      <w:b/>
      <w:bCs/>
      <w:spacing w:val="4"/>
      <w:kern w:val="2"/>
      <w:sz w:val="24"/>
      <w:szCs w:val="28"/>
    </w:rPr>
  </w:style>
  <w:style w:type="paragraph" w:customStyle="1" w:styleId="601">
    <w:name w:val="Balloon Text1"/>
    <w:basedOn w:val="1"/>
    <w:qFormat/>
    <w:uiPriority w:val="0"/>
    <w:pPr>
      <w:adjustRightInd/>
      <w:spacing w:beforeLines="50"/>
      <w:ind w:firstLine="0" w:firstLineChars="0"/>
    </w:pPr>
    <w:rPr>
      <w:rFonts w:cs="Times New Roman"/>
      <w:sz w:val="18"/>
      <w:szCs w:val="18"/>
    </w:rPr>
  </w:style>
  <w:style w:type="paragraph" w:customStyle="1" w:styleId="602">
    <w:name w:val="Plain Text1"/>
    <w:basedOn w:val="1"/>
    <w:uiPriority w:val="0"/>
    <w:pPr>
      <w:snapToGrid/>
      <w:ind w:firstLine="0" w:firstLineChars="0"/>
      <w:textAlignment w:val="baseline"/>
    </w:pPr>
    <w:rPr>
      <w:rFonts w:ascii="宋体" w:cs="Times New Roman"/>
      <w:kern w:val="0"/>
      <w:sz w:val="21"/>
      <w:szCs w:val="20"/>
    </w:rPr>
  </w:style>
  <w:style w:type="paragraph" w:customStyle="1" w:styleId="603">
    <w:name w:val="Date1"/>
    <w:basedOn w:val="1"/>
    <w:next w:val="1"/>
    <w:qFormat/>
    <w:uiPriority w:val="0"/>
    <w:pPr>
      <w:snapToGrid/>
      <w:ind w:firstLine="0" w:firstLineChars="0"/>
      <w:textAlignment w:val="baseline"/>
    </w:pPr>
    <w:rPr>
      <w:rFonts w:cs="Times New Roman"/>
      <w:snapToGrid w:val="0"/>
      <w:szCs w:val="20"/>
    </w:rPr>
  </w:style>
  <w:style w:type="paragraph" w:customStyle="1" w:styleId="604">
    <w:name w:val="Char4"/>
    <w:basedOn w:val="1"/>
    <w:qFormat/>
    <w:uiPriority w:val="0"/>
    <w:pPr>
      <w:adjustRightInd/>
      <w:snapToGrid/>
      <w:ind w:firstLine="0" w:firstLineChars="0"/>
    </w:pPr>
    <w:rPr>
      <w:rFonts w:cs="Times New Roman"/>
      <w:sz w:val="21"/>
      <w:szCs w:val="24"/>
    </w:rPr>
  </w:style>
  <w:style w:type="character" w:customStyle="1" w:styleId="605">
    <w:name w:val="grame"/>
    <w:basedOn w:val="56"/>
    <w:uiPriority w:val="0"/>
  </w:style>
  <w:style w:type="character" w:customStyle="1" w:styleId="606">
    <w:name w:val="正文文字缩进 3 Char"/>
    <w:qFormat/>
    <w:uiPriority w:val="0"/>
    <w:rPr>
      <w:rFonts w:eastAsia="宋体"/>
      <w:kern w:val="2"/>
      <w:sz w:val="16"/>
      <w:szCs w:val="16"/>
      <w:lang w:val="en-US" w:eastAsia="zh-CN" w:bidi="ar-SA"/>
    </w:rPr>
  </w:style>
  <w:style w:type="paragraph" w:customStyle="1" w:styleId="607">
    <w:name w:val="统一正文"/>
    <w:basedOn w:val="1"/>
    <w:qFormat/>
    <w:uiPriority w:val="0"/>
    <w:pPr>
      <w:autoSpaceDE w:val="0"/>
      <w:autoSpaceDN w:val="0"/>
      <w:adjustRightInd/>
      <w:snapToGrid/>
      <w:ind w:firstLine="567"/>
      <w:jc w:val="left"/>
      <w:textAlignment w:val="baseline"/>
    </w:pPr>
    <w:rPr>
      <w:rFonts w:cs="Times New Roman"/>
      <w:kern w:val="0"/>
      <w:sz w:val="28"/>
      <w:szCs w:val="20"/>
      <w:lang w:bidi="he-IL"/>
    </w:rPr>
  </w:style>
  <w:style w:type="character" w:customStyle="1" w:styleId="608">
    <w:name w:val="标题1.1.1.1.1.1 Char1"/>
    <w:uiPriority w:val="0"/>
    <w:rPr>
      <w:rFonts w:ascii="Arial" w:hAnsi="Arial" w:eastAsia="黑体" w:cs="Arial"/>
      <w:b/>
      <w:bCs/>
      <w:sz w:val="24"/>
      <w:szCs w:val="24"/>
      <w:lang w:val="en-US" w:eastAsia="zh-CN" w:bidi="ar-SA"/>
    </w:rPr>
  </w:style>
  <w:style w:type="character" w:customStyle="1" w:styleId="609">
    <w:name w:val="项标题(1) Char Char1"/>
    <w:qFormat/>
    <w:uiPriority w:val="0"/>
    <w:rPr>
      <w:rFonts w:eastAsia="宋体"/>
      <w:b/>
      <w:bCs/>
      <w:sz w:val="24"/>
      <w:szCs w:val="24"/>
      <w:lang w:val="en-US" w:eastAsia="zh-CN" w:bidi="ar-SA"/>
    </w:rPr>
  </w:style>
  <w:style w:type="character" w:customStyle="1" w:styleId="610">
    <w:name w:val="目标题 1) Char Char1"/>
    <w:qFormat/>
    <w:uiPriority w:val="0"/>
    <w:rPr>
      <w:rFonts w:eastAsia="宋体"/>
      <w:sz w:val="24"/>
      <w:szCs w:val="24"/>
      <w:lang w:val="en-US" w:eastAsia="zh-CN" w:bidi="ar-SA"/>
    </w:rPr>
  </w:style>
  <w:style w:type="character" w:customStyle="1" w:styleId="611">
    <w:name w:val="123YJ Char2"/>
    <w:uiPriority w:val="0"/>
    <w:rPr>
      <w:rFonts w:eastAsia="宋体"/>
      <w:kern w:val="2"/>
      <w:sz w:val="18"/>
      <w:szCs w:val="18"/>
      <w:lang w:val="en-US" w:eastAsia="zh-CN" w:bidi="ar-SA"/>
    </w:rPr>
  </w:style>
  <w:style w:type="character" w:customStyle="1" w:styleId="612">
    <w:name w:val="普通文字 Char3"/>
    <w:qFormat/>
    <w:uiPriority w:val="0"/>
    <w:rPr>
      <w:rFonts w:ascii="宋体" w:hAnsi="Courier New" w:eastAsia="宋体" w:cs="Courier New"/>
      <w:kern w:val="2"/>
      <w:sz w:val="21"/>
      <w:szCs w:val="21"/>
      <w:lang w:val="en-US" w:eastAsia="zh-CN" w:bidi="ar-SA"/>
    </w:rPr>
  </w:style>
  <w:style w:type="character" w:customStyle="1" w:styleId="613">
    <w:name w:val="正文文字缩进 Char Char2"/>
    <w:qFormat/>
    <w:uiPriority w:val="0"/>
    <w:rPr>
      <w:rFonts w:eastAsia="宋体"/>
      <w:kern w:val="2"/>
      <w:sz w:val="21"/>
      <w:szCs w:val="24"/>
      <w:lang w:val="en-US" w:eastAsia="zh-CN" w:bidi="ar-SA"/>
    </w:rPr>
  </w:style>
  <w:style w:type="character" w:customStyle="1" w:styleId="614">
    <w:name w:val="正文文字缩进 3 Char1"/>
    <w:uiPriority w:val="0"/>
    <w:rPr>
      <w:rFonts w:eastAsia="宋体"/>
      <w:kern w:val="2"/>
      <w:sz w:val="16"/>
      <w:szCs w:val="16"/>
      <w:lang w:val="en-US" w:eastAsia="zh-CN" w:bidi="ar-SA"/>
    </w:rPr>
  </w:style>
  <w:style w:type="character" w:customStyle="1" w:styleId="615">
    <w:name w:val="特点标题 Char1"/>
    <w:qFormat/>
    <w:uiPriority w:val="0"/>
    <w:rPr>
      <w:rFonts w:eastAsia="宋体"/>
      <w:kern w:val="2"/>
      <w:sz w:val="21"/>
      <w:szCs w:val="24"/>
      <w:lang w:val="en-US" w:eastAsia="zh-CN" w:bidi="ar-SA"/>
    </w:rPr>
  </w:style>
  <w:style w:type="paragraph" w:customStyle="1" w:styleId="616">
    <w:name w:val="wlj表格内文字"/>
    <w:basedOn w:val="1"/>
    <w:qFormat/>
    <w:uiPriority w:val="0"/>
    <w:pPr>
      <w:adjustRightInd/>
      <w:snapToGrid/>
      <w:spacing w:line="240" w:lineRule="auto"/>
      <w:ind w:firstLine="0" w:firstLineChars="0"/>
      <w:jc w:val="center"/>
    </w:pPr>
    <w:rPr>
      <w:rFonts w:cs="Times New Roman"/>
      <w:color w:val="000080"/>
      <w:kern w:val="0"/>
      <w:sz w:val="21"/>
      <w:szCs w:val="24"/>
    </w:rPr>
  </w:style>
  <w:style w:type="paragraph" w:customStyle="1" w:styleId="617">
    <w:name w:val="样式 标题 1章标题 1h11st levelSection Headl1-*+b1章节名称标题11标题 ..."/>
    <w:basedOn w:val="2"/>
    <w:uiPriority w:val="0"/>
    <w:pPr>
      <w:keepNext/>
      <w:keepLines/>
      <w:numPr>
        <w:numId w:val="0"/>
      </w:numPr>
      <w:adjustRightInd/>
      <w:snapToGrid/>
      <w:spacing w:before="120" w:beforeLines="50" w:after="120" w:afterLines="50"/>
      <w:ind w:right="0"/>
    </w:pPr>
    <w:rPr>
      <w:rFonts w:eastAsia="宋体"/>
      <w:b/>
      <w:bCs/>
      <w:kern w:val="44"/>
      <w:sz w:val="36"/>
    </w:rPr>
  </w:style>
  <w:style w:type="paragraph" w:customStyle="1" w:styleId="618">
    <w:name w:val="样式 标题 2节标题 1.11.1标题2b2Seh2l22nd levelTitre22Header 2二...2"/>
    <w:basedOn w:val="3"/>
    <w:link w:val="619"/>
    <w:qFormat/>
    <w:uiPriority w:val="0"/>
    <w:pPr>
      <w:keepNext/>
      <w:keepLines/>
      <w:numPr>
        <w:ilvl w:val="0"/>
        <w:numId w:val="0"/>
      </w:numPr>
      <w:tabs>
        <w:tab w:val="clear" w:pos="420"/>
      </w:tabs>
      <w:adjustRightInd/>
      <w:snapToGrid/>
      <w:spacing w:before="0"/>
    </w:pPr>
    <w:rPr>
      <w:color w:val="0070C0"/>
      <w:kern w:val="0"/>
    </w:rPr>
  </w:style>
  <w:style w:type="character" w:customStyle="1" w:styleId="619">
    <w:name w:val="样式 标题 2节标题 1.11.1标题2b2Seh2l22nd levelTitre22Header 2二...2 Char"/>
    <w:link w:val="618"/>
    <w:qFormat/>
    <w:uiPriority w:val="0"/>
    <w:rPr>
      <w:rFonts w:ascii="Times New Roman" w:hAnsi="Times New Roman" w:eastAsia="黑体"/>
      <w:color w:val="0070C0"/>
      <w:sz w:val="32"/>
      <w:szCs w:val="32"/>
    </w:rPr>
  </w:style>
  <w:style w:type="paragraph" w:customStyle="1" w:styleId="620">
    <w:name w:val="标题2"/>
    <w:basedOn w:val="1"/>
    <w:uiPriority w:val="0"/>
    <w:pPr>
      <w:adjustRightInd/>
      <w:snapToGrid/>
      <w:ind w:firstLine="0" w:firstLineChars="0"/>
      <w:outlineLvl w:val="1"/>
    </w:pPr>
    <w:rPr>
      <w:rFonts w:eastAsia="仿宋" w:cs="Times New Roman"/>
      <w:b/>
      <w:color w:val="000000"/>
      <w:sz w:val="30"/>
      <w:szCs w:val="30"/>
    </w:rPr>
  </w:style>
  <w:style w:type="paragraph" w:customStyle="1" w:styleId="621">
    <w:name w:val="wlj正文"/>
    <w:link w:val="622"/>
    <w:qFormat/>
    <w:uiPriority w:val="0"/>
    <w:pPr>
      <w:adjustRightInd w:val="0"/>
      <w:snapToGrid w:val="0"/>
      <w:spacing w:line="360" w:lineRule="auto"/>
      <w:ind w:firstLine="560" w:firstLineChars="200"/>
    </w:pPr>
    <w:rPr>
      <w:rFonts w:ascii="宋体" w:hAnsi="宋体" w:eastAsia="宋体" w:cs="Times New Roman"/>
      <w:color w:val="000000"/>
      <w:sz w:val="28"/>
      <w:szCs w:val="28"/>
      <w:lang w:val="en-US" w:eastAsia="zh-CN" w:bidi="ar-SA"/>
    </w:rPr>
  </w:style>
  <w:style w:type="character" w:customStyle="1" w:styleId="622">
    <w:name w:val="wlj正文 Char"/>
    <w:link w:val="621"/>
    <w:qFormat/>
    <w:uiPriority w:val="0"/>
    <w:rPr>
      <w:rFonts w:ascii="宋体" w:hAnsi="宋体"/>
      <w:color w:val="000000"/>
      <w:sz w:val="28"/>
      <w:szCs w:val="28"/>
    </w:rPr>
  </w:style>
  <w:style w:type="paragraph" w:customStyle="1" w:styleId="623">
    <w:name w:val="王秀中"/>
    <w:basedOn w:val="1"/>
    <w:uiPriority w:val="0"/>
    <w:pPr>
      <w:autoSpaceDE w:val="0"/>
      <w:autoSpaceDN w:val="0"/>
      <w:spacing w:line="312" w:lineRule="auto"/>
      <w:ind w:firstLine="567" w:firstLineChars="0"/>
    </w:pPr>
    <w:rPr>
      <w:rFonts w:cs="Times New Roman"/>
      <w:kern w:val="0"/>
      <w:sz w:val="28"/>
      <w:szCs w:val="24"/>
    </w:rPr>
  </w:style>
  <w:style w:type="paragraph" w:customStyle="1" w:styleId="624">
    <w:name w:val="样式 样式 标题 2节标题 1.11.1标题2b2Seh2l22nd levelTitre22Header 2二...2 + (..."/>
    <w:basedOn w:val="618"/>
    <w:qFormat/>
    <w:uiPriority w:val="0"/>
    <w:pPr/>
    <w:rPr>
      <w:color w:val="auto"/>
    </w:rPr>
  </w:style>
  <w:style w:type="paragraph" w:customStyle="1" w:styleId="625">
    <w:name w:val="pic-info"/>
    <w:basedOn w:val="1"/>
    <w:qFormat/>
    <w:uiPriority w:val="0"/>
    <w:pPr>
      <w:widowControl/>
      <w:adjustRightInd/>
      <w:snapToGrid/>
      <w:spacing w:before="100" w:beforeAutospacing="1" w:after="100" w:afterAutospacing="1" w:line="240" w:lineRule="auto"/>
      <w:ind w:firstLine="0" w:firstLineChars="0"/>
      <w:jc w:val="left"/>
    </w:pPr>
    <w:rPr>
      <w:rFonts w:ascii="宋体" w:hAnsi="宋体"/>
      <w:kern w:val="0"/>
      <w:szCs w:val="24"/>
    </w:rPr>
  </w:style>
  <w:style w:type="paragraph" w:customStyle="1" w:styleId="626">
    <w:name w:val="样式 行距: 固定值 28 磅"/>
    <w:basedOn w:val="1"/>
    <w:uiPriority w:val="0"/>
    <w:pPr>
      <w:adjustRightInd/>
      <w:snapToGrid/>
      <w:spacing w:line="560" w:lineRule="exact"/>
      <w:ind w:firstLine="420"/>
    </w:pPr>
    <w:rPr>
      <w:sz w:val="28"/>
      <w:szCs w:val="20"/>
    </w:rPr>
  </w:style>
  <w:style w:type="paragraph" w:customStyle="1" w:styleId="627">
    <w:name w:val="Char Char1 Char Char Char"/>
    <w:basedOn w:val="1"/>
    <w:qFormat/>
    <w:uiPriority w:val="0"/>
    <w:pPr>
      <w:adjustRightInd/>
      <w:snapToGrid/>
      <w:spacing w:line="240" w:lineRule="auto"/>
      <w:ind w:firstLine="0" w:firstLineChars="0"/>
    </w:pPr>
    <w:rPr>
      <w:rFonts w:cs="Times New Roman"/>
      <w:sz w:val="21"/>
      <w:szCs w:val="20"/>
    </w:rPr>
  </w:style>
  <w:style w:type="paragraph" w:customStyle="1" w:styleId="628">
    <w:name w:val="Char Char9 Char Char Char Char"/>
    <w:basedOn w:val="1"/>
    <w:semiHidden/>
    <w:qFormat/>
    <w:uiPriority w:val="0"/>
    <w:pPr>
      <w:adjustRightInd/>
      <w:snapToGrid/>
      <w:spacing w:line="240" w:lineRule="auto"/>
      <w:ind w:firstLine="0" w:firstLineChars="0"/>
    </w:pPr>
    <w:rPr>
      <w:rFonts w:cs="Times New Roman"/>
      <w:sz w:val="21"/>
      <w:szCs w:val="24"/>
    </w:rPr>
  </w:style>
  <w:style w:type="paragraph" w:customStyle="1" w:styleId="629">
    <w:name w:val="邵光高速小四号宋体"/>
    <w:link w:val="630"/>
    <w:uiPriority w:val="0"/>
    <w:pPr>
      <w:widowControl w:val="0"/>
      <w:snapToGrid w:val="0"/>
      <w:spacing w:line="360" w:lineRule="auto"/>
      <w:ind w:firstLine="480" w:firstLineChars="200"/>
      <w:jc w:val="both"/>
    </w:pPr>
    <w:rPr>
      <w:rFonts w:ascii="宋体" w:hAnsi="宋体" w:eastAsia="宋体" w:cs="Times New Roman"/>
      <w:sz w:val="24"/>
      <w:szCs w:val="24"/>
      <w:lang w:val="en-US" w:eastAsia="zh-CN" w:bidi="ar-SA"/>
    </w:rPr>
  </w:style>
  <w:style w:type="character" w:customStyle="1" w:styleId="630">
    <w:name w:val="邵光高速小四号宋体 Char"/>
    <w:link w:val="629"/>
    <w:qFormat/>
    <w:uiPriority w:val="0"/>
    <w:rPr>
      <w:rFonts w:ascii="宋体" w:hAnsi="宋体"/>
      <w:sz w:val="24"/>
      <w:szCs w:val="24"/>
    </w:rPr>
  </w:style>
  <w:style w:type="character" w:customStyle="1" w:styleId="631">
    <w:name w:val="样式 宋体 小四 黑色"/>
    <w:uiPriority w:val="0"/>
    <w:rPr>
      <w:rFonts w:ascii="宋体" w:hAnsi="宋体"/>
      <w:color w:val="000000"/>
      <w:sz w:val="24"/>
    </w:rPr>
  </w:style>
  <w:style w:type="paragraph" w:customStyle="1" w:styleId="632">
    <w:name w:val="表中"/>
    <w:uiPriority w:val="0"/>
    <w:pPr>
      <w:spacing w:line="240" w:lineRule="atLeast"/>
      <w:jc w:val="center"/>
    </w:pPr>
    <w:rPr>
      <w:rFonts w:ascii="Times New Roman" w:hAnsi="Times New Roman" w:eastAsia="宋体" w:cs="Times New Roman"/>
      <w:sz w:val="24"/>
      <w:lang w:val="en-US" w:eastAsia="zh-CN" w:bidi="ar-SA"/>
    </w:rPr>
  </w:style>
  <w:style w:type="paragraph" w:customStyle="1" w:styleId="633">
    <w:name w:val="简单回函地址"/>
    <w:basedOn w:val="1"/>
    <w:uiPriority w:val="0"/>
    <w:pPr>
      <w:adjustRightInd/>
      <w:snapToGrid/>
      <w:spacing w:line="240" w:lineRule="auto"/>
      <w:ind w:firstLine="0" w:firstLineChars="0"/>
      <w:jc w:val="center"/>
    </w:pPr>
    <w:rPr>
      <w:rFonts w:cs="Times New Roman"/>
      <w:sz w:val="21"/>
      <w:szCs w:val="24"/>
    </w:rPr>
  </w:style>
  <w:style w:type="paragraph" w:customStyle="1" w:styleId="634">
    <w:name w:val="Char Char9 Char Char Char Char1"/>
    <w:basedOn w:val="1"/>
    <w:semiHidden/>
    <w:uiPriority w:val="0"/>
    <w:pPr>
      <w:adjustRightInd/>
      <w:snapToGrid/>
      <w:spacing w:line="240" w:lineRule="auto"/>
      <w:ind w:firstLine="0" w:firstLineChars="0"/>
    </w:pPr>
    <w:rPr>
      <w:rFonts w:cs="Times New Roman"/>
      <w:sz w:val="21"/>
      <w:szCs w:val="24"/>
    </w:rPr>
  </w:style>
  <w:style w:type="paragraph" w:customStyle="1" w:styleId="635">
    <w:name w:val="p15"/>
    <w:basedOn w:val="1"/>
    <w:uiPriority w:val="0"/>
    <w:pPr>
      <w:widowControl/>
      <w:adjustRightInd/>
      <w:snapToGrid/>
      <w:spacing w:line="240" w:lineRule="auto"/>
      <w:ind w:firstLine="0" w:firstLineChars="0"/>
      <w:jc w:val="left"/>
    </w:pPr>
    <w:rPr>
      <w:rFonts w:cs="Times New Roman"/>
      <w:kern w:val="0"/>
      <w:sz w:val="21"/>
      <w:szCs w:val="21"/>
    </w:rPr>
  </w:style>
  <w:style w:type="paragraph" w:customStyle="1" w:styleId="636">
    <w:name w:val="宋体四号"/>
    <w:uiPriority w:val="0"/>
    <w:pPr>
      <w:widowControl w:val="0"/>
      <w:adjustRightInd w:val="0"/>
      <w:snapToGrid w:val="0"/>
      <w:spacing w:line="360" w:lineRule="auto"/>
      <w:ind w:firstLine="480" w:firstLineChars="200"/>
      <w:jc w:val="both"/>
    </w:pPr>
    <w:rPr>
      <w:rFonts w:ascii="Times New Roman" w:hAnsi="Times New Roman" w:eastAsia="宋体" w:cs="Times New Roman"/>
      <w:sz w:val="24"/>
      <w:szCs w:val="28"/>
      <w:lang w:val="en-US" w:eastAsia="zh-CN" w:bidi="ar-SA"/>
    </w:rPr>
  </w:style>
  <w:style w:type="paragraph" w:customStyle="1" w:styleId="637">
    <w:name w:val="正文标题样式"/>
    <w:basedOn w:val="418"/>
    <w:link w:val="638"/>
    <w:uiPriority w:val="0"/>
    <w:pPr>
      <w:adjustRightInd w:val="0"/>
      <w:snapToGrid w:val="0"/>
      <w:ind w:firstLine="456" w:firstLineChars="200"/>
    </w:pPr>
    <w:rPr>
      <w:rFonts w:ascii="Times New Roman" w:hAnsi="Times New Roman" w:cs="Times New Roman"/>
      <w:spacing w:val="-6"/>
      <w:kern w:val="28"/>
      <w:szCs w:val="24"/>
    </w:rPr>
  </w:style>
  <w:style w:type="character" w:customStyle="1" w:styleId="638">
    <w:name w:val="正文标题样式 Char"/>
    <w:link w:val="637"/>
    <w:uiPriority w:val="0"/>
    <w:rPr>
      <w:rFonts w:ascii="Times New Roman" w:hAnsi="Times New Roman"/>
      <w:spacing w:val="-6"/>
      <w:kern w:val="28"/>
      <w:sz w:val="24"/>
      <w:szCs w:val="24"/>
      <w:lang w:eastAsia="ar-SA"/>
    </w:rPr>
  </w:style>
  <w:style w:type="paragraph" w:customStyle="1" w:styleId="639">
    <w:name w:val="Char Char9 Char Char Char Char2"/>
    <w:basedOn w:val="1"/>
    <w:semiHidden/>
    <w:uiPriority w:val="0"/>
    <w:pPr>
      <w:adjustRightInd/>
      <w:snapToGrid/>
      <w:spacing w:line="240" w:lineRule="auto"/>
      <w:ind w:firstLine="0" w:firstLineChars="0"/>
    </w:pPr>
    <w:rPr>
      <w:rFonts w:cs="Times New Roman"/>
      <w:sz w:val="21"/>
      <w:szCs w:val="24"/>
    </w:rPr>
  </w:style>
  <w:style w:type="paragraph" w:customStyle="1" w:styleId="640">
    <w:name w:val="7修改内容"/>
    <w:basedOn w:val="130"/>
    <w:link w:val="641"/>
    <w:uiPriority w:val="0"/>
    <w:rPr>
      <w:color w:val="0000FF"/>
      <w:u w:val="single"/>
    </w:rPr>
  </w:style>
  <w:style w:type="character" w:customStyle="1" w:styleId="641">
    <w:name w:val="7修改内容 Char"/>
    <w:link w:val="640"/>
    <w:uiPriority w:val="0"/>
    <w:rPr>
      <w:rFonts w:ascii="Times New Roman" w:hAnsi="Times New Roman"/>
      <w:color w:val="0000FF"/>
      <w:kern w:val="2"/>
      <w:sz w:val="24"/>
      <w:szCs w:val="24"/>
      <w:u w:val="single"/>
    </w:rPr>
  </w:style>
  <w:style w:type="character" w:customStyle="1" w:styleId="642">
    <w:name w:val="表内文字 Char"/>
    <w:uiPriority w:val="0"/>
    <w:rPr>
      <w:color w:val="000000"/>
      <w:kern w:val="2"/>
      <w:sz w:val="21"/>
      <w:szCs w:val="21"/>
    </w:rPr>
  </w:style>
  <w:style w:type="paragraph" w:customStyle="1" w:styleId="643">
    <w:name w:val="Char Char Char Char Char Char Char Char Char Char Char Char Char Char Char Char Char Char Char Char Char Char"/>
    <w:basedOn w:val="1"/>
    <w:uiPriority w:val="0"/>
    <w:pPr>
      <w:adjustRightInd/>
      <w:snapToGrid/>
      <w:spacing w:line="240" w:lineRule="auto"/>
      <w:ind w:firstLine="0" w:firstLineChars="0"/>
    </w:pPr>
    <w:rPr>
      <w:rFonts w:cs="Times New Roman"/>
      <w:sz w:val="21"/>
      <w:szCs w:val="24"/>
    </w:rPr>
  </w:style>
  <w:style w:type="paragraph" w:customStyle="1" w:styleId="644">
    <w:name w:val="样式 四号 首行缩进:  2 字符"/>
    <w:basedOn w:val="1"/>
    <w:uiPriority w:val="0"/>
    <w:pPr>
      <w:adjustRightInd/>
      <w:snapToGrid/>
      <w:spacing w:line="240" w:lineRule="auto"/>
    </w:pPr>
    <w:rPr>
      <w:rFonts w:cs="Times New Roman"/>
      <w:sz w:val="28"/>
      <w:szCs w:val="28"/>
    </w:rPr>
  </w:style>
  <w:style w:type="paragraph" w:customStyle="1" w:styleId="645">
    <w:name w:val="样式 宋体 四号 红色 行距: 固定值 28 磅"/>
    <w:basedOn w:val="1"/>
    <w:uiPriority w:val="0"/>
    <w:pPr>
      <w:adjustRightInd/>
      <w:snapToGrid/>
      <w:spacing w:line="560" w:lineRule="exact"/>
    </w:pPr>
    <w:rPr>
      <w:color w:val="FF0000"/>
      <w:sz w:val="28"/>
      <w:szCs w:val="20"/>
    </w:rPr>
  </w:style>
  <w:style w:type="paragraph" w:customStyle="1" w:styleId="646">
    <w:name w:val="正文样式"/>
    <w:basedOn w:val="1"/>
    <w:link w:val="647"/>
    <w:uiPriority w:val="0"/>
    <w:pPr>
      <w:tabs>
        <w:tab w:val="left" w:pos="525"/>
      </w:tabs>
      <w:adjustRightInd/>
      <w:snapToGrid/>
      <w:ind w:firstLine="480"/>
    </w:pPr>
    <w:rPr>
      <w:rFonts w:ascii="宋体" w:hAnsi="宋体" w:cs="Times New Roman"/>
      <w:kern w:val="0"/>
      <w:szCs w:val="24"/>
    </w:rPr>
  </w:style>
  <w:style w:type="character" w:customStyle="1" w:styleId="647">
    <w:name w:val="正文样式 Char"/>
    <w:link w:val="646"/>
    <w:uiPriority w:val="0"/>
    <w:rPr>
      <w:rFonts w:ascii="宋体" w:hAnsi="宋体"/>
      <w:sz w:val="24"/>
      <w:szCs w:val="24"/>
    </w:rPr>
  </w:style>
  <w:style w:type="paragraph" w:customStyle="1" w:styleId="648">
    <w:name w:val="表头样式"/>
    <w:basedOn w:val="1"/>
    <w:link w:val="649"/>
    <w:uiPriority w:val="0"/>
    <w:pPr>
      <w:adjustRightInd/>
      <w:snapToGrid/>
      <w:ind w:firstLine="0" w:firstLineChars="0"/>
      <w:jc w:val="center"/>
    </w:pPr>
    <w:rPr>
      <w:rFonts w:eastAsia="黑体" w:cs="Times New Roman"/>
      <w:kern w:val="0"/>
      <w:szCs w:val="28"/>
    </w:rPr>
  </w:style>
  <w:style w:type="character" w:customStyle="1" w:styleId="649">
    <w:name w:val="表头样式 Char"/>
    <w:link w:val="648"/>
    <w:uiPriority w:val="0"/>
    <w:rPr>
      <w:rFonts w:ascii="Times New Roman" w:hAnsi="Times New Roman" w:eastAsia="黑体"/>
      <w:sz w:val="24"/>
      <w:szCs w:val="28"/>
    </w:rPr>
  </w:style>
  <w:style w:type="paragraph" w:customStyle="1" w:styleId="650">
    <w:name w:val="水保方案正文+字体: 四号"/>
    <w:basedOn w:val="1"/>
    <w:link w:val="651"/>
    <w:uiPriority w:val="0"/>
    <w:pPr>
      <w:adjustRightInd/>
      <w:snapToGrid/>
      <w:ind w:firstLine="560"/>
    </w:pPr>
    <w:rPr>
      <w:rFonts w:cs="Times New Roman"/>
      <w:kern w:val="0"/>
      <w:sz w:val="28"/>
      <w:szCs w:val="28"/>
    </w:rPr>
  </w:style>
  <w:style w:type="character" w:customStyle="1" w:styleId="651">
    <w:name w:val="水保方案正文+字体: 四号 Char"/>
    <w:link w:val="650"/>
    <w:uiPriority w:val="0"/>
    <w:rPr>
      <w:rFonts w:ascii="Times New Roman" w:hAnsi="Times New Roman"/>
      <w:sz w:val="28"/>
      <w:szCs w:val="28"/>
    </w:rPr>
  </w:style>
  <w:style w:type="character" w:customStyle="1" w:styleId="652">
    <w:name w:val="样式 首行缩进:  0.99 厘米 Char"/>
    <w:link w:val="418"/>
    <w:uiPriority w:val="0"/>
    <w:rPr>
      <w:rFonts w:ascii="宋体" w:hAnsi="宋体" w:cs="宋体"/>
      <w:kern w:val="1"/>
      <w:sz w:val="24"/>
      <w:lang w:eastAsia="ar-SA"/>
    </w:rPr>
  </w:style>
  <w:style w:type="character" w:customStyle="1" w:styleId="653">
    <w:name w:val="样式 样式 标题 2节标题 1.11.1标题2b2Seh2l22nd levelTitre22Header 2二...2 + (...6 Char"/>
    <w:basedOn w:val="619"/>
    <w:link w:val="654"/>
    <w:uiPriority w:val="0"/>
    <w:rPr>
      <w:rFonts w:ascii="Times New Roman" w:hAnsi="Times New Roman" w:eastAsia="黑体"/>
      <w:bCs/>
      <w:color w:val="0070C0"/>
      <w:sz w:val="32"/>
      <w:szCs w:val="32"/>
    </w:rPr>
  </w:style>
  <w:style w:type="paragraph" w:customStyle="1" w:styleId="654">
    <w:name w:val="样式 样式 标题 2节标题 1.11.1标题2b2Seh2l22nd levelTitre22Header 2二...2 + (...6"/>
    <w:basedOn w:val="618"/>
    <w:link w:val="653"/>
    <w:uiPriority w:val="0"/>
    <w:pPr/>
    <w:rPr>
      <w:bCs/>
    </w:rPr>
  </w:style>
  <w:style w:type="paragraph" w:customStyle="1" w:styleId="655">
    <w:name w:val="表格内字体样式"/>
    <w:basedOn w:val="1"/>
    <w:uiPriority w:val="0"/>
    <w:pPr>
      <w:widowControl/>
      <w:adjustRightInd/>
      <w:snapToGrid/>
      <w:spacing w:line="240" w:lineRule="auto"/>
      <w:ind w:firstLine="0" w:firstLineChars="0"/>
      <w:jc w:val="center"/>
    </w:pPr>
    <w:rPr>
      <w:rFonts w:cs="Times New Roman"/>
      <w:kern w:val="21"/>
      <w:sz w:val="21"/>
      <w:szCs w:val="21"/>
    </w:rPr>
  </w:style>
  <w:style w:type="character" w:customStyle="1" w:styleId="656">
    <w:name w:val="访问过的超链接1"/>
    <w:uiPriority w:val="0"/>
    <w:rPr>
      <w:color w:val="800080"/>
      <w:u w:val="single"/>
    </w:rPr>
  </w:style>
  <w:style w:type="character" w:customStyle="1" w:styleId="657">
    <w:name w:val="样式 样式 标题 2节标题 1.11.1标题2b2Seh2l22nd levelTitre22Header 2二...2 + (...3 Char"/>
    <w:basedOn w:val="619"/>
    <w:link w:val="658"/>
    <w:uiPriority w:val="0"/>
    <w:rPr>
      <w:rFonts w:ascii="Times New Roman" w:hAnsi="Times New Roman" w:eastAsia="黑体"/>
      <w:bCs/>
      <w:color w:val="0070C0"/>
      <w:sz w:val="32"/>
      <w:szCs w:val="32"/>
    </w:rPr>
  </w:style>
  <w:style w:type="paragraph" w:customStyle="1" w:styleId="658">
    <w:name w:val="样式 样式 标题 2节标题 1.11.1标题2b2Seh2l22nd levelTitre22Header 2二...2 + (...3"/>
    <w:basedOn w:val="618"/>
    <w:link w:val="657"/>
    <w:uiPriority w:val="0"/>
    <w:pPr/>
    <w:rPr>
      <w:bCs/>
    </w:rPr>
  </w:style>
  <w:style w:type="character" w:customStyle="1" w:styleId="659">
    <w:name w:val="样式 样式 标题 2节标题 1.11.1标题2b2Seh2l22nd levelTitre22Header 2二...2 + (...4 Char"/>
    <w:basedOn w:val="619"/>
    <w:link w:val="660"/>
    <w:uiPriority w:val="0"/>
    <w:rPr>
      <w:rFonts w:ascii="Times New Roman" w:hAnsi="Times New Roman" w:eastAsia="黑体"/>
      <w:bCs/>
      <w:color w:val="0070C0"/>
      <w:sz w:val="32"/>
      <w:szCs w:val="32"/>
    </w:rPr>
  </w:style>
  <w:style w:type="paragraph" w:customStyle="1" w:styleId="660">
    <w:name w:val="样式 样式 标题 2节标题 1.11.1标题2b2Seh2l22nd levelTitre22Header 2二...2 + (...4"/>
    <w:basedOn w:val="618"/>
    <w:link w:val="659"/>
    <w:uiPriority w:val="0"/>
    <w:pPr/>
    <w:rPr>
      <w:bCs/>
    </w:rPr>
  </w:style>
  <w:style w:type="character" w:customStyle="1" w:styleId="661">
    <w:name w:val="样式 样式 标题 2节标题 1.11.1标题2b2Seh2l22nd levelTitre22Header 2二...2 + (...2 Char"/>
    <w:link w:val="662"/>
    <w:uiPriority w:val="0"/>
    <w:rPr>
      <w:b/>
      <w:bCs/>
      <w:color w:val="0070C0"/>
      <w:sz w:val="32"/>
      <w:szCs w:val="32"/>
    </w:rPr>
  </w:style>
  <w:style w:type="paragraph" w:customStyle="1" w:styleId="662">
    <w:name w:val="样式 样式 标题 2节标题 1.11.1标题2b2Seh2l22nd levelTitre22Header 2二...2 + (...2"/>
    <w:basedOn w:val="618"/>
    <w:link w:val="661"/>
    <w:uiPriority w:val="0"/>
    <w:pPr>
      <w:adjustRightInd w:val="0"/>
      <w:snapToGrid w:val="0"/>
      <w:spacing w:beforeLines="0"/>
    </w:pPr>
    <w:rPr>
      <w:rFonts w:ascii="Calibri" w:hAnsi="Calibri" w:eastAsia="宋体"/>
      <w:b/>
      <w:bCs/>
    </w:rPr>
  </w:style>
  <w:style w:type="character" w:customStyle="1" w:styleId="663">
    <w:name w:val="样式 样式 标题 2节标题 1.11.1标题2b2Seh2l22nd levelTitre22Header 2二...2 + (...10 Char"/>
    <w:basedOn w:val="619"/>
    <w:link w:val="664"/>
    <w:uiPriority w:val="0"/>
    <w:rPr>
      <w:rFonts w:ascii="Times New Roman" w:hAnsi="Times New Roman" w:eastAsia="黑体"/>
      <w:bCs/>
      <w:color w:val="0070C0"/>
      <w:sz w:val="32"/>
      <w:szCs w:val="32"/>
    </w:rPr>
  </w:style>
  <w:style w:type="paragraph" w:customStyle="1" w:styleId="664">
    <w:name w:val="样式 样式 标题 2节标题 1.11.1标题2b2Seh2l22nd levelTitre22Header 2二...2 + (...10"/>
    <w:basedOn w:val="618"/>
    <w:link w:val="663"/>
    <w:uiPriority w:val="0"/>
    <w:pPr/>
    <w:rPr>
      <w:bCs/>
    </w:rPr>
  </w:style>
  <w:style w:type="character" w:customStyle="1" w:styleId="665">
    <w:name w:val="样式 样式 标题 2节标题 1.11.1标题2b2Seh2l22nd levelTitre22Header 2二...2 + (...12 Char"/>
    <w:basedOn w:val="619"/>
    <w:link w:val="666"/>
    <w:uiPriority w:val="0"/>
    <w:rPr>
      <w:rFonts w:ascii="Times New Roman" w:hAnsi="Times New Roman" w:eastAsia="黑体"/>
      <w:bCs/>
      <w:color w:val="0070C0"/>
      <w:sz w:val="32"/>
      <w:szCs w:val="32"/>
    </w:rPr>
  </w:style>
  <w:style w:type="paragraph" w:customStyle="1" w:styleId="666">
    <w:name w:val="样式 样式 标题 2节标题 1.11.1标题2b2Seh2l22nd levelTitre22Header 2二...2 + (...12"/>
    <w:basedOn w:val="618"/>
    <w:link w:val="665"/>
    <w:uiPriority w:val="0"/>
    <w:pPr/>
    <w:rPr>
      <w:bCs/>
    </w:rPr>
  </w:style>
  <w:style w:type="character" w:customStyle="1" w:styleId="667">
    <w:name w:val="样式 样式 标题 2节标题 1.11.1标题2b2Seh2l22nd levelTitre22Header 2二...2 + (...9 Char"/>
    <w:basedOn w:val="619"/>
    <w:link w:val="668"/>
    <w:uiPriority w:val="0"/>
    <w:rPr>
      <w:rFonts w:ascii="Times New Roman" w:hAnsi="Times New Roman" w:eastAsia="黑体"/>
      <w:bCs/>
      <w:color w:val="0070C0"/>
      <w:sz w:val="32"/>
      <w:szCs w:val="32"/>
    </w:rPr>
  </w:style>
  <w:style w:type="paragraph" w:customStyle="1" w:styleId="668">
    <w:name w:val="样式 样式 标题 2节标题 1.11.1标题2b2Seh2l22nd levelTitre22Header 2二...2 + (...9"/>
    <w:basedOn w:val="618"/>
    <w:link w:val="667"/>
    <w:uiPriority w:val="0"/>
    <w:pPr/>
    <w:rPr>
      <w:bCs/>
    </w:rPr>
  </w:style>
  <w:style w:type="character" w:customStyle="1" w:styleId="669">
    <w:name w:val="样式 小四2 Char"/>
    <w:link w:val="670"/>
    <w:uiPriority w:val="0"/>
    <w:rPr>
      <w:kern w:val="2"/>
      <w:sz w:val="24"/>
      <w:szCs w:val="24"/>
    </w:rPr>
  </w:style>
  <w:style w:type="paragraph" w:customStyle="1" w:styleId="670">
    <w:name w:val="样式 小四2"/>
    <w:basedOn w:val="1"/>
    <w:link w:val="669"/>
    <w:uiPriority w:val="0"/>
    <w:pPr>
      <w:adjustRightInd/>
      <w:snapToGrid/>
    </w:pPr>
    <w:rPr>
      <w:rFonts w:ascii="Calibri" w:hAnsi="Calibri" w:cs="Times New Roman"/>
      <w:szCs w:val="24"/>
    </w:rPr>
  </w:style>
  <w:style w:type="character" w:customStyle="1" w:styleId="671">
    <w:name w:val="正文 小四 蓝 Char"/>
    <w:link w:val="672"/>
    <w:uiPriority w:val="0"/>
    <w:rPr>
      <w:rFonts w:ascii="宋体" w:hAnsi="宋体"/>
      <w:color w:val="0000FF"/>
      <w:kern w:val="24"/>
      <w:sz w:val="24"/>
      <w:szCs w:val="24"/>
      <w:lang w:eastAsia="ar-SA"/>
    </w:rPr>
  </w:style>
  <w:style w:type="paragraph" w:customStyle="1" w:styleId="672">
    <w:name w:val="正文 小四 蓝"/>
    <w:basedOn w:val="1"/>
    <w:link w:val="671"/>
    <w:uiPriority w:val="0"/>
    <w:pPr>
      <w:adjustRightInd/>
      <w:snapToGrid/>
    </w:pPr>
    <w:rPr>
      <w:rFonts w:ascii="宋体" w:hAnsi="宋体" w:cs="Times New Roman"/>
      <w:color w:val="0000FF"/>
      <w:kern w:val="24"/>
      <w:szCs w:val="24"/>
      <w:lang w:eastAsia="ar-SA"/>
    </w:rPr>
  </w:style>
  <w:style w:type="character" w:customStyle="1" w:styleId="673">
    <w:name w:val="表内文字（居中）-wd Char"/>
    <w:link w:val="674"/>
    <w:uiPriority w:val="0"/>
    <w:rPr>
      <w:bCs/>
      <w:kern w:val="28"/>
      <w:sz w:val="21"/>
      <w:szCs w:val="21"/>
    </w:rPr>
  </w:style>
  <w:style w:type="paragraph" w:customStyle="1" w:styleId="674">
    <w:name w:val="表内文字（居中）-wd"/>
    <w:basedOn w:val="1"/>
    <w:link w:val="673"/>
    <w:uiPriority w:val="0"/>
    <w:pPr>
      <w:tabs>
        <w:tab w:val="left" w:pos="3600"/>
      </w:tabs>
      <w:adjustRightInd/>
      <w:snapToGrid/>
      <w:spacing w:line="240" w:lineRule="auto"/>
      <w:ind w:left="-126" w:leftChars="-60" w:right="-153" w:rightChars="-73" w:firstLine="0" w:firstLineChars="0"/>
      <w:jc w:val="center"/>
    </w:pPr>
    <w:rPr>
      <w:rFonts w:ascii="Calibri" w:hAnsi="Calibri" w:cs="Times New Roman"/>
      <w:bCs/>
      <w:kern w:val="28"/>
      <w:sz w:val="21"/>
      <w:szCs w:val="21"/>
    </w:rPr>
  </w:style>
  <w:style w:type="character" w:customStyle="1" w:styleId="675">
    <w:name w:val="表编号-wd Char"/>
    <w:link w:val="676"/>
    <w:uiPriority w:val="0"/>
    <w:rPr>
      <w:color w:val="0000FF"/>
      <w:kern w:val="2"/>
      <w:sz w:val="24"/>
      <w:szCs w:val="24"/>
    </w:rPr>
  </w:style>
  <w:style w:type="paragraph" w:customStyle="1" w:styleId="676">
    <w:name w:val="表编号-wd"/>
    <w:basedOn w:val="1"/>
    <w:next w:val="1"/>
    <w:link w:val="675"/>
    <w:uiPriority w:val="0"/>
    <w:pPr>
      <w:widowControl/>
      <w:adjustRightInd/>
      <w:snapToGrid/>
      <w:spacing w:line="500" w:lineRule="exact"/>
      <w:ind w:firstLine="0" w:firstLineChars="0"/>
      <w:jc w:val="left"/>
    </w:pPr>
    <w:rPr>
      <w:rFonts w:ascii="Calibri" w:hAnsi="Calibri" w:cs="Times New Roman"/>
      <w:color w:val="0000FF"/>
      <w:szCs w:val="24"/>
    </w:rPr>
  </w:style>
  <w:style w:type="character" w:customStyle="1" w:styleId="677">
    <w:name w:val="正文-wd Char"/>
    <w:link w:val="678"/>
    <w:uiPriority w:val="0"/>
    <w:rPr>
      <w:rFonts w:cs="宋体"/>
      <w:color w:val="000000"/>
      <w:sz w:val="28"/>
      <w:szCs w:val="28"/>
    </w:rPr>
  </w:style>
  <w:style w:type="paragraph" w:customStyle="1" w:styleId="678">
    <w:name w:val="正文-wd"/>
    <w:basedOn w:val="1"/>
    <w:link w:val="677"/>
    <w:uiPriority w:val="0"/>
    <w:pPr>
      <w:widowControl/>
      <w:adjustRightInd/>
      <w:snapToGrid/>
      <w:ind w:firstLine="560"/>
      <w:jc w:val="left"/>
    </w:pPr>
    <w:rPr>
      <w:rFonts w:ascii="Calibri" w:hAnsi="Calibri"/>
      <w:color w:val="000000"/>
      <w:kern w:val="0"/>
      <w:sz w:val="28"/>
      <w:szCs w:val="28"/>
    </w:rPr>
  </w:style>
  <w:style w:type="character" w:customStyle="1" w:styleId="679">
    <w:name w:val="表格标题 Char"/>
    <w:uiPriority w:val="0"/>
    <w:rPr>
      <w:rFonts w:eastAsia="黑体"/>
      <w:spacing w:val="15"/>
      <w:kern w:val="2"/>
      <w:sz w:val="28"/>
    </w:rPr>
  </w:style>
  <w:style w:type="character" w:customStyle="1" w:styleId="680">
    <w:name w:val="样式 样式 样式 标题 2节标题 1.11.1标题2b2Seh2l22nd levelTitre22Header 2二...2 ...2 Char"/>
    <w:link w:val="681"/>
    <w:uiPriority w:val="0"/>
    <w:rPr>
      <w:b/>
      <w:color w:val="000000"/>
      <w:sz w:val="28"/>
      <w:szCs w:val="28"/>
    </w:rPr>
  </w:style>
  <w:style w:type="paragraph" w:customStyle="1" w:styleId="681">
    <w:name w:val="样式 样式 样式 标题 2节标题 1.11.1标题2b2Seh2l22nd levelTitre22Header 2二...2 ...2"/>
    <w:basedOn w:val="658"/>
    <w:link w:val="680"/>
    <w:uiPriority w:val="0"/>
    <w:pPr>
      <w:adjustRightInd w:val="0"/>
      <w:snapToGrid w:val="0"/>
      <w:spacing w:beforeLines="0"/>
    </w:pPr>
    <w:rPr>
      <w:rFonts w:ascii="Calibri" w:hAnsi="Calibri" w:eastAsia="宋体"/>
      <w:b/>
      <w:bCs w:val="0"/>
      <w:color w:val="000000"/>
      <w:sz w:val="28"/>
      <w:szCs w:val="28"/>
    </w:rPr>
  </w:style>
  <w:style w:type="character" w:customStyle="1" w:styleId="682">
    <w:name w:val="样式 样式 标题 2节标题 1.11.1标题2b2Seh2l22nd levelTitre22Header 2二...2 + (...5 Char"/>
    <w:basedOn w:val="619"/>
    <w:link w:val="683"/>
    <w:uiPriority w:val="0"/>
    <w:rPr>
      <w:rFonts w:ascii="Times New Roman" w:hAnsi="Times New Roman" w:eastAsia="黑体"/>
      <w:bCs/>
      <w:color w:val="0070C0"/>
      <w:sz w:val="32"/>
      <w:szCs w:val="32"/>
    </w:rPr>
  </w:style>
  <w:style w:type="paragraph" w:customStyle="1" w:styleId="683">
    <w:name w:val="样式 样式 标题 2节标题 1.11.1标题2b2Seh2l22nd levelTitre22Header 2二...2 + (...5"/>
    <w:basedOn w:val="618"/>
    <w:link w:val="682"/>
    <w:uiPriority w:val="0"/>
    <w:pPr/>
    <w:rPr>
      <w:bCs/>
    </w:rPr>
  </w:style>
  <w:style w:type="character" w:customStyle="1" w:styleId="684">
    <w:name w:val="样式 样式 标题 2节标题 1.11.1标题2b2Seh2l22nd levelTitre22Header 2二...2 + (...8 Char"/>
    <w:basedOn w:val="619"/>
    <w:link w:val="685"/>
    <w:uiPriority w:val="0"/>
    <w:rPr>
      <w:rFonts w:ascii="Times New Roman" w:hAnsi="Times New Roman" w:eastAsia="黑体"/>
      <w:bCs/>
      <w:color w:val="0070C0"/>
      <w:sz w:val="32"/>
      <w:szCs w:val="32"/>
    </w:rPr>
  </w:style>
  <w:style w:type="paragraph" w:customStyle="1" w:styleId="685">
    <w:name w:val="样式 样式 标题 2节标题 1.11.1标题2b2Seh2l22nd levelTitre22Header 2二...2 + (...8"/>
    <w:basedOn w:val="618"/>
    <w:link w:val="684"/>
    <w:uiPriority w:val="0"/>
    <w:pPr/>
    <w:rPr>
      <w:bCs/>
    </w:rPr>
  </w:style>
  <w:style w:type="character" w:customStyle="1" w:styleId="686">
    <w:name w:val="样式6 正文 Char1"/>
    <w:link w:val="687"/>
    <w:uiPriority w:val="0"/>
    <w:rPr>
      <w:sz w:val="24"/>
    </w:rPr>
  </w:style>
  <w:style w:type="paragraph" w:customStyle="1" w:styleId="687">
    <w:name w:val="样式6 正文"/>
    <w:link w:val="686"/>
    <w:uiPriority w:val="0"/>
    <w:pPr>
      <w:spacing w:line="360" w:lineRule="auto"/>
      <w:ind w:firstLine="510"/>
      <w:jc w:val="both"/>
    </w:pPr>
    <w:rPr>
      <w:rFonts w:ascii="Calibri" w:hAnsi="Calibri" w:eastAsia="宋体" w:cs="Times New Roman"/>
      <w:sz w:val="24"/>
      <w:lang w:val="en-US" w:eastAsia="zh-CN" w:bidi="ar-SA"/>
    </w:rPr>
  </w:style>
  <w:style w:type="character" w:customStyle="1" w:styleId="688">
    <w:name w:val="样式 样式 样式 标题 2节标题 1.11.1标题2b2Seh2l22nd levelTitre22Header 2二...2 ...3 Char"/>
    <w:link w:val="689"/>
    <w:uiPriority w:val="0"/>
    <w:rPr>
      <w:rFonts w:ascii="宋体" w:hAnsi="宋体"/>
      <w:b/>
      <w:bCs/>
      <w:color w:val="0070C0"/>
      <w:sz w:val="28"/>
      <w:szCs w:val="28"/>
    </w:rPr>
  </w:style>
  <w:style w:type="paragraph" w:customStyle="1" w:styleId="689">
    <w:name w:val="样式 样式 样式 标题 2节标题 1.11.1标题2b2Seh2l22nd levelTitre22Header 2二...2 ...3"/>
    <w:basedOn w:val="666"/>
    <w:link w:val="688"/>
    <w:uiPriority w:val="0"/>
    <w:pPr>
      <w:adjustRightInd w:val="0"/>
      <w:snapToGrid w:val="0"/>
      <w:spacing w:beforeLines="0"/>
    </w:pPr>
    <w:rPr>
      <w:rFonts w:ascii="宋体" w:hAnsi="宋体" w:eastAsia="宋体"/>
      <w:b/>
      <w:sz w:val="28"/>
      <w:szCs w:val="28"/>
    </w:rPr>
  </w:style>
  <w:style w:type="character" w:customStyle="1" w:styleId="690">
    <w:name w:val="apple-converted-space"/>
    <w:basedOn w:val="56"/>
    <w:uiPriority w:val="0"/>
  </w:style>
  <w:style w:type="character" w:customStyle="1" w:styleId="691">
    <w:name w:val="headline-content"/>
    <w:basedOn w:val="56"/>
    <w:uiPriority w:val="0"/>
  </w:style>
  <w:style w:type="character" w:customStyle="1" w:styleId="692">
    <w:name w:val="apple-style-span"/>
    <w:basedOn w:val="56"/>
    <w:uiPriority w:val="0"/>
  </w:style>
  <w:style w:type="character" w:customStyle="1" w:styleId="693">
    <w:name w:val="样式 样式 标题 2节标题 1.11.1标题2b2Seh2l22nd levelTitre22Header 2二...2 + (...7 Char"/>
    <w:basedOn w:val="619"/>
    <w:link w:val="694"/>
    <w:uiPriority w:val="0"/>
    <w:rPr>
      <w:rFonts w:ascii="Times New Roman" w:hAnsi="Times New Roman" w:eastAsia="黑体"/>
      <w:bCs/>
      <w:color w:val="0070C0"/>
      <w:sz w:val="32"/>
      <w:szCs w:val="32"/>
    </w:rPr>
  </w:style>
  <w:style w:type="paragraph" w:customStyle="1" w:styleId="694">
    <w:name w:val="样式 样式 标题 2节标题 1.11.1标题2b2Seh2l22nd levelTitre22Header 2二...2 + (...7"/>
    <w:basedOn w:val="618"/>
    <w:link w:val="693"/>
    <w:uiPriority w:val="0"/>
    <w:pPr/>
    <w:rPr>
      <w:bCs/>
    </w:rPr>
  </w:style>
  <w:style w:type="character" w:customStyle="1" w:styleId="695">
    <w:name w:val="样式 样式 标题 2节标题 1.11.1标题2b2Seh2l22nd levelTitre22Header 2二...2 + (...11 Char"/>
    <w:basedOn w:val="619"/>
    <w:link w:val="696"/>
    <w:uiPriority w:val="0"/>
    <w:rPr>
      <w:rFonts w:ascii="Times New Roman" w:hAnsi="Times New Roman" w:eastAsia="黑体"/>
      <w:bCs/>
      <w:color w:val="0070C0"/>
      <w:sz w:val="32"/>
      <w:szCs w:val="32"/>
    </w:rPr>
  </w:style>
  <w:style w:type="paragraph" w:customStyle="1" w:styleId="696">
    <w:name w:val="样式 样式 标题 2节标题 1.11.1标题2b2Seh2l22nd levelTitre22Header 2二...2 + (...11"/>
    <w:basedOn w:val="618"/>
    <w:link w:val="695"/>
    <w:uiPriority w:val="0"/>
    <w:pPr/>
    <w:rPr>
      <w:bCs/>
    </w:rPr>
  </w:style>
  <w:style w:type="character" w:customStyle="1" w:styleId="697">
    <w:name w:val="表中正文 Char"/>
    <w:link w:val="485"/>
    <w:qFormat/>
    <w:uiPriority w:val="0"/>
    <w:rPr>
      <w:rFonts w:ascii="宋体" w:hAnsi="Times New Roman"/>
      <w:kern w:val="2"/>
      <w:sz w:val="21"/>
      <w:szCs w:val="21"/>
    </w:rPr>
  </w:style>
  <w:style w:type="paragraph" w:customStyle="1" w:styleId="698">
    <w:name w:val="正文11"/>
    <w:basedOn w:val="1"/>
    <w:uiPriority w:val="0"/>
    <w:pPr>
      <w:tabs>
        <w:tab w:val="left" w:pos="600"/>
      </w:tabs>
      <w:snapToGrid/>
      <w:spacing w:line="396" w:lineRule="atLeast"/>
      <w:ind w:firstLine="0" w:firstLineChars="0"/>
      <w:textAlignment w:val="baseline"/>
    </w:pPr>
    <w:rPr>
      <w:rFonts w:ascii="宋体"/>
      <w:kern w:val="0"/>
      <w:szCs w:val="24"/>
    </w:rPr>
  </w:style>
  <w:style w:type="paragraph" w:customStyle="1" w:styleId="699">
    <w:name w:val="Char Char1 Char Char Char Char Char"/>
    <w:basedOn w:val="1"/>
    <w:semiHidden/>
    <w:uiPriority w:val="0"/>
    <w:pPr>
      <w:adjustRightInd/>
      <w:snapToGrid/>
    </w:pPr>
    <w:rPr>
      <w:rFonts w:ascii="宋体" w:hAnsi="宋体"/>
      <w:szCs w:val="28"/>
    </w:rPr>
  </w:style>
  <w:style w:type="paragraph" w:customStyle="1" w:styleId="700">
    <w:name w:val="样式 样式 标题 2节标题 1.11.1标题2b2Seh2l22nd levelTitre22Header 2二...2 + (...1"/>
    <w:basedOn w:val="618"/>
    <w:uiPriority w:val="0"/>
    <w:pPr/>
    <w:rPr>
      <w:bCs/>
      <w:color w:val="auto"/>
    </w:rPr>
  </w:style>
  <w:style w:type="paragraph" w:customStyle="1" w:styleId="701">
    <w:name w:val="表格标题--wd"/>
    <w:basedOn w:val="41"/>
    <w:next w:val="1"/>
    <w:uiPriority w:val="0"/>
    <w:pPr>
      <w:tabs>
        <w:tab w:val="left" w:pos="4035"/>
        <w:tab w:val="center" w:pos="6747"/>
      </w:tabs>
      <w:adjustRightInd/>
      <w:snapToGrid/>
      <w:ind w:left="0" w:firstLine="0" w:firstLineChars="0"/>
      <w:jc w:val="center"/>
    </w:pPr>
    <w:rPr>
      <w:rFonts w:cs="Times New Roman"/>
      <w:b/>
      <w:kern w:val="24"/>
      <w:sz w:val="28"/>
      <w:szCs w:val="24"/>
    </w:rPr>
  </w:style>
  <w:style w:type="paragraph" w:customStyle="1" w:styleId="702">
    <w:name w:val="王秀中1"/>
    <w:basedOn w:val="1"/>
    <w:uiPriority w:val="0"/>
    <w:pPr>
      <w:autoSpaceDE w:val="0"/>
      <w:autoSpaceDN w:val="0"/>
      <w:spacing w:line="312" w:lineRule="auto"/>
      <w:ind w:firstLine="567" w:firstLineChars="0"/>
    </w:pPr>
    <w:rPr>
      <w:rFonts w:cs="Times New Roman"/>
      <w:color w:val="000080"/>
      <w:kern w:val="0"/>
      <w:sz w:val="28"/>
      <w:szCs w:val="20"/>
    </w:rPr>
  </w:style>
  <w:style w:type="paragraph" w:customStyle="1" w:styleId="703">
    <w:name w:val="样式 样式 样式 标题 2节标题 1.11.1标题2b2Seh2l22nd levelTitre22Header 2二...2 ..."/>
    <w:basedOn w:val="624"/>
    <w:uiPriority w:val="0"/>
    <w:pPr>
      <w:adjustRightInd w:val="0"/>
      <w:snapToGrid w:val="0"/>
      <w:spacing w:beforeLines="0"/>
    </w:pPr>
    <w:rPr>
      <w:rFonts w:ascii="宋体" w:hAnsi="宋体" w:eastAsia="宋体"/>
      <w:b/>
      <w:bCs/>
      <w:sz w:val="28"/>
      <w:szCs w:val="28"/>
    </w:rPr>
  </w:style>
  <w:style w:type="paragraph" w:customStyle="1" w:styleId="704">
    <w:name w:val="样式 样式 样式 标题 2节标题 1.11.1标题2b2Seh2l22nd levelTitre22Header 2二...2 ...1"/>
    <w:basedOn w:val="700"/>
    <w:uiPriority w:val="0"/>
    <w:pPr>
      <w:adjustRightInd w:val="0"/>
      <w:snapToGrid w:val="0"/>
      <w:spacing w:beforeLines="0"/>
    </w:pPr>
    <w:rPr>
      <w:rFonts w:ascii="宋体" w:hAnsi="宋体" w:eastAsia="宋体"/>
      <w:b/>
      <w:sz w:val="28"/>
      <w:szCs w:val="28"/>
    </w:rPr>
  </w:style>
  <w:style w:type="paragraph" w:customStyle="1" w:styleId="705">
    <w:name w:val="样式 样式 样式 标题 2节标题 1.11.1标题2b2Seh2l22nd levelTitre22Header 2二...2 ...4"/>
    <w:basedOn w:val="660"/>
    <w:uiPriority w:val="0"/>
    <w:pPr>
      <w:adjustRightInd w:val="0"/>
      <w:snapToGrid w:val="0"/>
      <w:spacing w:beforeLines="100"/>
    </w:pPr>
    <w:rPr>
      <w:rFonts w:ascii="宋体" w:hAnsi="宋体" w:eastAsia="宋体"/>
      <w:b/>
      <w:sz w:val="28"/>
      <w:szCs w:val="28"/>
    </w:rPr>
  </w:style>
  <w:style w:type="paragraph" w:customStyle="1" w:styleId="706">
    <w:name w:val="样式 样式 样式 标题 2节标题 1.11.1标题2b2Seh2l22nd levelTitre22Header 2二...2 ...5"/>
    <w:basedOn w:val="654"/>
    <w:uiPriority w:val="0"/>
    <w:pPr>
      <w:adjustRightInd w:val="0"/>
      <w:snapToGrid w:val="0"/>
      <w:spacing w:beforeLines="0"/>
    </w:pPr>
    <w:rPr>
      <w:rFonts w:ascii="宋体" w:hAnsi="宋体" w:eastAsia="宋体"/>
      <w:b/>
      <w:color w:val="auto"/>
      <w:sz w:val="28"/>
      <w:szCs w:val="28"/>
    </w:rPr>
  </w:style>
  <w:style w:type="paragraph" w:customStyle="1" w:styleId="707">
    <w:name w:val="样式 样式 样式 标题 2节标题 1.11.1标题2b2Seh2l22nd levelTitre22Header 2二...2 ...6"/>
    <w:basedOn w:val="694"/>
    <w:uiPriority w:val="0"/>
    <w:pPr>
      <w:adjustRightInd w:val="0"/>
      <w:snapToGrid w:val="0"/>
      <w:spacing w:beforeLines="0"/>
    </w:pPr>
    <w:rPr>
      <w:rFonts w:ascii="宋体" w:hAnsi="宋体" w:eastAsia="宋体"/>
      <w:b/>
      <w:sz w:val="28"/>
      <w:szCs w:val="28"/>
    </w:rPr>
  </w:style>
  <w:style w:type="paragraph" w:customStyle="1" w:styleId="708">
    <w:name w:val="CM7"/>
    <w:basedOn w:val="1"/>
    <w:next w:val="1"/>
    <w:uiPriority w:val="0"/>
    <w:pPr>
      <w:autoSpaceDE w:val="0"/>
      <w:autoSpaceDN w:val="0"/>
      <w:snapToGrid/>
      <w:spacing w:line="546" w:lineRule="atLeast"/>
      <w:ind w:firstLine="0" w:firstLineChars="0"/>
      <w:jc w:val="left"/>
    </w:pPr>
    <w:rPr>
      <w:rFonts w:ascii="宋体" w:hAnsi="Calibri" w:cs="Times New Roman"/>
      <w:kern w:val="0"/>
      <w:szCs w:val="24"/>
    </w:rPr>
  </w:style>
  <w:style w:type="paragraph" w:customStyle="1" w:styleId="709">
    <w:name w:val="样式 四号 (西文)粗体 居中"/>
    <w:basedOn w:val="1"/>
    <w:uiPriority w:val="0"/>
    <w:pPr>
      <w:adjustRightInd/>
      <w:snapToGrid/>
      <w:ind w:firstLine="0" w:firstLineChars="0"/>
      <w:jc w:val="center"/>
    </w:pPr>
    <w:rPr>
      <w:rFonts w:cs="Times New Roman"/>
      <w:b/>
      <w:sz w:val="28"/>
      <w:szCs w:val="28"/>
    </w:rPr>
  </w:style>
  <w:style w:type="paragraph" w:customStyle="1" w:styleId="710">
    <w:name w:val="样式 四号 首行缩进:  2 字符1"/>
    <w:basedOn w:val="1"/>
    <w:uiPriority w:val="0"/>
    <w:pPr>
      <w:adjustRightInd/>
      <w:snapToGrid/>
      <w:ind w:firstLine="560"/>
    </w:pPr>
    <w:rPr>
      <w:rFonts w:cs="Times New Roman"/>
      <w:kern w:val="0"/>
      <w:sz w:val="28"/>
      <w:szCs w:val="28"/>
    </w:rPr>
  </w:style>
  <w:style w:type="paragraph" w:customStyle="1" w:styleId="711">
    <w:name w:val="正文（正式）"/>
    <w:basedOn w:val="1"/>
    <w:uiPriority w:val="0"/>
    <w:pPr>
      <w:widowControl/>
      <w:adjustRightInd/>
      <w:snapToGrid/>
      <w:spacing w:after="160" w:line="240" w:lineRule="exact"/>
      <w:ind w:firstLine="0" w:firstLineChars="0"/>
      <w:jc w:val="left"/>
    </w:pPr>
    <w:rPr>
      <w:rFonts w:cs="Times New Roman"/>
      <w:sz w:val="21"/>
      <w:szCs w:val="24"/>
    </w:rPr>
  </w:style>
  <w:style w:type="paragraph" w:customStyle="1" w:styleId="712">
    <w:name w:val="封面"/>
    <w:basedOn w:val="1"/>
    <w:next w:val="1"/>
    <w:uiPriority w:val="0"/>
    <w:pPr>
      <w:adjustRightInd/>
      <w:snapToGrid/>
      <w:spacing w:line="240" w:lineRule="auto"/>
      <w:ind w:firstLine="0" w:firstLineChars="0"/>
      <w:jc w:val="center"/>
    </w:pPr>
    <w:rPr>
      <w:rFonts w:eastAsia="楷体_GB2312" w:cs="Times New Roman"/>
      <w:sz w:val="48"/>
      <w:szCs w:val="48"/>
    </w:rPr>
  </w:style>
  <w:style w:type="paragraph" w:customStyle="1" w:styleId="713">
    <w:name w:val="表格5"/>
    <w:next w:val="1"/>
    <w:uiPriority w:val="0"/>
    <w:pPr>
      <w:spacing w:line="360" w:lineRule="exact"/>
      <w:jc w:val="center"/>
    </w:pPr>
    <w:rPr>
      <w:rFonts w:ascii="Times New Roman" w:hAnsi="Times New Roman" w:eastAsia="宋体" w:cs="Times New Roman"/>
      <w:kern w:val="2"/>
      <w:sz w:val="21"/>
      <w:lang w:val="en-US" w:eastAsia="zh-CN" w:bidi="ar-SA"/>
    </w:rPr>
  </w:style>
  <w:style w:type="paragraph" w:customStyle="1" w:styleId="714">
    <w:name w:val="样式 样式 四号 段后: 5 磅 行距: 1.5 倍行距 首行缩进:  2 字符 + 首行缩进:  2 字符"/>
    <w:basedOn w:val="1"/>
    <w:uiPriority w:val="0"/>
    <w:pPr>
      <w:topLinePunct/>
      <w:adjustRightInd/>
      <w:snapToGrid/>
    </w:pPr>
    <w:rPr>
      <w:sz w:val="28"/>
      <w:szCs w:val="20"/>
    </w:rPr>
  </w:style>
  <w:style w:type="paragraph" w:customStyle="1" w:styleId="715">
    <w:name w:val="样式 节2-wd + 黑色 行距: 单倍行距"/>
    <w:basedOn w:val="1"/>
    <w:uiPriority w:val="0"/>
    <w:pPr>
      <w:keepNext/>
      <w:keepLines/>
      <w:adjustRightInd/>
      <w:snapToGrid/>
      <w:ind w:firstLine="0" w:firstLineChars="0"/>
      <w:outlineLvl w:val="2"/>
    </w:pPr>
    <w:rPr>
      <w:rFonts w:ascii="宋体" w:hAnsi="Arial"/>
      <w:b/>
      <w:bCs/>
      <w:kern w:val="0"/>
      <w:sz w:val="28"/>
      <w:szCs w:val="28"/>
    </w:rPr>
  </w:style>
  <w:style w:type="paragraph" w:customStyle="1" w:styleId="716">
    <w:name w:val="正文LA"/>
    <w:uiPriority w:val="0"/>
    <w:pPr>
      <w:tabs>
        <w:tab w:val="left" w:pos="0"/>
      </w:tabs>
      <w:adjustRightInd w:val="0"/>
      <w:spacing w:beforeLines="50" w:line="360" w:lineRule="auto"/>
      <w:ind w:firstLine="225" w:firstLineChars="225"/>
      <w:jc w:val="both"/>
    </w:pPr>
    <w:rPr>
      <w:rFonts w:ascii="宋体" w:hAnsi="宋体" w:eastAsia="宋体" w:cs="Times New Roman"/>
      <w:snapToGrid w:val="0"/>
      <w:sz w:val="24"/>
      <w:lang w:val="en-US" w:eastAsia="zh-CN" w:bidi="ar-SA"/>
    </w:rPr>
  </w:style>
  <w:style w:type="paragraph" w:customStyle="1" w:styleId="717">
    <w:name w:val="表格表题"/>
    <w:basedOn w:val="1"/>
    <w:next w:val="1"/>
    <w:uiPriority w:val="0"/>
    <w:pPr>
      <w:tabs>
        <w:tab w:val="left" w:pos="525"/>
      </w:tabs>
      <w:adjustRightInd/>
      <w:snapToGrid/>
      <w:ind w:firstLine="0" w:firstLineChars="0"/>
      <w:jc w:val="center"/>
    </w:pPr>
    <w:rPr>
      <w:rFonts w:cs="Times New Roman"/>
      <w:b/>
      <w:kern w:val="28"/>
      <w:sz w:val="28"/>
      <w:szCs w:val="20"/>
    </w:rPr>
  </w:style>
  <w:style w:type="paragraph" w:customStyle="1" w:styleId="718">
    <w:name w:val="Char41"/>
    <w:basedOn w:val="1"/>
    <w:uiPriority w:val="0"/>
    <w:pPr>
      <w:adjustRightInd/>
      <w:snapToGrid/>
    </w:pPr>
    <w:rPr>
      <w:rFonts w:ascii="宋体" w:hAnsi="宋体"/>
      <w:szCs w:val="24"/>
    </w:rPr>
  </w:style>
  <w:style w:type="character" w:customStyle="1" w:styleId="719">
    <w:name w:val="5文章(治) Char1"/>
    <w:link w:val="720"/>
    <w:locked/>
    <w:uiPriority w:val="0"/>
    <w:rPr>
      <w:sz w:val="24"/>
    </w:rPr>
  </w:style>
  <w:style w:type="paragraph" w:customStyle="1" w:styleId="720">
    <w:name w:val="5文章(治)"/>
    <w:basedOn w:val="1"/>
    <w:link w:val="719"/>
    <w:uiPriority w:val="0"/>
    <w:pPr>
      <w:adjustRightInd/>
      <w:snapToGrid/>
      <w:ind w:firstLine="560"/>
    </w:pPr>
    <w:rPr>
      <w:rFonts w:ascii="Calibri" w:hAnsi="Calibri" w:cs="Times New Roman"/>
      <w:kern w:val="0"/>
      <w:szCs w:val="20"/>
    </w:rPr>
  </w:style>
  <w:style w:type="paragraph" w:customStyle="1" w:styleId="721">
    <w:name w:val="表内容"/>
    <w:basedOn w:val="1"/>
    <w:uiPriority w:val="0"/>
    <w:pPr>
      <w:adjustRightInd/>
      <w:snapToGrid/>
      <w:spacing w:line="240" w:lineRule="auto"/>
      <w:ind w:firstLine="0" w:firstLineChars="0"/>
      <w:jc w:val="center"/>
    </w:pPr>
    <w:rPr>
      <w:rFonts w:cs="Times New Roman"/>
      <w:sz w:val="21"/>
      <w:szCs w:val="24"/>
    </w:rPr>
  </w:style>
  <w:style w:type="character" w:customStyle="1" w:styleId="722">
    <w:name w:val="show-img-bd"/>
    <w:uiPriority w:val="0"/>
  </w:style>
  <w:style w:type="character" w:customStyle="1" w:styleId="723">
    <w:name w:val="报告正文 Char Char"/>
    <w:link w:val="188"/>
    <w:uiPriority w:val="0"/>
    <w:rPr>
      <w:rFonts w:ascii="Times New Roman" w:hAnsi="Times New Roman"/>
      <w:kern w:val="2"/>
      <w:sz w:val="24"/>
    </w:rPr>
  </w:style>
  <w:style w:type="character" w:customStyle="1" w:styleId="724">
    <w:name w:val="王勇 Char Char"/>
    <w:link w:val="725"/>
    <w:uiPriority w:val="0"/>
    <w:rPr>
      <w:sz w:val="24"/>
      <w:szCs w:val="24"/>
    </w:rPr>
  </w:style>
  <w:style w:type="paragraph" w:customStyle="1" w:styleId="725">
    <w:name w:val="王勇"/>
    <w:basedOn w:val="1"/>
    <w:link w:val="724"/>
    <w:uiPriority w:val="0"/>
    <w:pPr>
      <w:adjustRightInd/>
      <w:snapToGrid/>
    </w:pPr>
    <w:rPr>
      <w:rFonts w:ascii="Calibri" w:hAnsi="Calibri" w:cs="Times New Roman"/>
      <w:kern w:val="0"/>
      <w:szCs w:val="24"/>
    </w:rPr>
  </w:style>
  <w:style w:type="paragraph" w:customStyle="1" w:styleId="726">
    <w:name w:val="reader-word-layer"/>
    <w:basedOn w:val="1"/>
    <w:uiPriority w:val="0"/>
    <w:pPr>
      <w:widowControl/>
      <w:adjustRightInd/>
      <w:snapToGrid/>
      <w:spacing w:before="100" w:beforeAutospacing="1" w:after="100" w:afterAutospacing="1" w:line="240" w:lineRule="auto"/>
      <w:ind w:firstLine="0" w:firstLineChars="0"/>
      <w:jc w:val="left"/>
    </w:pPr>
    <w:rPr>
      <w:rFonts w:ascii="宋体" w:hAnsi="宋体"/>
      <w:kern w:val="0"/>
      <w:szCs w:val="24"/>
    </w:rPr>
  </w:style>
  <w:style w:type="paragraph" w:customStyle="1" w:styleId="727">
    <w:name w:val="表格后段落"/>
    <w:basedOn w:val="130"/>
    <w:link w:val="728"/>
    <w:uiPriority w:val="0"/>
    <w:pPr>
      <w:spacing w:beforeLines="100"/>
      <w:ind w:firstLine="200"/>
    </w:pPr>
  </w:style>
  <w:style w:type="character" w:customStyle="1" w:styleId="728">
    <w:name w:val="表格后段落 Char"/>
    <w:link w:val="727"/>
    <w:uiPriority w:val="0"/>
    <w:rPr>
      <w:rFonts w:ascii="Times New Roman" w:hAnsi="Times New Roman"/>
      <w:color w:val="000000"/>
      <w:kern w:val="2"/>
      <w:sz w:val="24"/>
      <w:szCs w:val="24"/>
    </w:rPr>
  </w:style>
  <w:style w:type="character" w:customStyle="1" w:styleId="729">
    <w:name w:val="图文 Char"/>
    <w:uiPriority w:val="0"/>
    <w:rPr>
      <w:color w:val="000000"/>
      <w:kern w:val="2"/>
      <w:sz w:val="24"/>
      <w:szCs w:val="24"/>
      <w:lang w:val="en-US" w:eastAsia="zh-CN" w:bidi="ar-SA"/>
    </w:rPr>
  </w:style>
  <w:style w:type="paragraph" w:customStyle="1" w:styleId="730">
    <w:name w:val="font1"/>
    <w:basedOn w:val="1"/>
    <w:uiPriority w:val="0"/>
    <w:pPr>
      <w:widowControl/>
      <w:adjustRightInd/>
      <w:snapToGrid/>
      <w:spacing w:before="100" w:beforeAutospacing="1" w:after="100" w:afterAutospacing="1" w:line="240" w:lineRule="auto"/>
      <w:ind w:firstLine="0" w:firstLineChars="0"/>
      <w:jc w:val="left"/>
    </w:pPr>
    <w:rPr>
      <w:rFonts w:ascii="宋体" w:hAnsi="宋体"/>
      <w:color w:val="000000"/>
      <w:kern w:val="0"/>
      <w:sz w:val="22"/>
    </w:rPr>
  </w:style>
  <w:style w:type="paragraph" w:customStyle="1" w:styleId="731">
    <w:name w:val="font17"/>
    <w:basedOn w:val="1"/>
    <w:uiPriority w:val="0"/>
    <w:pPr>
      <w:widowControl/>
      <w:adjustRightInd/>
      <w:snapToGrid/>
      <w:spacing w:before="100" w:beforeAutospacing="1" w:after="100" w:afterAutospacing="1" w:line="240" w:lineRule="auto"/>
      <w:ind w:firstLine="0" w:firstLineChars="0"/>
      <w:jc w:val="left"/>
    </w:pPr>
    <w:rPr>
      <w:rFonts w:ascii="仿宋" w:hAnsi="仿宋" w:eastAsia="仿宋"/>
      <w:color w:val="C00000"/>
      <w:kern w:val="0"/>
      <w:sz w:val="18"/>
      <w:szCs w:val="18"/>
    </w:rPr>
  </w:style>
  <w:style w:type="paragraph" w:customStyle="1" w:styleId="732">
    <w:name w:val="font18"/>
    <w:basedOn w:val="1"/>
    <w:uiPriority w:val="0"/>
    <w:pPr>
      <w:widowControl/>
      <w:adjustRightInd/>
      <w:snapToGrid/>
      <w:spacing w:before="100" w:beforeAutospacing="1" w:after="100" w:afterAutospacing="1" w:line="240" w:lineRule="auto"/>
      <w:ind w:firstLine="0" w:firstLineChars="0"/>
      <w:jc w:val="left"/>
    </w:pPr>
    <w:rPr>
      <w:rFonts w:ascii="仿宋" w:hAnsi="仿宋" w:eastAsia="仿宋"/>
      <w:b/>
      <w:bCs/>
      <w:color w:val="C00000"/>
      <w:kern w:val="0"/>
      <w:sz w:val="18"/>
      <w:szCs w:val="18"/>
    </w:rPr>
  </w:style>
  <w:style w:type="paragraph" w:customStyle="1" w:styleId="733">
    <w:name w:val="样式 标题 2 + 宋体 小三 段前: 0 磅 段后: 0 磅 行距: 1.5 倍行距"/>
    <w:basedOn w:val="3"/>
    <w:uiPriority w:val="0"/>
    <w:pPr>
      <w:keepNext/>
      <w:keepLines/>
      <w:numPr>
        <w:ilvl w:val="0"/>
        <w:numId w:val="0"/>
      </w:numPr>
      <w:tabs>
        <w:tab w:val="clear" w:pos="420"/>
      </w:tabs>
      <w:adjustRightInd/>
      <w:snapToGrid/>
      <w:spacing w:before="0" w:beforeLines="0"/>
    </w:pPr>
    <w:rPr>
      <w:rFonts w:ascii="宋体" w:hAnsi="宋体" w:eastAsia="宋体" w:cs="宋体"/>
      <w:b/>
      <w:bCs/>
      <w:sz w:val="30"/>
      <w:szCs w:val="20"/>
    </w:rPr>
  </w:style>
  <w:style w:type="paragraph" w:customStyle="1" w:styleId="734">
    <w:name w:val="Char Char Char Char1"/>
    <w:basedOn w:val="1"/>
    <w:uiPriority w:val="0"/>
    <w:pPr>
      <w:adjustRightInd/>
      <w:snapToGrid/>
    </w:pPr>
    <w:rPr>
      <w:rFonts w:ascii="宋体" w:hAnsi="宋体"/>
      <w:szCs w:val="24"/>
    </w:rPr>
  </w:style>
  <w:style w:type="character" w:customStyle="1" w:styleId="735">
    <w:name w:val="正文缩进 Char1"/>
    <w:uiPriority w:val="0"/>
    <w:rPr>
      <w:rFonts w:eastAsia="宋体"/>
      <w:kern w:val="2"/>
      <w:sz w:val="21"/>
      <w:szCs w:val="24"/>
      <w:lang w:val="en-US" w:eastAsia="zh-CN" w:bidi="ar-SA"/>
    </w:rPr>
  </w:style>
  <w:style w:type="paragraph" w:customStyle="1" w:styleId="736">
    <w:name w:val="样式 正文缩进"/>
    <w:basedOn w:val="13"/>
    <w:uiPriority w:val="0"/>
    <w:pPr>
      <w:adjustRightInd/>
      <w:snapToGrid/>
      <w:ind w:firstLine="480"/>
      <w:jc w:val="left"/>
    </w:pPr>
    <w:rPr>
      <w:rFonts w:cs="宋体"/>
      <w:szCs w:val="20"/>
    </w:rPr>
  </w:style>
  <w:style w:type="paragraph" w:customStyle="1" w:styleId="737">
    <w:name w:val="xl188"/>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pPr>
    <w:rPr>
      <w:rFonts w:cs="Times New Roman"/>
      <w:b/>
      <w:bCs/>
      <w:kern w:val="0"/>
      <w:sz w:val="18"/>
      <w:szCs w:val="18"/>
    </w:rPr>
  </w:style>
  <w:style w:type="paragraph" w:customStyle="1" w:styleId="738">
    <w:name w:val="xl189"/>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39">
    <w:name w:val="xl190"/>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40">
    <w:name w:val="xl191"/>
    <w:basedOn w:val="1"/>
    <w:uiPriority w:val="0"/>
    <w:pPr>
      <w:widowControl/>
      <w:adjustRightInd/>
      <w:snapToGrid/>
      <w:spacing w:before="100" w:beforeAutospacing="1" w:after="100" w:afterAutospacing="1" w:line="240" w:lineRule="auto"/>
      <w:ind w:firstLine="0" w:firstLineChars="0"/>
      <w:jc w:val="left"/>
    </w:pPr>
    <w:rPr>
      <w:rFonts w:cs="Times New Roman"/>
      <w:color w:val="000000"/>
      <w:kern w:val="0"/>
      <w:szCs w:val="24"/>
    </w:rPr>
  </w:style>
  <w:style w:type="paragraph" w:customStyle="1" w:styleId="741">
    <w:name w:val="xl192"/>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42">
    <w:name w:val="xl193"/>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43">
    <w:name w:val="xl194"/>
    <w:basedOn w:val="1"/>
    <w:uiPriority w:val="0"/>
    <w:pPr>
      <w:widowControl/>
      <w:pBdr>
        <w:top w:val="single" w:color="auto" w:sz="4" w:space="0"/>
        <w:left w:val="single" w:color="auto" w:sz="4" w:space="0"/>
        <w:bottom w:val="single" w:color="auto" w:sz="4" w:space="0"/>
        <w:right w:val="single" w:color="auto" w:sz="4" w:space="0"/>
      </w:pBdr>
      <w:shd w:val="clear" w:color="000000" w:fill="EBF1DE"/>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44">
    <w:name w:val="xl195"/>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45">
    <w:name w:val="xl196"/>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46">
    <w:name w:val="xl197"/>
    <w:basedOn w:val="1"/>
    <w:uiPriority w:val="0"/>
    <w:pPr>
      <w:widowControl/>
      <w:pBdr>
        <w:top w:val="single" w:color="auto" w:sz="4" w:space="0"/>
        <w:left w:val="single" w:color="auto" w:sz="4" w:space="0"/>
        <w:bottom w:val="single" w:color="auto" w:sz="4" w:space="0"/>
        <w:right w:val="single" w:color="auto" w:sz="4" w:space="0"/>
      </w:pBdr>
      <w:shd w:val="clear" w:color="000000" w:fill="EBF1DE"/>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47">
    <w:name w:val="xl198"/>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48">
    <w:name w:val="xl199"/>
    <w:basedOn w:val="1"/>
    <w:uiPriority w:val="0"/>
    <w:pPr>
      <w:widowControl/>
      <w:pBdr>
        <w:top w:val="single" w:color="auto" w:sz="4" w:space="0"/>
        <w:left w:val="single" w:color="auto" w:sz="4" w:space="0"/>
        <w:bottom w:val="single" w:color="auto" w:sz="4" w:space="0"/>
        <w:right w:val="single" w:color="auto" w:sz="4" w:space="0"/>
      </w:pBdr>
      <w:shd w:val="clear" w:color="000000" w:fill="76933C"/>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49">
    <w:name w:val="xl200"/>
    <w:basedOn w:val="1"/>
    <w:uiPriority w:val="0"/>
    <w:pPr>
      <w:widowControl/>
      <w:pBdr>
        <w:top w:val="single" w:color="auto" w:sz="4" w:space="0"/>
        <w:left w:val="single" w:color="auto" w:sz="4" w:space="0"/>
        <w:bottom w:val="single" w:color="auto" w:sz="4" w:space="0"/>
        <w:right w:val="single" w:color="auto" w:sz="4" w:space="0"/>
      </w:pBdr>
      <w:shd w:val="clear" w:color="000000" w:fill="8DB4E2"/>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50">
    <w:name w:val="xl201"/>
    <w:basedOn w:val="1"/>
    <w:uiPriority w:val="0"/>
    <w:pPr>
      <w:widowControl/>
      <w:pBdr>
        <w:top w:val="single" w:color="auto" w:sz="4" w:space="0"/>
        <w:left w:val="single" w:color="auto" w:sz="4" w:space="0"/>
        <w:bottom w:val="single" w:color="auto" w:sz="4" w:space="0"/>
        <w:right w:val="single" w:color="auto" w:sz="4" w:space="0"/>
      </w:pBdr>
      <w:shd w:val="clear" w:color="000000" w:fill="8DB4E2"/>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51">
    <w:name w:val="xl202"/>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52">
    <w:name w:val="xl203"/>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53">
    <w:name w:val="xl204"/>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54">
    <w:name w:val="xl205"/>
    <w:basedOn w:val="1"/>
    <w:uiPriority w:val="0"/>
    <w:pPr>
      <w:widowControl/>
      <w:pBdr>
        <w:top w:val="single" w:color="auto" w:sz="4" w:space="0"/>
        <w:left w:val="single" w:color="auto" w:sz="4" w:space="0"/>
        <w:bottom w:val="single" w:color="auto" w:sz="4" w:space="0"/>
        <w:right w:val="single" w:color="auto" w:sz="4" w:space="0"/>
      </w:pBdr>
      <w:shd w:val="clear" w:color="000000" w:fill="EBF1DE"/>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55">
    <w:name w:val="xl206"/>
    <w:basedOn w:val="1"/>
    <w:uiPriority w:val="0"/>
    <w:pPr>
      <w:widowControl/>
      <w:adjustRightInd/>
      <w:snapToGrid/>
      <w:spacing w:before="100" w:beforeAutospacing="1" w:after="100" w:afterAutospacing="1" w:line="240" w:lineRule="auto"/>
      <w:ind w:firstLine="0" w:firstLineChars="0"/>
      <w:jc w:val="left"/>
    </w:pPr>
    <w:rPr>
      <w:rFonts w:cs="Times New Roman"/>
      <w:b/>
      <w:bCs/>
      <w:color w:val="000000"/>
      <w:kern w:val="0"/>
      <w:szCs w:val="24"/>
    </w:rPr>
  </w:style>
  <w:style w:type="paragraph" w:customStyle="1" w:styleId="756">
    <w:name w:val="xl207"/>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57">
    <w:name w:val="xl208"/>
    <w:basedOn w:val="1"/>
    <w:uiPriority w:val="0"/>
    <w:pPr>
      <w:widowControl/>
      <w:pBdr>
        <w:top w:val="single" w:color="auto" w:sz="4" w:space="0"/>
        <w:left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58">
    <w:name w:val="xl209"/>
    <w:basedOn w:val="1"/>
    <w:uiPriority w:val="0"/>
    <w:pPr>
      <w:widowControl/>
      <w:pBdr>
        <w:top w:val="single" w:color="auto" w:sz="4" w:space="0"/>
        <w:left w:val="single" w:color="auto" w:sz="4" w:space="0"/>
        <w:bottom w:val="single" w:color="auto" w:sz="4" w:space="0"/>
        <w:right w:val="single" w:color="auto" w:sz="4" w:space="0"/>
      </w:pBdr>
      <w:shd w:val="clear" w:color="000000" w:fill="C00000"/>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59">
    <w:name w:val="xl210"/>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60">
    <w:name w:val="xl211"/>
    <w:basedOn w:val="1"/>
    <w:uiPriority w:val="0"/>
    <w:pPr>
      <w:widowControl/>
      <w:pBdr>
        <w:top w:val="single" w:color="auto" w:sz="4" w:space="0"/>
        <w:left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61">
    <w:name w:val="xl212"/>
    <w:basedOn w:val="1"/>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62">
    <w:name w:val="xl213"/>
    <w:basedOn w:val="1"/>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63">
    <w:name w:val="xl214"/>
    <w:basedOn w:val="1"/>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64">
    <w:name w:val="xl215"/>
    <w:basedOn w:val="1"/>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65">
    <w:name w:val="xl216"/>
    <w:basedOn w:val="1"/>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66">
    <w:name w:val="xl217"/>
    <w:basedOn w:val="1"/>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67">
    <w:name w:val="xl218"/>
    <w:basedOn w:val="1"/>
    <w:uiPriority w:val="0"/>
    <w:pPr>
      <w:widowControl/>
      <w:pBdr>
        <w:top w:val="single" w:color="auto" w:sz="4" w:space="0"/>
        <w:left w:val="single" w:color="auto" w:sz="4" w:space="0"/>
        <w:bottom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68">
    <w:name w:val="xl219"/>
    <w:basedOn w:val="1"/>
    <w:uiPriority w:val="0"/>
    <w:pPr>
      <w:widowControl/>
      <w:pBdr>
        <w:top w:val="single" w:color="auto" w:sz="4" w:space="0"/>
        <w:bottom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69">
    <w:name w:val="xl220"/>
    <w:basedOn w:val="1"/>
    <w:uiPriority w:val="0"/>
    <w:pPr>
      <w:widowControl/>
      <w:pBdr>
        <w:top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70">
    <w:name w:val="xl221"/>
    <w:basedOn w:val="1"/>
    <w:uiPriority w:val="0"/>
    <w:pPr>
      <w:widowControl/>
      <w:pBdr>
        <w:top w:val="single" w:color="auto" w:sz="4" w:space="0"/>
        <w:left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71">
    <w:name w:val="xl222"/>
    <w:basedOn w:val="1"/>
    <w:uiPriority w:val="0"/>
    <w:pPr>
      <w:widowControl/>
      <w:pBdr>
        <w:top w:val="single" w:color="auto" w:sz="4" w:space="0"/>
        <w:left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72">
    <w:name w:val="xl223"/>
    <w:basedOn w:val="1"/>
    <w:uiPriority w:val="0"/>
    <w:pPr>
      <w:widowControl/>
      <w:pBdr>
        <w:top w:val="single" w:color="auto" w:sz="4" w:space="0"/>
        <w:left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73">
    <w:name w:val="xl224"/>
    <w:basedOn w:val="1"/>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74">
    <w:name w:val="xl225"/>
    <w:basedOn w:val="1"/>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75">
    <w:name w:val="xl226"/>
    <w:basedOn w:val="1"/>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76">
    <w:name w:val="xl227"/>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77">
    <w:name w:val="xl228"/>
    <w:basedOn w:val="1"/>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778">
    <w:name w:val="xl229"/>
    <w:basedOn w:val="1"/>
    <w:uiPriority w:val="0"/>
    <w:pPr>
      <w:widowControl/>
      <w:shd w:val="clear" w:color="000000" w:fill="EBF1DE"/>
      <w:adjustRightInd/>
      <w:snapToGrid/>
      <w:spacing w:before="100" w:beforeAutospacing="1" w:after="100" w:afterAutospacing="1" w:line="240" w:lineRule="auto"/>
      <w:ind w:firstLine="0" w:firstLineChars="0"/>
      <w:jc w:val="left"/>
    </w:pPr>
    <w:rPr>
      <w:rFonts w:cs="Times New Roman"/>
      <w:b/>
      <w:bCs/>
      <w:color w:val="000000"/>
      <w:kern w:val="0"/>
      <w:szCs w:val="24"/>
    </w:rPr>
  </w:style>
  <w:style w:type="paragraph" w:customStyle="1" w:styleId="779">
    <w:name w:val="xl230"/>
    <w:basedOn w:val="1"/>
    <w:uiPriority w:val="0"/>
    <w:pPr>
      <w:widowControl/>
      <w:pBdr>
        <w:top w:val="single" w:color="auto" w:sz="4" w:space="0"/>
        <w:left w:val="single" w:color="auto" w:sz="4" w:space="0"/>
        <w:bottom w:val="single" w:color="auto" w:sz="4" w:space="0"/>
        <w:right w:val="single" w:color="auto" w:sz="4" w:space="0"/>
      </w:pBdr>
      <w:shd w:val="clear" w:color="000000" w:fill="C4BD97"/>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780">
    <w:name w:val="xl231"/>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7030A0"/>
      <w:kern w:val="0"/>
      <w:sz w:val="18"/>
      <w:szCs w:val="18"/>
    </w:rPr>
  </w:style>
  <w:style w:type="paragraph" w:customStyle="1" w:styleId="781">
    <w:name w:val="xl232"/>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7030A0"/>
      <w:kern w:val="0"/>
      <w:sz w:val="18"/>
      <w:szCs w:val="18"/>
    </w:rPr>
  </w:style>
  <w:style w:type="paragraph" w:customStyle="1" w:styleId="782">
    <w:name w:val="xl233"/>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7030A0"/>
      <w:kern w:val="0"/>
      <w:sz w:val="18"/>
      <w:szCs w:val="18"/>
    </w:rPr>
  </w:style>
  <w:style w:type="paragraph" w:customStyle="1" w:styleId="783">
    <w:name w:val="xl234"/>
    <w:basedOn w:val="1"/>
    <w:uiPriority w:val="0"/>
    <w:pPr>
      <w:widowControl/>
      <w:pBdr>
        <w:top w:val="single" w:color="auto" w:sz="4" w:space="0"/>
        <w:left w:val="single" w:color="auto" w:sz="4" w:space="0"/>
        <w:bottom w:val="single" w:color="auto" w:sz="4" w:space="0"/>
        <w:right w:val="single" w:color="auto" w:sz="4" w:space="0"/>
      </w:pBdr>
      <w:shd w:val="clear" w:color="000000" w:fill="EBF1DE"/>
      <w:adjustRightInd/>
      <w:snapToGrid/>
      <w:spacing w:before="100" w:beforeAutospacing="1" w:after="100" w:afterAutospacing="1" w:line="240" w:lineRule="auto"/>
      <w:ind w:firstLine="0" w:firstLineChars="0"/>
      <w:jc w:val="center"/>
    </w:pPr>
    <w:rPr>
      <w:rFonts w:cs="Times New Roman"/>
      <w:b/>
      <w:bCs/>
      <w:color w:val="7030A0"/>
      <w:kern w:val="0"/>
      <w:sz w:val="18"/>
      <w:szCs w:val="18"/>
    </w:rPr>
  </w:style>
  <w:style w:type="paragraph" w:customStyle="1" w:styleId="784">
    <w:name w:val="xl235"/>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7030A0"/>
      <w:kern w:val="0"/>
      <w:sz w:val="18"/>
      <w:szCs w:val="18"/>
    </w:rPr>
  </w:style>
  <w:style w:type="paragraph" w:customStyle="1" w:styleId="785">
    <w:name w:val="xl236"/>
    <w:basedOn w:val="1"/>
    <w:uiPriority w:val="0"/>
    <w:pPr>
      <w:widowControl/>
      <w:adjustRightInd/>
      <w:snapToGrid/>
      <w:spacing w:before="100" w:beforeAutospacing="1" w:after="100" w:afterAutospacing="1" w:line="240" w:lineRule="auto"/>
      <w:ind w:firstLine="0" w:firstLineChars="0"/>
      <w:jc w:val="left"/>
    </w:pPr>
    <w:rPr>
      <w:rFonts w:cs="Times New Roman"/>
      <w:b/>
      <w:bCs/>
      <w:color w:val="7030A0"/>
      <w:kern w:val="0"/>
      <w:szCs w:val="24"/>
    </w:rPr>
  </w:style>
  <w:style w:type="paragraph" w:customStyle="1" w:styleId="786">
    <w:name w:val="xl237"/>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FF0000"/>
      <w:kern w:val="0"/>
      <w:sz w:val="18"/>
      <w:szCs w:val="18"/>
    </w:rPr>
  </w:style>
  <w:style w:type="paragraph" w:customStyle="1" w:styleId="787">
    <w:name w:val="xl238"/>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FF0000"/>
      <w:kern w:val="0"/>
      <w:sz w:val="18"/>
      <w:szCs w:val="18"/>
    </w:rPr>
  </w:style>
  <w:style w:type="paragraph" w:customStyle="1" w:styleId="788">
    <w:name w:val="xl239"/>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FF0000"/>
      <w:kern w:val="0"/>
      <w:sz w:val="18"/>
      <w:szCs w:val="18"/>
    </w:rPr>
  </w:style>
  <w:style w:type="paragraph" w:customStyle="1" w:styleId="789">
    <w:name w:val="xl240"/>
    <w:basedOn w:val="1"/>
    <w:uiPriority w:val="0"/>
    <w:pPr>
      <w:widowControl/>
      <w:pBdr>
        <w:top w:val="single" w:color="auto" w:sz="4" w:space="0"/>
        <w:left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b/>
      <w:bCs/>
      <w:color w:val="FF0000"/>
      <w:kern w:val="0"/>
      <w:sz w:val="18"/>
      <w:szCs w:val="18"/>
    </w:rPr>
  </w:style>
  <w:style w:type="paragraph" w:customStyle="1" w:styleId="790">
    <w:name w:val="xl241"/>
    <w:basedOn w:val="1"/>
    <w:uiPriority w:val="0"/>
    <w:pPr>
      <w:widowControl/>
      <w:pBdr>
        <w:top w:val="single" w:color="auto" w:sz="4" w:space="0"/>
        <w:left w:val="single" w:color="auto" w:sz="4" w:space="0"/>
        <w:bottom w:val="single" w:color="auto" w:sz="4" w:space="0"/>
        <w:right w:val="single" w:color="auto" w:sz="4" w:space="0"/>
      </w:pBdr>
      <w:shd w:val="clear" w:color="000000" w:fill="EBF1DE"/>
      <w:adjustRightInd/>
      <w:snapToGrid/>
      <w:spacing w:before="100" w:beforeAutospacing="1" w:after="100" w:afterAutospacing="1" w:line="240" w:lineRule="auto"/>
      <w:ind w:firstLine="0" w:firstLineChars="0"/>
      <w:jc w:val="center"/>
    </w:pPr>
    <w:rPr>
      <w:rFonts w:cs="Times New Roman"/>
      <w:b/>
      <w:bCs/>
      <w:color w:val="FF0000"/>
      <w:kern w:val="0"/>
      <w:sz w:val="18"/>
      <w:szCs w:val="18"/>
    </w:rPr>
  </w:style>
  <w:style w:type="paragraph" w:customStyle="1" w:styleId="791">
    <w:name w:val="xl242"/>
    <w:basedOn w:val="1"/>
    <w:uiPriority w:val="0"/>
    <w:pPr>
      <w:widowControl/>
      <w:adjustRightInd/>
      <w:snapToGrid/>
      <w:spacing w:before="100" w:beforeAutospacing="1" w:after="100" w:afterAutospacing="1" w:line="240" w:lineRule="auto"/>
      <w:ind w:firstLine="0" w:firstLineChars="0"/>
      <w:jc w:val="left"/>
    </w:pPr>
    <w:rPr>
      <w:rFonts w:cs="Times New Roman"/>
      <w:b/>
      <w:bCs/>
      <w:color w:val="FF0000"/>
      <w:kern w:val="0"/>
      <w:szCs w:val="24"/>
    </w:rPr>
  </w:style>
  <w:style w:type="paragraph" w:customStyle="1" w:styleId="792">
    <w:name w:val="xl243"/>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FF0000"/>
      <w:kern w:val="0"/>
      <w:sz w:val="18"/>
      <w:szCs w:val="18"/>
    </w:rPr>
  </w:style>
  <w:style w:type="paragraph" w:customStyle="1" w:styleId="793">
    <w:name w:val="xl244"/>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FF0000"/>
      <w:kern w:val="0"/>
      <w:sz w:val="18"/>
      <w:szCs w:val="18"/>
    </w:rPr>
  </w:style>
  <w:style w:type="paragraph" w:customStyle="1" w:styleId="794">
    <w:name w:val="xl245"/>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FF0000"/>
      <w:kern w:val="0"/>
      <w:sz w:val="18"/>
      <w:szCs w:val="18"/>
    </w:rPr>
  </w:style>
  <w:style w:type="paragraph" w:customStyle="1" w:styleId="795">
    <w:name w:val="xl246"/>
    <w:basedOn w:val="1"/>
    <w:uiPriority w:val="0"/>
    <w:pPr>
      <w:widowControl/>
      <w:pBdr>
        <w:top w:val="single" w:color="auto" w:sz="4" w:space="0"/>
        <w:left w:val="single" w:color="auto" w:sz="4" w:space="0"/>
        <w:bottom w:val="single" w:color="auto" w:sz="4" w:space="0"/>
        <w:right w:val="single" w:color="auto" w:sz="4" w:space="0"/>
      </w:pBdr>
      <w:shd w:val="clear" w:color="000000" w:fill="C4BD97"/>
      <w:adjustRightInd/>
      <w:snapToGrid/>
      <w:spacing w:before="100" w:beforeAutospacing="1" w:after="100" w:afterAutospacing="1" w:line="240" w:lineRule="auto"/>
      <w:ind w:firstLine="0" w:firstLineChars="0"/>
      <w:jc w:val="center"/>
    </w:pPr>
    <w:rPr>
      <w:rFonts w:cs="Times New Roman"/>
      <w:color w:val="FF0000"/>
      <w:kern w:val="0"/>
      <w:sz w:val="18"/>
      <w:szCs w:val="18"/>
    </w:rPr>
  </w:style>
  <w:style w:type="paragraph" w:customStyle="1" w:styleId="796">
    <w:name w:val="xl247"/>
    <w:basedOn w:val="1"/>
    <w:uiPriority w:val="0"/>
    <w:pPr>
      <w:widowControl/>
      <w:pBdr>
        <w:top w:val="single" w:color="auto" w:sz="4" w:space="0"/>
        <w:left w:val="single" w:color="auto" w:sz="4" w:space="0"/>
        <w:bottom w:val="single" w:color="auto" w:sz="4" w:space="0"/>
        <w:right w:val="single" w:color="auto" w:sz="4" w:space="0"/>
      </w:pBdr>
      <w:shd w:val="clear" w:color="000000" w:fill="EBF1DE"/>
      <w:adjustRightInd/>
      <w:snapToGrid/>
      <w:spacing w:before="100" w:beforeAutospacing="1" w:after="100" w:afterAutospacing="1" w:line="240" w:lineRule="auto"/>
      <w:ind w:firstLine="0" w:firstLineChars="0"/>
      <w:jc w:val="center"/>
    </w:pPr>
    <w:rPr>
      <w:rFonts w:cs="Times New Roman"/>
      <w:b/>
      <w:bCs/>
      <w:color w:val="FF0000"/>
      <w:kern w:val="0"/>
      <w:sz w:val="18"/>
      <w:szCs w:val="18"/>
    </w:rPr>
  </w:style>
  <w:style w:type="paragraph" w:customStyle="1" w:styleId="797">
    <w:name w:val="xl248"/>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FF0000"/>
      <w:kern w:val="0"/>
      <w:sz w:val="18"/>
      <w:szCs w:val="18"/>
    </w:rPr>
  </w:style>
  <w:style w:type="paragraph" w:customStyle="1" w:styleId="798">
    <w:name w:val="xl249"/>
    <w:basedOn w:val="1"/>
    <w:uiPriority w:val="0"/>
    <w:pPr>
      <w:widowControl/>
      <w:adjustRightInd/>
      <w:snapToGrid/>
      <w:spacing w:before="100" w:beforeAutospacing="1" w:after="100" w:afterAutospacing="1" w:line="240" w:lineRule="auto"/>
      <w:ind w:firstLine="0" w:firstLineChars="0"/>
      <w:jc w:val="left"/>
    </w:pPr>
    <w:rPr>
      <w:rFonts w:cs="Times New Roman"/>
      <w:color w:val="FF0000"/>
      <w:kern w:val="0"/>
      <w:szCs w:val="24"/>
    </w:rPr>
  </w:style>
  <w:style w:type="paragraph" w:customStyle="1" w:styleId="799">
    <w:name w:val="xl250"/>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FF0000"/>
      <w:kern w:val="0"/>
      <w:sz w:val="18"/>
      <w:szCs w:val="18"/>
    </w:rPr>
  </w:style>
  <w:style w:type="paragraph" w:customStyle="1" w:styleId="800">
    <w:name w:val="xl251"/>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FF0000"/>
      <w:kern w:val="0"/>
      <w:sz w:val="18"/>
      <w:szCs w:val="18"/>
    </w:rPr>
  </w:style>
  <w:style w:type="paragraph" w:customStyle="1" w:styleId="801">
    <w:name w:val="xl252"/>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FF0000"/>
      <w:kern w:val="0"/>
      <w:sz w:val="18"/>
      <w:szCs w:val="18"/>
    </w:rPr>
  </w:style>
  <w:style w:type="paragraph" w:customStyle="1" w:styleId="802">
    <w:name w:val="xl253"/>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方正仿宋_GB2312" w:hAnsi="宋体" w:eastAsia="方正仿宋_GB2312"/>
      <w:color w:val="FF0000"/>
      <w:kern w:val="0"/>
      <w:sz w:val="18"/>
      <w:szCs w:val="18"/>
    </w:rPr>
  </w:style>
  <w:style w:type="paragraph" w:customStyle="1" w:styleId="803">
    <w:name w:val="xl254"/>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cs="Times New Roman"/>
      <w:color w:val="FF0000"/>
      <w:kern w:val="0"/>
      <w:sz w:val="18"/>
      <w:szCs w:val="18"/>
    </w:rPr>
  </w:style>
  <w:style w:type="paragraph" w:customStyle="1" w:styleId="804">
    <w:name w:val="xl255"/>
    <w:basedOn w:val="1"/>
    <w:uiPriority w:val="0"/>
    <w:pPr>
      <w:widowControl/>
      <w:pBdr>
        <w:top w:val="single" w:color="auto" w:sz="4" w:space="0"/>
        <w:left w:val="single" w:color="auto" w:sz="4" w:space="0"/>
        <w:bottom w:val="single" w:color="auto" w:sz="4" w:space="0"/>
        <w:right w:val="single" w:color="auto" w:sz="4" w:space="0"/>
      </w:pBdr>
      <w:shd w:val="clear" w:color="000000" w:fill="EEECE1"/>
      <w:adjustRightInd/>
      <w:snapToGrid/>
      <w:spacing w:before="100" w:beforeAutospacing="1" w:after="100" w:afterAutospacing="1" w:line="240" w:lineRule="auto"/>
      <w:ind w:firstLine="0" w:firstLineChars="0"/>
      <w:jc w:val="center"/>
    </w:pPr>
    <w:rPr>
      <w:rFonts w:cs="Times New Roman"/>
      <w:color w:val="808080"/>
      <w:kern w:val="0"/>
      <w:sz w:val="18"/>
      <w:szCs w:val="18"/>
    </w:rPr>
  </w:style>
  <w:style w:type="paragraph" w:customStyle="1" w:styleId="805">
    <w:name w:val="xl256"/>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方正仿宋_GB2312" w:hAnsi="宋体" w:eastAsia="方正仿宋_GB2312"/>
      <w:color w:val="000000"/>
      <w:kern w:val="0"/>
      <w:sz w:val="18"/>
      <w:szCs w:val="18"/>
    </w:rPr>
  </w:style>
  <w:style w:type="paragraph" w:customStyle="1" w:styleId="806">
    <w:name w:val="xl257"/>
    <w:basedOn w:val="1"/>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807">
    <w:name w:val="xl258"/>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808">
    <w:name w:val="xl259"/>
    <w:basedOn w:val="1"/>
    <w:uiPriority w:val="0"/>
    <w:pPr>
      <w:widowControl/>
      <w:pBdr>
        <w:top w:val="single" w:color="auto" w:sz="4" w:space="0"/>
        <w:left w:val="single" w:color="auto" w:sz="4" w:space="0"/>
        <w:bottom w:val="single" w:color="auto" w:sz="4" w:space="0"/>
        <w:right w:val="single" w:color="auto" w:sz="4" w:space="0"/>
      </w:pBdr>
      <w:shd w:val="clear" w:color="000000" w:fill="76933C"/>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809">
    <w:name w:val="xl260"/>
    <w:basedOn w:val="1"/>
    <w:uiPriority w:val="0"/>
    <w:pPr>
      <w:widowControl/>
      <w:pBdr>
        <w:top w:val="single" w:color="auto" w:sz="4" w:space="0"/>
        <w:left w:val="single" w:color="auto" w:sz="4" w:space="0"/>
        <w:bottom w:val="single" w:color="auto" w:sz="4" w:space="0"/>
        <w:right w:val="single" w:color="auto" w:sz="4" w:space="0"/>
      </w:pBdr>
      <w:shd w:val="clear" w:color="000000" w:fill="EBF1DE"/>
      <w:adjustRightInd/>
      <w:snapToGrid/>
      <w:spacing w:before="100" w:beforeAutospacing="1" w:after="100" w:afterAutospacing="1" w:line="240" w:lineRule="auto"/>
      <w:ind w:firstLine="0" w:firstLineChars="0"/>
      <w:jc w:val="center"/>
    </w:pPr>
    <w:rPr>
      <w:rFonts w:cs="Times New Roman"/>
      <w:b/>
      <w:bCs/>
      <w:color w:val="808080"/>
      <w:kern w:val="0"/>
      <w:sz w:val="18"/>
      <w:szCs w:val="18"/>
    </w:rPr>
  </w:style>
  <w:style w:type="paragraph" w:customStyle="1" w:styleId="810">
    <w:name w:val="xl261"/>
    <w:basedOn w:val="1"/>
    <w:uiPriority w:val="0"/>
    <w:pPr>
      <w:widowControl/>
      <w:pBdr>
        <w:top w:val="single" w:color="auto" w:sz="4" w:space="0"/>
        <w:left w:val="single" w:color="auto" w:sz="4" w:space="0"/>
        <w:bottom w:val="single" w:color="auto" w:sz="4" w:space="0"/>
        <w:right w:val="single" w:color="auto" w:sz="4" w:space="0"/>
      </w:pBdr>
      <w:shd w:val="clear" w:color="000000" w:fill="EBF1DE"/>
      <w:adjustRightInd/>
      <w:snapToGrid/>
      <w:spacing w:before="100" w:beforeAutospacing="1" w:after="100" w:afterAutospacing="1" w:line="240" w:lineRule="auto"/>
      <w:ind w:firstLine="0" w:firstLineChars="0"/>
      <w:jc w:val="center"/>
    </w:pPr>
    <w:rPr>
      <w:rFonts w:cs="Times New Roman"/>
      <w:b/>
      <w:bCs/>
      <w:color w:val="808080"/>
      <w:kern w:val="0"/>
      <w:sz w:val="18"/>
      <w:szCs w:val="18"/>
    </w:rPr>
  </w:style>
  <w:style w:type="paragraph" w:customStyle="1" w:styleId="811">
    <w:name w:val="xl262"/>
    <w:basedOn w:val="1"/>
    <w:uiPriority w:val="0"/>
    <w:pPr>
      <w:widowControl/>
      <w:shd w:val="clear" w:color="000000" w:fill="EBF1DE"/>
      <w:adjustRightInd/>
      <w:snapToGrid/>
      <w:spacing w:before="100" w:beforeAutospacing="1" w:after="100" w:afterAutospacing="1" w:line="240" w:lineRule="auto"/>
      <w:ind w:firstLine="0" w:firstLineChars="0"/>
      <w:jc w:val="left"/>
    </w:pPr>
    <w:rPr>
      <w:rFonts w:cs="Times New Roman"/>
      <w:b/>
      <w:bCs/>
      <w:color w:val="808080"/>
      <w:kern w:val="0"/>
      <w:szCs w:val="24"/>
    </w:rPr>
  </w:style>
  <w:style w:type="paragraph" w:customStyle="1" w:styleId="812">
    <w:name w:val="xl263"/>
    <w:basedOn w:val="1"/>
    <w:qFormat/>
    <w:uiPriority w:val="0"/>
    <w:pPr>
      <w:widowControl/>
      <w:pBdr>
        <w:top w:val="single" w:color="auto" w:sz="4" w:space="0"/>
        <w:left w:val="single" w:color="auto" w:sz="4" w:space="0"/>
        <w:bottom w:val="single" w:color="auto" w:sz="4" w:space="0"/>
        <w:right w:val="single" w:color="auto" w:sz="4" w:space="0"/>
      </w:pBdr>
      <w:shd w:val="clear" w:color="000000" w:fill="C4BD97"/>
      <w:adjustRightInd/>
      <w:snapToGrid/>
      <w:spacing w:before="100" w:beforeAutospacing="1" w:after="100" w:afterAutospacing="1" w:line="240" w:lineRule="auto"/>
      <w:ind w:firstLine="0" w:firstLineChars="0"/>
      <w:jc w:val="center"/>
    </w:pPr>
    <w:rPr>
      <w:rFonts w:cs="Times New Roman"/>
      <w:b/>
      <w:bCs/>
      <w:color w:val="000000"/>
      <w:kern w:val="0"/>
      <w:sz w:val="18"/>
      <w:szCs w:val="18"/>
    </w:rPr>
  </w:style>
  <w:style w:type="paragraph" w:customStyle="1" w:styleId="813">
    <w:name w:val="xl264"/>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adjustRightInd/>
      <w:snapToGrid/>
      <w:spacing w:before="100" w:beforeAutospacing="1" w:after="100" w:afterAutospacing="1" w:line="240" w:lineRule="auto"/>
      <w:ind w:firstLine="0" w:firstLineChars="0"/>
      <w:jc w:val="center"/>
    </w:pPr>
    <w:rPr>
      <w:rFonts w:cs="Times New Roman"/>
      <w:color w:val="000000"/>
      <w:kern w:val="0"/>
      <w:sz w:val="18"/>
      <w:szCs w:val="18"/>
    </w:rPr>
  </w:style>
  <w:style w:type="paragraph" w:customStyle="1" w:styleId="814">
    <w:name w:val="xl265"/>
    <w:basedOn w:val="1"/>
    <w:qFormat/>
    <w:uiPriority w:val="0"/>
    <w:pPr>
      <w:widowControl/>
      <w:pBdr>
        <w:top w:val="single" w:color="auto" w:sz="4" w:space="0"/>
        <w:left w:val="single" w:color="auto" w:sz="4" w:space="0"/>
        <w:bottom w:val="single" w:color="auto" w:sz="4" w:space="0"/>
        <w:right w:val="single" w:color="auto" w:sz="4" w:space="0"/>
      </w:pBdr>
      <w:shd w:val="clear" w:color="000000" w:fill="76933C"/>
      <w:adjustRightInd/>
      <w:snapToGrid/>
      <w:spacing w:before="100" w:beforeAutospacing="1" w:after="100" w:afterAutospacing="1" w:line="240" w:lineRule="auto"/>
      <w:ind w:firstLine="0" w:firstLineChars="0"/>
      <w:jc w:val="center"/>
    </w:pPr>
    <w:rPr>
      <w:rFonts w:cs="Times New Roman"/>
      <w:color w:val="000000"/>
      <w:kern w:val="0"/>
      <w:sz w:val="16"/>
      <w:szCs w:val="16"/>
    </w:rPr>
  </w:style>
  <w:style w:type="paragraph" w:customStyle="1" w:styleId="815">
    <w:name w:val="xl26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FF0000"/>
      <w:kern w:val="0"/>
      <w:sz w:val="16"/>
      <w:szCs w:val="16"/>
    </w:rPr>
  </w:style>
  <w:style w:type="paragraph" w:customStyle="1" w:styleId="816">
    <w:name w:val="xl26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方正仿宋_GB2312" w:hAnsi="宋体" w:eastAsia="方正仿宋_GB2312"/>
      <w:color w:val="000000"/>
      <w:kern w:val="0"/>
      <w:sz w:val="16"/>
      <w:szCs w:val="16"/>
    </w:rPr>
  </w:style>
  <w:style w:type="paragraph" w:customStyle="1" w:styleId="817">
    <w:name w:val="xl268"/>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cs="Times New Roman"/>
      <w:color w:val="000000"/>
      <w:kern w:val="0"/>
      <w:sz w:val="16"/>
      <w:szCs w:val="16"/>
    </w:rPr>
  </w:style>
  <w:style w:type="paragraph" w:customStyle="1" w:styleId="818">
    <w:name w:val="xl26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color w:val="000000"/>
      <w:kern w:val="0"/>
      <w:sz w:val="16"/>
      <w:szCs w:val="16"/>
    </w:rPr>
  </w:style>
  <w:style w:type="paragraph" w:customStyle="1" w:styleId="819">
    <w:name w:val="xl2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FF0000"/>
      <w:kern w:val="0"/>
      <w:sz w:val="16"/>
      <w:szCs w:val="16"/>
    </w:rPr>
  </w:style>
  <w:style w:type="paragraph" w:customStyle="1" w:styleId="820">
    <w:name w:val="xl27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方正仿宋_GB2312" w:hAnsi="宋体" w:eastAsia="方正仿宋_GB2312"/>
      <w:color w:val="FF0000"/>
      <w:kern w:val="0"/>
      <w:sz w:val="16"/>
      <w:szCs w:val="16"/>
    </w:rPr>
  </w:style>
  <w:style w:type="paragraph" w:customStyle="1" w:styleId="821">
    <w:name w:val="xl272"/>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cs="Times New Roman"/>
      <w:color w:val="FF0000"/>
      <w:kern w:val="0"/>
      <w:sz w:val="16"/>
      <w:szCs w:val="16"/>
    </w:rPr>
  </w:style>
  <w:style w:type="paragraph" w:customStyle="1" w:styleId="822">
    <w:name w:val="xl27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b/>
      <w:bCs/>
      <w:color w:val="000000"/>
      <w:kern w:val="0"/>
      <w:sz w:val="16"/>
      <w:szCs w:val="16"/>
    </w:rPr>
  </w:style>
  <w:style w:type="paragraph" w:customStyle="1" w:styleId="823">
    <w:name w:val="xl274"/>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b/>
      <w:bCs/>
      <w:color w:val="000000"/>
      <w:kern w:val="0"/>
      <w:sz w:val="16"/>
      <w:szCs w:val="16"/>
    </w:rPr>
  </w:style>
  <w:style w:type="paragraph" w:customStyle="1" w:styleId="824">
    <w:name w:val="xl275"/>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adjustRightInd/>
      <w:snapToGrid/>
      <w:spacing w:before="100" w:beforeAutospacing="1" w:after="100" w:afterAutospacing="1" w:line="240" w:lineRule="auto"/>
      <w:ind w:firstLine="0" w:firstLineChars="0"/>
      <w:jc w:val="center"/>
    </w:pPr>
    <w:rPr>
      <w:rFonts w:cs="Times New Roman"/>
      <w:color w:val="000000"/>
      <w:kern w:val="0"/>
      <w:sz w:val="16"/>
      <w:szCs w:val="16"/>
    </w:rPr>
  </w:style>
  <w:style w:type="paragraph" w:customStyle="1" w:styleId="825">
    <w:name w:val="xl27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b/>
      <w:bCs/>
      <w:color w:val="000000"/>
      <w:kern w:val="0"/>
      <w:sz w:val="16"/>
      <w:szCs w:val="16"/>
    </w:rPr>
  </w:style>
  <w:style w:type="table" w:customStyle="1" w:styleId="826">
    <w:name w:val="表格样式2"/>
    <w:basedOn w:val="53"/>
    <w:qFormat/>
    <w:uiPriority w:val="59"/>
    <w:pPr>
      <w:widowControl w:val="0"/>
      <w:spacing w:line="360" w:lineRule="auto"/>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7">
    <w:name w:val="表格样式3"/>
    <w:basedOn w:val="53"/>
    <w:qFormat/>
    <w:uiPriority w:val="59"/>
    <w:pPr>
      <w:widowControl w:val="0"/>
      <w:spacing w:line="360" w:lineRule="auto"/>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28">
    <w:name w:val="图片与表格"/>
    <w:link w:val="829"/>
    <w:qFormat/>
    <w:uiPriority w:val="0"/>
    <w:pPr>
      <w:jc w:val="center"/>
    </w:pPr>
    <w:rPr>
      <w:rFonts w:ascii="Times New Roman" w:hAnsi="Times New Roman" w:eastAsia="宋体" w:cs="Times New Roman"/>
      <w:b/>
      <w:sz w:val="21"/>
      <w:lang w:val="en-US" w:eastAsia="zh-CN" w:bidi="ar-SA"/>
    </w:rPr>
  </w:style>
  <w:style w:type="character" w:customStyle="1" w:styleId="829">
    <w:name w:val="图片与表格 Char"/>
    <w:link w:val="828"/>
    <w:qFormat/>
    <w:uiPriority w:val="0"/>
    <w:rPr>
      <w:rFonts w:ascii="Times New Roman" w:hAnsi="Times New Roman"/>
      <w:b/>
      <w:sz w:val="21"/>
    </w:rPr>
  </w:style>
  <w:style w:type="table" w:customStyle="1" w:styleId="830">
    <w:name w:val="网格表 7 彩色 - 着色 51"/>
    <w:basedOn w:val="53"/>
    <w:qFormat/>
    <w:uiPriority w:val="52"/>
    <w:rPr>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table" w:customStyle="1" w:styleId="831">
    <w:name w:val="网格表 7 彩色 - 着色 61"/>
    <w:basedOn w:val="53"/>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paragraph" w:customStyle="1" w:styleId="832">
    <w:name w:val="Char6"/>
    <w:basedOn w:val="1"/>
    <w:uiPriority w:val="0"/>
    <w:pPr>
      <w:tabs>
        <w:tab w:val="left" w:pos="360"/>
      </w:tabs>
      <w:adjustRightInd/>
      <w:snapToGrid/>
      <w:spacing w:line="240" w:lineRule="auto"/>
      <w:ind w:firstLine="0" w:firstLineChars="0"/>
    </w:pPr>
    <w:rPr>
      <w:rFonts w:cs="Times New Roman"/>
      <w:sz w:val="21"/>
      <w:szCs w:val="24"/>
    </w:rPr>
  </w:style>
  <w:style w:type="paragraph" w:customStyle="1" w:styleId="833">
    <w:name w:val="Char5"/>
    <w:basedOn w:val="1"/>
    <w:semiHidden/>
    <w:uiPriority w:val="0"/>
    <w:pPr>
      <w:adjustRightInd/>
      <w:snapToGrid/>
      <w:spacing w:line="240" w:lineRule="auto"/>
      <w:ind w:left="-48" w:firstLine="0" w:firstLineChars="0"/>
    </w:pPr>
    <w:rPr>
      <w:rFonts w:cs="Times New Roman"/>
      <w:sz w:val="21"/>
      <w:szCs w:val="24"/>
    </w:rPr>
  </w:style>
  <w:style w:type="paragraph" w:customStyle="1" w:styleId="834">
    <w:name w:val="a表格"/>
    <w:basedOn w:val="1"/>
    <w:qFormat/>
    <w:uiPriority w:val="0"/>
    <w:pPr>
      <w:adjustRightInd/>
      <w:spacing w:line="240" w:lineRule="auto"/>
      <w:ind w:firstLine="0" w:firstLineChars="0"/>
      <w:jc w:val="center"/>
    </w:pPr>
    <w:rPr>
      <w:rFonts w:cs="Times New Roman"/>
      <w:sz w:val="21"/>
      <w:szCs w:val="21"/>
    </w:rPr>
  </w:style>
  <w:style w:type="paragraph" w:customStyle="1" w:styleId="835">
    <w:name w:val="Char Char Char Char Char Char1 Char Char Char Char Char Char Char"/>
    <w:basedOn w:val="1"/>
    <w:qFormat/>
    <w:uiPriority w:val="0"/>
    <w:pPr>
      <w:adjustRightInd/>
      <w:snapToGrid/>
      <w:spacing w:line="240" w:lineRule="auto"/>
      <w:ind w:firstLine="0" w:firstLineChars="0"/>
    </w:pPr>
    <w:rPr>
      <w:rFonts w:cs="Times New Roman"/>
      <w:sz w:val="21"/>
      <w:szCs w:val="24"/>
    </w:rPr>
  </w:style>
  <w:style w:type="table" w:customStyle="1" w:styleId="836">
    <w:name w:val="表格样式111"/>
    <w:basedOn w:val="53"/>
    <w:qFormat/>
    <w:uiPriority w:val="0"/>
    <w:pPr>
      <w:spacing w:line="240" w:lineRule="atLeast"/>
      <w:jc w:val="center"/>
    </w:pPr>
    <w:rPr>
      <w:sz w:val="21"/>
    </w:rPr>
    <w:tblPr>
      <w:tblBorders>
        <w:top w:val="single" w:color="auto" w:sz="12" w:space="0"/>
        <w:bottom w:val="single" w:color="auto" w:sz="12" w:space="0"/>
        <w:insideH w:val="single" w:color="auto" w:sz="6" w:space="0"/>
        <w:insideV w:val="single" w:color="auto" w:sz="6" w:space="0"/>
      </w:tblBorders>
    </w:tblPr>
    <w:tcPr>
      <w:vAlign w:val="center"/>
    </w:tcPr>
  </w:style>
  <w:style w:type="table" w:customStyle="1" w:styleId="837">
    <w:name w:val="表格样式4"/>
    <w:basedOn w:val="53"/>
    <w:qFormat/>
    <w:uiPriority w:val="0"/>
    <w:pPr>
      <w:adjustRightInd w:val="0"/>
      <w:snapToGrid w:val="0"/>
      <w:spacing w:before="30" w:after="30"/>
      <w:jc w:val="center"/>
    </w:pPr>
    <w:rPr>
      <w:rFonts w:ascii="Times New Roman" w:hAnsi="Times New Roman"/>
      <w:sz w:val="21"/>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paragraph" w:customStyle="1" w:styleId="838">
    <w:name w:val="Char Char Char Char Char Char1 Char Char Char Char Char Char Char1"/>
    <w:basedOn w:val="1"/>
    <w:qFormat/>
    <w:uiPriority w:val="0"/>
    <w:pPr>
      <w:adjustRightInd/>
      <w:snapToGrid/>
      <w:spacing w:line="240" w:lineRule="auto"/>
      <w:ind w:firstLine="0" w:firstLineChars="0"/>
    </w:pPr>
    <w:rPr>
      <w:rFonts w:cs="Times New Roman"/>
      <w:sz w:val="21"/>
      <w:szCs w:val="24"/>
    </w:rPr>
  </w:style>
  <w:style w:type="paragraph" w:customStyle="1" w:styleId="839">
    <w:name w:val="Char Char Char Char Char Char1 Char Char Char Char Char Char Char2"/>
    <w:basedOn w:val="1"/>
    <w:qFormat/>
    <w:uiPriority w:val="0"/>
    <w:pPr>
      <w:adjustRightInd/>
      <w:snapToGrid/>
      <w:spacing w:line="240" w:lineRule="auto"/>
      <w:ind w:firstLine="0" w:firstLineChars="0"/>
    </w:pPr>
    <w:rPr>
      <w:rFonts w:cs="Times New Roman"/>
      <w:sz w:val="21"/>
      <w:szCs w:val="24"/>
    </w:rPr>
  </w:style>
  <w:style w:type="paragraph" w:customStyle="1" w:styleId="840">
    <w:name w:val="marklang-paragraph"/>
    <w:basedOn w:val="1"/>
    <w:qFormat/>
    <w:uiPriority w:val="0"/>
    <w:pPr>
      <w:widowControl/>
      <w:adjustRightInd/>
      <w:snapToGrid/>
      <w:spacing w:before="100" w:beforeAutospacing="1" w:after="100" w:afterAutospacing="1" w:line="240" w:lineRule="auto"/>
      <w:ind w:firstLine="0" w:firstLineChars="0"/>
      <w:jc w:val="left"/>
    </w:pPr>
    <w:rPr>
      <w:rFonts w:ascii="宋体" w:hAnsi="宋体"/>
      <w:kern w:val="0"/>
      <w:szCs w:val="24"/>
    </w:rPr>
  </w:style>
  <w:style w:type="table" w:customStyle="1" w:styleId="841">
    <w:name w:val="表格框1"/>
    <w:basedOn w:val="53"/>
    <w:qFormat/>
    <w:locked/>
    <w:uiPriority w:val="0"/>
    <w:pPr>
      <w:adjustRightInd w:val="0"/>
      <w:snapToGrid w:val="0"/>
      <w:jc w:val="center"/>
    </w:pPr>
    <w:tblPr>
      <w:jc w:val="center"/>
      <w:tblBorders>
        <w:top w:val="single" w:color="000000" w:sz="12" w:space="0"/>
        <w:bottom w:val="single" w:color="000000" w:sz="12" w:space="0"/>
        <w:insideH w:val="single" w:color="000000" w:sz="4" w:space="0"/>
        <w:insideV w:val="single" w:color="000000" w:sz="4" w:space="0"/>
      </w:tblBorders>
      <w:tblCellMar>
        <w:left w:w="0" w:type="dxa"/>
        <w:right w:w="0" w:type="dxa"/>
      </w:tblCellMar>
    </w:tblPr>
    <w:trPr>
      <w:cantSplit/>
      <w:tblHeader/>
      <w:jc w:val="center"/>
    </w:trPr>
    <w:tcPr>
      <w:vAlign w:val="center"/>
    </w:tcPr>
  </w:style>
  <w:style w:type="paragraph" w:customStyle="1" w:styleId="842">
    <w:name w:val="Char Char Char Char Char Char1 Char Char Char Char Char Char Char3"/>
    <w:basedOn w:val="1"/>
    <w:qFormat/>
    <w:uiPriority w:val="0"/>
    <w:pPr>
      <w:adjustRightInd/>
      <w:snapToGrid/>
      <w:spacing w:line="240" w:lineRule="auto"/>
      <w:ind w:firstLine="0" w:firstLineChars="0"/>
    </w:pPr>
    <w:rPr>
      <w:rFonts w:cs="Times New Roman"/>
      <w:sz w:val="21"/>
      <w:szCs w:val="24"/>
    </w:rPr>
  </w:style>
  <w:style w:type="paragraph" w:customStyle="1" w:styleId="843">
    <w:name w:val="Char Char Char1 Char Char Char Char Char Char Char Char"/>
    <w:basedOn w:val="1"/>
    <w:qFormat/>
    <w:uiPriority w:val="0"/>
    <w:pPr>
      <w:tabs>
        <w:tab w:val="left" w:pos="360"/>
      </w:tabs>
    </w:pPr>
    <w:rPr>
      <w:rFonts w:cs="Times New Roman"/>
    </w:rPr>
  </w:style>
  <w:style w:type="character" w:customStyle="1" w:styleId="844">
    <w:name w:val="正文文本 (2) + SimSun"/>
    <w:basedOn w:val="226"/>
    <w:qFormat/>
    <w:uiPriority w:val="99"/>
    <w:rPr>
      <w:rFonts w:ascii="宋体" w:hAnsi="Times New Roman" w:eastAsia="宋体" w:cs="宋体"/>
      <w:spacing w:val="10"/>
      <w:sz w:val="13"/>
      <w:szCs w:val="13"/>
      <w:u w:val="none"/>
      <w:shd w:val="clear" w:color="auto" w:fill="FFFFFF"/>
      <w:lang w:val="zh-TW" w:eastAsia="zh-TW"/>
    </w:rPr>
  </w:style>
  <w:style w:type="character" w:customStyle="1" w:styleId="845">
    <w:name w:val="正文文本 (2) + 7 pt"/>
    <w:basedOn w:val="226"/>
    <w:qFormat/>
    <w:uiPriority w:val="99"/>
    <w:rPr>
      <w:rFonts w:ascii="Times New Roman" w:hAnsi="Times New Roman" w:eastAsia="黑体" w:cs="Times New Roman"/>
      <w:spacing w:val="10"/>
      <w:sz w:val="14"/>
      <w:szCs w:val="14"/>
      <w:u w:val="none"/>
      <w:shd w:val="clear" w:color="auto" w:fill="FFFFFF"/>
    </w:rPr>
  </w:style>
  <w:style w:type="character" w:customStyle="1" w:styleId="846">
    <w:name w:val="正文文本 (2) + Bookman Old Style"/>
    <w:basedOn w:val="226"/>
    <w:qFormat/>
    <w:uiPriority w:val="99"/>
    <w:rPr>
      <w:rFonts w:ascii="Bookman Old Style" w:hAnsi="Bookman Old Style" w:eastAsia="黑体" w:cs="Bookman Old Style"/>
      <w:spacing w:val="10"/>
      <w:sz w:val="14"/>
      <w:szCs w:val="14"/>
      <w:u w:val="none"/>
      <w:shd w:val="clear" w:color="auto" w:fill="FFFFFF"/>
    </w:rPr>
  </w:style>
  <w:style w:type="character" w:customStyle="1" w:styleId="847">
    <w:name w:val="正文文本 (2) + 4 pt"/>
    <w:basedOn w:val="226"/>
    <w:qFormat/>
    <w:uiPriority w:val="99"/>
    <w:rPr>
      <w:rFonts w:ascii="Times New Roman" w:hAnsi="Times New Roman" w:eastAsia="黑体" w:cs="Times New Roman"/>
      <w:spacing w:val="10"/>
      <w:sz w:val="8"/>
      <w:szCs w:val="8"/>
      <w:u w:val="none"/>
      <w:shd w:val="clear" w:color="auto" w:fill="FFFFFF"/>
    </w:rPr>
  </w:style>
  <w:style w:type="character" w:customStyle="1" w:styleId="848">
    <w:name w:val="正文文本 (2) + 4 pt1"/>
    <w:basedOn w:val="226"/>
    <w:qFormat/>
    <w:uiPriority w:val="99"/>
    <w:rPr>
      <w:rFonts w:ascii="Times New Roman" w:hAnsi="Times New Roman" w:eastAsia="黑体" w:cs="Times New Roman"/>
      <w:i/>
      <w:iCs/>
      <w:spacing w:val="10"/>
      <w:sz w:val="8"/>
      <w:szCs w:val="8"/>
      <w:u w:val="none"/>
      <w:shd w:val="clear" w:color="auto" w:fill="FFFFFF"/>
    </w:rPr>
  </w:style>
  <w:style w:type="character" w:customStyle="1" w:styleId="849">
    <w:name w:val="正文文本 (2) + 6.5 pt"/>
    <w:basedOn w:val="226"/>
    <w:qFormat/>
    <w:uiPriority w:val="99"/>
    <w:rPr>
      <w:rFonts w:ascii="Times New Roman" w:hAnsi="Times New Roman" w:eastAsia="黑体" w:cs="Times New Roman"/>
      <w:spacing w:val="10"/>
      <w:sz w:val="13"/>
      <w:szCs w:val="13"/>
      <w:u w:val="none"/>
      <w:shd w:val="clear" w:color="auto" w:fill="FFFFFF"/>
      <w:lang w:val="zh-TW" w:eastAsia="zh-TW"/>
    </w:rPr>
  </w:style>
  <w:style w:type="table" w:customStyle="1" w:styleId="850">
    <w:name w:val="网格型7"/>
    <w:basedOn w:val="53"/>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851">
    <w:name w:val="正文（段落）"/>
    <w:qFormat/>
    <w:uiPriority w:val="0"/>
    <w:pPr>
      <w:snapToGrid w:val="0"/>
      <w:spacing w:before="50" w:beforeLines="50"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table" w:customStyle="1" w:styleId="852">
    <w:name w:val="清单表 6 彩色 - 着色 41"/>
    <w:basedOn w:val="53"/>
    <w:qFormat/>
    <w:uiPriority w:val="51"/>
    <w:rPr>
      <w:color w:val="BF9000" w:themeColor="accent4" w:themeShade="BF"/>
    </w:rPr>
    <w:tblPr>
      <w:tblBorders>
        <w:top w:val="single" w:color="FFC000" w:themeColor="accent4" w:sz="4" w:space="0"/>
        <w:bottom w:val="single" w:color="FFC000" w:themeColor="accent4" w:sz="4" w:space="0"/>
      </w:tblBorders>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paragraph" w:customStyle="1" w:styleId="853">
    <w:name w:val="表格样式—zsy"/>
    <w:basedOn w:val="1"/>
    <w:qFormat/>
    <w:uiPriority w:val="0"/>
    <w:pPr>
      <w:keepNext/>
      <w:keepLines/>
      <w:adjustRightInd/>
      <w:snapToGrid/>
      <w:spacing w:line="340" w:lineRule="exact"/>
      <w:ind w:firstLine="0" w:firstLineChars="0"/>
      <w:jc w:val="center"/>
    </w:pPr>
    <w:rPr>
      <w:rFonts w:cs="Times New Roman"/>
      <w:sz w:val="21"/>
      <w:szCs w:val="24"/>
    </w:rPr>
  </w:style>
  <w:style w:type="paragraph" w:customStyle="1" w:styleId="854">
    <w:name w:val="Char Char Char Char Char Char1 Char Char Char Char Char Char Char4"/>
    <w:basedOn w:val="1"/>
    <w:qFormat/>
    <w:uiPriority w:val="0"/>
    <w:pPr>
      <w:adjustRightInd/>
      <w:snapToGrid/>
      <w:spacing w:line="240" w:lineRule="auto"/>
      <w:ind w:firstLine="0" w:firstLineChars="0"/>
    </w:pPr>
    <w:rPr>
      <w:rFonts w:cs="Times New Roman"/>
      <w:sz w:val="21"/>
      <w:szCs w:val="24"/>
    </w:rPr>
  </w:style>
  <w:style w:type="paragraph" w:customStyle="1" w:styleId="855">
    <w:name w:val="Char Char Char Char Char Char1 Char Char Char Char Char Char Char5"/>
    <w:basedOn w:val="1"/>
    <w:qFormat/>
    <w:uiPriority w:val="0"/>
    <w:pPr>
      <w:adjustRightInd/>
      <w:snapToGrid/>
      <w:spacing w:line="240" w:lineRule="auto"/>
      <w:ind w:firstLine="0" w:firstLineChars="0"/>
    </w:pPr>
    <w:rPr>
      <w:rFonts w:cs="Times New Roman"/>
      <w:sz w:val="21"/>
      <w:szCs w:val="24"/>
    </w:rPr>
  </w:style>
  <w:style w:type="paragraph" w:customStyle="1" w:styleId="856">
    <w:name w:val="Char7"/>
    <w:basedOn w:val="1"/>
    <w:qFormat/>
    <w:uiPriority w:val="0"/>
    <w:pPr>
      <w:adjustRightInd/>
      <w:snapToGrid/>
      <w:spacing w:line="240" w:lineRule="auto"/>
      <w:ind w:firstLine="0" w:firstLineChars="0"/>
    </w:pPr>
    <w:rPr>
      <w:rFonts w:cs="Times New Roman"/>
      <w:sz w:val="21"/>
      <w:szCs w:val="24"/>
    </w:rPr>
  </w:style>
  <w:style w:type="paragraph" w:customStyle="1" w:styleId="857">
    <w:name w:val="表格内容2"/>
    <w:basedOn w:val="1"/>
    <w:qFormat/>
    <w:uiPriority w:val="0"/>
    <w:pPr>
      <w:spacing w:before="30" w:after="30" w:line="240" w:lineRule="auto"/>
      <w:ind w:firstLine="0" w:firstLineChars="0"/>
      <w:jc w:val="center"/>
    </w:pPr>
    <w:rPr>
      <w:rFonts w:cs="Times New Roman"/>
      <w:sz w:val="21"/>
      <w:szCs w:val="24"/>
    </w:rPr>
  </w:style>
  <w:style w:type="paragraph" w:customStyle="1" w:styleId="858">
    <w:name w:val="生态专题图件标题"/>
    <w:qFormat/>
    <w:uiPriority w:val="0"/>
    <w:pPr>
      <w:adjustRightInd w:val="0"/>
      <w:snapToGrid w:val="0"/>
      <w:ind w:firstLine="357"/>
      <w:jc w:val="center"/>
    </w:pPr>
    <w:rPr>
      <w:rFonts w:ascii="Times New Roman" w:hAnsi="Times New Roman" w:eastAsia="宋体" w:cs="Times New Roman"/>
      <w:b/>
      <w:kern w:val="2"/>
      <w:sz w:val="24"/>
      <w:szCs w:val="28"/>
      <w:lang w:val="en-US" w:eastAsia="zh-CN" w:bidi="ar-SA"/>
    </w:rPr>
  </w:style>
  <w:style w:type="paragraph" w:customStyle="1" w:styleId="859">
    <w:name w:val="生态专题表头"/>
    <w:qFormat/>
    <w:uiPriority w:val="0"/>
    <w:pPr>
      <w:spacing w:before="163" w:beforeLines="50"/>
      <w:jc w:val="center"/>
    </w:pPr>
    <w:rPr>
      <w:rFonts w:cs="Times New Roman" w:asciiTheme="minorEastAsia" w:hAnsiTheme="minorEastAsia" w:eastAsiaTheme="minorEastAsia"/>
      <w:b/>
      <w:bCs/>
      <w:spacing w:val="8"/>
      <w:kern w:val="2"/>
      <w:sz w:val="24"/>
      <w:szCs w:val="21"/>
      <w:lang w:val="en-US" w:eastAsia="zh-CN" w:bidi="ar-SA"/>
    </w:rPr>
  </w:style>
  <w:style w:type="paragraph" w:customStyle="1" w:styleId="860">
    <w:name w:val="Char Char Char Char Char Char1 Char Char Char Char Char Char Char6"/>
    <w:basedOn w:val="1"/>
    <w:qFormat/>
    <w:uiPriority w:val="0"/>
    <w:pPr>
      <w:adjustRightInd/>
      <w:snapToGrid/>
      <w:spacing w:line="240" w:lineRule="auto"/>
      <w:ind w:firstLine="0" w:firstLineChars="0"/>
    </w:pPr>
    <w:rPr>
      <w:rFonts w:cs="Times New Roman"/>
      <w:sz w:val="21"/>
      <w:szCs w:val="24"/>
    </w:rPr>
  </w:style>
  <w:style w:type="paragraph" w:customStyle="1" w:styleId="861">
    <w:name w:val="ds-markdown-paragraph"/>
    <w:basedOn w:val="1"/>
    <w:qFormat/>
    <w:uiPriority w:val="0"/>
    <w:pPr>
      <w:widowControl/>
      <w:adjustRightInd/>
      <w:snapToGrid/>
      <w:spacing w:before="100" w:beforeAutospacing="1" w:after="100" w:afterAutospacing="1" w:line="240" w:lineRule="auto"/>
      <w:ind w:firstLine="0" w:firstLineChars="0"/>
      <w:jc w:val="left"/>
    </w:pPr>
    <w:rPr>
      <w:rFonts w:ascii="宋体" w:hAnsi="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209</Pages>
  <Words>135456</Words>
  <Characters>157387</Characters>
  <Lines>1306</Lines>
  <Paragraphs>367</Paragraphs>
  <TotalTime>0</TotalTime>
  <ScaleCrop>false</ScaleCrop>
  <LinksUpToDate>false</LinksUpToDate>
  <CharactersWithSpaces>159336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2025-05-22T00:34:00Z</dcterms:created>
  <dc:creator>微软用户</dc:creator>
  <cp:lastModifiedBy>NTKO</cp:lastModifiedBy>
  <cp:lastPrinted>2025-08-27T06:46:00Z</cp:lastPrinted>
  <dcterms:modified xsi:type="dcterms:W3CDTF">2025-08-29T09:35:39Z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2023-01-10T16:00:00Z</vt:filetime>
  </property>
  <property fmtid="{D5CDD505-2E9C-101B-9397-08002B2CF9AE}" pid="3" name="Creator">
    <vt:lpwstr>WPS 文字</vt:lpwstr>
  </property>
  <property fmtid="{D5CDD505-2E9C-101B-9397-08002B2CF9AE}" pid="4" name="LastSaved">
    <vt:filetime>2023-05-25T16:00:00Z</vt:filetime>
  </property>
  <property fmtid="{D5CDD505-2E9C-101B-9397-08002B2CF9AE}" pid="5" name="SourceModified">
    <vt:lpwstr>D:20230111152604+07'26'</vt:lpwstr>
  </property>
  <property fmtid="{D5CDD505-2E9C-101B-9397-08002B2CF9AE}" pid="6" name="KSOProductBuildVer">
    <vt:lpwstr>2052-11.1.0.11294</vt:lpwstr>
  </property>
  <property fmtid="{D5CDD505-2E9C-101B-9397-08002B2CF9AE}" pid="7" name="ICV">
    <vt:lpwstr>3A110AD9380040BCA6F202CFAC9C59E1_13</vt:lpwstr>
  </property>
  <property fmtid="{D5CDD505-2E9C-101B-9397-08002B2CF9AE}" pid="8" name="KSOTemplateDocerSaveRecord">
    <vt:lpwstr>eyJoZGlkIjoiYmFhMDY5ZDk5MWM5YjI0ODg2MGQ2YWU1MzQzYTBhNjQiLCJ1c2VySWQiOiI3MTY0ODI4OTgifQ==</vt:lpwstr>
  </property>
</Properties>
</file>