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510552">
      <w:pPr>
        <w:adjustRightInd w:val="0"/>
        <w:snapToGrid w:val="0"/>
        <w:spacing w:line="288" w:lineRule="auto"/>
        <w:jc w:val="center"/>
        <w:rPr>
          <w:rFonts w:hint="eastAsia" w:ascii="Times New Roman" w:hAnsi="Times New Roman" w:eastAsia="宋体" w:cs="Times New Roman"/>
          <w:b/>
          <w:bCs/>
          <w:snapToGrid w:val="0"/>
          <w:color w:val="000000" w:themeColor="text1"/>
          <w:kern w:val="21"/>
          <w:sz w:val="30"/>
          <w:szCs w:val="30"/>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370195" cy="7383145"/>
            <wp:effectExtent l="0" t="0" r="1905"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rcRect r="2329"/>
                    <a:stretch>
                      <a:fillRect/>
                    </a:stretch>
                  </pic:blipFill>
                  <pic:spPr>
                    <a:xfrm rot="10800000">
                      <a:off x="0" y="0"/>
                      <a:ext cx="5370195" cy="7383145"/>
                    </a:xfrm>
                    <a:prstGeom prst="rect">
                      <a:avLst/>
                    </a:prstGeom>
                    <a:noFill/>
                    <a:ln>
                      <a:noFill/>
                    </a:ln>
                  </pic:spPr>
                </pic:pic>
              </a:graphicData>
            </a:graphic>
          </wp:inline>
        </w:drawing>
      </w:r>
    </w:p>
    <w:p w14:paraId="231B3340">
      <w:pPr>
        <w:adjustRightInd w:val="0"/>
        <w:snapToGrid w:val="0"/>
        <w:spacing w:line="288" w:lineRule="auto"/>
        <w:jc w:val="center"/>
        <w:rPr>
          <w:rFonts w:hint="default" w:ascii="Times New Roman" w:hAnsi="Times New Roman" w:cs="Times New Roman" w:eastAsiaTheme="minorEastAsia"/>
          <w:snapToGrid w:val="0"/>
          <w:color w:val="000000" w:themeColor="text1"/>
          <w:kern w:val="21"/>
          <w:sz w:val="30"/>
          <w:szCs w:val="30"/>
          <w:lang w:eastAsia="zh-CN"/>
          <w14:textFill>
            <w14:solidFill>
              <w14:schemeClr w14:val="tx1"/>
            </w14:solidFill>
          </w14:textFill>
        </w:rPr>
      </w:pPr>
      <w:bookmarkStart w:id="51" w:name="_GoBack"/>
      <w:bookmarkEnd w:id="51"/>
    </w:p>
    <w:p w14:paraId="207C7571">
      <w:pPr>
        <w:adjustRightInd w:val="0"/>
        <w:snapToGrid w:val="0"/>
        <w:spacing w:line="288" w:lineRule="auto"/>
        <w:jc w:val="center"/>
        <w:rPr>
          <w:rFonts w:hint="default" w:ascii="Times New Roman" w:hAnsi="Times New Roman" w:cs="Times New Roman" w:eastAsiaTheme="minorEastAsia"/>
          <w:snapToGrid w:val="0"/>
          <w:color w:val="000000" w:themeColor="text1"/>
          <w:kern w:val="21"/>
          <w:sz w:val="30"/>
          <w:szCs w:val="30"/>
          <w:lang w:eastAsia="zh-CN"/>
          <w14:textFill>
            <w14:solidFill>
              <w14:schemeClr w14:val="tx1"/>
            </w14:solidFill>
          </w14:textFill>
        </w:rPr>
      </w:pPr>
    </w:p>
    <w:p w14:paraId="096BE81B">
      <w:pPr>
        <w:adjustRightInd w:val="0"/>
        <w:snapToGrid w:val="0"/>
        <w:spacing w:line="288" w:lineRule="auto"/>
        <w:jc w:val="center"/>
        <w:rPr>
          <w:rFonts w:hint="default" w:ascii="Times New Roman" w:hAnsi="Times New Roman" w:cs="Times New Roman" w:eastAsiaTheme="minorEastAsia"/>
          <w:snapToGrid w:val="0"/>
          <w:color w:val="000000" w:themeColor="text1"/>
          <w:kern w:val="21"/>
          <w:sz w:val="30"/>
          <w:szCs w:val="30"/>
          <w:lang w:eastAsia="zh-CN"/>
          <w14:textFill>
            <w14:solidFill>
              <w14:schemeClr w14:val="tx1"/>
            </w14:solidFill>
          </w14:textFill>
        </w:rPr>
      </w:pPr>
    </w:p>
    <w:p w14:paraId="23910523">
      <w:pPr>
        <w:adjustRightInd w:val="0"/>
        <w:snapToGrid w:val="0"/>
        <w:spacing w:line="288" w:lineRule="auto"/>
        <w:jc w:val="center"/>
        <w:rPr>
          <w:rFonts w:hint="default" w:ascii="Times New Roman" w:hAnsi="Times New Roman" w:cs="Times New Roman" w:eastAsiaTheme="minorEastAsia"/>
          <w:snapToGrid w:val="0"/>
          <w:color w:val="000000" w:themeColor="text1"/>
          <w:kern w:val="21"/>
          <w:sz w:val="30"/>
          <w:szCs w:val="30"/>
          <w:lang w:eastAsia="zh-CN"/>
          <w14:textFill>
            <w14:solidFill>
              <w14:schemeClr w14:val="tx1"/>
            </w14:solidFill>
          </w14:textFill>
        </w:rPr>
      </w:pPr>
    </w:p>
    <w:p w14:paraId="4CE1F96F">
      <w:pPr>
        <w:adjustRightInd w:val="0"/>
        <w:snapToGrid w:val="0"/>
        <w:spacing w:line="288" w:lineRule="auto"/>
        <w:jc w:val="center"/>
        <w:rPr>
          <w:rFonts w:hint="default" w:ascii="Times New Roman" w:hAnsi="Times New Roman" w:cs="Times New Roman" w:eastAsiaTheme="minorEastAsia"/>
          <w:snapToGrid w:val="0"/>
          <w:color w:val="000000" w:themeColor="text1"/>
          <w:kern w:val="21"/>
          <w:sz w:val="30"/>
          <w:szCs w:val="30"/>
          <w:lang w:eastAsia="zh-CN"/>
          <w14:textFill>
            <w14:solidFill>
              <w14:schemeClr w14:val="tx1"/>
            </w14:solidFill>
          </w14:textFill>
        </w:rPr>
      </w:pPr>
    </w:p>
    <w:p w14:paraId="6B77046E">
      <w:pPr>
        <w:adjustRightInd w:val="0"/>
        <w:snapToGrid w:val="0"/>
        <w:spacing w:line="288" w:lineRule="auto"/>
        <w:jc w:val="center"/>
        <w:rPr>
          <w:rFonts w:hint="default" w:ascii="Times New Roman" w:hAnsi="Times New Roman" w:cs="Times New Roman" w:eastAsiaTheme="minorEastAsia"/>
          <w:snapToGrid w:val="0"/>
          <w:color w:val="000000" w:themeColor="text1"/>
          <w:kern w:val="21"/>
          <w:sz w:val="30"/>
          <w:szCs w:val="30"/>
          <w:lang w:eastAsia="zh-CN"/>
          <w14:textFill>
            <w14:solidFill>
              <w14:schemeClr w14:val="tx1"/>
            </w14:solidFill>
          </w14:textFill>
        </w:rPr>
      </w:pPr>
    </w:p>
    <w:p w14:paraId="5B554106">
      <w:pPr>
        <w:pStyle w:val="30"/>
        <w:jc w:val="center"/>
        <w:outlineLvl w:val="0"/>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pPr>
      <w:r>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t>一、建设项目基本情况</w:t>
      </w:r>
    </w:p>
    <w:tbl>
      <w:tblPr>
        <w:tblStyle w:val="35"/>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2"/>
        <w:gridCol w:w="1965"/>
        <w:gridCol w:w="1981"/>
        <w:gridCol w:w="2856"/>
      </w:tblGrid>
      <w:tr w14:paraId="0E812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14:paraId="1AC75990">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建设项目名称</w:t>
            </w:r>
          </w:p>
        </w:tc>
        <w:tc>
          <w:tcPr>
            <w:tcW w:w="6802" w:type="dxa"/>
            <w:gridSpan w:val="3"/>
            <w:vAlign w:val="center"/>
          </w:tcPr>
          <w:p w14:paraId="1C5C3B48">
            <w:pPr>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福清市珑诚电子科技有限公司年加工电脑显示器锌合金支架100万个，</w:t>
            </w:r>
          </w:p>
          <w:p w14:paraId="37837153">
            <w:pPr>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铝合金支架350万个</w:t>
            </w:r>
          </w:p>
        </w:tc>
      </w:tr>
      <w:tr w14:paraId="357DF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14:paraId="2DA12525">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项目代码</w:t>
            </w:r>
          </w:p>
        </w:tc>
        <w:tc>
          <w:tcPr>
            <w:tcW w:w="6802" w:type="dxa"/>
            <w:gridSpan w:val="3"/>
            <w:vAlign w:val="center"/>
          </w:tcPr>
          <w:p w14:paraId="07F3C442">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2508-350181-04-01-488135</w:t>
            </w:r>
          </w:p>
        </w:tc>
      </w:tr>
      <w:tr w14:paraId="0E682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14:paraId="4437736F">
            <w:pPr>
              <w:jc w:val="center"/>
              <w:rPr>
                <w:rFonts w:hint="default" w:ascii="Times New Roman" w:hAnsi="Times New Roman" w:cs="Times New Roman" w:eastAsiaTheme="minorEastAsia"/>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建设单位联系人</w:t>
            </w:r>
          </w:p>
        </w:tc>
        <w:tc>
          <w:tcPr>
            <w:tcW w:w="1965" w:type="dxa"/>
            <w:vAlign w:val="center"/>
          </w:tcPr>
          <w:p w14:paraId="122155EE">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c>
          <w:tcPr>
            <w:tcW w:w="1981" w:type="dxa"/>
            <w:vAlign w:val="center"/>
          </w:tcPr>
          <w:p w14:paraId="1A931122">
            <w:pPr>
              <w:jc w:val="center"/>
              <w:rPr>
                <w:rFonts w:hint="default" w:ascii="Times New Roman" w:hAnsi="Times New Roman" w:cs="Times New Roman" w:eastAsiaTheme="minorEastAsia"/>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联系方式</w:t>
            </w:r>
          </w:p>
        </w:tc>
        <w:tc>
          <w:tcPr>
            <w:tcW w:w="2856" w:type="dxa"/>
            <w:vAlign w:val="center"/>
          </w:tcPr>
          <w:p w14:paraId="3CF2E9BE">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p>
        </w:tc>
      </w:tr>
      <w:tr w14:paraId="7E21B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14:paraId="7D3A03F5">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建设地点</w:t>
            </w:r>
          </w:p>
        </w:tc>
        <w:tc>
          <w:tcPr>
            <w:tcW w:w="6802" w:type="dxa"/>
            <w:gridSpan w:val="3"/>
            <w:vAlign w:val="center"/>
          </w:tcPr>
          <w:p w14:paraId="02420C6A">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福建省福州市福清市阳下街道洪宽工业区</w:t>
            </w:r>
          </w:p>
          <w:p w14:paraId="20E58453">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（租赁福清洪添科技有限公司</w:t>
            </w:r>
            <w:r>
              <w:rPr>
                <w:rFonts w:hint="eastAsia" w:ascii="Times New Roman" w:hAnsi="Times New Roman" w:cs="Times New Roman" w:eastAsiaTheme="minorEastAsia"/>
                <w:color w:val="000000" w:themeColor="text1"/>
                <w:kern w:val="21"/>
                <w:szCs w:val="21"/>
                <w:lang w:val="en-US" w:eastAsia="zh-CN"/>
                <w14:textFill>
                  <w14:solidFill>
                    <w14:schemeClr w14:val="tx1"/>
                  </w14:solidFill>
                </w14:textFill>
              </w:rPr>
              <w:t>车间1</w:t>
            </w:r>
            <w:r>
              <w:rPr>
                <w:rFonts w:hint="default" w:ascii="Times New Roman" w:hAnsi="Times New Roman" w:cs="Times New Roman" w:eastAsiaTheme="minorEastAsia"/>
                <w:color w:val="000000" w:themeColor="text1"/>
                <w:kern w:val="21"/>
                <w:szCs w:val="21"/>
                <w14:textFill>
                  <w14:solidFill>
                    <w14:schemeClr w14:val="tx1"/>
                  </w14:solidFill>
                </w14:textFill>
              </w:rPr>
              <w:t>第1、2层）</w:t>
            </w:r>
          </w:p>
        </w:tc>
      </w:tr>
      <w:tr w14:paraId="02A10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2" w:type="dxa"/>
            <w:tcMar>
              <w:top w:w="16" w:type="dxa"/>
              <w:left w:w="16" w:type="dxa"/>
              <w:right w:w="16" w:type="dxa"/>
            </w:tcMar>
            <w:vAlign w:val="center"/>
          </w:tcPr>
          <w:p w14:paraId="32B03312">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地理坐标</w:t>
            </w:r>
          </w:p>
        </w:tc>
        <w:tc>
          <w:tcPr>
            <w:tcW w:w="6802" w:type="dxa"/>
            <w:gridSpan w:val="3"/>
            <w:vAlign w:val="center"/>
          </w:tcPr>
          <w:p w14:paraId="0244C133">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kern w:val="21"/>
                <w:szCs w:val="21"/>
                <w:highlight w:val="none"/>
                <w:u w:val="single"/>
                <w14:textFill>
                  <w14:solidFill>
                    <w14:schemeClr w14:val="tx1"/>
                  </w14:solidFill>
                </w14:textFill>
              </w:rPr>
              <w:t>119</w:t>
            </w: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度</w:t>
            </w:r>
            <w:r>
              <w:rPr>
                <w:rFonts w:hint="default" w:ascii="Times New Roman" w:hAnsi="Times New Roman" w:cs="Times New Roman" w:eastAsiaTheme="minorEastAsia"/>
                <w:color w:val="000000" w:themeColor="text1"/>
                <w:kern w:val="21"/>
                <w:szCs w:val="21"/>
                <w:highlight w:val="none"/>
                <w:u w:val="single"/>
                <w:lang w:val="en-US" w:eastAsia="zh-CN"/>
                <w14:textFill>
                  <w14:solidFill>
                    <w14:schemeClr w14:val="tx1"/>
                  </w14:solidFill>
                </w14:textFill>
              </w:rPr>
              <w:t>25</w:t>
            </w: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分</w:t>
            </w:r>
            <w:r>
              <w:rPr>
                <w:rFonts w:hint="eastAsia" w:cs="Times New Roman" w:eastAsiaTheme="minorEastAsia"/>
                <w:color w:val="000000" w:themeColor="text1"/>
                <w:kern w:val="21"/>
                <w:szCs w:val="21"/>
                <w:highlight w:val="none"/>
                <w:u w:val="single"/>
                <w:lang w:val="en-US" w:eastAsia="zh-CN"/>
                <w14:textFill>
                  <w14:solidFill>
                    <w14:schemeClr w14:val="tx1"/>
                  </w14:solidFill>
                </w14:textFill>
              </w:rPr>
              <w:t>15.211</w:t>
            </w: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秒，</w:t>
            </w:r>
            <w:r>
              <w:rPr>
                <w:rFonts w:hint="default" w:ascii="Times New Roman" w:hAnsi="Times New Roman" w:cs="Times New Roman" w:eastAsiaTheme="minorEastAsia"/>
                <w:color w:val="000000" w:themeColor="text1"/>
                <w:kern w:val="21"/>
                <w:szCs w:val="21"/>
                <w:highlight w:val="none"/>
                <w:u w:val="single"/>
                <w:lang w:val="en-US" w:eastAsia="zh-CN"/>
                <w14:textFill>
                  <w14:solidFill>
                    <w14:schemeClr w14:val="tx1"/>
                  </w14:solidFill>
                </w14:textFill>
              </w:rPr>
              <w:t>25</w:t>
            </w: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度</w:t>
            </w:r>
            <w:r>
              <w:rPr>
                <w:rFonts w:hint="default" w:ascii="Times New Roman" w:hAnsi="Times New Roman" w:cs="Times New Roman" w:eastAsiaTheme="minorEastAsia"/>
                <w:color w:val="000000" w:themeColor="text1"/>
                <w:kern w:val="21"/>
                <w:szCs w:val="21"/>
                <w:highlight w:val="none"/>
                <w:u w:val="single"/>
                <w:lang w:val="en-US" w:eastAsia="zh-CN"/>
                <w14:textFill>
                  <w14:solidFill>
                    <w14:schemeClr w14:val="tx1"/>
                  </w14:solidFill>
                </w14:textFill>
              </w:rPr>
              <w:t>45</w:t>
            </w: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分</w:t>
            </w:r>
            <w:r>
              <w:rPr>
                <w:rFonts w:hint="default" w:ascii="Times New Roman" w:hAnsi="Times New Roman" w:cs="Times New Roman" w:eastAsiaTheme="minorEastAsia"/>
                <w:color w:val="000000" w:themeColor="text1"/>
                <w:kern w:val="21"/>
                <w:szCs w:val="21"/>
                <w:highlight w:val="none"/>
                <w:u w:val="single"/>
                <w:lang w:val="en-US" w:eastAsia="zh-CN"/>
                <w14:textFill>
                  <w14:solidFill>
                    <w14:schemeClr w14:val="tx1"/>
                  </w14:solidFill>
                </w14:textFill>
              </w:rPr>
              <w:t>5</w:t>
            </w:r>
            <w:r>
              <w:rPr>
                <w:rFonts w:hint="eastAsia" w:cs="Times New Roman" w:eastAsiaTheme="minorEastAsia"/>
                <w:color w:val="000000" w:themeColor="text1"/>
                <w:kern w:val="21"/>
                <w:szCs w:val="21"/>
                <w:highlight w:val="none"/>
                <w:u w:val="single"/>
                <w:lang w:val="en-US" w:eastAsia="zh-CN"/>
                <w14:textFill>
                  <w14:solidFill>
                    <w14:schemeClr w14:val="tx1"/>
                  </w14:solidFill>
                </w14:textFill>
              </w:rPr>
              <w:t>4.349</w:t>
            </w: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秒）</w:t>
            </w:r>
          </w:p>
        </w:tc>
      </w:tr>
      <w:tr w14:paraId="2D80B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14:paraId="21FF1835">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国民经济</w:t>
            </w:r>
          </w:p>
          <w:p w14:paraId="13FE6671">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行业类别</w:t>
            </w:r>
          </w:p>
        </w:tc>
        <w:tc>
          <w:tcPr>
            <w:tcW w:w="1965" w:type="dxa"/>
            <w:vAlign w:val="center"/>
          </w:tcPr>
          <w:p w14:paraId="5D3F62C6">
            <w:pPr>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C</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 xml:space="preserve">3392 </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有色金属铸造</w:t>
            </w:r>
          </w:p>
        </w:tc>
        <w:tc>
          <w:tcPr>
            <w:tcW w:w="1981" w:type="dxa"/>
            <w:vAlign w:val="center"/>
          </w:tcPr>
          <w:p w14:paraId="6AF334F0">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bookmarkStart w:id="0" w:name="_Hlk49843745"/>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建设项目</w:t>
            </w:r>
          </w:p>
          <w:p w14:paraId="50CC3C7B">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行业类别</w:t>
            </w:r>
            <w:bookmarkEnd w:id="0"/>
          </w:p>
        </w:tc>
        <w:tc>
          <w:tcPr>
            <w:tcW w:w="2856" w:type="dxa"/>
            <w:vAlign w:val="center"/>
          </w:tcPr>
          <w:p w14:paraId="58134175">
            <w:pPr>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三十、金属制造业33</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6</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8铸造及其他金属制品制造339—其他（仅分割、焊接、组装的除外）</w:t>
            </w:r>
          </w:p>
        </w:tc>
      </w:tr>
      <w:tr w14:paraId="2A82F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14:paraId="27BD597A">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建设性质</w:t>
            </w:r>
          </w:p>
        </w:tc>
        <w:tc>
          <w:tcPr>
            <w:tcW w:w="1965" w:type="dxa"/>
            <w:vAlign w:val="center"/>
          </w:tcPr>
          <w:p w14:paraId="27E05AD3">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21"/>
                <w:szCs w:val="21"/>
                <w14:textFill>
                  <w14:solidFill>
                    <w14:schemeClr w14:val="tx1"/>
                  </w14:solidFill>
                </w14:textFill>
              </w:rPr>
              <w:t>新建（迁建）</w:t>
            </w:r>
          </w:p>
          <w:p w14:paraId="583AE97E">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□改建</w:t>
            </w:r>
          </w:p>
          <w:p w14:paraId="4C6A144C">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21"/>
                <w:szCs w:val="21"/>
                <w14:textFill>
                  <w14:solidFill>
                    <w14:schemeClr w14:val="tx1"/>
                  </w14:solidFill>
                </w14:textFill>
              </w:rPr>
              <w:t>扩建</w:t>
            </w:r>
          </w:p>
          <w:p w14:paraId="4973450B">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□技术改造</w:t>
            </w:r>
          </w:p>
        </w:tc>
        <w:tc>
          <w:tcPr>
            <w:tcW w:w="1981" w:type="dxa"/>
            <w:vAlign w:val="center"/>
          </w:tcPr>
          <w:p w14:paraId="7A56B118">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建设项目申报情形</w:t>
            </w:r>
          </w:p>
        </w:tc>
        <w:tc>
          <w:tcPr>
            <w:tcW w:w="2856" w:type="dxa"/>
            <w:vAlign w:val="center"/>
          </w:tcPr>
          <w:p w14:paraId="65CE8276">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21"/>
                <w:szCs w:val="21"/>
                <w14:textFill>
                  <w14:solidFill>
                    <w14:schemeClr w14:val="tx1"/>
                  </w14:solidFill>
                </w14:textFill>
              </w:rPr>
              <w:t>首次申报项目</w:t>
            </w:r>
          </w:p>
          <w:p w14:paraId="1365AC33">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□不予批准后再次申报项目</w:t>
            </w:r>
          </w:p>
          <w:p w14:paraId="4A04FB9C">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□超五年重新审核项目</w:t>
            </w:r>
          </w:p>
          <w:p w14:paraId="4D2A0296">
            <w:pPr>
              <w:jc w:val="left"/>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□重大变动重新报批项目</w:t>
            </w:r>
          </w:p>
        </w:tc>
      </w:tr>
      <w:tr w14:paraId="0BEE4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14:paraId="05955011">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项目审批（核准/</w:t>
            </w:r>
          </w:p>
          <w:p w14:paraId="76BD5AEE">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备案）部门（选填）</w:t>
            </w:r>
          </w:p>
        </w:tc>
        <w:tc>
          <w:tcPr>
            <w:tcW w:w="1965" w:type="dxa"/>
            <w:vAlign w:val="center"/>
          </w:tcPr>
          <w:p w14:paraId="4DB73B53">
            <w:pPr>
              <w:jc w:val="cente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t>福清市发展和改革局</w:t>
            </w:r>
          </w:p>
        </w:tc>
        <w:tc>
          <w:tcPr>
            <w:tcW w:w="1981" w:type="dxa"/>
            <w:vAlign w:val="center"/>
          </w:tcPr>
          <w:p w14:paraId="6EC28816">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项目审批（核准/</w:t>
            </w:r>
          </w:p>
          <w:p w14:paraId="57DB2838">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备案）文号（选填）</w:t>
            </w:r>
          </w:p>
        </w:tc>
        <w:tc>
          <w:tcPr>
            <w:tcW w:w="2856" w:type="dxa"/>
            <w:vAlign w:val="center"/>
          </w:tcPr>
          <w:p w14:paraId="4D1EB932">
            <w:pPr>
              <w:jc w:val="center"/>
              <w:rPr>
                <w:rFonts w:hint="default" w:ascii="Times New Roman" w:hAnsi="Times New Roman" w:cs="Times New Roman" w:eastAsiaTheme="minorEastAsia"/>
                <w:color w:val="000000" w:themeColor="text1"/>
                <w:kern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t>闽发改备[2025]A060320号</w:t>
            </w:r>
          </w:p>
        </w:tc>
      </w:tr>
      <w:tr w14:paraId="30D4C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14:paraId="0D0291C2">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总投资（万元）</w:t>
            </w:r>
          </w:p>
        </w:tc>
        <w:tc>
          <w:tcPr>
            <w:tcW w:w="1965" w:type="dxa"/>
            <w:vAlign w:val="center"/>
          </w:tcPr>
          <w:p w14:paraId="3DD381B7">
            <w:pPr>
              <w:jc w:val="cente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t>300</w:t>
            </w:r>
          </w:p>
        </w:tc>
        <w:tc>
          <w:tcPr>
            <w:tcW w:w="1981" w:type="dxa"/>
            <w:tcMar>
              <w:top w:w="16" w:type="dxa"/>
              <w:left w:w="16" w:type="dxa"/>
              <w:right w:w="16" w:type="dxa"/>
            </w:tcMar>
            <w:vAlign w:val="center"/>
          </w:tcPr>
          <w:p w14:paraId="163103F4">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环保投资（万元）</w:t>
            </w:r>
          </w:p>
        </w:tc>
        <w:tc>
          <w:tcPr>
            <w:tcW w:w="2856" w:type="dxa"/>
            <w:vAlign w:val="center"/>
          </w:tcPr>
          <w:p w14:paraId="3ED21868">
            <w:pPr>
              <w:jc w:val="cente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t>35</w:t>
            </w:r>
          </w:p>
        </w:tc>
      </w:tr>
      <w:tr w14:paraId="07364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14:paraId="2EBDCBA0">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环保投资占比（%）</w:t>
            </w:r>
          </w:p>
        </w:tc>
        <w:tc>
          <w:tcPr>
            <w:tcW w:w="1965" w:type="dxa"/>
            <w:vAlign w:val="center"/>
          </w:tcPr>
          <w:p w14:paraId="2F7E13C0">
            <w:pPr>
              <w:jc w:val="cente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t>23.3</w:t>
            </w:r>
          </w:p>
        </w:tc>
        <w:tc>
          <w:tcPr>
            <w:tcW w:w="1981" w:type="dxa"/>
            <w:tcMar>
              <w:top w:w="16" w:type="dxa"/>
              <w:left w:w="16" w:type="dxa"/>
              <w:right w:w="16" w:type="dxa"/>
            </w:tcMar>
            <w:vAlign w:val="center"/>
          </w:tcPr>
          <w:p w14:paraId="591D9048">
            <w:pPr>
              <w:jc w:val="center"/>
              <w:rPr>
                <w:rFonts w:hint="default" w:ascii="Times New Roman" w:hAnsi="Times New Roman" w:cs="Times New Roman" w:eastAsiaTheme="minorEastAsia"/>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1"/>
                <w:highlight w:val="none"/>
                <w14:textFill>
                  <w14:solidFill>
                    <w14:schemeClr w14:val="tx1"/>
                  </w14:solidFill>
                </w14:textFill>
              </w:rPr>
              <w:t>施工工期</w:t>
            </w:r>
          </w:p>
        </w:tc>
        <w:tc>
          <w:tcPr>
            <w:tcW w:w="2856" w:type="dxa"/>
            <w:vAlign w:val="center"/>
          </w:tcPr>
          <w:p w14:paraId="27E99D4A">
            <w:pPr>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2025年10月~2025年12月</w:t>
            </w:r>
          </w:p>
          <w:p w14:paraId="6FF82577">
            <w:pPr>
              <w:jc w:val="center"/>
              <w:rPr>
                <w:rFonts w:hint="default" w:ascii="Times New Roman" w:hAnsi="Times New Roman" w:cs="Times New Roman" w:eastAsiaTheme="minorEastAsia"/>
                <w:color w:val="000000" w:themeColor="text1"/>
                <w:kern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3个月</w:t>
            </w:r>
          </w:p>
        </w:tc>
      </w:tr>
      <w:tr w14:paraId="0858E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tcMar>
              <w:top w:w="16" w:type="dxa"/>
              <w:left w:w="16" w:type="dxa"/>
              <w:right w:w="16" w:type="dxa"/>
            </w:tcMar>
            <w:vAlign w:val="center"/>
          </w:tcPr>
          <w:p w14:paraId="7BB46426">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是否开工建设</w:t>
            </w:r>
          </w:p>
        </w:tc>
        <w:tc>
          <w:tcPr>
            <w:tcW w:w="1965" w:type="dxa"/>
            <w:vAlign w:val="center"/>
          </w:tcPr>
          <w:p w14:paraId="39DA2C85">
            <w:pP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√否</w:t>
            </w:r>
          </w:p>
          <w:p w14:paraId="64D2DF6F">
            <w:pP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□是：</w:t>
            </w:r>
            <w:r>
              <w:rPr>
                <w:rFonts w:hint="default" w:ascii="Times New Roman" w:hAnsi="Times New Roman" w:cs="Times New Roman" w:eastAsiaTheme="minorEastAsia"/>
                <w:color w:val="000000" w:themeColor="text1"/>
                <w:kern w:val="21"/>
                <w:szCs w:val="21"/>
                <w:u w:val="single"/>
                <w14:textFill>
                  <w14:solidFill>
                    <w14:schemeClr w14:val="tx1"/>
                  </w14:solidFill>
                </w14:textFill>
              </w:rPr>
              <w:t xml:space="preserve">         </w:t>
            </w:r>
          </w:p>
        </w:tc>
        <w:tc>
          <w:tcPr>
            <w:tcW w:w="1981" w:type="dxa"/>
            <w:tcMar>
              <w:top w:w="16" w:type="dxa"/>
              <w:left w:w="16" w:type="dxa"/>
              <w:right w:w="16" w:type="dxa"/>
            </w:tcMar>
            <w:vAlign w:val="center"/>
          </w:tcPr>
          <w:p w14:paraId="18913A5E">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用地（用海）</w:t>
            </w:r>
          </w:p>
          <w:p w14:paraId="097A950D">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面积（m</w:t>
            </w:r>
            <w:r>
              <w:rPr>
                <w:rFonts w:hint="default" w:ascii="Times New Roman" w:hAnsi="Times New Roman" w:cs="Times New Roman" w:eastAsiaTheme="minorEastAsia"/>
                <w:color w:val="000000" w:themeColor="text1"/>
                <w:kern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kern w:val="21"/>
                <w:szCs w:val="21"/>
                <w14:textFill>
                  <w14:solidFill>
                    <w14:schemeClr w14:val="tx1"/>
                  </w14:solidFill>
                </w14:textFill>
              </w:rPr>
              <w:t>）</w:t>
            </w:r>
          </w:p>
        </w:tc>
        <w:tc>
          <w:tcPr>
            <w:tcW w:w="2856" w:type="dxa"/>
            <w:vAlign w:val="center"/>
          </w:tcPr>
          <w:p w14:paraId="1DAFB942">
            <w:pPr>
              <w:jc w:val="center"/>
              <w:rPr>
                <w:rFonts w:hint="default" w:ascii="Times New Roman" w:hAnsi="Times New Roman" w:cs="Times New Roman" w:eastAsiaTheme="minorEastAsia"/>
                <w:color w:val="000000" w:themeColor="text1"/>
                <w:kern w:val="21"/>
                <w:szCs w:val="21"/>
                <w:lang w:val="en-US"/>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厂房面积3050</w:t>
            </w:r>
            <w:r>
              <w:rPr>
                <w:rFonts w:hint="default" w:ascii="Times New Roman" w:hAnsi="Times New Roman" w:cs="Times New Roman" w:eastAsiaTheme="minorEastAsia"/>
                <w:color w:val="000000" w:themeColor="text1"/>
                <w:kern w:val="21"/>
                <w:szCs w:val="21"/>
                <w14:textFill>
                  <w14:solidFill>
                    <w14:schemeClr w14:val="tx1"/>
                  </w14:solidFill>
                </w14:textFill>
              </w:rPr>
              <w:t>m</w:t>
            </w:r>
            <w:r>
              <w:rPr>
                <w:rFonts w:hint="default" w:ascii="Times New Roman" w:hAnsi="Times New Roman" w:cs="Times New Roman" w:eastAsiaTheme="minorEastAsia"/>
                <w:color w:val="000000" w:themeColor="text1"/>
                <w:kern w:val="21"/>
                <w:szCs w:val="21"/>
                <w:vertAlign w:val="superscript"/>
                <w14:textFill>
                  <w14:solidFill>
                    <w14:schemeClr w14:val="tx1"/>
                  </w14:solidFill>
                </w14:textFill>
              </w:rPr>
              <w:t>2</w:t>
            </w:r>
          </w:p>
        </w:tc>
      </w:tr>
      <w:tr w14:paraId="32339A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14:paraId="6E145528">
            <w:pPr>
              <w:autoSpaceDE w:val="0"/>
              <w:autoSpaceDN w:val="0"/>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专项评价</w:t>
            </w:r>
          </w:p>
          <w:p w14:paraId="07D0713F">
            <w:pPr>
              <w:autoSpaceDE w:val="0"/>
              <w:autoSpaceDN w:val="0"/>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设置情况</w:t>
            </w:r>
          </w:p>
        </w:tc>
        <w:tc>
          <w:tcPr>
            <w:tcW w:w="6802" w:type="dxa"/>
            <w:gridSpan w:val="3"/>
            <w:vAlign w:val="center"/>
          </w:tcPr>
          <w:p w14:paraId="7C853454">
            <w:pPr>
              <w:autoSpaceDE w:val="0"/>
              <w:autoSpaceDN w:val="0"/>
              <w:adjustRightInd w:val="0"/>
              <w:snapToGrid w:val="0"/>
              <w:spacing w:line="340" w:lineRule="exact"/>
              <w:ind w:firstLine="420" w:firstLineChars="200"/>
              <w:jc w:val="left"/>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根据《建设项目环境影响报告表编制技术指南(污染影响类)(试行)》，项目工程专项设置情况参照表1专项评价设置原则表，项目不设置专项评价，具体详见表1</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.1-1</w:t>
            </w:r>
            <w:r>
              <w:rPr>
                <w:rFonts w:hint="default" w:ascii="Times New Roman" w:hAnsi="Times New Roman" w:cs="Times New Roman" w:eastAsiaTheme="minorEastAsia"/>
                <w:color w:val="000000" w:themeColor="text1"/>
                <w:kern w:val="0"/>
                <w:szCs w:val="21"/>
                <w14:textFill>
                  <w14:solidFill>
                    <w14:schemeClr w14:val="tx1"/>
                  </w14:solidFill>
                </w14:textFill>
              </w:rPr>
              <w:t>。</w:t>
            </w:r>
          </w:p>
          <w:p w14:paraId="21706281">
            <w:pPr>
              <w:spacing w:before="156" w:beforeLines="5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表1</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.1-1 </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项目专项评价设置表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53"/>
              <w:gridCol w:w="2649"/>
              <w:gridCol w:w="2273"/>
              <w:gridCol w:w="700"/>
            </w:tblGrid>
            <w:tr w14:paraId="1DD4A3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58" w:hRule="atLeast"/>
                <w:jc w:val="center"/>
              </w:trPr>
              <w:tc>
                <w:tcPr>
                  <w:tcW w:w="753" w:type="dxa"/>
                  <w:noWrap w:val="0"/>
                  <w:vAlign w:val="center"/>
                </w:tcPr>
                <w:p w14:paraId="1716CD41">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专项评价类别</w:t>
                  </w:r>
                </w:p>
              </w:tc>
              <w:tc>
                <w:tcPr>
                  <w:tcW w:w="2649" w:type="dxa"/>
                  <w:noWrap w:val="0"/>
                  <w:vAlign w:val="center"/>
                </w:tcPr>
                <w:p w14:paraId="5DF25439">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涉及项目类别</w:t>
                  </w:r>
                </w:p>
              </w:tc>
              <w:tc>
                <w:tcPr>
                  <w:tcW w:w="2273" w:type="dxa"/>
                  <w:noWrap w:val="0"/>
                  <w:vAlign w:val="center"/>
                </w:tcPr>
                <w:p w14:paraId="0FC8FB36">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本项目评价</w:t>
                  </w:r>
                </w:p>
              </w:tc>
              <w:tc>
                <w:tcPr>
                  <w:tcW w:w="700" w:type="dxa"/>
                  <w:noWrap w:val="0"/>
                  <w:vAlign w:val="center"/>
                </w:tcPr>
                <w:p w14:paraId="4765C970">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是否设置专项</w:t>
                  </w:r>
                </w:p>
              </w:tc>
            </w:tr>
            <w:tr w14:paraId="4FC82A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14:paraId="2DE042AB">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大气</w:t>
                  </w:r>
                </w:p>
              </w:tc>
              <w:tc>
                <w:tcPr>
                  <w:tcW w:w="2649" w:type="dxa"/>
                  <w:noWrap w:val="0"/>
                  <w:vAlign w:val="center"/>
                </w:tcPr>
                <w:p w14:paraId="25689E66">
                  <w:pP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排放废气含有毒有害污染物、二噁英、苯并[a]芘、氰化物、氯气且厂界外500米范围内有环境空气保护目标的建设项目</w:t>
                  </w:r>
                </w:p>
              </w:tc>
              <w:tc>
                <w:tcPr>
                  <w:tcW w:w="2273" w:type="dxa"/>
                  <w:noWrap w:val="0"/>
                  <w:vAlign w:val="center"/>
                </w:tcPr>
                <w:p w14:paraId="1243BBEF">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lang w:eastAsia="zh-CN"/>
                      <w14:textFill>
                        <w14:solidFill>
                          <w14:schemeClr w14:val="tx1"/>
                        </w14:solidFill>
                      </w14:textFill>
                    </w:rPr>
                    <w:t>本</w:t>
                  </w:r>
                  <w:r>
                    <w:rPr>
                      <w:rFonts w:hint="default" w:ascii="Times New Roman" w:hAnsi="Times New Roman" w:cs="Times New Roman" w:eastAsiaTheme="minorEastAsia"/>
                      <w:color w:val="000000" w:themeColor="text1"/>
                      <w:sz w:val="18"/>
                      <w:szCs w:val="18"/>
                      <w14:textFill>
                        <w14:solidFill>
                          <w14:schemeClr w14:val="tx1"/>
                        </w14:solidFill>
                      </w14:textFill>
                    </w:rPr>
                    <w:t>项目产生的废气污染物</w:t>
                  </w:r>
                  <w:r>
                    <w:rPr>
                      <w:rFonts w:hint="default" w:ascii="Times New Roman" w:hAnsi="Times New Roman" w:cs="Times New Roman" w:eastAsiaTheme="minorEastAsia"/>
                      <w:color w:val="000000" w:themeColor="text1"/>
                      <w:sz w:val="18"/>
                      <w:szCs w:val="18"/>
                      <w:lang w:eastAsia="zh-CN"/>
                      <w14:textFill>
                        <w14:solidFill>
                          <w14:schemeClr w14:val="tx1"/>
                        </w14:solidFill>
                      </w14:textFill>
                    </w:rPr>
                    <w:t>主要</w:t>
                  </w:r>
                  <w:r>
                    <w:rPr>
                      <w:rFonts w:hint="default" w:ascii="Times New Roman" w:hAnsi="Times New Roman" w:cs="Times New Roman" w:eastAsiaTheme="minorEastAsia"/>
                      <w:color w:val="000000" w:themeColor="text1"/>
                      <w:sz w:val="18"/>
                      <w:szCs w:val="18"/>
                      <w14:textFill>
                        <w14:solidFill>
                          <w14:schemeClr w14:val="tx1"/>
                        </w14:solidFill>
                      </w14:textFill>
                    </w:rPr>
                    <w:t>为非甲烷总烃、颗粒物</w:t>
                  </w:r>
                </w:p>
              </w:tc>
              <w:tc>
                <w:tcPr>
                  <w:tcW w:w="700" w:type="dxa"/>
                  <w:noWrap w:val="0"/>
                  <w:vAlign w:val="center"/>
                </w:tcPr>
                <w:p w14:paraId="6477498E">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lang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eastAsia="zh-CN"/>
                      <w14:textFill>
                        <w14:solidFill>
                          <w14:schemeClr w14:val="tx1"/>
                        </w14:solidFill>
                      </w14:textFill>
                    </w:rPr>
                    <w:t>否</w:t>
                  </w:r>
                </w:p>
              </w:tc>
            </w:tr>
            <w:tr w14:paraId="73E420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14:paraId="14AED4AC">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地表水</w:t>
                  </w:r>
                </w:p>
              </w:tc>
              <w:tc>
                <w:tcPr>
                  <w:tcW w:w="2649" w:type="dxa"/>
                  <w:noWrap w:val="0"/>
                  <w:vAlign w:val="center"/>
                </w:tcPr>
                <w:p w14:paraId="7B5EA289">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新增工业废水直排建设项目(槽罐车外送污水处理厂的除外)；新增废水直排的污水集中处理厂</w:t>
                  </w:r>
                </w:p>
              </w:tc>
              <w:tc>
                <w:tcPr>
                  <w:tcW w:w="2273" w:type="dxa"/>
                  <w:noWrap w:val="0"/>
                  <w:vAlign w:val="center"/>
                </w:tcPr>
                <w:p w14:paraId="05EF306E">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lang w:eastAsia="zh-CN"/>
                      <w14:textFill>
                        <w14:solidFill>
                          <w14:schemeClr w14:val="tx1"/>
                        </w14:solidFill>
                      </w14:textFill>
                    </w:rPr>
                    <w:t>本</w:t>
                  </w: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项目</w:t>
                  </w:r>
                  <w:r>
                    <w:rPr>
                      <w:rFonts w:hint="default" w:ascii="Times New Roman" w:hAnsi="Times New Roman" w:cs="Times New Roman" w:eastAsiaTheme="minorEastAsia"/>
                      <w:color w:val="000000" w:themeColor="text1"/>
                      <w:sz w:val="18"/>
                      <w:szCs w:val="18"/>
                      <w:highlight w:val="none"/>
                      <w:lang w:eastAsia="zh-CN"/>
                      <w14:textFill>
                        <w14:solidFill>
                          <w14:schemeClr w14:val="tx1"/>
                        </w14:solidFill>
                      </w14:textFill>
                    </w:rPr>
                    <w:t>不排放</w:t>
                  </w: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生产废水；生活污水经化粪池预处理后接入市政污水管网</w:t>
                  </w:r>
                </w:p>
              </w:tc>
              <w:tc>
                <w:tcPr>
                  <w:tcW w:w="700" w:type="dxa"/>
                  <w:noWrap w:val="0"/>
                  <w:vAlign w:val="center"/>
                </w:tcPr>
                <w:p w14:paraId="24009CAA">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否</w:t>
                  </w:r>
                </w:p>
              </w:tc>
            </w:tr>
            <w:tr w14:paraId="58C641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14:paraId="175393D4">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环境</w:t>
                  </w:r>
                </w:p>
                <w:p w14:paraId="5281E19D">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风险</w:t>
                  </w:r>
                </w:p>
              </w:tc>
              <w:tc>
                <w:tcPr>
                  <w:tcW w:w="2649" w:type="dxa"/>
                  <w:noWrap w:val="0"/>
                  <w:vAlign w:val="center"/>
                </w:tcPr>
                <w:p w14:paraId="154A9305">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有毒有害和易燃易爆危险物质存储量超过临界量的建设项目</w:t>
                  </w:r>
                </w:p>
              </w:tc>
              <w:tc>
                <w:tcPr>
                  <w:tcW w:w="2273" w:type="dxa"/>
                  <w:noWrap w:val="0"/>
                  <w:vAlign w:val="center"/>
                </w:tcPr>
                <w:p w14:paraId="7969D817">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t>本项目不涉及危险化学品，有毒有害和易燃易爆危险物质存储量不超过临界量</w:t>
                  </w:r>
                </w:p>
              </w:tc>
              <w:tc>
                <w:tcPr>
                  <w:tcW w:w="700" w:type="dxa"/>
                  <w:noWrap w:val="0"/>
                  <w:vAlign w:val="center"/>
                </w:tcPr>
                <w:p w14:paraId="2ACFB023">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否</w:t>
                  </w:r>
                </w:p>
              </w:tc>
            </w:tr>
            <w:tr w14:paraId="5657B0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14:paraId="3CFCB5EF">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生态</w:t>
                  </w:r>
                </w:p>
              </w:tc>
              <w:tc>
                <w:tcPr>
                  <w:tcW w:w="2649" w:type="dxa"/>
                  <w:noWrap w:val="0"/>
                  <w:vAlign w:val="center"/>
                </w:tcPr>
                <w:p w14:paraId="6D159B3F">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取水口下游500米范围内有重要水生生物的自然产卵场、索饵场、越冬场和洄游通道的新增河道取水的污染类建设项目</w:t>
                  </w:r>
                </w:p>
              </w:tc>
              <w:tc>
                <w:tcPr>
                  <w:tcW w:w="2273" w:type="dxa"/>
                  <w:noWrap w:val="0"/>
                  <w:vAlign w:val="center"/>
                </w:tcPr>
                <w:p w14:paraId="43F8B02C">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lang w:eastAsia="zh-CN"/>
                      <w14:textFill>
                        <w14:solidFill>
                          <w14:schemeClr w14:val="tx1"/>
                        </w14:solidFill>
                      </w14:textFill>
                    </w:rPr>
                    <w:t>本</w:t>
                  </w: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项目使用自来水，</w:t>
                  </w:r>
                  <w:r>
                    <w:rPr>
                      <w:rFonts w:hint="default" w:ascii="Times New Roman" w:hAnsi="Times New Roman" w:cs="Times New Roman" w:eastAsiaTheme="minorEastAsia"/>
                      <w:color w:val="000000" w:themeColor="text1"/>
                      <w:sz w:val="18"/>
                      <w:szCs w:val="18"/>
                      <w:highlight w:val="none"/>
                      <w:lang w:val="en-US" w:eastAsia="zh-CN"/>
                      <w14:textFill>
                        <w14:solidFill>
                          <w14:schemeClr w14:val="tx1"/>
                        </w14:solidFill>
                      </w14:textFill>
                    </w:rPr>
                    <w:t>不涉及</w:t>
                  </w: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取水口</w:t>
                  </w:r>
                </w:p>
              </w:tc>
              <w:tc>
                <w:tcPr>
                  <w:tcW w:w="700" w:type="dxa"/>
                  <w:noWrap w:val="0"/>
                  <w:vAlign w:val="center"/>
                </w:tcPr>
                <w:p w14:paraId="66051EE8">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否</w:t>
                  </w:r>
                </w:p>
              </w:tc>
            </w:tr>
            <w:tr w14:paraId="55CCC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53" w:type="dxa"/>
                  <w:noWrap w:val="0"/>
                  <w:vAlign w:val="center"/>
                </w:tcPr>
                <w:p w14:paraId="55D82800">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海洋</w:t>
                  </w:r>
                </w:p>
              </w:tc>
              <w:tc>
                <w:tcPr>
                  <w:tcW w:w="2649" w:type="dxa"/>
                  <w:noWrap w:val="0"/>
                  <w:vAlign w:val="center"/>
                </w:tcPr>
                <w:p w14:paraId="7FDE43FA">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直接向海排放污染物的海洋工程建设项目</w:t>
                  </w:r>
                </w:p>
              </w:tc>
              <w:tc>
                <w:tcPr>
                  <w:tcW w:w="2273" w:type="dxa"/>
                  <w:noWrap w:val="0"/>
                  <w:vAlign w:val="center"/>
                </w:tcPr>
                <w:p w14:paraId="23163F95">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lang w:eastAsia="zh-CN"/>
                      <w14:textFill>
                        <w14:solidFill>
                          <w14:schemeClr w14:val="tx1"/>
                        </w14:solidFill>
                      </w14:textFill>
                    </w:rPr>
                    <w:t>本</w:t>
                  </w:r>
                  <w:r>
                    <w:rPr>
                      <w:rFonts w:hint="default" w:ascii="Times New Roman" w:hAnsi="Times New Roman" w:cs="Times New Roman" w:eastAsiaTheme="minorEastAsia"/>
                      <w:color w:val="000000" w:themeColor="text1"/>
                      <w:sz w:val="18"/>
                      <w:szCs w:val="18"/>
                      <w14:textFill>
                        <w14:solidFill>
                          <w14:schemeClr w14:val="tx1"/>
                        </w14:solidFill>
                      </w14:textFill>
                    </w:rPr>
                    <w:t>项目不属于向海洋排放污染物的海洋工程项目</w:t>
                  </w:r>
                </w:p>
              </w:tc>
              <w:tc>
                <w:tcPr>
                  <w:tcW w:w="700" w:type="dxa"/>
                  <w:noWrap w:val="0"/>
                  <w:vAlign w:val="center"/>
                </w:tcPr>
                <w:p w14:paraId="1193CD6A">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否</w:t>
                  </w:r>
                </w:p>
              </w:tc>
            </w:tr>
          </w:tbl>
          <w:p w14:paraId="526FF569">
            <w:pPr>
              <w:autoSpaceDE w:val="0"/>
              <w:autoSpaceDN w:val="0"/>
              <w:jc w:val="center"/>
              <w:rPr>
                <w:rFonts w:hint="default" w:ascii="Times New Roman" w:hAnsi="Times New Roman" w:cs="Times New Roman" w:eastAsiaTheme="minorEastAsia"/>
                <w:color w:val="000000" w:themeColor="text1"/>
                <w:kern w:val="0"/>
                <w:szCs w:val="21"/>
                <w14:textFill>
                  <w14:solidFill>
                    <w14:schemeClr w14:val="tx1"/>
                  </w14:solidFill>
                </w14:textFill>
              </w:rPr>
            </w:pPr>
          </w:p>
        </w:tc>
      </w:tr>
      <w:tr w14:paraId="6B610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14:paraId="252F86C2">
            <w:pPr>
              <w:autoSpaceDE w:val="0"/>
              <w:autoSpaceDN w:val="0"/>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规划情况</w:t>
            </w:r>
          </w:p>
        </w:tc>
        <w:tc>
          <w:tcPr>
            <w:tcW w:w="6802" w:type="dxa"/>
            <w:gridSpan w:val="3"/>
            <w:vAlign w:val="center"/>
          </w:tcPr>
          <w:p w14:paraId="5858A30B">
            <w:pPr>
              <w:autoSpaceDE w:val="0"/>
              <w:autoSpaceDN w:val="0"/>
              <w:spacing w:line="360" w:lineRule="auto"/>
              <w:jc w:val="left"/>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规划名称：《福清融侨经济技术开发区总体规划（2018-2035年）》</w:t>
            </w:r>
          </w:p>
          <w:p w14:paraId="09CEC2A3">
            <w:pPr>
              <w:autoSpaceDE w:val="0"/>
              <w:autoSpaceDN w:val="0"/>
              <w:spacing w:line="360" w:lineRule="auto"/>
              <w:jc w:val="left"/>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审批机关：福清市人民政府</w:t>
            </w:r>
          </w:p>
          <w:p w14:paraId="54281252">
            <w:pPr>
              <w:autoSpaceDE w:val="0"/>
              <w:autoSpaceDN w:val="0"/>
              <w:spacing w:line="360" w:lineRule="auto"/>
              <w:jc w:val="left"/>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审批文件名称及文号：《福清市人民政府关于同意融侨经济技术开发区总体规划</w:t>
            </w: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2018-2035年）编制范围的批复》（融政综</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2019</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189号）</w:t>
            </w:r>
          </w:p>
        </w:tc>
      </w:tr>
      <w:tr w14:paraId="08E0B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14:paraId="60BB175A">
            <w:pPr>
              <w:jc w:val="center"/>
              <w:rPr>
                <w:rFonts w:hint="default" w:ascii="Times New Roman" w:hAnsi="Times New Roman" w:cs="Times New Roman" w:eastAsiaTheme="minorEastAsia"/>
                <w:b w:val="0"/>
                <w:bCs w:val="0"/>
                <w:color w:val="000000" w:themeColor="text1"/>
                <w:kern w:val="2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1"/>
                <w:sz w:val="21"/>
                <w:szCs w:val="21"/>
                <w14:textFill>
                  <w14:solidFill>
                    <w14:schemeClr w14:val="tx1"/>
                  </w14:solidFill>
                </w14:textFill>
              </w:rPr>
              <w:t>规划环境影响</w:t>
            </w:r>
          </w:p>
          <w:p w14:paraId="20FC5AF8">
            <w:pPr>
              <w:jc w:val="center"/>
              <w:rPr>
                <w:rFonts w:hint="default" w:ascii="Times New Roman" w:hAnsi="Times New Roman" w:cs="Times New Roman" w:eastAsiaTheme="minorEastAsia"/>
                <w:b w:val="0"/>
                <w:bCs w:val="0"/>
                <w:color w:val="000000" w:themeColor="text1"/>
                <w:kern w:val="2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1"/>
                <w:sz w:val="21"/>
                <w:szCs w:val="21"/>
                <w14:textFill>
                  <w14:solidFill>
                    <w14:schemeClr w14:val="tx1"/>
                  </w14:solidFill>
                </w14:textFill>
              </w:rPr>
              <w:t>评价情况</w:t>
            </w:r>
          </w:p>
        </w:tc>
        <w:tc>
          <w:tcPr>
            <w:tcW w:w="6802" w:type="dxa"/>
            <w:gridSpan w:val="3"/>
            <w:vAlign w:val="center"/>
          </w:tcPr>
          <w:p w14:paraId="37B2E1B3">
            <w:pPr>
              <w:autoSpaceDE w:val="0"/>
              <w:autoSpaceDN w:val="0"/>
              <w:spacing w:line="360" w:lineRule="auto"/>
              <w:jc w:val="left"/>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规划环境影响评价文件名称：《福清融侨经济技术开发区总体规划（2018-2035）环境影响报告书》</w:t>
            </w:r>
          </w:p>
          <w:p w14:paraId="662DAACC">
            <w:pPr>
              <w:autoSpaceDE w:val="0"/>
              <w:autoSpaceDN w:val="0"/>
              <w:spacing w:line="360" w:lineRule="auto"/>
              <w:jc w:val="left"/>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审查机关：中华人民共和国生态环境部</w:t>
            </w:r>
          </w:p>
          <w:p w14:paraId="58CBC791">
            <w:pPr>
              <w:autoSpaceDE w:val="0"/>
              <w:autoSpaceDN w:val="0"/>
              <w:spacing w:line="360" w:lineRule="auto"/>
              <w:jc w:val="left"/>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审查文件名称及文号：《福清融侨经济技术开发区总体规划（2018-2035）环境影响报告书》（环审</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2020</w:t>
            </w:r>
            <w:r>
              <w:rPr>
                <w:rFonts w:hint="default"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80号）</w:t>
            </w:r>
          </w:p>
        </w:tc>
      </w:tr>
      <w:tr w14:paraId="68B08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14:paraId="1BA8FB70">
            <w:pPr>
              <w:autoSpaceDE w:val="0"/>
              <w:autoSpaceDN w:val="0"/>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Cs w:val="21"/>
                <w14:textFill>
                  <w14:solidFill>
                    <w14:schemeClr w14:val="tx1"/>
                  </w14:solidFill>
                </w14:textFill>
              </w:rPr>
              <w:t>规划及规划环境影响评价符合性分析</w:t>
            </w:r>
          </w:p>
        </w:tc>
        <w:tc>
          <w:tcPr>
            <w:tcW w:w="6802" w:type="dxa"/>
            <w:gridSpan w:val="3"/>
            <w:vAlign w:val="center"/>
          </w:tcPr>
          <w:p w14:paraId="1F52CEE9">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根据《福清融侨经济技术开发区总体规划环境影响报告书(2018-2035年)》及其审查意见(环审[2020]80号)，融侨经济技术开发区主要</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产业</w:t>
            </w:r>
            <w:r>
              <w:rPr>
                <w:rFonts w:hint="default" w:ascii="Times New Roman" w:hAnsi="Times New Roman" w:cs="Times New Roman" w:eastAsiaTheme="minorEastAsia"/>
                <w:color w:val="000000" w:themeColor="text1"/>
                <w:kern w:val="0"/>
                <w:sz w:val="21"/>
                <w:szCs w:val="21"/>
                <w14:textFill>
                  <w14:solidFill>
                    <w14:schemeClr w14:val="tx1"/>
                  </w14:solidFill>
                </w14:textFill>
              </w:rPr>
              <w:t>电子信息：显示科技、光电科技、电子元器件、通讯设备、计算机与智能终端设备等</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14:textFill>
                  <w14:solidFill>
                    <w14:schemeClr w14:val="tx1"/>
                  </w14:solidFill>
                </w14:textFill>
              </w:rPr>
              <w:t>机械电气：数控机床、精密</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模</w:t>
            </w:r>
            <w:r>
              <w:rPr>
                <w:rFonts w:hint="default" w:ascii="Times New Roman" w:hAnsi="Times New Roman" w:cs="Times New Roman" w:eastAsiaTheme="minorEastAsia"/>
                <w:color w:val="000000" w:themeColor="text1"/>
                <w:kern w:val="0"/>
                <w:sz w:val="21"/>
                <w:szCs w:val="21"/>
                <w14:textFill>
                  <w14:solidFill>
                    <w14:schemeClr w14:val="tx1"/>
                  </w14:solidFill>
                </w14:textFill>
              </w:rPr>
              <w:t>具、光机电一体化等</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14:textFill>
                  <w14:solidFill>
                    <w14:schemeClr w14:val="tx1"/>
                  </w14:solidFill>
                </w14:textFill>
              </w:rPr>
              <w:t>汽车零配件：汽配玻璃、汽车零部件、变速器、汽车轴承等</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p>
          <w:p w14:paraId="17B94F3A">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本项目位于</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项目位于福建省福州市福清市阳下街道洪宽工业区（</w:t>
            </w:r>
            <w:r>
              <w:rPr>
                <w:rFonts w:hint="default" w:ascii="Times New Roman" w:hAnsi="Times New Roman" w:cs="Times New Roman" w:eastAsiaTheme="minorEastAsia"/>
                <w:color w:val="000000" w:themeColor="text1"/>
                <w:kern w:val="21"/>
                <w:szCs w:val="21"/>
                <w14:textFill>
                  <w14:solidFill>
                    <w14:schemeClr w14:val="tx1"/>
                  </w14:solidFill>
                </w14:textFill>
              </w:rPr>
              <w:t>租赁福清洪添科技有限公司</w:t>
            </w:r>
            <w:r>
              <w:rPr>
                <w:rFonts w:hint="eastAsia" w:ascii="Times New Roman" w:hAnsi="Times New Roman" w:cs="Times New Roman" w:eastAsiaTheme="minorEastAsia"/>
                <w:color w:val="000000" w:themeColor="text1"/>
                <w:kern w:val="21"/>
                <w:szCs w:val="21"/>
                <w:lang w:val="en-US" w:eastAsia="zh-CN"/>
                <w14:textFill>
                  <w14:solidFill>
                    <w14:schemeClr w14:val="tx1"/>
                  </w14:solidFill>
                </w14:textFill>
              </w:rPr>
              <w:t>车间1</w:t>
            </w:r>
            <w:r>
              <w:rPr>
                <w:rFonts w:hint="default" w:ascii="Times New Roman" w:hAnsi="Times New Roman" w:cs="Times New Roman" w:eastAsiaTheme="minorEastAsia"/>
                <w:color w:val="000000" w:themeColor="text1"/>
                <w:kern w:val="21"/>
                <w:szCs w:val="21"/>
                <w14:textFill>
                  <w14:solidFill>
                    <w14:schemeClr w14:val="tx1"/>
                  </w14:solidFill>
                </w14:textFill>
              </w:rPr>
              <w:t>第1、2层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属于福清融侨经济技术开发区的核心区之一</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。规划环境影响报告书</w:t>
            </w:r>
            <w:r>
              <w:rPr>
                <w:rFonts w:hint="eastAsia" w:cs="Times New Roman" w:eastAsiaTheme="minorEastAsia"/>
                <w:color w:val="000000" w:themeColor="text1"/>
                <w:kern w:val="0"/>
                <w:sz w:val="21"/>
                <w:szCs w:val="21"/>
                <w:lang w:val="en-US" w:eastAsia="zh-CN"/>
                <w14:textFill>
                  <w14:solidFill>
                    <w14:schemeClr w14:val="tx1"/>
                  </w14:solidFill>
                </w14:textFill>
              </w:rPr>
              <w:t>中提出的</w:t>
            </w:r>
            <w:r>
              <w:rPr>
                <w:rFonts w:hint="eastAsia" w:ascii="Times New Roman" w:hAnsi="Times New Roman" w:cs="Times New Roman" w:eastAsiaTheme="minorEastAsia"/>
                <w:color w:val="000000" w:themeColor="text1"/>
                <w:kern w:val="0"/>
                <w:sz w:val="21"/>
                <w:szCs w:val="21"/>
                <w:lang w:val="en-US" w:eastAsia="zh-CN"/>
                <w14:textFill>
                  <w14:solidFill>
                    <w14:schemeClr w14:val="tx1"/>
                  </w14:solidFill>
                </w14:textFill>
              </w:rPr>
              <w:t>‘规划区主导产业环境准入行业”为：</w:t>
            </w:r>
            <w:r>
              <w:rPr>
                <w:rFonts w:hint="default" w:ascii="Times New Roman" w:hAnsi="Times New Roman" w:cs="Times New Roman" w:eastAsiaTheme="minorEastAsia"/>
                <w:color w:val="000000" w:themeColor="text1"/>
                <w:kern w:val="0"/>
                <w:sz w:val="21"/>
                <w:szCs w:val="21"/>
                <w14:textFill>
                  <w14:solidFill>
                    <w14:schemeClr w14:val="tx1"/>
                  </w14:solidFill>
                </w14:textFill>
              </w:rPr>
              <w:t>C29、C304、C33、C34、C35、C36、C38、C39、C40</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本</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项目从事</w:t>
            </w:r>
            <w:r>
              <w:rPr>
                <w:rFonts w:hint="default" w:ascii="Times New Roman" w:hAnsi="Times New Roman" w:cs="Times New Roman" w:eastAsiaTheme="minorEastAsia"/>
                <w:color w:val="000000" w:themeColor="text1"/>
                <w14:textFill>
                  <w14:solidFill>
                    <w14:schemeClr w14:val="tx1"/>
                  </w14:solidFill>
                </w14:textFill>
              </w:rPr>
              <w:t>电脑显示器</w:t>
            </w:r>
            <w:r>
              <w:rPr>
                <w:rFonts w:hint="default" w:ascii="Times New Roman" w:hAnsi="Times New Roman" w:cs="Times New Roman" w:eastAsiaTheme="minorEastAsia"/>
                <w:color w:val="000000" w:themeColor="text1"/>
                <w:lang w:val="en-US" w:eastAsia="zh-CN"/>
                <w14:textFill>
                  <w14:solidFill>
                    <w14:schemeClr w14:val="tx1"/>
                  </w14:solidFill>
                </w14:textFill>
              </w:rPr>
              <w:t>铝合金和锌合金</w:t>
            </w:r>
            <w:r>
              <w:rPr>
                <w:rFonts w:hint="default" w:ascii="Times New Roman" w:hAnsi="Times New Roman" w:cs="Times New Roman" w:eastAsiaTheme="minorEastAsia"/>
                <w:color w:val="000000" w:themeColor="text1"/>
                <w14:textFill>
                  <w14:solidFill>
                    <w14:schemeClr w14:val="tx1"/>
                  </w14:solidFill>
                </w14:textFill>
              </w:rPr>
              <w:t>支架</w:t>
            </w:r>
            <w:r>
              <w:rPr>
                <w:rFonts w:hint="default" w:ascii="Times New Roman" w:hAnsi="Times New Roman" w:cs="Times New Roman" w:eastAsiaTheme="minorEastAsia"/>
                <w:color w:val="000000" w:themeColor="text1"/>
                <w:lang w:val="en-US" w:eastAsia="zh-CN"/>
                <w14:textFill>
                  <w14:solidFill>
                    <w14:schemeClr w14:val="tx1"/>
                  </w14:solidFill>
                </w14:textFill>
              </w:rPr>
              <w:t>的生产，主要涉及熔化、压铸和机加工工艺，属于</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C3392有色金属铸造，</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属于</w:t>
            </w:r>
            <w:r>
              <w:rPr>
                <w:rFonts w:hint="default" w:ascii="Times New Roman" w:hAnsi="Times New Roman" w:cs="Times New Roman" w:eastAsiaTheme="minorEastAsia"/>
                <w:color w:val="000000" w:themeColor="text1"/>
                <w:kern w:val="0"/>
                <w:sz w:val="21"/>
                <w:szCs w:val="21"/>
                <w14:textFill>
                  <w14:solidFill>
                    <w14:schemeClr w14:val="tx1"/>
                  </w14:solidFill>
                </w14:textFill>
              </w:rPr>
              <w:t>C33</w:t>
            </w:r>
            <w:r>
              <w:rPr>
                <w:rFonts w:hint="default" w:ascii="Times New Roman" w:hAnsi="Times New Roman" w:cs="Times New Roman" w:eastAsiaTheme="minorEastAsia"/>
                <w:color w:val="000000" w:themeColor="text1"/>
                <w:highlight w:val="none"/>
                <w14:textFill>
                  <w14:solidFill>
                    <w14:schemeClr w14:val="tx1"/>
                  </w14:solidFill>
                </w14:textFill>
              </w:rPr>
              <w:t>金属制造业</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为开发区主导行业，</w:t>
            </w:r>
            <w:r>
              <w:rPr>
                <w:rFonts w:hint="default" w:ascii="Times New Roman" w:hAnsi="Times New Roman" w:cs="Times New Roman" w:eastAsiaTheme="minorEastAsia"/>
                <w:color w:val="000000" w:themeColor="text1"/>
                <w:kern w:val="0"/>
                <w:sz w:val="21"/>
                <w:szCs w:val="21"/>
                <w14:textFill>
                  <w14:solidFill>
                    <w14:schemeClr w14:val="tx1"/>
                  </w14:solidFill>
                </w14:textFill>
              </w:rPr>
              <w:t>符合该园区规划环评的产业政策。</w:t>
            </w:r>
          </w:p>
          <w:p w14:paraId="14831691">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项目与规划区主导产业环境准入清单符合性分析见表1.1-2。</w:t>
            </w:r>
          </w:p>
          <w:p w14:paraId="000A7AB9">
            <w:pPr>
              <w:spacing w:before="156" w:beforeLines="50" w:line="240" w:lineRule="auto"/>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表1.</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1-2</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项目与规划区主导产业环境准入清单符合性分析</w:t>
            </w:r>
          </w:p>
          <w:tbl>
            <w:tblPr>
              <w:tblStyle w:val="35"/>
              <w:tblW w:w="66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7"/>
              <w:gridCol w:w="349"/>
              <w:gridCol w:w="3460"/>
              <w:gridCol w:w="1200"/>
              <w:gridCol w:w="717"/>
            </w:tblGrid>
            <w:tr w14:paraId="3FB1A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tcBorders>
                    <w:tl2br w:val="nil"/>
                    <w:tr2bl w:val="nil"/>
                  </w:tcBorders>
                  <w:vAlign w:val="center"/>
                </w:tcPr>
                <w:p w14:paraId="30FD7C0A">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类别名称</w:t>
                  </w:r>
                </w:p>
              </w:tc>
              <w:tc>
                <w:tcPr>
                  <w:tcW w:w="2871" w:type="pct"/>
                  <w:gridSpan w:val="2"/>
                  <w:tcBorders>
                    <w:tl2br w:val="nil"/>
                    <w:tr2bl w:val="nil"/>
                  </w:tcBorders>
                  <w:vAlign w:val="center"/>
                </w:tcPr>
                <w:p w14:paraId="70B212DD">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准入要求</w:t>
                  </w:r>
                </w:p>
              </w:tc>
              <w:tc>
                <w:tcPr>
                  <w:tcW w:w="904" w:type="pct"/>
                  <w:tcBorders>
                    <w:tl2br w:val="nil"/>
                    <w:tr2bl w:val="nil"/>
                  </w:tcBorders>
                  <w:vAlign w:val="center"/>
                </w:tcPr>
                <w:p w14:paraId="3DD80EB1">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本项目情况</w:t>
                  </w:r>
                </w:p>
              </w:tc>
              <w:tc>
                <w:tcPr>
                  <w:tcW w:w="540" w:type="pct"/>
                  <w:tcBorders>
                    <w:tl2br w:val="nil"/>
                    <w:tr2bl w:val="nil"/>
                  </w:tcBorders>
                  <w:vAlign w:val="center"/>
                </w:tcPr>
                <w:p w14:paraId="0AAC6077">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14:paraId="3031E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restart"/>
                  <w:tcBorders>
                    <w:tl2br w:val="nil"/>
                    <w:tr2bl w:val="nil"/>
                  </w:tcBorders>
                  <w:vAlign w:val="center"/>
                </w:tcPr>
                <w:p w14:paraId="0A2EA554">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33金属制品业</w:t>
                  </w:r>
                </w:p>
              </w:tc>
              <w:tc>
                <w:tcPr>
                  <w:tcW w:w="263" w:type="pct"/>
                  <w:tcBorders>
                    <w:tl2br w:val="nil"/>
                    <w:tr2bl w:val="nil"/>
                  </w:tcBorders>
                  <w:vAlign w:val="center"/>
                </w:tcPr>
                <w:p w14:paraId="54E7B3A2">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空间布局约束</w:t>
                  </w:r>
                </w:p>
              </w:tc>
              <w:tc>
                <w:tcPr>
                  <w:tcW w:w="2608" w:type="pct"/>
                  <w:tcBorders>
                    <w:tl2br w:val="nil"/>
                    <w:tr2bl w:val="nil"/>
                  </w:tcBorders>
                  <w:vAlign w:val="center"/>
                </w:tcPr>
                <w:p w14:paraId="11D768A6">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禁止新建：</w:t>
                  </w:r>
                </w:p>
                <w:p w14:paraId="61F6AE27">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1、使用有机涂层的（喷塑、电泳及高端项目配套除外）</w:t>
                  </w:r>
                </w:p>
                <w:p w14:paraId="58B2CB73">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2、涉及熔炼、电镀工艺</w:t>
                  </w:r>
                </w:p>
                <w:p w14:paraId="6D4F4932">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3、涉及钝化工艺的热镀锌</w:t>
                  </w:r>
                </w:p>
                <w:p w14:paraId="7068AE6A">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4、油性漆使用量超过10t/a喷漆工艺</w:t>
                  </w:r>
                </w:p>
                <w:p w14:paraId="46812A06">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5、使用火焰法除旧漆，使用干喷砂除锈</w:t>
                  </w:r>
                </w:p>
                <w:p w14:paraId="7F3AA352">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6、采用煤、油、生物质等非清洁能源</w:t>
                  </w:r>
                </w:p>
                <w:p w14:paraId="55D040CC">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7、铅酸蓄电池制造</w:t>
                  </w:r>
                </w:p>
                <w:p w14:paraId="1909EE78">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8、印刷电路板（高密度印刷电路板和柔性电路板除外）</w:t>
                  </w:r>
                </w:p>
                <w:p w14:paraId="21FC99AC">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现有生产能力允许企业在一定期限内采取措施改造升级</w:t>
                  </w:r>
                </w:p>
              </w:tc>
              <w:tc>
                <w:tcPr>
                  <w:tcW w:w="904" w:type="pct"/>
                  <w:tcBorders>
                    <w:tl2br w:val="nil"/>
                    <w:tr2bl w:val="nil"/>
                  </w:tcBorders>
                  <w:vAlign w:val="center"/>
                </w:tcPr>
                <w:p w14:paraId="3E63A5E4">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本项目属于新建项目，</w:t>
                  </w:r>
                  <w:r>
                    <w:rPr>
                      <w:rFonts w:hint="eastAsia" w:cs="Times New Roman" w:eastAsiaTheme="minorEastAsia"/>
                      <w:color w:val="000000" w:themeColor="text1"/>
                      <w:sz w:val="21"/>
                      <w:szCs w:val="21"/>
                      <w:lang w:val="en-US" w:eastAsia="zh-CN"/>
                      <w14:textFill>
                        <w14:solidFill>
                          <w14:schemeClr w14:val="tx1"/>
                        </w14:solidFill>
                      </w14:textFill>
                    </w:rPr>
                    <w:t>不属于</w:t>
                  </w:r>
                  <w:r>
                    <w:rPr>
                      <w:rFonts w:hint="default" w:ascii="Times New Roman" w:hAnsi="Times New Roman" w:cs="Times New Roman" w:eastAsiaTheme="minorEastAsia"/>
                      <w:color w:val="000000" w:themeColor="text1"/>
                      <w:sz w:val="21"/>
                      <w:szCs w:val="21"/>
                      <w14:textFill>
                        <w14:solidFill>
                          <w14:schemeClr w14:val="tx1"/>
                        </w14:solidFill>
                      </w14:textFill>
                    </w:rPr>
                    <w:t>铅酸蓄电池制</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印刷电路板</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工艺为熔化工艺，不属于熔炼、电镀工艺</w:t>
                  </w:r>
                  <w:r>
                    <w:rPr>
                      <w:rFonts w:hint="eastAsia" w:cs="Times New Roman" w:eastAsiaTheme="minorEastAsia"/>
                      <w:color w:val="000000" w:themeColor="text1"/>
                      <w:sz w:val="21"/>
                      <w:szCs w:val="21"/>
                      <w:lang w:val="en-US" w:eastAsia="zh-CN"/>
                      <w14:textFill>
                        <w14:solidFill>
                          <w14:schemeClr w14:val="tx1"/>
                        </w14:solidFill>
                      </w14:textFill>
                    </w:rPr>
                    <w:t>。项目不涉及喷漆工艺，不涉及干砂除锈工艺，生产工艺均采用电能。</w:t>
                  </w:r>
                </w:p>
              </w:tc>
              <w:tc>
                <w:tcPr>
                  <w:tcW w:w="540" w:type="pct"/>
                  <w:tcBorders>
                    <w:tl2br w:val="nil"/>
                    <w:tr2bl w:val="nil"/>
                  </w:tcBorders>
                  <w:vAlign w:val="center"/>
                </w:tcPr>
                <w:p w14:paraId="4447C346">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66CE7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continue"/>
                  <w:tcBorders>
                    <w:tl2br w:val="nil"/>
                    <w:tr2bl w:val="nil"/>
                  </w:tcBorders>
                  <w:vAlign w:val="center"/>
                </w:tcPr>
                <w:p w14:paraId="410EA415">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63" w:type="pct"/>
                  <w:tcBorders>
                    <w:tl2br w:val="nil"/>
                    <w:tr2bl w:val="nil"/>
                  </w:tcBorders>
                  <w:vAlign w:val="center"/>
                </w:tcPr>
                <w:p w14:paraId="28BA9A5A">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环境风险防控</w:t>
                  </w:r>
                </w:p>
              </w:tc>
              <w:tc>
                <w:tcPr>
                  <w:tcW w:w="2608" w:type="pct"/>
                  <w:tcBorders>
                    <w:tl2br w:val="nil"/>
                    <w:tr2bl w:val="nil"/>
                  </w:tcBorders>
                  <w:vAlign w:val="center"/>
                </w:tcPr>
                <w:p w14:paraId="0690C636">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1、必须规范配套应急池，建设企业、园区和周边水系三级环境风险防控工程，确保有效拦截、降污和倒流；受园区排污影响的周边水系应建设应急闸门，防止泄漏物和消防水等排入外环境。</w:t>
                  </w:r>
                </w:p>
                <w:p w14:paraId="6EACF37F">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2、开发区内污水处理设施应采取必要的防渗处理，不得污染地下水环境。</w:t>
                  </w:r>
                </w:p>
              </w:tc>
              <w:tc>
                <w:tcPr>
                  <w:tcW w:w="904" w:type="pct"/>
                  <w:tcBorders>
                    <w:tl2br w:val="nil"/>
                    <w:tr2bl w:val="nil"/>
                  </w:tcBorders>
                  <w:vAlign w:val="center"/>
                </w:tcPr>
                <w:p w14:paraId="1A0805B0">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本项目无生产废水排放，生活污水经化粪池处理接市政污水管网，化粪池采取防渗措施。</w:t>
                  </w:r>
                </w:p>
              </w:tc>
              <w:tc>
                <w:tcPr>
                  <w:tcW w:w="540" w:type="pct"/>
                  <w:tcBorders>
                    <w:tl2br w:val="nil"/>
                    <w:tr2bl w:val="nil"/>
                  </w:tcBorders>
                  <w:vAlign w:val="center"/>
                </w:tcPr>
                <w:p w14:paraId="00F37C23">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43692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continue"/>
                  <w:tcBorders>
                    <w:tl2br w:val="nil"/>
                    <w:tr2bl w:val="nil"/>
                  </w:tcBorders>
                  <w:vAlign w:val="center"/>
                </w:tcPr>
                <w:p w14:paraId="5139563F">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63" w:type="pct"/>
                  <w:tcBorders>
                    <w:tl2br w:val="nil"/>
                    <w:tr2bl w:val="nil"/>
                  </w:tcBorders>
                  <w:vAlign w:val="center"/>
                </w:tcPr>
                <w:p w14:paraId="11020F8A">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污染物排放管控</w:t>
                  </w:r>
                </w:p>
              </w:tc>
              <w:tc>
                <w:tcPr>
                  <w:tcW w:w="2608" w:type="pct"/>
                  <w:tcBorders>
                    <w:tl2br w:val="nil"/>
                    <w:tr2bl w:val="nil"/>
                  </w:tcBorders>
                  <w:vAlign w:val="center"/>
                </w:tcPr>
                <w:p w14:paraId="67D76B14">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1、新、改、扩建项目新增大气污染物（现阶段指SO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、NOx）排放量实行1.5倍削减替代（不含使用天然气、液化石油气等作为燃料的非火电锅炉和工业炉窑）。</w:t>
                  </w:r>
                </w:p>
                <w:p w14:paraId="7CFBC39B">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2、新、改、扩建项目新增VOCs排放量实行倍量削减替代。</w:t>
                  </w:r>
                </w:p>
                <w:p w14:paraId="3E18EDD4">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3、工业企业废水全部纳管进入污水厂集中处理后达标排放。</w:t>
                  </w:r>
                </w:p>
              </w:tc>
              <w:tc>
                <w:tcPr>
                  <w:tcW w:w="904" w:type="pct"/>
                  <w:tcBorders>
                    <w:tl2br w:val="nil"/>
                    <w:tr2bl w:val="nil"/>
                  </w:tcBorders>
                  <w:vAlign w:val="center"/>
                </w:tcPr>
                <w:p w14:paraId="5A71D0D0">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废气不涉及</w:t>
                  </w:r>
                  <w:r>
                    <w:rPr>
                      <w:rFonts w:hint="default" w:ascii="Times New Roman" w:hAnsi="Times New Roman" w:cs="Times New Roman" w:eastAsiaTheme="minorEastAsia"/>
                      <w:color w:val="000000" w:themeColor="text1"/>
                      <w:sz w:val="21"/>
                      <w:szCs w:val="21"/>
                      <w14:textFill>
                        <w14:solidFill>
                          <w14:schemeClr w14:val="tx1"/>
                        </w14:solidFill>
                      </w14:textFill>
                    </w:rPr>
                    <w:t>SO</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、NOx排放</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p w14:paraId="47C261F8">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2、本项目</w:t>
                  </w:r>
                  <w:r>
                    <w:rPr>
                      <w:rFonts w:hint="default" w:ascii="Times New Roman" w:hAnsi="Times New Roman" w:cs="Times New Roman" w:eastAsiaTheme="minorEastAsia"/>
                      <w:color w:val="000000" w:themeColor="text1"/>
                      <w:sz w:val="21"/>
                      <w:szCs w:val="21"/>
                      <w14:textFill>
                        <w14:solidFill>
                          <w14:schemeClr w14:val="tx1"/>
                        </w14:solidFill>
                      </w14:textFill>
                    </w:rPr>
                    <w:t>废气VOCs实行倍量</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调剂</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p w14:paraId="51A177EC">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项目无工业废水排放</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540" w:type="pct"/>
                  <w:tcBorders>
                    <w:tl2br w:val="nil"/>
                    <w:tr2bl w:val="nil"/>
                  </w:tcBorders>
                  <w:vAlign w:val="center"/>
                </w:tcPr>
                <w:p w14:paraId="1403EF77">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20A7E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683" w:type="pct"/>
                  <w:vMerge w:val="continue"/>
                  <w:tcBorders>
                    <w:tl2br w:val="nil"/>
                    <w:tr2bl w:val="nil"/>
                  </w:tcBorders>
                  <w:vAlign w:val="center"/>
                </w:tcPr>
                <w:p w14:paraId="26C3C89C">
                  <w:pPr>
                    <w:pBdr>
                      <w:top w:val="none" w:color="auto" w:sz="0" w:space="1"/>
                      <w:left w:val="none" w:color="auto" w:sz="0" w:space="4"/>
                      <w:bottom w:val="none" w:color="auto" w:sz="0" w:space="1"/>
                      <w:right w:val="none" w:color="auto" w:sz="0" w:space="4"/>
                    </w:pBdr>
                    <w:tabs>
                      <w:tab w:val="left" w:pos="387"/>
                    </w:tabs>
                    <w:spacing w:line="240" w:lineRule="auto"/>
                    <w:jc w:val="left"/>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263" w:type="pct"/>
                  <w:tcBorders>
                    <w:tl2br w:val="nil"/>
                    <w:tr2bl w:val="nil"/>
                  </w:tcBorders>
                  <w:vAlign w:val="center"/>
                </w:tcPr>
                <w:p w14:paraId="1958B8E5">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资源环境效率管控</w:t>
                  </w:r>
                </w:p>
              </w:tc>
              <w:tc>
                <w:tcPr>
                  <w:tcW w:w="2608" w:type="pct"/>
                  <w:tcBorders>
                    <w:tl2br w:val="nil"/>
                    <w:tr2bl w:val="nil"/>
                  </w:tcBorders>
                  <w:vAlign w:val="center"/>
                </w:tcPr>
                <w:p w14:paraId="5ED7C46F">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1、能耗不超过0.04吨标煤/万元工业增加值</w:t>
                  </w:r>
                </w:p>
                <w:p w14:paraId="27F0EF7D">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2、水耗不超过1.19t/万元工业增加值</w:t>
                  </w:r>
                </w:p>
                <w:p w14:paraId="69257673">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3、污水排放量不超过0.70t/万元工业增加值</w:t>
                  </w:r>
                </w:p>
                <w:p w14:paraId="3E5EB948">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4、VOCs排放量不超过0.43kg/万元工业增加值</w:t>
                  </w:r>
                </w:p>
                <w:p w14:paraId="523CCDDF">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根据建设单位提供资料，项目建成投产后工业增加值约为</w:t>
                  </w:r>
                  <w:r>
                    <w:rPr>
                      <w:rFonts w:hint="eastAsia" w:cs="Times New Roman" w:eastAsiaTheme="minorEastAsia"/>
                      <w:color w:val="000000" w:themeColor="text1"/>
                      <w:sz w:val="21"/>
                      <w:szCs w:val="21"/>
                      <w:lang w:val="en-US" w:eastAsia="zh-CN"/>
                      <w14:textFill>
                        <w14:solidFill>
                          <w14:schemeClr w14:val="tx1"/>
                        </w14:solidFill>
                      </w14:textFill>
                    </w:rPr>
                    <w:t>3000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万元，资源利用上限分别为</w:t>
                  </w:r>
                </w:p>
                <w:p w14:paraId="0963EB53">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1、能耗</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eastAsia"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0t</w:t>
                  </w:r>
                </w:p>
                <w:p w14:paraId="5BFE8712">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2、水耗</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3570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t</w:t>
                  </w:r>
                </w:p>
                <w:p w14:paraId="41A9798D">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3、污水排放量</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eastAsia"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00t</w:t>
                  </w:r>
                </w:p>
                <w:p w14:paraId="7E53077B">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4、VOCs排放量不超过</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eastAsia" w:cs="Times New Roman" w:eastAsiaTheme="minorEastAsia"/>
                      <w:color w:val="000000" w:themeColor="text1"/>
                      <w:sz w:val="21"/>
                      <w:szCs w:val="21"/>
                      <w:lang w:val="en-US" w:eastAsia="zh-CN"/>
                      <w14:textFill>
                        <w14:solidFill>
                          <w14:schemeClr w14:val="tx1"/>
                        </w14:solidFill>
                      </w14:textFill>
                    </w:rPr>
                    <w:t>29</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t</w:t>
                  </w:r>
                </w:p>
              </w:tc>
              <w:tc>
                <w:tcPr>
                  <w:tcW w:w="904" w:type="pct"/>
                  <w:tcBorders>
                    <w:tl2br w:val="nil"/>
                    <w:tr2bl w:val="nil"/>
                  </w:tcBorders>
                  <w:vAlign w:val="center"/>
                </w:tcPr>
                <w:p w14:paraId="65DDFCCB">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根据建设单位提供资料，项目建成投产后工业增加值约为</w:t>
                  </w:r>
                  <w:bookmarkStart w:id="1" w:name="工业增加值"/>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3000</w:t>
                  </w:r>
                  <w:bookmarkEnd w:id="1"/>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p w14:paraId="65C6228E">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1、能耗：73.74t</w:t>
                  </w:r>
                </w:p>
                <w:p w14:paraId="045E6396">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2、水耗：375t</w:t>
                  </w:r>
                </w:p>
                <w:p w14:paraId="26E8EA87">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3、污水排量：180t</w:t>
                  </w:r>
                </w:p>
                <w:p w14:paraId="5B12DD5A">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4、VOCs排放量：0.691</w:t>
                  </w:r>
                  <w:r>
                    <w:rPr>
                      <w:rFonts w:hint="eastAsia" w:cs="Times New Roman" w:eastAsiaTheme="minorEastAsia"/>
                      <w:color w:val="000000" w:themeColor="text1"/>
                      <w:sz w:val="21"/>
                      <w:szCs w:val="21"/>
                      <w:highlight w:val="none"/>
                      <w:lang w:val="en-US" w:eastAsia="zh-CN"/>
                      <w14:textFill>
                        <w14:solidFill>
                          <w14:schemeClr w14:val="tx1"/>
                        </w14:solidFill>
                      </w14:textFill>
                    </w:rPr>
                    <w:t>，不超过资源利用上限。</w:t>
                  </w:r>
                </w:p>
              </w:tc>
              <w:tc>
                <w:tcPr>
                  <w:tcW w:w="540" w:type="pct"/>
                  <w:tcBorders>
                    <w:tl2br w:val="nil"/>
                    <w:tr2bl w:val="nil"/>
                  </w:tcBorders>
                  <w:vAlign w:val="center"/>
                </w:tcPr>
                <w:p w14:paraId="4200A7C7">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符合</w:t>
                  </w:r>
                </w:p>
              </w:tc>
            </w:tr>
          </w:tbl>
          <w:p w14:paraId="13AAA7AA">
            <w:pPr>
              <w:autoSpaceDE w:val="0"/>
              <w:autoSpaceDN w:val="0"/>
              <w:spacing w:line="360" w:lineRule="auto"/>
              <w:ind w:firstLine="420" w:firstLineChars="200"/>
              <w:jc w:val="left"/>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“关于《福清融侨经济技术开发区总体规划（2018-2035年）环境影响报告书》的审查意见(环审[2020]80号）”指出</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14:textFill>
                  <w14:solidFill>
                    <w14:schemeClr w14:val="tx1"/>
                  </w14:solidFill>
                </w14:textFill>
              </w:rPr>
              <w:t>“严格入区项目生态环境准入强化现有及入区企业挥发性有机物排放控制，禁止新增排放涉重金属污染物项目入区，禁止与主导行业不相关且污染物排放量大的项目入区。”本项目挥发性有机物排放量较小，经收集后通过活性炭吸附装置处理后达标排放</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14:textFill>
                  <w14:solidFill>
                    <w14:schemeClr w14:val="tx1"/>
                  </w14:solidFill>
                </w14:textFill>
              </w:rPr>
              <w:t>对外环境影响较小</w:t>
            </w:r>
            <w:r>
              <w:rPr>
                <w:rFonts w:hint="eastAsia" w:cs="Times New Roman" w:eastAsiaTheme="minorEastAsia"/>
                <w:color w:val="000000" w:themeColor="text1"/>
                <w:kern w:val="0"/>
                <w:sz w:val="21"/>
                <w:szCs w:val="21"/>
                <w:lang w:eastAsia="zh-CN"/>
                <w14:textFill>
                  <w14:solidFill>
                    <w14:schemeClr w14:val="tx1"/>
                  </w14:solidFill>
                </w14:textFill>
              </w:rPr>
              <w:t>且</w:t>
            </w:r>
            <w:r>
              <w:rPr>
                <w:rFonts w:hint="default" w:ascii="Times New Roman" w:hAnsi="Times New Roman" w:cs="Times New Roman" w:eastAsiaTheme="minorEastAsia"/>
                <w:color w:val="000000" w:themeColor="text1"/>
                <w:kern w:val="0"/>
                <w:sz w:val="21"/>
                <w:szCs w:val="21"/>
                <w14:textFill>
                  <w14:solidFill>
                    <w14:schemeClr w14:val="tx1"/>
                  </w14:solidFill>
                </w14:textFill>
              </w:rPr>
              <w:t>本项目不涉及重金属污染物的排放，因此项目选址符合规划环境影响报告书审查意见的要求。</w:t>
            </w:r>
          </w:p>
        </w:tc>
      </w:tr>
      <w:tr w14:paraId="4EE78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vAlign w:val="center"/>
          </w:tcPr>
          <w:p w14:paraId="1892DA59">
            <w:pPr>
              <w:autoSpaceDE w:val="0"/>
              <w:autoSpaceDN w:val="0"/>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其他符合性</w:t>
            </w:r>
          </w:p>
          <w:p w14:paraId="715228DF">
            <w:pPr>
              <w:autoSpaceDE w:val="0"/>
              <w:autoSpaceDN w:val="0"/>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分析</w:t>
            </w:r>
          </w:p>
        </w:tc>
        <w:tc>
          <w:tcPr>
            <w:tcW w:w="6802" w:type="dxa"/>
            <w:gridSpan w:val="3"/>
            <w:vAlign w:val="center"/>
          </w:tcPr>
          <w:p w14:paraId="27D8E674">
            <w:pPr>
              <w:autoSpaceDE w:val="0"/>
              <w:autoSpaceDN w:val="0"/>
              <w:spacing w:line="360" w:lineRule="auto"/>
              <w:rPr>
                <w:rFonts w:hint="default" w:ascii="Times New Roman" w:hAnsi="Times New Roman" w:cs="Times New Roman" w:eastAsiaTheme="minorEastAsia"/>
                <w:b/>
                <w:bCs/>
                <w:color w:val="000000" w:themeColor="text1"/>
                <w:kern w:val="21"/>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 w:val="21"/>
                <w:szCs w:val="21"/>
                <w14:textFill>
                  <w14:solidFill>
                    <w14:schemeClr w14:val="tx1"/>
                  </w14:solidFill>
                </w14:textFill>
              </w:rPr>
              <w:t>1、规划及产业政策相符性分析</w:t>
            </w:r>
          </w:p>
          <w:p w14:paraId="06CDA3A0">
            <w:pPr>
              <w:autoSpaceDE w:val="0"/>
              <w:autoSpaceDN w:val="0"/>
              <w:spacing w:line="360" w:lineRule="auto"/>
              <w:rPr>
                <w:rFonts w:hint="default" w:ascii="Times New Roman" w:hAnsi="Times New Roman" w:cs="Times New Roman" w:eastAsiaTheme="minorEastAsia"/>
                <w:b/>
                <w:bCs/>
                <w:color w:val="000000" w:themeColor="text1"/>
                <w:kern w:val="21"/>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 w:val="21"/>
                <w:szCs w:val="21"/>
                <w14:textFill>
                  <w14:solidFill>
                    <w14:schemeClr w14:val="tx1"/>
                  </w14:solidFill>
                </w14:textFill>
              </w:rPr>
              <w:t>1.1产业政策符合性分析</w:t>
            </w:r>
          </w:p>
          <w:p w14:paraId="41C9323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eastAsiaTheme="minorEastAsia"/>
                <w:color w:val="000000" w:themeColor="text1"/>
                <w:highlight w:val="lightGray"/>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项目主要从事</w:t>
            </w:r>
            <w:r>
              <w:rPr>
                <w:rFonts w:hint="default" w:ascii="Times New Roman" w:hAnsi="Times New Roman" w:cs="Times New Roman" w:eastAsiaTheme="minorEastAsia"/>
                <w:color w:val="000000" w:themeColor="text1"/>
                <w14:textFill>
                  <w14:solidFill>
                    <w14:schemeClr w14:val="tx1"/>
                  </w14:solidFill>
                </w14:textFill>
              </w:rPr>
              <w:t>电脑显示器</w:t>
            </w:r>
            <w:r>
              <w:rPr>
                <w:rFonts w:hint="default" w:ascii="Times New Roman" w:hAnsi="Times New Roman" w:cs="Times New Roman" w:eastAsiaTheme="minorEastAsia"/>
                <w:color w:val="000000" w:themeColor="text1"/>
                <w:lang w:val="en-US" w:eastAsia="zh-CN"/>
                <w14:textFill>
                  <w14:solidFill>
                    <w14:schemeClr w14:val="tx1"/>
                  </w14:solidFill>
                </w14:textFill>
              </w:rPr>
              <w:t>铝合金和锌合金</w:t>
            </w:r>
            <w:r>
              <w:rPr>
                <w:rFonts w:hint="default" w:ascii="Times New Roman" w:hAnsi="Times New Roman" w:cs="Times New Roman" w:eastAsiaTheme="minorEastAsia"/>
                <w:color w:val="000000" w:themeColor="text1"/>
                <w14:textFill>
                  <w14:solidFill>
                    <w14:schemeClr w14:val="tx1"/>
                  </w14:solidFill>
                </w14:textFill>
              </w:rPr>
              <w:t>支架</w:t>
            </w:r>
            <w:r>
              <w:rPr>
                <w:rFonts w:hint="default" w:ascii="Times New Roman" w:hAnsi="Times New Roman" w:cs="Times New Roman" w:eastAsiaTheme="minorEastAsia"/>
                <w:color w:val="000000" w:themeColor="text1"/>
                <w:lang w:val="en-US" w:eastAsia="zh-CN"/>
                <w14:textFill>
                  <w14:solidFill>
                    <w14:schemeClr w14:val="tx1"/>
                  </w14:solidFill>
                </w14:textFill>
              </w:rPr>
              <w:t>的生产</w:t>
            </w:r>
            <w:r>
              <w:rPr>
                <w:rFonts w:hint="default" w:ascii="Times New Roman" w:hAnsi="Times New Roman" w:cs="Times New Roman" w:eastAsiaTheme="minorEastAsia"/>
                <w:color w:val="000000" w:themeColor="text1"/>
                <w:sz w:val="21"/>
                <w:szCs w:val="21"/>
                <w14:textFill>
                  <w14:solidFill>
                    <w14:schemeClr w14:val="tx1"/>
                  </w14:solidFill>
                </w14:textFill>
              </w:rPr>
              <w:t>，不属于国家发展和改革委员会颁布的《产业结</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构调整指导目录（20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年本）》中限制和淘汰类的项目</w:t>
            </w:r>
            <w:r>
              <w:rPr>
                <w:rFonts w:hint="eastAsia" w:cs="Times New Roman" w:eastAsiaTheme="minorEastAsia"/>
                <w:color w:val="000000" w:themeColor="text1"/>
                <w:sz w:val="21"/>
                <w:szCs w:val="21"/>
                <w:highlight w:val="none"/>
                <w:lang w:eastAsia="zh-CN"/>
                <w14:textFill>
                  <w14:solidFill>
                    <w14:schemeClr w14:val="tx1"/>
                  </w14:solidFill>
                </w14:textFill>
              </w:rPr>
              <w:t>且</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于2025年8月26日取得</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福清市</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发展和改革局关于</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本</w:t>
            </w:r>
            <w:r>
              <w:rPr>
                <w:rFonts w:hint="default" w:ascii="Times New Roman" w:hAnsi="Times New Roman" w:cs="Times New Roman" w:eastAsiaTheme="minorEastAsia"/>
                <w:color w:val="000000" w:themeColor="text1"/>
                <w:highlight w:val="none"/>
                <w14:textFill>
                  <w14:solidFill>
                    <w14:schemeClr w14:val="tx1"/>
                  </w14:solidFill>
                </w14:textFill>
              </w:rPr>
              <w:t>项目的备案，闽</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发改</w:t>
            </w:r>
            <w:r>
              <w:rPr>
                <w:rFonts w:hint="default" w:ascii="Times New Roman" w:hAnsi="Times New Roman" w:cs="Times New Roman" w:eastAsiaTheme="minorEastAsia"/>
                <w:color w:val="000000" w:themeColor="text1"/>
                <w:highlight w:val="none"/>
                <w14:textFill>
                  <w14:solidFill>
                    <w14:schemeClr w14:val="tx1"/>
                  </w14:solidFill>
                </w14:textFill>
              </w:rPr>
              <w:t>备</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202</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5]A060320</w:t>
            </w:r>
            <w:r>
              <w:rPr>
                <w:rFonts w:hint="default" w:ascii="Times New Roman" w:hAnsi="Times New Roman" w:cs="Times New Roman" w:eastAsiaTheme="minorEastAsia"/>
                <w:color w:val="000000" w:themeColor="text1"/>
                <w:highlight w:val="none"/>
                <w14:textFill>
                  <w14:solidFill>
                    <w14:schemeClr w14:val="tx1"/>
                  </w14:solidFill>
                </w14:textFill>
              </w:rPr>
              <w:t>号</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详见附件5</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因此</w:t>
            </w:r>
            <w:r>
              <w:rPr>
                <w:rFonts w:hint="default" w:ascii="Times New Roman" w:hAnsi="Times New Roman" w:cs="Times New Roman" w:eastAsiaTheme="minorEastAsia"/>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highlight w:val="none"/>
                <w14:textFill>
                  <w14:solidFill>
                    <w14:schemeClr w14:val="tx1"/>
                  </w14:solidFill>
                </w14:textFill>
              </w:rPr>
              <w:t>项目的建设符合国家以及福建省的产业政策。</w:t>
            </w:r>
          </w:p>
          <w:p w14:paraId="0127D6D4">
            <w:pPr>
              <w:autoSpaceDE w:val="0"/>
              <w:autoSpaceDN w:val="0"/>
              <w:spacing w:line="360" w:lineRule="auto"/>
              <w:rPr>
                <w:rFonts w:hint="default" w:ascii="Times New Roman" w:hAnsi="Times New Roman" w:cs="Times New Roman" w:eastAsiaTheme="minorEastAsia"/>
                <w:b/>
                <w:bCs/>
                <w:color w:val="000000" w:themeColor="text1"/>
                <w:kern w:val="21"/>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 w:val="21"/>
                <w:szCs w:val="21"/>
                <w14:textFill>
                  <w14:solidFill>
                    <w14:schemeClr w14:val="tx1"/>
                  </w14:solidFill>
                </w14:textFill>
              </w:rPr>
              <w:t>1.2土地利用总体规划符合性分析</w:t>
            </w:r>
          </w:p>
          <w:p w14:paraId="02115AB0">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本项目位于福建省福州市福清市阳下街道洪宽工业区（</w:t>
            </w:r>
            <w:r>
              <w:rPr>
                <w:rFonts w:hint="default" w:ascii="Times New Roman" w:hAnsi="Times New Roman" w:cs="Times New Roman" w:eastAsiaTheme="minorEastAsia"/>
                <w:color w:val="000000" w:themeColor="text1"/>
                <w:kern w:val="21"/>
                <w:szCs w:val="21"/>
                <w14:textFill>
                  <w14:solidFill>
                    <w14:schemeClr w14:val="tx1"/>
                  </w14:solidFill>
                </w14:textFill>
              </w:rPr>
              <w:t>租赁福清洪添科技有限公司</w:t>
            </w:r>
            <w:r>
              <w:rPr>
                <w:rFonts w:hint="eastAsia" w:ascii="Times New Roman" w:hAnsi="Times New Roman" w:cs="Times New Roman" w:eastAsiaTheme="minorEastAsia"/>
                <w:color w:val="000000" w:themeColor="text1"/>
                <w:kern w:val="21"/>
                <w:szCs w:val="21"/>
                <w:lang w:val="en-US" w:eastAsia="zh-CN"/>
                <w14:textFill>
                  <w14:solidFill>
                    <w14:schemeClr w14:val="tx1"/>
                  </w14:solidFill>
                </w14:textFill>
              </w:rPr>
              <w:t>车间1</w:t>
            </w:r>
            <w:r>
              <w:rPr>
                <w:rFonts w:hint="default" w:ascii="Times New Roman" w:hAnsi="Times New Roman" w:cs="Times New Roman" w:eastAsiaTheme="minorEastAsia"/>
                <w:color w:val="000000" w:themeColor="text1"/>
                <w:kern w:val="21"/>
                <w:szCs w:val="21"/>
                <w14:textFill>
                  <w14:solidFill>
                    <w14:schemeClr w14:val="tx1"/>
                  </w14:solidFill>
                </w14:textFill>
              </w:rPr>
              <w:t>第1、2层</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根据</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项目不动产权（国有土地使用权），</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项目用地性质</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为工业用地，</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项目建设</w:t>
            </w:r>
            <w:r>
              <w:rPr>
                <w:rFonts w:hint="default" w:ascii="Times New Roman" w:hAnsi="Times New Roman" w:cs="Times New Roman" w:eastAsiaTheme="minorEastAsia"/>
                <w:color w:val="000000" w:themeColor="text1"/>
                <w:sz w:val="21"/>
                <w:szCs w:val="21"/>
                <w14:textFill>
                  <w14:solidFill>
                    <w14:schemeClr w14:val="tx1"/>
                  </w14:solidFill>
                </w14:textFill>
              </w:rPr>
              <w:t>与城市土地利用规划并不冲突，符合城市土地利用的总体规划。</w:t>
            </w:r>
          </w:p>
          <w:p w14:paraId="6A6BD6F2">
            <w:pPr>
              <w:autoSpaceDE w:val="0"/>
              <w:autoSpaceDN w:val="0"/>
              <w:spacing w:line="360" w:lineRule="auto"/>
              <w:rPr>
                <w:rFonts w:hint="default" w:ascii="Times New Roman" w:hAnsi="Times New Roman" w:cs="Times New Roman" w:eastAsiaTheme="minorEastAsia"/>
                <w:b/>
                <w:bCs/>
                <w:color w:val="000000" w:themeColor="text1"/>
                <w:kern w:val="21"/>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 w:val="21"/>
                <w:szCs w:val="21"/>
                <w14:textFill>
                  <w14:solidFill>
                    <w14:schemeClr w14:val="tx1"/>
                  </w14:solidFill>
                </w14:textFill>
              </w:rPr>
              <w:t>1.3“三线一单”控制要求的符合性分析</w:t>
            </w:r>
          </w:p>
          <w:p w14:paraId="47B4E8CB">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根据《关于以改善环境质量为核心加强环境影响评价管理的通知》（环评</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2016</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150号），“三线一单”即：“生态保护红线、环境质量底线、资源利用上线和生态环境准入清单”，项目建设强化“三线一单”约束作用。</w:t>
            </w:r>
          </w:p>
          <w:p w14:paraId="073CF796">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生态保护红线</w:t>
            </w:r>
          </w:p>
          <w:p w14:paraId="2FF76CAB">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对照《福建省生态保护红线划定方案》及其调整方案，</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项目位于福建省福州市福清市阳下街道洪宽工业区（</w:t>
            </w:r>
            <w:r>
              <w:rPr>
                <w:rFonts w:hint="default" w:ascii="Times New Roman" w:hAnsi="Times New Roman" w:cs="Times New Roman" w:eastAsiaTheme="minorEastAsia"/>
                <w:color w:val="000000" w:themeColor="text1"/>
                <w:kern w:val="21"/>
                <w:szCs w:val="21"/>
                <w14:textFill>
                  <w14:solidFill>
                    <w14:schemeClr w14:val="tx1"/>
                  </w14:solidFill>
                </w14:textFill>
              </w:rPr>
              <w:t>租赁福清洪添科技有限公司</w:t>
            </w:r>
            <w:r>
              <w:rPr>
                <w:rFonts w:hint="eastAsia" w:cs="Times New Roman" w:eastAsiaTheme="minorEastAsia"/>
                <w:color w:val="000000" w:themeColor="text1"/>
                <w:kern w:val="21"/>
                <w:szCs w:val="21"/>
                <w:lang w:val="en-US" w:eastAsia="zh-CN"/>
                <w14:textFill>
                  <w14:solidFill>
                    <w14:schemeClr w14:val="tx1"/>
                  </w14:solidFill>
                </w14:textFill>
              </w:rPr>
              <w:t>车间</w:t>
            </w:r>
            <w:r>
              <w:rPr>
                <w:rFonts w:hint="eastAsia" w:ascii="Times New Roman" w:hAnsi="Times New Roman" w:cs="Times New Roman" w:eastAsiaTheme="minorEastAsia"/>
                <w:color w:val="000000" w:themeColor="text1"/>
                <w:kern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1"/>
                <w:szCs w:val="21"/>
                <w14:textFill>
                  <w14:solidFill>
                    <w14:schemeClr w14:val="tx1"/>
                  </w14:solidFill>
                </w14:textFill>
              </w:rPr>
              <w:t>第1、2层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要求。</w:t>
            </w:r>
          </w:p>
          <w:p w14:paraId="58209E84">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环境质量底线</w:t>
            </w:r>
          </w:p>
          <w:p w14:paraId="08A824B2">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本项目运营期</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攻牙用水、</w:t>
            </w:r>
            <w:r>
              <w:rPr>
                <w:rFonts w:hint="default" w:ascii="Times New Roman" w:hAnsi="Times New Roman" w:cs="Times New Roman" w:eastAsiaTheme="minorEastAsia"/>
                <w:color w:val="000000" w:themeColor="text1"/>
                <w:sz w:val="21"/>
                <w:szCs w:val="21"/>
                <w14:textFill>
                  <w14:solidFill>
                    <w14:schemeClr w14:val="tx1"/>
                  </w14:solidFill>
                </w14:textFill>
              </w:rPr>
              <w:t>冷却水循环使用，定期添加，不外排，生活污水经化粪池处理后排入市政污水管网进入</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福清市</w:t>
            </w:r>
            <w:r>
              <w:rPr>
                <w:rFonts w:hint="default" w:ascii="Times New Roman" w:hAnsi="Times New Roman" w:cs="Times New Roman" w:eastAsiaTheme="minorEastAsia"/>
                <w:color w:val="000000" w:themeColor="text1"/>
                <w:sz w:val="21"/>
                <w:szCs w:val="21"/>
                <w14:textFill>
                  <w14:solidFill>
                    <w14:schemeClr w14:val="tx1"/>
                  </w14:solidFill>
                </w14:textFill>
              </w:rPr>
              <w:t>融元污水处理厂，尾水排放地龙江水质情况可满足《地表水环境质量标准》（GB3838-2002）的要求；项目属于大气环境质量达标区域，满足《环境空气质量标准》（GB3095-2012）及其修改单中的二级标准限值；项目周边声</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环</w:t>
            </w:r>
            <w:r>
              <w:rPr>
                <w:rFonts w:hint="default" w:ascii="Times New Roman" w:hAnsi="Times New Roman" w:cs="Times New Roman" w:eastAsiaTheme="minorEastAsia"/>
                <w:color w:val="000000" w:themeColor="text1"/>
                <w:sz w:val="21"/>
                <w:szCs w:val="21"/>
                <w14:textFill>
                  <w14:solidFill>
                    <w14:schemeClr w14:val="tx1"/>
                  </w14:solidFill>
                </w14:textFill>
              </w:rPr>
              <w:t>境质量现状监测昼夜噪声值均满足《声环境质量标准》（GB3096-2008）相应标准要求</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项目所处区域环境尚有一定的环境容量，项目营运后对区域内环境影响较小，环境质量可以保持现有水平。</w:t>
            </w:r>
          </w:p>
          <w:p w14:paraId="28F1A33A">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资源利用上线</w:t>
            </w:r>
          </w:p>
          <w:p w14:paraId="01F24D5A">
            <w:pPr>
              <w:autoSpaceDE w:val="0"/>
              <w:autoSpaceDN w:val="0"/>
              <w:spacing w:line="360" w:lineRule="auto"/>
              <w:ind w:firstLine="420" w:firstLineChars="20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项目运营过程中年消耗电量</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60</w:t>
            </w:r>
            <w:r>
              <w:rPr>
                <w:rFonts w:hint="default" w:ascii="Times New Roman" w:hAnsi="Times New Roman" w:cs="Times New Roman" w:eastAsiaTheme="minorEastAsia"/>
                <w:color w:val="000000" w:themeColor="text1"/>
                <w:highlight w:val="none"/>
                <w14:textFill>
                  <w14:solidFill>
                    <w14:schemeClr w14:val="tx1"/>
                  </w14:solidFill>
                </w14:textFill>
              </w:rPr>
              <w:t>万</w:t>
            </w:r>
            <w:r>
              <w:rPr>
                <w:rFonts w:hint="eastAsia" w:ascii="Times New Roman" w:hAnsi="Times New Roman" w:cs="Times New Roman" w:eastAsiaTheme="minorEastAsia"/>
                <w:color w:val="000000" w:themeColor="text1"/>
                <w:highlight w:val="none"/>
                <w:lang w:eastAsia="zh-CN"/>
                <w14:textFill>
                  <w14:solidFill>
                    <w14:schemeClr w14:val="tx1"/>
                  </w14:solidFill>
                </w14:textFill>
              </w:rPr>
              <w:t>kW</w:t>
            </w:r>
            <w:r>
              <w:rPr>
                <w:rFonts w:hint="default" w:ascii="Times New Roman" w:hAnsi="Times New Roman" w:cs="Times New Roman" w:eastAsiaTheme="minorEastAsia"/>
                <w:color w:val="000000" w:themeColor="text1"/>
                <w:highlight w:val="none"/>
                <w14:textFill>
                  <w14:solidFill>
                    <w14:schemeClr w14:val="tx1"/>
                  </w14:solidFill>
                </w14:textFill>
              </w:rPr>
              <w:t>·h（折算成标煤</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60</w:t>
            </w:r>
            <w:r>
              <w:rPr>
                <w:rFonts w:hint="default" w:ascii="Times New Roman" w:hAnsi="Times New Roman" w:cs="Times New Roman" w:eastAsiaTheme="minorEastAsia"/>
                <w:color w:val="000000" w:themeColor="text1"/>
                <w:highlight w:val="none"/>
                <w14:textFill>
                  <w14:solidFill>
                    <w14:schemeClr w14:val="tx1"/>
                  </w14:solidFill>
                </w14:textFill>
              </w:rPr>
              <w:t>×1.229=</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73.74</w:t>
            </w:r>
            <w:r>
              <w:rPr>
                <w:rFonts w:hint="default" w:ascii="Times New Roman" w:hAnsi="Times New Roman" w:cs="Times New Roman" w:eastAsiaTheme="minorEastAsia"/>
                <w:color w:val="000000" w:themeColor="text1"/>
                <w:highlight w:val="none"/>
                <w14:textFill>
                  <w14:solidFill>
                    <w14:schemeClr w14:val="tx1"/>
                  </w14:solidFill>
                </w14:textFill>
              </w:rPr>
              <w:t>吨），消耗水量</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约0.0375</w:t>
            </w:r>
            <w:r>
              <w:rPr>
                <w:rFonts w:hint="default" w:ascii="Times New Roman" w:hAnsi="Times New Roman" w:cs="Times New Roman" w:eastAsiaTheme="minorEastAsia"/>
                <w:color w:val="000000" w:themeColor="text1"/>
                <w:highlight w:val="none"/>
                <w14:textFill>
                  <w14:solidFill>
                    <w14:schemeClr w14:val="tx1"/>
                  </w14:solidFill>
                </w14:textFill>
              </w:rPr>
              <w:t>万t（折算成标煤</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0.046</w:t>
            </w:r>
            <w:r>
              <w:rPr>
                <w:rFonts w:hint="default" w:ascii="Times New Roman" w:hAnsi="Times New Roman" w:cs="Times New Roman" w:eastAsiaTheme="minorEastAsia"/>
                <w:color w:val="000000" w:themeColor="text1"/>
                <w:highlight w:val="none"/>
                <w14:textFill>
                  <w14:solidFill>
                    <w14:schemeClr w14:val="tx1"/>
                  </w14:solidFill>
                </w14:textFill>
              </w:rPr>
              <w:t>×0.875=</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0.03</w:t>
            </w:r>
            <w:r>
              <w:rPr>
                <w:rFonts w:hint="default" w:ascii="Times New Roman" w:hAnsi="Times New Roman" w:cs="Times New Roman" w:eastAsiaTheme="minorEastAsia"/>
                <w:color w:val="000000" w:themeColor="text1"/>
                <w:highlight w:val="none"/>
                <w14:textFill>
                  <w14:solidFill>
                    <w14:schemeClr w14:val="tx1"/>
                  </w14:solidFill>
                </w14:textFill>
              </w:rPr>
              <w:t>吨），总耗折标煤</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73.77</w:t>
            </w:r>
            <w:r>
              <w:rPr>
                <w:rFonts w:hint="default" w:ascii="Times New Roman" w:hAnsi="Times New Roman" w:cs="Times New Roman" w:eastAsiaTheme="minorEastAsia"/>
                <w:color w:val="000000" w:themeColor="text1"/>
                <w:highlight w:val="none"/>
                <w14:textFill>
                  <w14:solidFill>
                    <w14:schemeClr w14:val="tx1"/>
                  </w14:solidFill>
                </w14:textFill>
              </w:rPr>
              <w:t>吨。</w:t>
            </w:r>
            <w:r>
              <w:rPr>
                <w:rFonts w:hint="default" w:ascii="Times New Roman" w:hAnsi="Times New Roman" w:cs="Times New Roman" w:eastAsiaTheme="minorEastAsia"/>
                <w:color w:val="000000" w:themeColor="text1"/>
                <w14:textFill>
                  <w14:solidFill>
                    <w14:schemeClr w14:val="tx1"/>
                  </w14:solidFill>
                </w14:textFill>
              </w:rPr>
              <w:t>根据固定资产投资项目节能审查办法(发改委令2016年第44号)(2016.12)，耗折标煤5000吨属于高耗能企业，项目耗水耗电量远小于5000吨折标煤，因此，不属于高耗能和资源消耗型企业；且通过内部管理、设备和工艺选择、污染治理等多方面采取合理可行的防治措施，以“节能、降耗、减污”为目标，有效</w:t>
            </w:r>
            <w:r>
              <w:rPr>
                <w:rFonts w:hint="eastAsia" w:ascii="Times New Roman" w:hAnsi="Times New Roman" w:cs="Times New Roman" w:eastAsiaTheme="minorEastAsia"/>
                <w:color w:val="000000" w:themeColor="text1"/>
                <w:lang w:eastAsia="zh-CN"/>
                <w14:textFill>
                  <w14:solidFill>
                    <w14:schemeClr w14:val="tx1"/>
                  </w14:solidFill>
                </w14:textFill>
              </w:rPr>
              <w:t>地</w:t>
            </w:r>
            <w:r>
              <w:rPr>
                <w:rFonts w:hint="default" w:ascii="Times New Roman" w:hAnsi="Times New Roman" w:cs="Times New Roman" w:eastAsiaTheme="minorEastAsia"/>
                <w:color w:val="000000" w:themeColor="text1"/>
                <w14:textFill>
                  <w14:solidFill>
                    <w14:schemeClr w14:val="tx1"/>
                  </w14:solidFill>
                </w14:textFill>
              </w:rPr>
              <w:t>控制污染及资源利用水平。项目的水、电等资源利用不会突破区域的资源利用上线。</w:t>
            </w:r>
          </w:p>
          <w:p w14:paraId="7C7E3203">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14:textFill>
                  <w14:solidFill>
                    <w14:schemeClr w14:val="tx1"/>
                  </w14:solidFill>
                </w14:textFill>
              </w:rPr>
              <w:t>环境准入负面清单</w:t>
            </w:r>
          </w:p>
          <w:p w14:paraId="42FBEAEE">
            <w:pPr>
              <w:autoSpaceDE w:val="0"/>
              <w:autoSpaceDN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项目位于福建省福州市福清市阳下街道洪宽工业区（</w:t>
            </w:r>
            <w:r>
              <w:rPr>
                <w:rFonts w:hint="default" w:ascii="Times New Roman" w:hAnsi="Times New Roman" w:cs="Times New Roman" w:eastAsiaTheme="minorEastAsia"/>
                <w:color w:val="000000" w:themeColor="text1"/>
                <w:kern w:val="21"/>
                <w:szCs w:val="21"/>
                <w14:textFill>
                  <w14:solidFill>
                    <w14:schemeClr w14:val="tx1"/>
                  </w14:solidFill>
                </w14:textFill>
              </w:rPr>
              <w:t>租赁福清洪添科技有限公司</w:t>
            </w:r>
            <w:r>
              <w:rPr>
                <w:rFonts w:hint="eastAsia" w:ascii="Times New Roman" w:hAnsi="Times New Roman" w:cs="Times New Roman" w:eastAsiaTheme="minorEastAsia"/>
                <w:color w:val="000000" w:themeColor="text1"/>
                <w:kern w:val="21"/>
                <w:szCs w:val="21"/>
                <w:lang w:val="en-US" w:eastAsia="zh-CN"/>
                <w14:textFill>
                  <w14:solidFill>
                    <w14:schemeClr w14:val="tx1"/>
                  </w14:solidFill>
                </w14:textFill>
              </w:rPr>
              <w:t>车间1</w:t>
            </w:r>
            <w:r>
              <w:rPr>
                <w:rFonts w:hint="default" w:ascii="Times New Roman" w:hAnsi="Times New Roman" w:cs="Times New Roman" w:eastAsiaTheme="minorEastAsia"/>
                <w:color w:val="000000" w:themeColor="text1"/>
                <w:kern w:val="21"/>
                <w:szCs w:val="21"/>
                <w14:textFill>
                  <w14:solidFill>
                    <w14:schemeClr w14:val="tx1"/>
                  </w14:solidFill>
                </w14:textFill>
              </w:rPr>
              <w:t>第1、2层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洪宽工业区属于</w:t>
            </w:r>
            <w:r>
              <w:rPr>
                <w:rFonts w:hint="default" w:ascii="Times New Roman" w:hAnsi="Times New Roman" w:cs="Times New Roman" w:eastAsiaTheme="minorEastAsia"/>
                <w:color w:val="000000" w:themeColor="text1"/>
                <w:sz w:val="21"/>
                <w:szCs w:val="21"/>
                <w14:textFill>
                  <w14:solidFill>
                    <w14:schemeClr w14:val="tx1"/>
                  </w14:solidFill>
                </w14:textFill>
              </w:rPr>
              <w:t>融侨经济技术开发区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核心区之一</w:t>
            </w:r>
            <w:r>
              <w:rPr>
                <w:rFonts w:hint="default" w:ascii="Times New Roman" w:hAnsi="Times New Roman" w:cs="Times New Roman" w:eastAsiaTheme="minorEastAsia"/>
                <w:color w:val="000000" w:themeColor="text1"/>
                <w:sz w:val="21"/>
                <w:szCs w:val="21"/>
                <w14:textFill>
                  <w14:solidFill>
                    <w14:schemeClr w14:val="tx1"/>
                  </w14:solidFill>
                </w14:textFill>
              </w:rPr>
              <w:t>，本项目从事</w:t>
            </w:r>
            <w:r>
              <w:rPr>
                <w:rFonts w:hint="default" w:ascii="Times New Roman" w:hAnsi="Times New Roman" w:cs="Times New Roman" w:eastAsiaTheme="minorEastAsia"/>
                <w:color w:val="000000" w:themeColor="text1"/>
                <w14:textFill>
                  <w14:solidFill>
                    <w14:schemeClr w14:val="tx1"/>
                  </w14:solidFill>
                </w14:textFill>
              </w:rPr>
              <w:t>电脑显示器</w:t>
            </w:r>
            <w:r>
              <w:rPr>
                <w:rFonts w:hint="default" w:ascii="Times New Roman" w:hAnsi="Times New Roman" w:cs="Times New Roman" w:eastAsiaTheme="minorEastAsia"/>
                <w:color w:val="000000" w:themeColor="text1"/>
                <w:lang w:val="en-US" w:eastAsia="zh-CN"/>
                <w14:textFill>
                  <w14:solidFill>
                    <w14:schemeClr w14:val="tx1"/>
                  </w14:solidFill>
                </w14:textFill>
              </w:rPr>
              <w:t>铝合金和锌合金</w:t>
            </w:r>
            <w:r>
              <w:rPr>
                <w:rFonts w:hint="default" w:ascii="Times New Roman" w:hAnsi="Times New Roman" w:cs="Times New Roman" w:eastAsiaTheme="minorEastAsia"/>
                <w:color w:val="000000" w:themeColor="text1"/>
                <w14:textFill>
                  <w14:solidFill>
                    <w14:schemeClr w14:val="tx1"/>
                  </w14:solidFill>
                </w14:textFill>
              </w:rPr>
              <w:t>支架</w:t>
            </w:r>
            <w:r>
              <w:rPr>
                <w:rFonts w:hint="default" w:ascii="Times New Roman" w:hAnsi="Times New Roman" w:cs="Times New Roman" w:eastAsiaTheme="minorEastAsia"/>
                <w:color w:val="000000" w:themeColor="text1"/>
                <w:lang w:val="en-US" w:eastAsia="zh-CN"/>
                <w14:textFill>
                  <w14:solidFill>
                    <w14:schemeClr w14:val="tx1"/>
                  </w14:solidFill>
                </w14:textFill>
              </w:rPr>
              <w:t>的生产</w:t>
            </w:r>
            <w:r>
              <w:rPr>
                <w:rFonts w:hint="default" w:ascii="Times New Roman" w:hAnsi="Times New Roman" w:cs="Times New Roman" w:eastAsiaTheme="minorEastAsia"/>
                <w:color w:val="000000" w:themeColor="text1"/>
                <w:sz w:val="21"/>
                <w:szCs w:val="21"/>
                <w14:textFill>
                  <w14:solidFill>
                    <w14:schemeClr w14:val="tx1"/>
                  </w14:solidFill>
                </w14:textFill>
              </w:rPr>
              <w:t>，根据《福清融侨经济技术开发区总体规划环境影响报告书》，</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项目</w:t>
            </w:r>
            <w:r>
              <w:rPr>
                <w:rFonts w:hint="default" w:ascii="Times New Roman" w:hAnsi="Times New Roman" w:cs="Times New Roman" w:eastAsiaTheme="minorEastAsia"/>
                <w:color w:val="000000" w:themeColor="text1"/>
                <w:kern w:val="0"/>
                <w:sz w:val="21"/>
                <w:szCs w:val="21"/>
                <w14:textFill>
                  <w14:solidFill>
                    <w14:schemeClr w14:val="tx1"/>
                  </w14:solidFill>
                </w14:textFill>
              </w:rPr>
              <w:t>符合该园区规划环评的主导产业政策</w:t>
            </w:r>
            <w:r>
              <w:rPr>
                <w:rFonts w:hint="default" w:ascii="Times New Roman" w:hAnsi="Times New Roman" w:cs="Times New Roman" w:eastAsiaTheme="minorEastAsia"/>
                <w:color w:val="000000" w:themeColor="text1"/>
                <w:sz w:val="21"/>
                <w:szCs w:val="21"/>
                <w14:textFill>
                  <w14:solidFill>
                    <w14:schemeClr w14:val="tx1"/>
                  </w14:solidFill>
                </w14:textFill>
              </w:rPr>
              <w:t>。本项目不属于《国家产业结构调整指导目录（20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1"/>
                <w:szCs w:val="21"/>
                <w14:textFill>
                  <w14:solidFill>
                    <w14:schemeClr w14:val="tx1"/>
                  </w14:solidFill>
                </w14:textFill>
              </w:rPr>
              <w:t>）》中限制或淘汰类；满足《市场准入负面清单草案（试点版）》（发改经体〔2016〕442号）；项目无行业准入条件；不属于《福建省人民政府关于加强重点流域水环境</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综合</w:t>
            </w:r>
            <w:r>
              <w:rPr>
                <w:rFonts w:hint="default" w:ascii="Times New Roman" w:hAnsi="Times New Roman" w:cs="Times New Roman" w:eastAsiaTheme="minorEastAsia"/>
                <w:color w:val="000000" w:themeColor="text1"/>
                <w:sz w:val="21"/>
                <w:szCs w:val="21"/>
                <w14:textFill>
                  <w14:solidFill>
                    <w14:schemeClr w14:val="tx1"/>
                  </w14:solidFill>
                </w14:textFill>
              </w:rPr>
              <w:t>整治的意见》中禁止的产业；满足《福建省工业建设项目投资强度控制指标》相关要求；不属于园区禁止/严格控制单元、项目。</w:t>
            </w:r>
          </w:p>
          <w:p w14:paraId="34D9B3B0">
            <w:pPr>
              <w:spacing w:line="360" w:lineRule="auto"/>
              <w:ind w:firstLine="420" w:firstLineChars="200"/>
              <w:contextualSpacing/>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14:textFill>
                  <w14:solidFill>
                    <w14:schemeClr w14:val="tx1"/>
                  </w14:solidFill>
                </w14:textFill>
              </w:rPr>
              <w:t>与《福建省人民政府关于实施“三线一单”生态环境分区管控的通知》符合性分析</w:t>
            </w:r>
          </w:p>
          <w:p w14:paraId="7A11B342">
            <w:pPr>
              <w:spacing w:line="360" w:lineRule="auto"/>
              <w:ind w:firstLine="420" w:firstLineChars="200"/>
              <w:contextualSpacing/>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根据《福建省人民政府关于实施“三线一单”生态环境分区管控的通知》(闽政[2020]12号)相关要求分析，项目所在位置属于福建省陆域区域。因此，项目对照全省生态环境总体准入要求中“全省陆域”部分，具体见表1.3-1。</w:t>
            </w:r>
          </w:p>
          <w:p w14:paraId="629A61F0">
            <w:pPr>
              <w:spacing w:before="156" w:beforeLines="5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表1.</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3-1</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福建省生态环境准入要求一览表</w:t>
            </w:r>
          </w:p>
          <w:tbl>
            <w:tblPr>
              <w:tblStyle w:val="35"/>
              <w:tblW w:w="68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31"/>
              <w:gridCol w:w="358"/>
              <w:gridCol w:w="3257"/>
              <w:gridCol w:w="1217"/>
              <w:gridCol w:w="1040"/>
            </w:tblGrid>
            <w:tr w14:paraId="4F045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tcBorders>
                    <w:tl2br w:val="nil"/>
                    <w:tr2bl w:val="nil"/>
                  </w:tcBorders>
                  <w:vAlign w:val="center"/>
                </w:tcPr>
                <w:p w14:paraId="76C9EAE2">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适用范围</w:t>
                  </w:r>
                </w:p>
              </w:tc>
              <w:tc>
                <w:tcPr>
                  <w:tcW w:w="2656" w:type="pct"/>
                  <w:gridSpan w:val="2"/>
                  <w:tcBorders>
                    <w:tl2br w:val="nil"/>
                    <w:tr2bl w:val="nil"/>
                  </w:tcBorders>
                  <w:vAlign w:val="center"/>
                </w:tcPr>
                <w:p w14:paraId="56C2119D">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准入要求</w:t>
                  </w:r>
                </w:p>
              </w:tc>
              <w:tc>
                <w:tcPr>
                  <w:tcW w:w="894" w:type="pct"/>
                  <w:tcBorders>
                    <w:tl2br w:val="nil"/>
                    <w:tr2bl w:val="nil"/>
                  </w:tcBorders>
                  <w:vAlign w:val="center"/>
                </w:tcPr>
                <w:p w14:paraId="7855143E">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本项目情况</w:t>
                  </w:r>
                </w:p>
              </w:tc>
              <w:tc>
                <w:tcPr>
                  <w:tcW w:w="764" w:type="pct"/>
                  <w:tcBorders>
                    <w:tl2br w:val="nil"/>
                    <w:tr2bl w:val="nil"/>
                  </w:tcBorders>
                  <w:vAlign w:val="center"/>
                </w:tcPr>
                <w:p w14:paraId="7EE2F73C">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14:paraId="31F9A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vMerge w:val="restart"/>
                  <w:tcBorders>
                    <w:tl2br w:val="nil"/>
                    <w:tr2bl w:val="nil"/>
                  </w:tcBorders>
                  <w:vAlign w:val="center"/>
                </w:tcPr>
                <w:p w14:paraId="081E5A9C">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全省</w:t>
                  </w:r>
                </w:p>
                <w:p w14:paraId="054416F7">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陆域</w:t>
                  </w:r>
                </w:p>
              </w:tc>
              <w:tc>
                <w:tcPr>
                  <w:tcW w:w="263" w:type="pct"/>
                  <w:tcBorders>
                    <w:tl2br w:val="nil"/>
                    <w:tr2bl w:val="nil"/>
                  </w:tcBorders>
                  <w:vAlign w:val="center"/>
                </w:tcPr>
                <w:p w14:paraId="2C7ED1B5">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空间布局约束</w:t>
                  </w:r>
                </w:p>
              </w:tc>
              <w:tc>
                <w:tcPr>
                  <w:tcW w:w="2393" w:type="pct"/>
                  <w:tcBorders>
                    <w:tl2br w:val="nil"/>
                    <w:tr2bl w:val="nil"/>
                  </w:tcBorders>
                  <w:vAlign w:val="center"/>
                </w:tcPr>
                <w:p w14:paraId="1B3B320F">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1、石化、汽车、船舶、冶金、水泥、制浆造纸、印染等重点产业，要符合全省规划布局要求。</w:t>
                  </w:r>
                </w:p>
                <w:p w14:paraId="2928845D">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2、严控钢铁、水泥、平板玻璃等产能过剩行业新增产能，新增产能应实施产能等量或减量置换。</w:t>
                  </w:r>
                </w:p>
                <w:p w14:paraId="09A61FFA">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3、除列入国家规划的大型煤电和符合相关要求的等容量替代项目，以及以供热为主的热电联产项目外，原则上不再建设新的煤电项目。</w:t>
                  </w:r>
                </w:p>
                <w:p w14:paraId="79F775C0">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4、氟化工产业应集中布局在《关于促进我省氟化工产业绿色高效发展的若干意见》中确定的园区，在上述园区之外不再新建氟化工项目，园区之外现有氟化工项目不再扩大规模。</w:t>
                  </w:r>
                </w:p>
                <w:p w14:paraId="58E3CA5D">
                  <w:pPr>
                    <w:pStyle w:val="100"/>
                    <w:tabs>
                      <w:tab w:val="left" w:pos="0"/>
                    </w:tabs>
                    <w:spacing w:line="240" w:lineRule="auto"/>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5、禁止在水环境质量不能稳定达标的区域内，建设新增相应不达标污染物指标排放量的工业项目。</w:t>
                  </w:r>
                </w:p>
              </w:tc>
              <w:tc>
                <w:tcPr>
                  <w:tcW w:w="894" w:type="pct"/>
                  <w:tcBorders>
                    <w:tl2br w:val="nil"/>
                    <w:tr2bl w:val="nil"/>
                  </w:tcBorders>
                  <w:vAlign w:val="center"/>
                </w:tcPr>
                <w:p w14:paraId="13F213F2">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本项目主要为电脑显示器铝合金和锌合金支架的生产，不涉及左列1~5，</w:t>
                  </w:r>
                  <w:r>
                    <w:rPr>
                      <w:rFonts w:hint="default" w:ascii="Times New Roman" w:hAnsi="Times New Roman" w:cs="Times New Roman" w:eastAsiaTheme="minorEastAsia"/>
                      <w:color w:val="000000" w:themeColor="text1"/>
                      <w:sz w:val="21"/>
                      <w:szCs w:val="21"/>
                      <w14:textFill>
                        <w14:solidFill>
                          <w14:schemeClr w14:val="tx1"/>
                        </w14:solidFill>
                      </w14:textFill>
                    </w:rPr>
                    <w:t>项目建设与空间布局约束要求不相冲突</w:t>
                  </w:r>
                </w:p>
              </w:tc>
              <w:tc>
                <w:tcPr>
                  <w:tcW w:w="764" w:type="pct"/>
                  <w:tcBorders>
                    <w:tl2br w:val="nil"/>
                    <w:tr2bl w:val="nil"/>
                  </w:tcBorders>
                  <w:vAlign w:val="center"/>
                </w:tcPr>
                <w:p w14:paraId="57F773D9">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5C13A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vMerge w:val="continue"/>
                  <w:tcBorders>
                    <w:tl2br w:val="nil"/>
                    <w:tr2bl w:val="nil"/>
                  </w:tcBorders>
                  <w:vAlign w:val="center"/>
                </w:tcPr>
                <w:p w14:paraId="36C778CC">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63" w:type="pct"/>
                  <w:tcBorders>
                    <w:tl2br w:val="nil"/>
                    <w:tr2bl w:val="nil"/>
                  </w:tcBorders>
                  <w:vAlign w:val="center"/>
                </w:tcPr>
                <w:p w14:paraId="4CD5B272">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污染物排放管控</w:t>
                  </w:r>
                </w:p>
              </w:tc>
              <w:tc>
                <w:tcPr>
                  <w:tcW w:w="2393" w:type="pct"/>
                  <w:tcBorders>
                    <w:tl2br w:val="nil"/>
                    <w:tr2bl w:val="nil"/>
                  </w:tcBorders>
                  <w:vAlign w:val="center"/>
                </w:tcPr>
                <w:p w14:paraId="5403A5CA">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S</w:t>
                  </w:r>
                  <w:r>
                    <w:rPr>
                      <w:rFonts w:hint="default" w:ascii="Times New Roman" w:hAnsi="Times New Roman" w:cs="Times New Roman" w:eastAsiaTheme="minorEastAsia"/>
                      <w:color w:val="000000" w:themeColor="text1"/>
                      <w:sz w:val="21"/>
                      <w:szCs w:val="21"/>
                      <w14:textFill>
                        <w14:solidFill>
                          <w14:schemeClr w14:val="tx1"/>
                        </w14:solidFill>
                      </w14:textFill>
                    </w:rPr>
                    <w:t>排放项目，VOC</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S</w:t>
                  </w:r>
                  <w:r>
                    <w:rPr>
                      <w:rFonts w:hint="default" w:ascii="Times New Roman" w:hAnsi="Times New Roman" w:cs="Times New Roman" w:eastAsiaTheme="minorEastAsia"/>
                      <w:color w:val="000000" w:themeColor="text1"/>
                      <w:sz w:val="21"/>
                      <w:szCs w:val="21"/>
                      <w14:textFill>
                        <w14:solidFill>
                          <w14:schemeClr w14:val="tx1"/>
                        </w14:solidFill>
                      </w14:textFill>
                    </w:rPr>
                    <w:t>排放实行区域内等量替代。福州、厦门、漳州、泉州、莆田、宁德等6个重点控制区可实施倍量替代。</w:t>
                  </w:r>
                </w:p>
                <w:p w14:paraId="1D4562BC">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2、新建水泥、有色金属项目应执行大气污染物特别排放限值，钢铁项目应执行超低排放指标要求，火电项目应达到超低排放限值。</w:t>
                  </w:r>
                </w:p>
                <w:p w14:paraId="054C2FE7">
                  <w:pPr>
                    <w:pBdr>
                      <w:top w:val="none" w:color="auto" w:sz="0" w:space="1"/>
                      <w:left w:val="none" w:color="auto" w:sz="0" w:space="4"/>
                      <w:bottom w:val="none" w:color="auto" w:sz="0" w:space="1"/>
                      <w:right w:val="none" w:color="auto" w:sz="0" w:space="4"/>
                    </w:pBdr>
                    <w:spacing w:line="240" w:lineRule="auto"/>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3、尾水排入近岸海域汇水区域、“六江两溪”流域以及湖泊、水库等封闭、半封闭水域的城镇污水处理设施执行不低于一级A排放标准。</w:t>
                  </w:r>
                </w:p>
              </w:tc>
              <w:tc>
                <w:tcPr>
                  <w:tcW w:w="894" w:type="pct"/>
                  <w:tcBorders>
                    <w:tl2br w:val="nil"/>
                    <w:tr2bl w:val="nil"/>
                  </w:tcBorders>
                  <w:vAlign w:val="center"/>
                </w:tcPr>
                <w:p w14:paraId="25C67920">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1、项目位于福建省福州市福清市阳下街道洪宽工业区，属于其规定的污染物管控区域。项目涉VOC</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S</w:t>
                  </w:r>
                  <w:r>
                    <w:rPr>
                      <w:rFonts w:hint="default" w:ascii="Times New Roman" w:hAnsi="Times New Roman" w:cs="Times New Roman" w:eastAsiaTheme="minorEastAsia"/>
                      <w:color w:val="000000" w:themeColor="text1"/>
                      <w:sz w:val="21"/>
                      <w:szCs w:val="21"/>
                      <w14:textFill>
                        <w14:solidFill>
                          <w14:schemeClr w14:val="tx1"/>
                        </w14:solidFill>
                      </w14:textFill>
                    </w:rPr>
                    <w:t>排放，建设单位将严格按照文件规定要求对VOC</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S</w:t>
                  </w:r>
                  <w:r>
                    <w:rPr>
                      <w:rFonts w:hint="default" w:ascii="Times New Roman" w:hAnsi="Times New Roman" w:cs="Times New Roman" w:eastAsiaTheme="minorEastAsia"/>
                      <w:color w:val="000000" w:themeColor="text1"/>
                      <w:sz w:val="21"/>
                      <w:szCs w:val="21"/>
                      <w14:textFill>
                        <w14:solidFill>
                          <w14:schemeClr w14:val="tx1"/>
                        </w14:solidFill>
                      </w14:textFill>
                    </w:rPr>
                    <w:t>排放实行倍量替代。</w:t>
                  </w:r>
                </w:p>
                <w:p w14:paraId="14B32785">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2、项目主要从事电脑显示器铝合金和锌合金支架的生产，不属于水泥、有色金属、钢铁、火电项目。</w:t>
                  </w:r>
                </w:p>
              </w:tc>
              <w:tc>
                <w:tcPr>
                  <w:tcW w:w="764" w:type="pct"/>
                  <w:tcBorders>
                    <w:tl2br w:val="nil"/>
                    <w:tr2bl w:val="nil"/>
                  </w:tcBorders>
                  <w:vAlign w:val="center"/>
                </w:tcPr>
                <w:p w14:paraId="55EFD89E">
                  <w:pPr>
                    <w:pBdr>
                      <w:top w:val="none" w:color="auto" w:sz="0" w:space="1"/>
                      <w:left w:val="none" w:color="auto" w:sz="0" w:space="4"/>
                      <w:bottom w:val="none" w:color="auto" w:sz="0" w:space="1"/>
                      <w:right w:val="none" w:color="auto" w:sz="0" w:space="4"/>
                    </w:pBdr>
                    <w:spacing w:line="240" w:lineRule="auto"/>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14:paraId="6CCB8B14">
            <w:pPr>
              <w:pStyle w:val="2"/>
              <w:spacing w:before="0" w:after="0" w:line="360" w:lineRule="auto"/>
              <w:ind w:left="0" w:firstLine="420" w:firstLineChars="200"/>
              <w:jc w:val="left"/>
              <w:rPr>
                <w:rFonts w:hint="default" w:ascii="Times New Roman" w:hAnsi="Times New Roman" w:cs="Times New Roman" w:eastAsiaTheme="minorEastAsia"/>
                <w:b w:val="0"/>
                <w:bCs w:val="0"/>
                <w:color w:val="000000" w:themeColor="text1"/>
                <w:kern w:val="2"/>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14:textFill>
                  <w14:solidFill>
                    <w14:schemeClr w14:val="tx1"/>
                  </w14:solidFill>
                </w14:textFill>
              </w:rPr>
              <w:t>根据上述分析，本项目与《福建省人民政府关于实施“三线一单”生态环境分区管控的通知》(闽政[2020]12号)中的相关规定是符合的。</w:t>
            </w:r>
          </w:p>
          <w:p w14:paraId="0B0F1F4C">
            <w:pPr>
              <w:spacing w:line="360" w:lineRule="auto"/>
              <w:ind w:firstLine="420" w:firstLineChars="200"/>
              <w:contextualSpacing/>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(6)与《福州市生态环境分区管控方案》符合性分析</w:t>
            </w:r>
          </w:p>
          <w:p w14:paraId="12643F8A">
            <w:pPr>
              <w:autoSpaceDE w:val="0"/>
              <w:autoSpaceDN w:val="0"/>
              <w:adjustRightInd w:val="0"/>
              <w:snapToGrid w:val="0"/>
              <w:spacing w:line="360" w:lineRule="auto"/>
              <w:ind w:firstLine="420" w:firstLineChars="20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根据福州市人民政府办公厅关于印发《福州市生态环境分区管控方案（2023年更新）》的通知（榕政办规〔2024〕20号</w:t>
            </w:r>
            <w:r>
              <w:rPr>
                <w:rFonts w:hint="eastAsia" w:cs="Times New Roman" w:eastAsiaTheme="minorEastAsia"/>
                <w:color w:val="000000" w:themeColor="text1"/>
                <w:sz w:val="21"/>
                <w:szCs w:val="21"/>
                <w:lang w:val="en-US" w:eastAsia="zh-CN"/>
                <w14:textFill>
                  <w14:solidFill>
                    <w14:schemeClr w14:val="tx1"/>
                  </w14:solidFill>
                </w14:textFill>
              </w:rPr>
              <w:t>及</w:t>
            </w:r>
            <w:r>
              <w:rPr>
                <w:rFonts w:hint="default" w:ascii="Times New Roman" w:hAnsi="Times New Roman" w:cs="Times New Roman" w:eastAsiaTheme="minorEastAsia"/>
                <w:color w:val="000000" w:themeColor="text1"/>
                <w:sz w:val="21"/>
                <w:szCs w:val="21"/>
                <w14:textFill>
                  <w14:solidFill>
                    <w14:schemeClr w14:val="tx1"/>
                  </w14:solidFill>
                </w14:textFill>
              </w:rPr>
              <w:t>福州市生态环境局关于发布福州市2024年生态环境分区管控动态更新成果的通知</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榕环保综〔2025〕1号</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相关要求分析，本项目属于福清融侨经济技术开发区（ZH35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018120003）（生态环境分区管控综合查询报告见附件7），本项目与福州市生态环境分区管控方案相符性分析具体见下表。</w:t>
            </w:r>
          </w:p>
          <w:p w14:paraId="360A5B8D">
            <w:pPr>
              <w:spacing w:before="156" w:beforeLines="5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表1.</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3-2</w:t>
            </w: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  福州市</w:t>
            </w:r>
            <w:r>
              <w:rPr>
                <w:rFonts w:hint="eastAsia" w:cs="Times New Roman" w:eastAsiaTheme="minorEastAsia"/>
                <w:b/>
                <w:bCs/>
                <w:color w:val="000000" w:themeColor="text1"/>
                <w:sz w:val="21"/>
                <w:szCs w:val="21"/>
                <w:lang w:val="en-US" w:eastAsia="zh-CN"/>
                <w14:textFill>
                  <w14:solidFill>
                    <w14:schemeClr w14:val="tx1"/>
                  </w14:solidFill>
                </w14:textFill>
              </w:rPr>
              <w:t>总体</w:t>
            </w:r>
            <w:r>
              <w:rPr>
                <w:rFonts w:hint="default" w:ascii="Times New Roman" w:hAnsi="Times New Roman" w:cs="Times New Roman" w:eastAsiaTheme="minorEastAsia"/>
                <w:b/>
                <w:bCs/>
                <w:color w:val="000000" w:themeColor="text1"/>
                <w:sz w:val="21"/>
                <w:szCs w:val="21"/>
                <w14:textFill>
                  <w14:solidFill>
                    <w14:schemeClr w14:val="tx1"/>
                  </w14:solidFill>
                </w14:textFill>
              </w:rPr>
              <w:t>准入要求一览表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9"/>
              <w:gridCol w:w="376"/>
              <w:gridCol w:w="3460"/>
              <w:gridCol w:w="2061"/>
            </w:tblGrid>
            <w:tr w14:paraId="1E12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noWrap w:val="0"/>
                  <w:vAlign w:val="center"/>
                </w:tcPr>
                <w:p w14:paraId="581A72B5">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适用范围</w:t>
                  </w:r>
                </w:p>
              </w:tc>
              <w:tc>
                <w:tcPr>
                  <w:tcW w:w="2917" w:type="pct"/>
                  <w:gridSpan w:val="2"/>
                  <w:noWrap w:val="0"/>
                  <w:vAlign w:val="center"/>
                </w:tcPr>
                <w:p w14:paraId="7C1417B8">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准入要求</w:t>
                  </w:r>
                </w:p>
              </w:tc>
              <w:tc>
                <w:tcPr>
                  <w:tcW w:w="1567" w:type="pct"/>
                  <w:noWrap w:val="0"/>
                  <w:vAlign w:val="center"/>
                </w:tcPr>
                <w:p w14:paraId="60B79172">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本项目情况</w:t>
                  </w:r>
                </w:p>
              </w:tc>
            </w:tr>
            <w:tr w14:paraId="1119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vMerge w:val="restart"/>
                  <w:noWrap w:val="0"/>
                  <w:vAlign w:val="center"/>
                </w:tcPr>
                <w:p w14:paraId="11C3B264">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陆域</w:t>
                  </w:r>
                </w:p>
              </w:tc>
              <w:tc>
                <w:tcPr>
                  <w:tcW w:w="286" w:type="pct"/>
                  <w:noWrap w:val="0"/>
                  <w:vAlign w:val="center"/>
                </w:tcPr>
                <w:p w14:paraId="40126124">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空间布局约束</w:t>
                  </w:r>
                </w:p>
              </w:tc>
              <w:tc>
                <w:tcPr>
                  <w:tcW w:w="2631" w:type="pct"/>
                  <w:noWrap w:val="0"/>
                  <w:vAlign w:val="center"/>
                </w:tcPr>
                <w:p w14:paraId="2764C19E">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一、优先保护单元中的生态保护红线</w:t>
                  </w:r>
                </w:p>
                <w:p w14:paraId="47FB9DB5">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1.根据《关于在国土空间规划中统筹划定落实三条控制线的指导意见》《自然资源部 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0002ABEE">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（1）管护巡护、保护执法、科学研究、调查监测、测绘导航、防灾减灾救灾、军事国防、疫情防控等活动及相关的必要设施修筑。</w:t>
                  </w:r>
                </w:p>
                <w:p w14:paraId="7EFB0112">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4750B283">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（3）经依法批准的考古调查发掘、古生物化石调查发掘、标本采集和文物保护活动。</w:t>
                  </w:r>
                </w:p>
                <w:p w14:paraId="372AA576">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（4）按规定对人工商品林进行抚育采伐，或以提升森林质量、优化栖息地、建设生物防火隔离带等为目的的树种更新，依法开展的竹林采伐经营。</w:t>
                  </w:r>
                </w:p>
                <w:p w14:paraId="69642CAC">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（5）不破坏生态功能的适度参观旅游、科普宣教及符合相关规划的配套性服务设施和相关的必要公共设施建设及维护。</w:t>
                  </w:r>
                </w:p>
                <w:p w14:paraId="0EFD148A">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（6）必须且无法避让、符合县级以上国土空间规划的线性基础设施、通讯和防洪、供水设施建设和船舶航行、航道疏浚清淤等活动；已有的合法水利、交通运输等设施运行维护改造。</w:t>
                  </w:r>
                </w:p>
                <w:p w14:paraId="69C366F3">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w:t>
                  </w:r>
                </w:p>
                <w:p w14:paraId="05F5E31A">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05E45762">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（8）依据县级以上国土空间规划和生态保护修复专项规划开展的生态修复。</w:t>
                  </w:r>
                </w:p>
                <w:p w14:paraId="06FB3535">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（9）法律法规规定允许的其他人为活动。</w:t>
                  </w:r>
                </w:p>
                <w:p w14:paraId="07E89631">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2.依据《福建省自然资源厅 福建省生态环境厅 福建省林业局关于进一步加强生态保护红线监管的通知（试行）》（闽自然资发〔2023〕56号），允许占用生态保护红线的重大项目范围：</w:t>
                  </w:r>
                </w:p>
                <w:p w14:paraId="084D6615">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（1）党中央、国务院发布文件或批准规划中明确具体名称的项目和国务院批准的项目。</w:t>
                  </w:r>
                </w:p>
                <w:p w14:paraId="2FF191F3">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（2）中央军委及其有关部门批准的军事国防项目。</w:t>
                  </w:r>
                </w:p>
                <w:p w14:paraId="7B93BC7B">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（3）国家级规划（指国务院及其有关部门正式颁布）明确的交通、水利项目。</w:t>
                  </w:r>
                </w:p>
                <w:p w14:paraId="69AF1A7F">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（4）国家级规划明确的电网项目，国家级规划明确的且符合国家产业政策的能源矿产勘查开采、油气管线、水电、核电项目。</w:t>
                  </w:r>
                </w:p>
                <w:p w14:paraId="344A4A1C">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（5）为贯彻落实党中央、国务院重大决策部署，国务院投资主管部门或国务院投资主管部门会同有关部门确认的交通、能源、水利等基础设施项目。</w:t>
                  </w:r>
                </w:p>
                <w:p w14:paraId="2ECA0C3F">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（6）按照国家重大项目用地保障工作机制要求，国家发展</w:t>
                  </w:r>
                  <w:r>
                    <w:rPr>
                      <w:rFonts w:hint="eastAsia" w:cs="Times New Roman" w:eastAsiaTheme="minorEastAsia"/>
                      <w:color w:val="000000" w:themeColor="text1"/>
                      <w:spacing w:val="0"/>
                      <w:kern w:val="2"/>
                      <w:sz w:val="21"/>
                      <w:szCs w:val="21"/>
                      <w:lang w:val="en-US" w:eastAsia="zh-CN" w:bidi="ar-SA"/>
                      <w14:textFill>
                        <w14:solidFill>
                          <w14:schemeClr w14:val="tx1"/>
                        </w14:solidFill>
                      </w14:textFill>
                    </w:rPr>
                    <w:t>和改革委员会</w:t>
                  </w: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同有关部门确认的需中央加大建设用地保障力度，确实难以避让的国家重大项目。</w:t>
                  </w:r>
                </w:p>
                <w:p w14:paraId="35164E75">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二、优先保护单元中的一般生态空间</w:t>
                  </w:r>
                </w:p>
                <w:p w14:paraId="565A10AB">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1.一般生态空间以保护和修复生态环境、提供生态产品和服务为首要任务，因地制宜地发展不影响主体功能定位的适宜产业。</w:t>
                  </w:r>
                </w:p>
                <w:p w14:paraId="33270BC0">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2.一般生态空间内未纳入生态保护红线的饮用水水源保护区等各类法定保护地，其管控要求依照相关法律法规执行。</w:t>
                  </w:r>
                </w:p>
                <w:p w14:paraId="6B86C568">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3.一般生态空间内现有合法的水泥厂、矿山开发等生产性设施及生活垃圾处置等民生工程予以保留，应按照法律法规要求落实污染防治和生态保护措施，避免对生态功能造成破坏。</w:t>
                  </w:r>
                </w:p>
                <w:p w14:paraId="6D6D15A5">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三、其它要求</w:t>
                  </w:r>
                </w:p>
                <w:p w14:paraId="093D6609">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1.福州市石化中上游项目重点在福州江阴港城经济区、可门港经济区化工新材料产业园布局。</w:t>
                  </w:r>
                </w:p>
                <w:p w14:paraId="73916D5D">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2.禁止在闽江马尾罗星塔以上流域范围新、扩建制革项目，严控新（扩）建植物制浆、印染、合成革及人造革、电镀项目。</w:t>
                  </w:r>
                </w:p>
                <w:p w14:paraId="1A275BF1">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3.禁止在通风廊道和主导风向的上风向布局大气重污染企业，推进建成区大气重污染企业搬迁或升级改造、环境风险企业搬迁或关闭退出。</w:t>
                  </w:r>
                </w:p>
                <w:p w14:paraId="03170C83">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4.禁止新、改、扩建生产高VOCs含量有机溶剂型涂料、油墨和胶黏剂的项目。</w:t>
                  </w:r>
                </w:p>
                <w:p w14:paraId="2EA07C90">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68920D88">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1C47B9FB">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7.禁止在流域上游新建、扩建重污染企业和项目。</w:t>
                  </w:r>
                </w:p>
                <w:p w14:paraId="2D54EEA4">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16E5C4D6">
                  <w:pPr>
                    <w:pStyle w:val="100"/>
                    <w:numPr>
                      <w:ilvl w:val="0"/>
                      <w:numId w:val="0"/>
                    </w:numPr>
                    <w:tabs>
                      <w:tab w:val="left" w:pos="0"/>
                    </w:tabs>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54C82450">
                  <w:pPr>
                    <w:pStyle w:val="100"/>
                    <w:numPr>
                      <w:ilvl w:val="0"/>
                      <w:numId w:val="0"/>
                    </w:numPr>
                    <w:tabs>
                      <w:tab w:val="left" w:pos="0"/>
                    </w:tabs>
                    <w:rPr>
                      <w:rFonts w:hint="default" w:ascii="Times New Roman" w:hAnsi="Times New Roman" w:cs="Times New Roman" w:eastAsiaTheme="minorEastAsia"/>
                      <w:color w:val="000000" w:themeColor="text1"/>
                      <w:spacing w:val="0"/>
                      <w:kern w:val="2"/>
                      <w:sz w:val="21"/>
                      <w:szCs w:val="21"/>
                      <w14:textFill>
                        <w14:solidFill>
                          <w14:schemeClr w14:val="tx1"/>
                        </w14:solidFill>
                      </w14:textFill>
                    </w:rPr>
                  </w:pPr>
                  <w:r>
                    <w:rPr>
                      <w:rFonts w:hint="eastAsia" w:ascii="Times New Roman" w:hAnsi="Times New Roman" w:cs="Times New Roman" w:eastAsiaTheme="minorEastAsia"/>
                      <w:color w:val="000000" w:themeColor="text1"/>
                      <w:spacing w:val="0"/>
                      <w:kern w:val="2"/>
                      <w:sz w:val="21"/>
                      <w:szCs w:val="21"/>
                      <w:lang w:val="en-US" w:eastAsia="zh-CN" w:bidi="ar-SA"/>
                      <w14:textFill>
                        <w14:solidFill>
                          <w14:schemeClr w14:val="tx1"/>
                        </w14:solidFill>
                      </w14:textFill>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567" w:type="pct"/>
                  <w:noWrap w:val="0"/>
                  <w:vAlign w:val="center"/>
                </w:tcPr>
                <w:p w14:paraId="75BE8AAB">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14:textFill>
                        <w14:solidFill>
                          <w14:schemeClr w14:val="tx1"/>
                        </w14:solidFill>
                      </w14:textFill>
                    </w:rPr>
                    <w:t>一、</w:t>
                  </w:r>
                  <w:r>
                    <w:rPr>
                      <w:rFonts w:hint="default" w:ascii="Times New Roman" w:hAnsi="Times New Roman" w:cs="Times New Roman" w:eastAsiaTheme="minorEastAsia"/>
                      <w:color w:val="000000" w:themeColor="text1"/>
                      <w:kern w:val="2"/>
                      <w:sz w:val="21"/>
                      <w:szCs w:val="21"/>
                      <w14:textFill>
                        <w14:solidFill>
                          <w14:schemeClr w14:val="tx1"/>
                        </w14:solidFill>
                      </w14:textFill>
                    </w:rPr>
                    <w:t>本项目位于福州市福清市阳下街道洪宽工业区</w:t>
                  </w:r>
                  <w:r>
                    <w:rPr>
                      <w:rFonts w:hint="eastAsia" w:ascii="Times New Roman" w:hAnsi="Times New Roman" w:cs="Times New Roman" w:eastAsiaTheme="minorEastAsia"/>
                      <w:color w:val="000000" w:themeColor="text1"/>
                      <w:kern w:val="2"/>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lang w:val="en-US" w:eastAsia="zh-CN"/>
                      <w14:textFill>
                        <w14:solidFill>
                          <w14:schemeClr w14:val="tx1"/>
                        </w14:solidFill>
                      </w14:textFill>
                    </w:rPr>
                    <w:t>不在</w:t>
                  </w:r>
                  <w:r>
                    <w:rPr>
                      <w:rFonts w:hint="default" w:ascii="Times New Roman" w:hAnsi="Times New Roman" w:cs="Times New Roman" w:eastAsiaTheme="minorEastAsia"/>
                      <w:color w:val="000000" w:themeColor="text1"/>
                      <w:spacing w:val="0"/>
                      <w:kern w:val="2"/>
                      <w:sz w:val="21"/>
                      <w:szCs w:val="21"/>
                      <w14:textFill>
                        <w14:solidFill>
                          <w14:schemeClr w14:val="tx1"/>
                        </w14:solidFill>
                      </w14:textFill>
                    </w:rPr>
                    <w:t>生态保护红线内自然保护区、风景名胜区、饮用水水源保护区</w:t>
                  </w:r>
                  <w:r>
                    <w:rPr>
                      <w:rFonts w:hint="eastAsia" w:ascii="Times New Roman" w:hAnsi="Times New Roman" w:cs="Times New Roman" w:eastAsiaTheme="minorEastAsia"/>
                      <w:color w:val="000000" w:themeColor="text1"/>
                      <w:spacing w:val="0"/>
                      <w:kern w:val="2"/>
                      <w:sz w:val="21"/>
                      <w:szCs w:val="21"/>
                      <w:lang w:val="en-US" w:eastAsia="zh-CN"/>
                      <w14:textFill>
                        <w14:solidFill>
                          <w14:schemeClr w14:val="tx1"/>
                        </w14:solidFill>
                      </w14:textFill>
                    </w:rPr>
                    <w:t>内</w:t>
                  </w:r>
                  <w:r>
                    <w:rPr>
                      <w:rFonts w:hint="default" w:ascii="Times New Roman" w:hAnsi="Times New Roman" w:cs="Times New Roman" w:eastAsiaTheme="minorEastAsia"/>
                      <w:color w:val="000000" w:themeColor="text1"/>
                      <w:kern w:val="2"/>
                      <w:sz w:val="21"/>
                      <w:szCs w:val="21"/>
                      <w14:textFill>
                        <w14:solidFill>
                          <w14:schemeClr w14:val="tx1"/>
                        </w14:solidFill>
                      </w14:textFill>
                    </w:rPr>
                    <w:t>。</w:t>
                  </w:r>
                </w:p>
                <w:p w14:paraId="6F328F49">
                  <w:pPr>
                    <w:pStyle w:val="30"/>
                    <w:widowControl w:val="0"/>
                    <w:spacing w:before="0" w:beforeAutospacing="0" w:after="0" w:afterAutospacing="0"/>
                    <w:jc w:val="center"/>
                    <w:rPr>
                      <w:rFonts w:hint="eastAsia"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14:textFill>
                        <w14:solidFill>
                          <w14:schemeClr w14:val="tx1"/>
                        </w14:solidFill>
                      </w14:textFill>
                    </w:rPr>
                    <w:t>二、</w:t>
                  </w:r>
                  <w:r>
                    <w:rPr>
                      <w:rFonts w:hint="default" w:ascii="Times New Roman" w:hAnsi="Times New Roman" w:cs="Times New Roman" w:eastAsiaTheme="minorEastAsia"/>
                      <w:color w:val="000000" w:themeColor="text1"/>
                      <w:kern w:val="2"/>
                      <w:sz w:val="21"/>
                      <w:szCs w:val="21"/>
                      <w14:textFill>
                        <w14:solidFill>
                          <w14:schemeClr w14:val="tx1"/>
                        </w14:solidFill>
                      </w14:textFill>
                    </w:rPr>
                    <w:t>本项目位于福州市福清市阳下街道洪宽工业区</w:t>
                  </w:r>
                  <w:r>
                    <w:rPr>
                      <w:rFonts w:hint="eastAsia" w:ascii="Times New Roman" w:hAnsi="Times New Roman" w:cs="Times New Roman" w:eastAsiaTheme="minorEastAsia"/>
                      <w:color w:val="000000" w:themeColor="text1"/>
                      <w:kern w:val="2"/>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kern w:val="2"/>
                      <w:sz w:val="21"/>
                      <w:szCs w:val="21"/>
                      <w:lang w:val="en-US" w:eastAsia="zh-CN"/>
                      <w14:textFill>
                        <w14:solidFill>
                          <w14:schemeClr w14:val="tx1"/>
                        </w14:solidFill>
                      </w14:textFill>
                    </w:rPr>
                    <w:t>属于重点管控单元，不在优先保护单元中的一般生态空间</w:t>
                  </w:r>
                  <w:r>
                    <w:rPr>
                      <w:rFonts w:hint="eastAsia" w:ascii="Times New Roman" w:hAnsi="Times New Roman" w:cs="Times New Roman" w:eastAsiaTheme="minorEastAsia"/>
                      <w:color w:val="000000" w:themeColor="text1"/>
                      <w:kern w:val="2"/>
                      <w:sz w:val="21"/>
                      <w:szCs w:val="21"/>
                      <w:lang w:eastAsia="zh-CN"/>
                      <w14:textFill>
                        <w14:solidFill>
                          <w14:schemeClr w14:val="tx1"/>
                        </w14:solidFill>
                      </w14:textFill>
                    </w:rPr>
                    <w:t>。</w:t>
                  </w:r>
                </w:p>
                <w:p w14:paraId="4736BB2A">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14:textFill>
                        <w14:solidFill>
                          <w14:schemeClr w14:val="tx1"/>
                        </w14:solidFill>
                      </w14:textFill>
                    </w:rPr>
                    <w:t>三、1.</w:t>
                  </w:r>
                  <w:r>
                    <w:rPr>
                      <w:rFonts w:hint="default" w:ascii="Times New Roman" w:hAnsi="Times New Roman" w:cs="Times New Roman" w:eastAsiaTheme="minorEastAsia"/>
                      <w:color w:val="000000" w:themeColor="text1"/>
                      <w:kern w:val="2"/>
                      <w:sz w:val="21"/>
                      <w:szCs w:val="21"/>
                      <w14:textFill>
                        <w14:solidFill>
                          <w14:schemeClr w14:val="tx1"/>
                        </w14:solidFill>
                      </w14:textFill>
                    </w:rPr>
                    <w:t>本项目属于</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新</w:t>
                  </w:r>
                  <w:r>
                    <w:rPr>
                      <w:rFonts w:hint="default" w:ascii="Times New Roman" w:hAnsi="Times New Roman" w:cs="Times New Roman" w:eastAsiaTheme="minorEastAsia"/>
                      <w:color w:val="000000" w:themeColor="text1"/>
                      <w:kern w:val="2"/>
                      <w:sz w:val="21"/>
                      <w:szCs w:val="21"/>
                      <w14:textFill>
                        <w14:solidFill>
                          <w14:schemeClr w14:val="tx1"/>
                        </w14:solidFill>
                      </w14:textFill>
                    </w:rPr>
                    <w:t>项目，产品</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为电脑显示器锌合金、铝合金支架</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w:t>
                  </w:r>
                  <w:r>
                    <w:rPr>
                      <w:rFonts w:hint="default" w:ascii="Times New Roman" w:hAnsi="Times New Roman" w:cs="Times New Roman" w:eastAsiaTheme="minorEastAsia"/>
                      <w:color w:val="000000" w:themeColor="text1"/>
                      <w:spacing w:val="0"/>
                      <w:kern w:val="2"/>
                      <w:sz w:val="21"/>
                      <w:szCs w:val="21"/>
                      <w14:textFill>
                        <w14:solidFill>
                          <w14:schemeClr w14:val="tx1"/>
                        </w14:solidFill>
                      </w14:textFill>
                    </w:rPr>
                    <w:t>石化中上游项目</w:t>
                  </w:r>
                  <w:r>
                    <w:rPr>
                      <w:rFonts w:hint="eastAsia" w:ascii="Times New Roman" w:hAnsi="Times New Roman" w:cs="Times New Roman" w:eastAsiaTheme="minorEastAsia"/>
                      <w:color w:val="000000" w:themeColor="text1"/>
                      <w:spacing w:val="0"/>
                      <w:kern w:val="2"/>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pacing w:val="0"/>
                      <w:kern w:val="2"/>
                      <w:sz w:val="21"/>
                      <w:szCs w:val="21"/>
                      <w:lang w:val="en-US" w:eastAsia="zh-CN"/>
                      <w14:textFill>
                        <w14:solidFill>
                          <w14:schemeClr w14:val="tx1"/>
                        </w14:solidFill>
                      </w14:textFill>
                    </w:rPr>
                    <w:t>2.本项目不属于</w:t>
                  </w:r>
                  <w:r>
                    <w:rPr>
                      <w:rFonts w:hint="default" w:ascii="Times New Roman" w:hAnsi="Times New Roman" w:cs="Times New Roman" w:eastAsiaTheme="minorEastAsia"/>
                      <w:color w:val="000000" w:themeColor="text1"/>
                      <w:spacing w:val="0"/>
                      <w:kern w:val="2"/>
                      <w:sz w:val="21"/>
                      <w:szCs w:val="21"/>
                      <w14:textFill>
                        <w14:solidFill>
                          <w14:schemeClr w14:val="tx1"/>
                        </w14:solidFill>
                      </w14:textFill>
                    </w:rPr>
                    <w:t>制革项目，</w:t>
                  </w:r>
                  <w:r>
                    <w:rPr>
                      <w:rFonts w:hint="eastAsia" w:ascii="Times New Roman" w:hAnsi="Times New Roman" w:cs="Times New Roman" w:eastAsiaTheme="minorEastAsia"/>
                      <w:color w:val="000000" w:themeColor="text1"/>
                      <w:spacing w:val="0"/>
                      <w:kern w:val="2"/>
                      <w:sz w:val="21"/>
                      <w:szCs w:val="21"/>
                      <w:lang w:val="en-US" w:eastAsia="zh-CN"/>
                      <w14:textFill>
                        <w14:solidFill>
                          <w14:schemeClr w14:val="tx1"/>
                        </w14:solidFill>
                      </w14:textFill>
                    </w:rPr>
                    <w:t>不属于</w:t>
                  </w:r>
                  <w:r>
                    <w:rPr>
                      <w:rFonts w:hint="default" w:ascii="Times New Roman" w:hAnsi="Times New Roman" w:cs="Times New Roman" w:eastAsiaTheme="minorEastAsia"/>
                      <w:color w:val="000000" w:themeColor="text1"/>
                      <w:kern w:val="2"/>
                      <w:sz w:val="21"/>
                      <w:szCs w:val="21"/>
                      <w14:textFill>
                        <w14:solidFill>
                          <w14:schemeClr w14:val="tx1"/>
                        </w14:solidFill>
                      </w14:textFill>
                    </w:rPr>
                    <w:t>植物制浆、印染、合成革及人造革、电镀项目。</w:t>
                  </w:r>
                </w:p>
                <w:p w14:paraId="7AE7754F">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3.本项目</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为</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有色金属铸造</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业，</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不属于大气重污染企业。</w:t>
                  </w:r>
                </w:p>
                <w:p w14:paraId="5D27D49E">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4.本项目产品</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为电脑显示器锌合金、铝合金支架</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，不属于生产高VOCs含量有机溶剂型涂料、油墨和胶黏剂项目。</w:t>
                  </w:r>
                </w:p>
                <w:p w14:paraId="2F84C337">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5.本项目</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为有色金属铸造</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业</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，不属于建陶产业。</w:t>
                  </w:r>
                </w:p>
                <w:p w14:paraId="53DC1B92">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6.本项目产品</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为电脑显示器锌合金、铝合金支架</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，不属于涉及重点重金属污染物的有色金属冶炼、电镀、制革、铅蓄电池制造企业。</w:t>
                  </w:r>
                </w:p>
                <w:p w14:paraId="23FE3C78">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7.本项目</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为</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有色金属铸造</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业，</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重污染企业</w:t>
                  </w:r>
                  <w:r>
                    <w:rPr>
                      <w:rFonts w:hint="default" w:ascii="Times New Roman" w:hAnsi="Times New Roman" w:cs="Times New Roman" w:eastAsiaTheme="minorEastAsia"/>
                      <w:color w:val="000000" w:themeColor="text1"/>
                      <w:kern w:val="2"/>
                      <w:sz w:val="21"/>
                      <w:szCs w:val="21"/>
                      <w14:textFill>
                        <w14:solidFill>
                          <w14:schemeClr w14:val="tx1"/>
                        </w14:solidFill>
                      </w14:textFill>
                    </w:rPr>
                    <w:t>。</w:t>
                  </w:r>
                </w:p>
                <w:p w14:paraId="63749514">
                  <w:pPr>
                    <w:pStyle w:val="30"/>
                    <w:widowControl w:val="0"/>
                    <w:spacing w:before="0" w:beforeAutospacing="0" w:after="0" w:afterAutospacing="0"/>
                    <w:jc w:val="center"/>
                    <w:rPr>
                      <w:rFonts w:hint="default" w:ascii="Times New Roman" w:hAnsi="Times New Roman" w:cs="Times New Roman" w:eastAsiaTheme="minorEastAsia"/>
                      <w:color w:val="000000" w:themeColor="text1"/>
                      <w:kern w:val="2"/>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14:textFill>
                        <w14:solidFill>
                          <w14:schemeClr w14:val="tx1"/>
                        </w14:solidFill>
                      </w14:textFill>
                    </w:rPr>
                    <w:t>8.本项目附近</w:t>
                  </w:r>
                  <w:r>
                    <w:rPr>
                      <w:rFonts w:hint="default" w:ascii="Times New Roman" w:hAnsi="Times New Roman" w:cs="Times New Roman" w:eastAsiaTheme="minorEastAsia"/>
                      <w:color w:val="000000" w:themeColor="text1"/>
                      <w:kern w:val="2"/>
                      <w:sz w:val="21"/>
                      <w:szCs w:val="21"/>
                      <w:lang w:eastAsia="zh-CN"/>
                      <w14:textFill>
                        <w14:solidFill>
                          <w14:schemeClr w14:val="tx1"/>
                        </w14:solidFill>
                      </w14:textFill>
                    </w:rPr>
                    <w:t>水域为大北溪，</w:t>
                  </w:r>
                  <w:r>
                    <w:rPr>
                      <w:rFonts w:hint="default" w:ascii="Times New Roman" w:hAnsi="Times New Roman" w:cs="Times New Roman" w:eastAsiaTheme="minorEastAsia"/>
                      <w:color w:val="000000" w:themeColor="text1"/>
                      <w:kern w:val="2"/>
                      <w:sz w:val="21"/>
                      <w:szCs w:val="21"/>
                      <w14:textFill>
                        <w14:solidFill>
                          <w14:schemeClr w14:val="tx1"/>
                        </w14:solidFill>
                      </w14:textFill>
                    </w:rPr>
                    <w:t>不属于重要敏感水体及富营养化湖库生态缓冲带。</w:t>
                  </w:r>
                </w:p>
                <w:p w14:paraId="4E1D5FBB">
                  <w:pPr>
                    <w:pBdr>
                      <w:top w:val="none" w:color="auto" w:sz="0" w:space="1"/>
                      <w:left w:val="none" w:color="auto" w:sz="0" w:space="4"/>
                      <w:bottom w:val="none" w:color="auto" w:sz="0" w:space="1"/>
                      <w:right w:val="none" w:color="auto" w:sz="0" w:space="4"/>
                    </w:pBdr>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9.本项目不属于煤电、钢铁、建材、石化、化工等“两高”项目。</w:t>
                  </w:r>
                  <w:r>
                    <w:rPr>
                      <w:rFonts w:hint="eastAsia" w:cs="Times New Roman" w:eastAsiaTheme="minorEastAsia"/>
                      <w:color w:val="000000" w:themeColor="text1"/>
                      <w:sz w:val="21"/>
                      <w:szCs w:val="21"/>
                      <w:lang w:val="en-US" w:eastAsia="zh-CN"/>
                      <w14:textFill>
                        <w14:solidFill>
                          <w14:schemeClr w14:val="tx1"/>
                        </w14:solidFill>
                      </w14:textFill>
                    </w:rPr>
                    <w:t>10.本项目建设用地为工业用地且租赁已建设厂房，不涉及</w:t>
                  </w:r>
                  <w:r>
                    <w:rPr>
                      <w:rFonts w:hint="default" w:ascii="Times New Roman" w:hAnsi="Times New Roman" w:cs="Times New Roman" w:eastAsiaTheme="minorEastAsia"/>
                      <w:color w:val="000000" w:themeColor="text1"/>
                      <w:spacing w:val="0"/>
                      <w:kern w:val="2"/>
                      <w:sz w:val="21"/>
                      <w:szCs w:val="21"/>
                      <w14:textFill>
                        <w14:solidFill>
                          <w14:schemeClr w14:val="tx1"/>
                        </w14:solidFill>
                      </w14:textFill>
                    </w:rPr>
                    <w:t>永久基本农田的</w:t>
                  </w:r>
                  <w:r>
                    <w:rPr>
                      <w:rFonts w:hint="eastAsia" w:cs="Times New Roman" w:eastAsiaTheme="minorEastAsia"/>
                      <w:color w:val="000000" w:themeColor="text1"/>
                      <w:spacing w:val="0"/>
                      <w:kern w:val="2"/>
                      <w:sz w:val="21"/>
                      <w:szCs w:val="21"/>
                      <w:lang w:eastAsia="zh-CN"/>
                      <w14:textFill>
                        <w14:solidFill>
                          <w14:schemeClr w14:val="tx1"/>
                        </w14:solidFill>
                      </w14:textFill>
                    </w:rPr>
                    <w:t>。</w:t>
                  </w:r>
                </w:p>
              </w:tc>
            </w:tr>
            <w:tr w14:paraId="5A41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vMerge w:val="continue"/>
                  <w:noWrap w:val="0"/>
                  <w:vAlign w:val="center"/>
                </w:tcPr>
                <w:p w14:paraId="129F2573">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6" w:type="pct"/>
                  <w:noWrap w:val="0"/>
                  <w:vAlign w:val="center"/>
                </w:tcPr>
                <w:p w14:paraId="5D2357FB">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污染物排放管控</w:t>
                  </w:r>
                </w:p>
              </w:tc>
              <w:tc>
                <w:tcPr>
                  <w:tcW w:w="2631" w:type="pct"/>
                  <w:noWrap w:val="0"/>
                  <w:vAlign w:val="center"/>
                </w:tcPr>
                <w:p w14:paraId="742EA041">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43084DC5">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2.新、改、扩建涉VOCs排放项目污染物排放量应满足《福州市“十四五”空气质量持续改善计划》（榕环保综〔2023〕40号），应从源头加强控制，使用低（无）VOCs含量的原辅材料。 </w:t>
                  </w:r>
                </w:p>
                <w:p w14:paraId="1EB2A790">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4BC9EE9F">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4.氟化工、印染、电镀等行业企业实行水污染物特别排放限值。</w:t>
                  </w:r>
                </w:p>
                <w:p w14:paraId="384449F4">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5.新、改、扩建重点行业［2］建设项目要遵循重点重金属污染物排放“等量替代”原则，总量来源原则上应是同一重点行业内的削减量，当同一重点行业无法满足时可从其他重点行业调剂。</w:t>
                  </w:r>
                </w:p>
                <w:p w14:paraId="7DC2BC6E">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6.每小时35（含）—65蒸吨燃煤锅炉和位于县级及以上城市建成区内保留的燃煤、燃油、燃生物质锅炉，原则上2024年底前必须全面实现超低排放。</w:t>
                  </w:r>
                </w:p>
                <w:p w14:paraId="0FF4F614">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7.水泥行业新改扩建项目严格对照超低排放、能效标杆水平建设实施；现有项目超低排放改造应按文件（闽环规〔2023〕2号）的时限要求分步推进，2025年底前全面完成［3］［4］。</w:t>
                  </w:r>
                </w:p>
                <w:p w14:paraId="7F398C98">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567" w:type="pct"/>
                  <w:noWrap w:val="0"/>
                  <w:vAlign w:val="center"/>
                </w:tcPr>
                <w:p w14:paraId="58C9B0EF">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1.本项目为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新</w:t>
                  </w:r>
                  <w:r>
                    <w:rPr>
                      <w:rFonts w:hint="default" w:ascii="Times New Roman" w:hAnsi="Times New Roman" w:cs="Times New Roman" w:eastAsiaTheme="minorEastAsia"/>
                      <w:color w:val="000000" w:themeColor="text1"/>
                      <w:sz w:val="21"/>
                      <w:szCs w:val="21"/>
                      <w14:textFill>
                        <w14:solidFill>
                          <w14:schemeClr w14:val="tx1"/>
                        </w14:solidFill>
                      </w14:textFill>
                    </w:rPr>
                    <w:t>建项目，不排放生产废水，废气污染物主要为</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w:t>
                  </w:r>
                  <w:r>
                    <w:rPr>
                      <w:rFonts w:hint="default" w:ascii="Times New Roman" w:hAnsi="Times New Roman" w:cs="Times New Roman" w:eastAsiaTheme="minorEastAsia"/>
                      <w:color w:val="000000" w:themeColor="text1"/>
                      <w:sz w:val="21"/>
                      <w:szCs w:val="21"/>
                      <w14:textFill>
                        <w14:solidFill>
                          <w14:schemeClr w14:val="tx1"/>
                        </w14:solidFill>
                      </w14:textFill>
                    </w:rPr>
                    <w:t>非甲烷总烃，不涉及新增主要污染物（水污染物化学需氧量、氨氮和大气污染物二氧化硫、氮氧化物）排放总量指标。</w:t>
                  </w:r>
                </w:p>
                <w:p w14:paraId="28B955FF">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2.本项目VOCs排放</w:t>
                  </w:r>
                  <w:r>
                    <w:rPr>
                      <w:rFonts w:hint="eastAsia" w:cs="Times New Roman" w:eastAsiaTheme="minorEastAsia"/>
                      <w:color w:val="000000" w:themeColor="text1"/>
                      <w:sz w:val="21"/>
                      <w:szCs w:val="21"/>
                      <w:lang w:val="en-US" w:eastAsia="zh-CN"/>
                      <w14:textFill>
                        <w14:solidFill>
                          <w14:schemeClr w14:val="tx1"/>
                        </w14:solidFill>
                      </w14:textFill>
                    </w:rPr>
                    <w:t>主要为脱模剂，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污染物排放量应满足《福州市“十四五”空气质量持续改善计划》（榕环保综〔2023〕40号）</w:t>
                  </w:r>
                  <w:r>
                    <w:rPr>
                      <w:rFonts w:hint="default" w:ascii="Times New Roman" w:hAnsi="Times New Roman" w:cs="Times New Roman" w:eastAsiaTheme="minorEastAsia"/>
                      <w:color w:val="000000" w:themeColor="text1"/>
                      <w:sz w:val="21"/>
                      <w:szCs w:val="21"/>
                      <w14:textFill>
                        <w14:solidFill>
                          <w14:schemeClr w14:val="tx1"/>
                        </w14:solidFill>
                      </w14:textFill>
                    </w:rPr>
                    <w:t>。</w:t>
                  </w:r>
                </w:p>
                <w:p w14:paraId="682A7BD2">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3.本项目从事电脑显示器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锌合金、铝合金支架的生产</w:t>
                  </w:r>
                  <w:r>
                    <w:rPr>
                      <w:rFonts w:hint="default" w:ascii="Times New Roman" w:hAnsi="Times New Roman" w:cs="Times New Roman" w:eastAsiaTheme="minorEastAsia"/>
                      <w:color w:val="000000" w:themeColor="text1"/>
                      <w:sz w:val="21"/>
                      <w:szCs w:val="21"/>
                      <w14:textFill>
                        <w14:solidFill>
                          <w14:schemeClr w14:val="tx1"/>
                        </w14:solidFill>
                      </w14:textFill>
                    </w:rPr>
                    <w:t>，不属于钢铁、水泥、平板玻璃、有色金属冶炼、化工等工业项目。</w:t>
                  </w:r>
                </w:p>
                <w:p w14:paraId="5404BB19">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4.本项目不属于氟化工、印染、电镀等行业。</w:t>
                  </w:r>
                </w:p>
                <w:p w14:paraId="19A27ED1">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5.本项目从事</w:t>
                  </w:r>
                  <w:r>
                    <w:rPr>
                      <w:rFonts w:hint="default" w:ascii="Times New Roman" w:hAnsi="Times New Roman" w:cs="Times New Roman" w:eastAsiaTheme="minorEastAsia"/>
                      <w:color w:val="000000" w:themeColor="text1"/>
                      <w14:textFill>
                        <w14:solidFill>
                          <w14:schemeClr w14:val="tx1"/>
                        </w14:solidFill>
                      </w14:textFill>
                    </w:rPr>
                    <w:t>电脑显示器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锌合金、铝合金支架的生产</w:t>
                  </w:r>
                  <w:r>
                    <w:rPr>
                      <w:rFonts w:hint="default" w:ascii="Times New Roman" w:hAnsi="Times New Roman" w:cs="Times New Roman" w:eastAsiaTheme="minorEastAsia"/>
                      <w:color w:val="000000" w:themeColor="text1"/>
                      <w:sz w:val="21"/>
                      <w:szCs w:val="21"/>
                      <w14:textFill>
                        <w14:solidFill>
                          <w14:schemeClr w14:val="tx1"/>
                        </w14:solidFill>
                      </w14:textFill>
                    </w:rPr>
                    <w:t>，不属于重大行业，也不涉及重金属污染物排放。</w:t>
                  </w:r>
                </w:p>
                <w:p w14:paraId="75CB80E8">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6.本项目不涉及锅炉。</w:t>
                  </w:r>
                </w:p>
                <w:p w14:paraId="3686BFAF">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7.本项目不属于水泥行业。</w:t>
                  </w:r>
                </w:p>
                <w:p w14:paraId="4F2A71A0">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8.本项目位于</w:t>
                  </w:r>
                  <w:r>
                    <w:rPr>
                      <w:rFonts w:hint="default" w:ascii="Times New Roman" w:hAnsi="Times New Roman" w:cs="Times New Roman" w:eastAsiaTheme="minorEastAsia"/>
                      <w:color w:val="000000" w:themeColor="text1"/>
                      <w:lang w:val="en-US" w:eastAsia="zh-CN"/>
                      <w14:textFill>
                        <w14:solidFill>
                          <w14:schemeClr w14:val="tx1"/>
                        </w14:solidFill>
                      </w14:textFill>
                    </w:rPr>
                    <w:t>福州市福清市阳下街道洪宽工业区</w:t>
                  </w:r>
                  <w:r>
                    <w:rPr>
                      <w:rFonts w:hint="default" w:ascii="Times New Roman" w:hAnsi="Times New Roman" w:cs="Times New Roman" w:eastAsiaTheme="minorEastAsia"/>
                      <w:color w:val="000000" w:themeColor="text1"/>
                      <w:sz w:val="21"/>
                      <w:szCs w:val="21"/>
                      <w14:textFill>
                        <w14:solidFill>
                          <w14:schemeClr w14:val="tx1"/>
                        </w14:solidFill>
                      </w14:textFill>
                    </w:rPr>
                    <w:t>，不属于印染、皮革、农药、医药、涂料等行业，也不涉及化学物质、农药和抗生素。</w:t>
                  </w:r>
                </w:p>
              </w:tc>
            </w:tr>
            <w:tr w14:paraId="0A02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16" w:type="pct"/>
                  <w:vMerge w:val="continue"/>
                  <w:noWrap w:val="0"/>
                  <w:vAlign w:val="center"/>
                </w:tcPr>
                <w:p w14:paraId="062D86DC">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6" w:type="pct"/>
                  <w:noWrap w:val="0"/>
                  <w:vAlign w:val="center"/>
                </w:tcPr>
                <w:p w14:paraId="6CA9F651">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资源开发效率要求</w:t>
                  </w:r>
                </w:p>
              </w:tc>
              <w:tc>
                <w:tcPr>
                  <w:tcW w:w="2631" w:type="pct"/>
                  <w:noWrap w:val="0"/>
                  <w:vAlign w:val="center"/>
                </w:tcPr>
                <w:p w14:paraId="571835E8">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53125CD6">
                  <w:pPr>
                    <w:pStyle w:val="12"/>
                    <w:adjustRightInd w:val="0"/>
                    <w:snapToGrid w:val="0"/>
                    <w:ind w:firstLine="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2.按照“提气、转电、控煤”的发展思路，推动陶瓷行业进一步优化用能结构，实现能源消费清洁低碳化。</w:t>
                  </w:r>
                </w:p>
              </w:tc>
              <w:tc>
                <w:tcPr>
                  <w:tcW w:w="1567" w:type="pct"/>
                  <w:noWrap w:val="0"/>
                  <w:vAlign w:val="center"/>
                </w:tcPr>
                <w:p w14:paraId="37329FB4">
                  <w:pPr>
                    <w:pBdr>
                      <w:top w:val="none" w:color="auto" w:sz="0" w:space="1"/>
                      <w:left w:val="none" w:color="auto" w:sz="0" w:space="4"/>
                      <w:bottom w:val="none" w:color="auto" w:sz="0" w:space="1"/>
                      <w:right w:val="none" w:color="auto" w:sz="0" w:space="4"/>
                    </w:pBdr>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本项目使用电能作为能源属于清洁能源</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不使用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燃煤、燃油、燃生物质</w:t>
                  </w:r>
                  <w:r>
                    <w:rPr>
                      <w:rFonts w:hint="eastAsia" w:cs="Times New Roman" w:eastAsiaTheme="minorEastAsia"/>
                      <w:color w:val="000000" w:themeColor="text1"/>
                      <w:sz w:val="21"/>
                      <w:szCs w:val="21"/>
                      <w:lang w:val="en-US" w:eastAsia="zh-CN"/>
                      <w14:textFill>
                        <w14:solidFill>
                          <w14:schemeClr w14:val="tx1"/>
                        </w14:solidFill>
                      </w14:textFill>
                    </w:rPr>
                    <w:t>锅炉，也不属于陶瓷行业</w:t>
                  </w:r>
                </w:p>
              </w:tc>
            </w:tr>
          </w:tbl>
          <w:p w14:paraId="49EE6314">
            <w:pPr>
              <w:spacing w:before="156" w:beforeLines="50"/>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表1.</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14:textFill>
                  <w14:solidFill>
                    <w14:schemeClr w14:val="tx1"/>
                  </w14:solidFill>
                </w14:textFill>
              </w:rPr>
              <w:t>-</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3 </w:t>
            </w:r>
            <w:r>
              <w:rPr>
                <w:rFonts w:hint="default" w:ascii="Times New Roman" w:hAnsi="Times New Roman" w:cs="Times New Roman" w:eastAsiaTheme="minorEastAsia"/>
                <w:b/>
                <w:bCs/>
                <w:color w:val="000000" w:themeColor="text1"/>
                <w:sz w:val="21"/>
                <w:szCs w:val="21"/>
                <w14:textFill>
                  <w14:solidFill>
                    <w14:schemeClr w14:val="tx1"/>
                  </w14:solidFill>
                </w14:textFill>
              </w:rPr>
              <w:t>与福清市生态环境准入清单的符合性分析</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82"/>
              <w:gridCol w:w="559"/>
              <w:gridCol w:w="2746"/>
              <w:gridCol w:w="2259"/>
              <w:gridCol w:w="378"/>
            </w:tblGrid>
            <w:tr w14:paraId="5512D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noWrap w:val="0"/>
                  <w:vAlign w:val="center"/>
                </w:tcPr>
                <w:p w14:paraId="0FE790D7">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highlight w:val="none"/>
                      <w14:textFill>
                        <w14:solidFill>
                          <w14:schemeClr w14:val="tx1"/>
                        </w14:solidFill>
                      </w14:textFill>
                    </w:rPr>
                    <w:t>环境管控单元</w:t>
                  </w:r>
                </w:p>
              </w:tc>
              <w:tc>
                <w:tcPr>
                  <w:tcW w:w="3305" w:type="dxa"/>
                  <w:gridSpan w:val="2"/>
                  <w:noWrap w:val="0"/>
                  <w:vAlign w:val="center"/>
                </w:tcPr>
                <w:p w14:paraId="178039FF">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准入要求</w:t>
                  </w:r>
                </w:p>
              </w:tc>
              <w:tc>
                <w:tcPr>
                  <w:tcW w:w="2259" w:type="dxa"/>
                  <w:noWrap w:val="0"/>
                  <w:vAlign w:val="center"/>
                </w:tcPr>
                <w:p w14:paraId="2D57696C">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本项目情况</w:t>
                  </w:r>
                </w:p>
              </w:tc>
              <w:tc>
                <w:tcPr>
                  <w:tcW w:w="378" w:type="dxa"/>
                  <w:noWrap w:val="0"/>
                  <w:vAlign w:val="center"/>
                </w:tcPr>
                <w:p w14:paraId="39F6F259">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符合性</w:t>
                  </w:r>
                </w:p>
              </w:tc>
            </w:tr>
            <w:tr w14:paraId="072F7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restart"/>
                  <w:noWrap w:val="0"/>
                  <w:vAlign w:val="center"/>
                </w:tcPr>
                <w:p w14:paraId="49BB9AB5">
                  <w:pPr>
                    <w:widowControl/>
                    <w:spacing w:line="240" w:lineRule="auto"/>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福清融侨经济技术开发区</w:t>
                  </w:r>
                </w:p>
                <w:p w14:paraId="26543D81">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ZH35018120003</w:t>
                  </w:r>
                </w:p>
              </w:tc>
              <w:tc>
                <w:tcPr>
                  <w:tcW w:w="559" w:type="dxa"/>
                  <w:noWrap w:val="0"/>
                  <w:vAlign w:val="center"/>
                </w:tcPr>
                <w:p w14:paraId="40560EC6">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空间布局约束</w:t>
                  </w:r>
                </w:p>
              </w:tc>
              <w:tc>
                <w:tcPr>
                  <w:tcW w:w="2746" w:type="dxa"/>
                  <w:noWrap w:val="0"/>
                  <w:vAlign w:val="center"/>
                </w:tcPr>
                <w:p w14:paraId="3F8147E0">
                  <w:pPr>
                    <w:pStyle w:val="139"/>
                    <w:keepNext/>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14:paraId="61088AA2">
                  <w:pPr>
                    <w:pStyle w:val="139"/>
                    <w:keepNext/>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2.加强京东方一期、二期工程周边用地规划控制。</w:t>
                  </w:r>
                </w:p>
                <w:p w14:paraId="13847B5B">
                  <w:pPr>
                    <w:pStyle w:val="139"/>
                    <w:keepNext/>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3.积极推进区内高耗水的印染、造纸等重污染企业的搬迁工作。</w:t>
                  </w:r>
                </w:p>
                <w:p w14:paraId="5598D272">
                  <w:pPr>
                    <w:pStyle w:val="139"/>
                    <w:keepNext/>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4.居住用地周边禁止布局潜在废气扰民的建设项目。</w:t>
                  </w:r>
                </w:p>
                <w:p w14:paraId="63FBB943">
                  <w:pPr>
                    <w:pStyle w:val="139"/>
                    <w:keepNext/>
                    <w:spacing w:line="240" w:lineRule="auto"/>
                    <w:jc w:val="both"/>
                    <w:rPr>
                      <w:rFonts w:hint="default" w:ascii="Times New Roman" w:hAnsi="Times New Roman" w:cs="Times New Roman" w:eastAsiaTheme="minorEastAsia"/>
                      <w:b/>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5.新局调节库周边200米范围内禁止工业企业生产过程中使用危化品，禁止新建排放烟粉尘、VOCs废气的工业项目。</w:t>
                  </w:r>
                </w:p>
              </w:tc>
              <w:tc>
                <w:tcPr>
                  <w:tcW w:w="2259" w:type="dxa"/>
                  <w:noWrap w:val="0"/>
                  <w:vAlign w:val="center"/>
                </w:tcPr>
                <w:p w14:paraId="3579CD49">
                  <w:pPr>
                    <w:keepNext/>
                    <w:spacing w:line="240" w:lineRule="auto"/>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本项目</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为有色金属压延，不属于有色金属冶炼项目</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w:t>
                  </w:r>
                </w:p>
                <w:p w14:paraId="33F4E8DB">
                  <w:pPr>
                    <w:pStyle w:val="139"/>
                    <w:keepNext/>
                    <w:spacing w:line="240" w:lineRule="auto"/>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不在</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京东方一期、二期工程周边</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不涉及</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p w14:paraId="6DB1B693">
                  <w:pPr>
                    <w:pStyle w:val="139"/>
                    <w:keepNext/>
                    <w:spacing w:line="240" w:lineRule="auto"/>
                    <w:jc w:val="left"/>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本项目</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印染、造纸等重污染企业</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w:t>
                  </w:r>
                </w:p>
                <w:p w14:paraId="668512D3">
                  <w:pPr>
                    <w:pStyle w:val="139"/>
                    <w:keepNext/>
                    <w:spacing w:line="240" w:lineRule="auto"/>
                    <w:jc w:val="left"/>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4</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w:t>
                  </w:r>
                  <w:r>
                    <w:rPr>
                      <w:rFonts w:hint="default" w:ascii="Times New Roman" w:hAnsi="Times New Roman" w:cs="Times New Roman" w:eastAsiaTheme="minorEastAsia"/>
                      <w:bCs/>
                      <w:color w:val="000000" w:themeColor="text1"/>
                      <w:szCs w:val="21"/>
                      <w:highlight w:val="none"/>
                      <w14:textFill>
                        <w14:solidFill>
                          <w14:schemeClr w14:val="tx1"/>
                        </w14:solidFill>
                      </w14:textFill>
                    </w:rPr>
                    <w:t>周边50m范围内主要为其他生产企业</w:t>
                  </w:r>
                  <w:r>
                    <w:rPr>
                      <w:rFonts w:hint="default" w:ascii="Times New Roman" w:hAnsi="Times New Roman" w:cs="Times New Roman" w:eastAsiaTheme="minorEastAsia"/>
                      <w:bCs/>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szCs w:val="21"/>
                      <w:highlight w:val="none"/>
                      <w:lang w:val="en-US" w:eastAsia="zh-CN"/>
                      <w14:textFill>
                        <w14:solidFill>
                          <w14:schemeClr w14:val="tx1"/>
                        </w14:solidFill>
                      </w14:textFill>
                    </w:rPr>
                    <w:t>不涉及；</w:t>
                  </w:r>
                </w:p>
                <w:p w14:paraId="0A8B35B9">
                  <w:pPr>
                    <w:pStyle w:val="139"/>
                    <w:keepNext/>
                    <w:spacing w:line="240" w:lineRule="auto"/>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5、</w:t>
                  </w:r>
                  <w:r>
                    <w:rPr>
                      <w:rFonts w:hint="default" w:ascii="Times New Roman" w:hAnsi="Times New Roman" w:cs="Times New Roman" w:eastAsiaTheme="minorEastAsia"/>
                      <w:color w:val="000000" w:themeColor="text1"/>
                      <w:spacing w:val="6"/>
                      <w:sz w:val="21"/>
                      <w:szCs w:val="21"/>
                      <w:highlight w:val="none"/>
                      <w14:textFill>
                        <w14:solidFill>
                          <w14:schemeClr w14:val="tx1"/>
                        </w14:solidFill>
                      </w14:textFill>
                    </w:rPr>
                    <w:t>项目不在</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新局调节库周边200米范围内</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c>
                <w:tcPr>
                  <w:tcW w:w="378" w:type="dxa"/>
                  <w:noWrap w:val="0"/>
                  <w:vAlign w:val="center"/>
                </w:tcPr>
                <w:p w14:paraId="0C90135C">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A9B0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continue"/>
                  <w:noWrap w:val="0"/>
                  <w:vAlign w:val="center"/>
                </w:tcPr>
                <w:p w14:paraId="4A5C79BA">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559" w:type="dxa"/>
                  <w:noWrap w:val="0"/>
                  <w:vAlign w:val="center"/>
                </w:tcPr>
                <w:p w14:paraId="3C7E66C9">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污染物排放管控</w:t>
                  </w:r>
                </w:p>
              </w:tc>
              <w:tc>
                <w:tcPr>
                  <w:tcW w:w="2746" w:type="dxa"/>
                  <w:noWrap w:val="0"/>
                  <w:vAlign w:val="center"/>
                </w:tcPr>
                <w:p w14:paraId="1F0502C7">
                  <w:pPr>
                    <w:pStyle w:val="139"/>
                    <w:keepNext/>
                    <w:numPr>
                      <w:ilvl w:val="0"/>
                      <w:numId w:val="0"/>
                    </w:numPr>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完善建设污水收集管网，确保园区内所有工业废水、生活污水纳入污水处理厂处理并达标排放。</w:t>
                  </w:r>
                </w:p>
                <w:p w14:paraId="0B90089F">
                  <w:pPr>
                    <w:pStyle w:val="139"/>
                    <w:keepNext/>
                    <w:numPr>
                      <w:ilvl w:val="0"/>
                      <w:numId w:val="0"/>
                    </w:numPr>
                    <w:spacing w:line="240" w:lineRule="auto"/>
                    <w:ind w:leftChars="0"/>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包装印刷业有机废气排放及控制应符合国家和地方相关标准和规范要求。</w:t>
                  </w:r>
                </w:p>
                <w:p w14:paraId="115E5425">
                  <w:pPr>
                    <w:pStyle w:val="139"/>
                    <w:keepNext/>
                    <w:numPr>
                      <w:ilvl w:val="0"/>
                      <w:numId w:val="0"/>
                    </w:numPr>
                    <w:spacing w:line="240" w:lineRule="auto"/>
                    <w:ind w:leftChars="0"/>
                    <w:jc w:val="both"/>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落实新增二氧化硫、氮氧化物和VOCs排放总量控制要求</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w:t>
                  </w:r>
                </w:p>
              </w:tc>
              <w:tc>
                <w:tcPr>
                  <w:tcW w:w="2259" w:type="dxa"/>
                  <w:noWrap w:val="0"/>
                  <w:vAlign w:val="center"/>
                </w:tcPr>
                <w:p w14:paraId="5DD487D8">
                  <w:pPr>
                    <w:pStyle w:val="139"/>
                    <w:keepNext/>
                    <w:spacing w:line="240" w:lineRule="auto"/>
                    <w:jc w:val="left"/>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1、项目周边已建有市政污水管网，项目</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无生产废水外排，生活污水经三级化粪池处理后排入</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福清市融元污水处理厂</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处理后排放；</w:t>
                  </w:r>
                </w:p>
                <w:p w14:paraId="7C752154">
                  <w:pPr>
                    <w:keepNext/>
                    <w:spacing w:line="240" w:lineRule="auto"/>
                    <w:jc w:val="left"/>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2、</w:t>
                  </w:r>
                  <w:r>
                    <w:rPr>
                      <w:rFonts w:hint="default" w:ascii="Times New Roman" w:hAnsi="Times New Roman" w:cs="Times New Roman" w:eastAsiaTheme="minorEastAsia"/>
                      <w:color w:val="000000" w:themeColor="text1"/>
                      <w:kern w:val="0"/>
                      <w:sz w:val="21"/>
                      <w:szCs w:val="21"/>
                      <w:highlight w:val="none"/>
                      <w:lang w:bidi="ar"/>
                      <w14:textFill>
                        <w14:solidFill>
                          <w14:schemeClr w14:val="tx1"/>
                        </w14:solidFill>
                      </w14:textFill>
                    </w:rPr>
                    <w:t>项目</w:t>
                  </w: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包装印刷</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行</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业</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w:t>
                  </w:r>
                </w:p>
                <w:p w14:paraId="50CC5690">
                  <w:pPr>
                    <w:keepNext/>
                    <w:spacing w:line="240" w:lineRule="auto"/>
                    <w:jc w:val="left"/>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项目不涉及</w:t>
                  </w:r>
                  <w:r>
                    <w:rPr>
                      <w:rFonts w:hint="default" w:ascii="Times New Roman" w:hAnsi="Times New Roman" w:cs="Times New Roman" w:eastAsiaTheme="minorEastAsia"/>
                      <w:color w:val="000000" w:themeColor="text1"/>
                      <w:szCs w:val="21"/>
                      <w:highlight w:val="none"/>
                      <w14:textFill>
                        <w14:solidFill>
                          <w14:schemeClr w14:val="tx1"/>
                        </w14:solidFill>
                      </w14:textFill>
                    </w:rPr>
                    <w:t>大气污染物二氧化硫、氮氧化物</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新增</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VOCs指标将按照生态环境主管部门要求申请倍量削减替代。</w:t>
                  </w:r>
                </w:p>
              </w:tc>
              <w:tc>
                <w:tcPr>
                  <w:tcW w:w="378" w:type="dxa"/>
                  <w:noWrap w:val="0"/>
                  <w:vAlign w:val="center"/>
                </w:tcPr>
                <w:p w14:paraId="58B881CE">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0D983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continue"/>
                  <w:noWrap w:val="0"/>
                  <w:vAlign w:val="center"/>
                </w:tcPr>
                <w:p w14:paraId="6B240B51">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559" w:type="dxa"/>
                  <w:noWrap w:val="0"/>
                  <w:vAlign w:val="center"/>
                </w:tcPr>
                <w:p w14:paraId="3C1C4485">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环境风险防控</w:t>
                  </w:r>
                </w:p>
              </w:tc>
              <w:tc>
                <w:tcPr>
                  <w:tcW w:w="2746" w:type="dxa"/>
                  <w:noWrap w:val="0"/>
                  <w:vAlign w:val="center"/>
                </w:tcPr>
                <w:p w14:paraId="7BC7EDB5">
                  <w:pPr>
                    <w:pStyle w:val="139"/>
                    <w:keepNext/>
                    <w:numPr>
                      <w:ilvl w:val="0"/>
                      <w:numId w:val="0"/>
                    </w:numPr>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建立健全环境风险防控体系，制定环境风险应急预案，建设事故应急池，成立应急组织机构，防止在处理安全生产事故过程中产生的可能严重污染水体的消防废水、废液直接排入水体。</w:t>
                  </w:r>
                </w:p>
                <w:p w14:paraId="0832DF7E">
                  <w:pPr>
                    <w:pStyle w:val="139"/>
                    <w:keepNext/>
                    <w:numPr>
                      <w:ilvl w:val="0"/>
                      <w:numId w:val="0"/>
                    </w:numPr>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2.应采取有效措施防止园区建设对区域地下水、土壤造成污染。</w:t>
                  </w:r>
                </w:p>
              </w:tc>
              <w:tc>
                <w:tcPr>
                  <w:tcW w:w="2259" w:type="dxa"/>
                  <w:noWrap w:val="0"/>
                  <w:vAlign w:val="center"/>
                </w:tcPr>
                <w:p w14:paraId="05263B7B">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eastAsiaTheme="minorEastAsia"/>
                      <w:bCs/>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t>1.</w:t>
                  </w:r>
                  <w:r>
                    <w:rPr>
                      <w:rFonts w:hint="default" w:ascii="Times New Roman" w:hAnsi="Times New Roman" w:cs="Times New Roman" w:eastAsiaTheme="minorEastAsia"/>
                      <w:bCs/>
                      <w:color w:val="000000" w:themeColor="text1"/>
                      <w:kern w:val="0"/>
                      <w:szCs w:val="21"/>
                      <w:highlight w:val="none"/>
                      <w14:textFill>
                        <w14:solidFill>
                          <w14:schemeClr w14:val="tx1"/>
                        </w14:solidFill>
                      </w14:textFill>
                    </w:rPr>
                    <w:t>企业按照要求建立健全环境风险防控体系，成立应急组织机构，防止在处理安全生产事故过程中产生的可能严重污染水体的消防废水、废液直接排入水体。</w:t>
                  </w:r>
                </w:p>
                <w:p w14:paraId="28E5A8A7">
                  <w:pPr>
                    <w:pStyle w:val="139"/>
                    <w:keepNext/>
                    <w:spacing w:line="240" w:lineRule="auto"/>
                    <w:jc w:val="left"/>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t>2.</w:t>
                  </w:r>
                  <w:r>
                    <w:rPr>
                      <w:rFonts w:hint="default" w:ascii="Times New Roman" w:hAnsi="Times New Roman" w:cs="Times New Roman" w:eastAsiaTheme="minorEastAsia"/>
                      <w:bCs/>
                      <w:color w:val="000000" w:themeColor="text1"/>
                      <w:kern w:val="0"/>
                      <w:szCs w:val="21"/>
                      <w:highlight w:val="none"/>
                      <w14:textFill>
                        <w14:solidFill>
                          <w14:schemeClr w14:val="tx1"/>
                        </w14:solidFill>
                      </w14:textFill>
                    </w:rPr>
                    <w:t>项目</w:t>
                  </w:r>
                  <w: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t>生产用水</w:t>
                  </w:r>
                  <w:r>
                    <w:rPr>
                      <w:rFonts w:hint="default" w:ascii="Times New Roman" w:hAnsi="Times New Roman" w:cs="Times New Roman" w:eastAsiaTheme="minorEastAsia"/>
                      <w:bCs/>
                      <w:color w:val="000000" w:themeColor="text1"/>
                      <w:kern w:val="0"/>
                      <w:szCs w:val="21"/>
                      <w:highlight w:val="none"/>
                      <w14:textFill>
                        <w14:solidFill>
                          <w14:schemeClr w14:val="tx1"/>
                        </w14:solidFill>
                      </w14:textFill>
                    </w:rPr>
                    <w:t>循环使用不外排，职工生活污水一起通过化粪池处理</w:t>
                  </w:r>
                  <w: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t>后</w:t>
                  </w:r>
                  <w:r>
                    <w:rPr>
                      <w:rFonts w:hint="default" w:ascii="Times New Roman" w:hAnsi="Times New Roman" w:cs="Times New Roman" w:eastAsiaTheme="minorEastAsia"/>
                      <w:bCs/>
                      <w:color w:val="000000" w:themeColor="text1"/>
                      <w:kern w:val="0"/>
                      <w:szCs w:val="21"/>
                      <w:highlight w:val="none"/>
                      <w14:textFill>
                        <w14:solidFill>
                          <w14:schemeClr w14:val="tx1"/>
                        </w14:solidFill>
                      </w14:textFill>
                    </w:rPr>
                    <w:t>接入</w:t>
                  </w:r>
                  <w:r>
                    <w:rPr>
                      <w:rFonts w:hint="default" w:ascii="Times New Roman" w:hAnsi="Times New Roman" w:cs="Times New Roman" w:eastAsiaTheme="minorEastAsia"/>
                      <w:bCs/>
                      <w:color w:val="000000" w:themeColor="text1"/>
                      <w:kern w:val="0"/>
                      <w:szCs w:val="21"/>
                      <w:highlight w:val="none"/>
                      <w:lang w:val="en-US" w:eastAsia="zh-CN"/>
                      <w14:textFill>
                        <w14:solidFill>
                          <w14:schemeClr w14:val="tx1"/>
                        </w14:solidFill>
                      </w14:textFill>
                    </w:rPr>
                    <w:t>市政</w:t>
                  </w:r>
                  <w:r>
                    <w:rPr>
                      <w:rFonts w:hint="default" w:ascii="Times New Roman" w:hAnsi="Times New Roman" w:cs="Times New Roman" w:eastAsiaTheme="minorEastAsia"/>
                      <w:bCs/>
                      <w:color w:val="000000" w:themeColor="text1"/>
                      <w:kern w:val="0"/>
                      <w:szCs w:val="21"/>
                      <w:highlight w:val="none"/>
                      <w14:textFill>
                        <w14:solidFill>
                          <w14:schemeClr w14:val="tx1"/>
                        </w14:solidFill>
                      </w14:textFill>
                    </w:rPr>
                    <w:t>污水管网，化粪池采取防渗处理，不会对地下水土壤造成污染</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tc>
              <w:tc>
                <w:tcPr>
                  <w:tcW w:w="378" w:type="dxa"/>
                  <w:noWrap w:val="0"/>
                  <w:vAlign w:val="center"/>
                </w:tcPr>
                <w:p w14:paraId="6FFE978A">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符合</w:t>
                  </w:r>
                </w:p>
              </w:tc>
            </w:tr>
            <w:tr w14:paraId="4DE5D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82" w:type="dxa"/>
                  <w:vMerge w:val="continue"/>
                  <w:noWrap w:val="0"/>
                  <w:vAlign w:val="center"/>
                </w:tcPr>
                <w:p w14:paraId="03169298">
                  <w:pPr>
                    <w:pStyle w:val="139"/>
                    <w:keepNext/>
                    <w:spacing w:line="240" w:lineRule="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559" w:type="dxa"/>
                  <w:noWrap w:val="0"/>
                  <w:vAlign w:val="center"/>
                </w:tcPr>
                <w:p w14:paraId="7BA82E0E">
                  <w:pPr>
                    <w:pStyle w:val="139"/>
                    <w:keepNext/>
                    <w:spacing w:line="240" w:lineRule="auto"/>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资源开发效率要求</w:t>
                  </w:r>
                </w:p>
              </w:tc>
              <w:tc>
                <w:tcPr>
                  <w:tcW w:w="2746" w:type="dxa"/>
                  <w:noWrap w:val="0"/>
                  <w:vAlign w:val="center"/>
                </w:tcPr>
                <w:p w14:paraId="53E9D3DB">
                  <w:pPr>
                    <w:pStyle w:val="139"/>
                    <w:keepNext/>
                    <w:numPr>
                      <w:ilvl w:val="0"/>
                      <w:numId w:val="0"/>
                    </w:numPr>
                    <w:spacing w:line="240" w:lineRule="auto"/>
                    <w:jc w:val="both"/>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2259" w:type="dxa"/>
                  <w:noWrap w:val="0"/>
                  <w:vAlign w:val="center"/>
                </w:tcPr>
                <w:p w14:paraId="36EC5246">
                  <w:pPr>
                    <w:pStyle w:val="139"/>
                    <w:keepNext/>
                    <w:spacing w:line="240" w:lineRule="auto"/>
                    <w:jc w:val="left"/>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Cs w:val="21"/>
                      <w:highlight w:val="none"/>
                      <w14:textFill>
                        <w14:solidFill>
                          <w14:schemeClr w14:val="tx1"/>
                        </w14:solidFill>
                      </w14:textFill>
                    </w:rPr>
                    <w:t>使用能源为电能</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不涉及高污染燃料使用的使用。</w:t>
                  </w:r>
                </w:p>
              </w:tc>
              <w:tc>
                <w:tcPr>
                  <w:tcW w:w="378" w:type="dxa"/>
                  <w:noWrap w:val="0"/>
                  <w:vAlign w:val="center"/>
                </w:tcPr>
                <w:p w14:paraId="3D24A980">
                  <w:pPr>
                    <w:pStyle w:val="139"/>
                    <w:keepNext/>
                    <w:spacing w:line="240" w:lineRule="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不涉及</w:t>
                  </w:r>
                </w:p>
              </w:tc>
            </w:tr>
          </w:tbl>
          <w:p w14:paraId="38B0C83E">
            <w:pPr>
              <w:autoSpaceDE w:val="0"/>
              <w:autoSpaceDN w:val="0"/>
              <w:spacing w:line="360" w:lineRule="auto"/>
              <w:ind w:firstLine="210" w:firstLineChars="100"/>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根据上述分析，本项目与《福州市生态环境分区管控方案(2023年更新)》中的相关规定是符合的</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p w14:paraId="26C9E389">
            <w:pPr>
              <w:autoSpaceDE w:val="0"/>
              <w:autoSpaceDN w:val="0"/>
              <w:spacing w:line="360" w:lineRule="auto"/>
              <w:rPr>
                <w:rFonts w:hint="default" w:ascii="Times New Roman" w:hAnsi="Times New Roman" w:cs="Times New Roman" w:eastAsiaTheme="minorEastAsia"/>
                <w:b/>
                <w:bCs/>
                <w:color w:val="000000" w:themeColor="text1"/>
                <w:kern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Cs w:val="21"/>
                <w14:textFill>
                  <w14:solidFill>
                    <w14:schemeClr w14:val="tx1"/>
                  </w14:solidFill>
                </w14:textFill>
              </w:rPr>
              <w:t>1.4周围环境相容性</w:t>
            </w:r>
          </w:p>
          <w:p w14:paraId="13F7C81D">
            <w:pPr>
              <w:widowControl/>
              <w:spacing w:line="360" w:lineRule="auto"/>
              <w:ind w:firstLine="420" w:firstLineChars="200"/>
              <w:contextualSpacing/>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项目周边无名胜古迹、旅游景点、文物保护等重点保护目标。根据环境现状监测资料可知，项目所在区域环境质量较好，满足其相应的功能区规划要求</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本项目周边</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大部分为</w:t>
            </w:r>
            <w:r>
              <w:rPr>
                <w:rFonts w:hint="default" w:ascii="Times New Roman" w:hAnsi="Times New Roman" w:cs="Times New Roman" w:eastAsiaTheme="minorEastAsia"/>
                <w:color w:val="000000" w:themeColor="text1"/>
                <w:sz w:val="21"/>
                <w:szCs w:val="21"/>
                <w14:textFill>
                  <w14:solidFill>
                    <w14:schemeClr w14:val="tx1"/>
                  </w14:solidFill>
                </w14:textFill>
              </w:rPr>
              <w:t>工业企业，因此，项目产生废气对其影响不大</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生产用水</w:t>
            </w:r>
            <w:r>
              <w:rPr>
                <w:rFonts w:hint="default" w:ascii="Times New Roman" w:hAnsi="Times New Roman" w:cs="Times New Roman" w:eastAsiaTheme="minorEastAsia"/>
                <w:color w:val="000000" w:themeColor="text1"/>
                <w:sz w:val="21"/>
                <w:szCs w:val="21"/>
                <w14:textFill>
                  <w14:solidFill>
                    <w14:schemeClr w14:val="tx1"/>
                  </w14:solidFill>
                </w14:textFill>
              </w:rPr>
              <w:t>循环使用，定期添加不外排，生活污水经化粪池处理后排入市政污水管网进入</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福清市</w:t>
            </w:r>
            <w:r>
              <w:rPr>
                <w:rFonts w:hint="default" w:ascii="Times New Roman" w:hAnsi="Times New Roman" w:cs="Times New Roman" w:eastAsiaTheme="minorEastAsia"/>
                <w:color w:val="000000" w:themeColor="text1"/>
                <w:sz w:val="21"/>
                <w:szCs w:val="21"/>
                <w14:textFill>
                  <w14:solidFill>
                    <w14:schemeClr w14:val="tx1"/>
                  </w14:solidFill>
                </w14:textFill>
              </w:rPr>
              <w:t>融元污水处理厂，对周围水环境影响不大</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设置一般固废暂存间</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分类</w:t>
            </w:r>
            <w:r>
              <w:rPr>
                <w:rFonts w:hint="default" w:ascii="Times New Roman" w:hAnsi="Times New Roman" w:cs="Times New Roman" w:eastAsiaTheme="minorEastAsia"/>
                <w:color w:val="000000" w:themeColor="text1"/>
                <w:sz w:val="21"/>
                <w:szCs w:val="21"/>
                <w14:textFill>
                  <w14:solidFill>
                    <w14:schemeClr w14:val="tx1"/>
                  </w14:solidFill>
                </w14:textFill>
              </w:rPr>
              <w:t>收集后外售物资单位</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设置危废暂存间</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分类收集后委托有危废资质单位处置，</w:t>
            </w:r>
            <w:r>
              <w:rPr>
                <w:rFonts w:hint="default" w:ascii="Times New Roman" w:hAnsi="Times New Roman" w:cs="Times New Roman" w:eastAsiaTheme="minorEastAsia"/>
                <w:color w:val="000000" w:themeColor="text1"/>
                <w:sz w:val="21"/>
                <w:szCs w:val="21"/>
                <w14:textFill>
                  <w14:solidFill>
                    <w14:schemeClr w14:val="tx1"/>
                  </w14:solidFill>
                </w14:textFill>
              </w:rPr>
              <w:t>生活垃圾统一收集后委托环卫部门定期清运</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设备产生的</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高</w:t>
            </w:r>
            <w:r>
              <w:rPr>
                <w:rFonts w:hint="default" w:ascii="Times New Roman" w:hAnsi="Times New Roman" w:cs="Times New Roman" w:eastAsiaTheme="minorEastAsia"/>
                <w:color w:val="000000" w:themeColor="text1"/>
                <w:sz w:val="21"/>
                <w:szCs w:val="21"/>
                <w14:textFill>
                  <w14:solidFill>
                    <w14:schemeClr w14:val="tx1"/>
                  </w14:solidFill>
                </w14:textFill>
              </w:rPr>
              <w:t>噪声采用隔声</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减振</w:t>
            </w:r>
            <w:r>
              <w:rPr>
                <w:rFonts w:hint="default" w:ascii="Times New Roman" w:hAnsi="Times New Roman" w:cs="Times New Roman" w:eastAsiaTheme="minorEastAsia"/>
                <w:color w:val="000000" w:themeColor="text1"/>
                <w:sz w:val="21"/>
                <w:szCs w:val="21"/>
                <w14:textFill>
                  <w14:solidFill>
                    <w14:schemeClr w14:val="tx1"/>
                  </w14:solidFill>
                </w14:textFill>
              </w:rPr>
              <w:t>措施</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项目运营期产生的“三废”及噪声对周边环境影响较小，项目与周围环境是相容且相互适应的。因此，项目选址环境功能符合要求。</w:t>
            </w:r>
          </w:p>
          <w:p w14:paraId="2A95D4D7">
            <w:pPr>
              <w:widowControl/>
              <w:spacing w:line="360" w:lineRule="auto"/>
              <w:jc w:val="left"/>
              <w:outlineLvl w:val="1"/>
              <w:rPr>
                <w:rFonts w:hint="default" w:ascii="Times New Roman" w:hAnsi="Times New Roman" w:cs="Times New Roman" w:eastAsiaTheme="minorEastAsia"/>
                <w:b/>
                <w:bCs/>
                <w:color w:val="000000" w:themeColor="text1"/>
                <w:kern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Cs w:val="21"/>
                <w14:textFill>
                  <w14:solidFill>
                    <w14:schemeClr w14:val="tx1"/>
                  </w14:solidFill>
                </w14:textFill>
              </w:rPr>
              <w:t>1.5与污染防治相关政策符合性分析</w:t>
            </w:r>
          </w:p>
          <w:p w14:paraId="7963A193">
            <w:pPr>
              <w:pStyle w:val="108"/>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本项目与挥发性有机物污染防治政策相关内容符合性分析，符合性分析详见表1.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1"/>
                <w:szCs w:val="21"/>
                <w14:textFill>
                  <w14:solidFill>
                    <w14:schemeClr w14:val="tx1"/>
                  </w14:solidFill>
                </w14:textFill>
              </w:rPr>
              <w:t>。</w:t>
            </w:r>
          </w:p>
          <w:p w14:paraId="6CD6C33D">
            <w:pPr>
              <w:spacing w:before="156" w:beforeLines="5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表1.5-1  挥发性有机物污染防治政策相关内容</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66"/>
              <w:gridCol w:w="688"/>
              <w:gridCol w:w="3138"/>
              <w:gridCol w:w="2007"/>
              <w:gridCol w:w="487"/>
            </w:tblGrid>
            <w:tr w14:paraId="0E7EF4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4306C4AD">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522" w:type="pct"/>
                  <w:vAlign w:val="center"/>
                </w:tcPr>
                <w:p w14:paraId="4A184D9E">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相关文件名称</w:t>
                  </w:r>
                </w:p>
              </w:tc>
              <w:tc>
                <w:tcPr>
                  <w:tcW w:w="2382" w:type="pct"/>
                  <w:vAlign w:val="center"/>
                </w:tcPr>
                <w:p w14:paraId="7CF9AEF6">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相关内容</w:t>
                  </w:r>
                </w:p>
              </w:tc>
              <w:tc>
                <w:tcPr>
                  <w:tcW w:w="1523" w:type="pct"/>
                  <w:vAlign w:val="center"/>
                </w:tcPr>
                <w:p w14:paraId="60AF3C79">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本项目情况</w:t>
                  </w:r>
                </w:p>
              </w:tc>
              <w:tc>
                <w:tcPr>
                  <w:tcW w:w="369" w:type="pct"/>
                  <w:vAlign w:val="center"/>
                </w:tcPr>
                <w:p w14:paraId="0F96C0A7">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14:paraId="082353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109CA833">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522" w:type="pct"/>
                  <w:vAlign w:val="center"/>
                </w:tcPr>
                <w:p w14:paraId="268B7AD2">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“十三五”挥发性有机物污染防治工作方案</w:t>
                  </w:r>
                </w:p>
              </w:tc>
              <w:tc>
                <w:tcPr>
                  <w:tcW w:w="2382" w:type="pct"/>
                </w:tcPr>
                <w:p w14:paraId="43DB169C">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.严格建设项目环境准入。</w:t>
                  </w:r>
                </w:p>
                <w:p w14:paraId="1488E51B">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提高VOCs排放重点行业环保准入门槛，严格控制新增污染物排放量。新建涉VOCs排放的工业企业要入园区。新、改、扩建涉VOCs排放项目，应从源头加强控制，使用</w:t>
                  </w:r>
                  <w:r>
                    <w:rPr>
                      <w:rFonts w:hint="default" w:ascii="Times New Roman" w:hAnsi="Times New Roman" w:cs="Times New Roman" w:eastAsiaTheme="minorEastAsia"/>
                      <w:bCs/>
                      <w:color w:val="000000" w:themeColor="text1"/>
                      <w:sz w:val="21"/>
                      <w:szCs w:val="21"/>
                      <w14:textFill>
                        <w14:solidFill>
                          <w14:schemeClr w14:val="tx1"/>
                        </w14:solidFill>
                      </w14:textFill>
                    </w:rPr>
                    <w:t>低（无）VOCs含量的原辅材料，加强废气收集，安装高效治理设施。</w:t>
                  </w:r>
                </w:p>
                <w:p w14:paraId="441C8DB8">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.加大工业涂装VOCs治理力度。</w:t>
                  </w:r>
                </w:p>
                <w:p w14:paraId="39BE7D7B">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木质家具制造行业。大力推广使用水性、紫外光固化涂料，到2020年底前，替代比例达到60%以上；全面使用水性胶粘剂，到2020年底前，替代比例达到 100%。在平面板式木质家具制造领域，推广使用自动喷涂或辊涂等先进工艺技术。加强废气收集与处理，有机废气收集效率不低于80%；建设吸附燃烧等高效治理设施，实现达标排放。</w:t>
                  </w:r>
                </w:p>
              </w:tc>
              <w:tc>
                <w:tcPr>
                  <w:tcW w:w="1523" w:type="pct"/>
                  <w:vAlign w:val="center"/>
                </w:tcPr>
                <w:p w14:paraId="6529CB71">
                  <w:pPr>
                    <w:pStyle w:val="111"/>
                    <w:numPr>
                      <w:ilvl w:val="0"/>
                      <w:numId w:val="0"/>
                    </w:numPr>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项目属于新建，涉新增</w:t>
                  </w:r>
                  <w:r>
                    <w:rPr>
                      <w:rFonts w:hint="default" w:ascii="Times New Roman" w:hAnsi="Times New Roman" w:cs="Times New Roman" w:eastAsiaTheme="minorEastAsia"/>
                      <w:color w:val="000000" w:themeColor="text1"/>
                      <w:sz w:val="21"/>
                      <w:szCs w:val="21"/>
                      <w14:textFill>
                        <w14:solidFill>
                          <w14:schemeClr w14:val="tx1"/>
                        </w14:solidFill>
                      </w14:textFill>
                    </w:rPr>
                    <w:t>VOCs排放</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企业位于福州市福清市阳下街道洪宽工业区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在压铸脱模工序产生少量VOCs，集气罩收集后经活性炭吸附处理通过15m排气筒排放。</w:t>
                  </w:r>
                </w:p>
                <w:p w14:paraId="379BB1EF">
                  <w:pPr>
                    <w:pStyle w:val="111"/>
                    <w:numPr>
                      <w:ilvl w:val="0"/>
                      <w:numId w:val="0"/>
                    </w:numPr>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2、项目不属于</w:t>
                  </w:r>
                  <w:r>
                    <w:rPr>
                      <w:rFonts w:hint="default" w:ascii="Times New Roman" w:hAnsi="Times New Roman" w:cs="Times New Roman" w:eastAsiaTheme="minorEastAsia"/>
                      <w:color w:val="000000" w:themeColor="text1"/>
                      <w:sz w:val="21"/>
                      <w:szCs w:val="21"/>
                      <w14:textFill>
                        <w14:solidFill>
                          <w14:schemeClr w14:val="tx1"/>
                        </w14:solidFill>
                      </w14:textFill>
                    </w:rPr>
                    <w:t>木质家具制造行业</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369" w:type="pct"/>
                  <w:vAlign w:val="center"/>
                </w:tcPr>
                <w:p w14:paraId="35CE4A78">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08CED0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47C30FEA">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522" w:type="pct"/>
                  <w:vAlign w:val="center"/>
                </w:tcPr>
                <w:p w14:paraId="148C31BA">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福建省重点行业挥发性有机物污染防治工作方案</w:t>
                  </w:r>
                  <w:r>
                    <w:rPr>
                      <w:color w:val="000000" w:themeColor="text1"/>
                      <w:szCs w:val="21"/>
                      <w14:textFill>
                        <w14:solidFill>
                          <w14:schemeClr w14:val="tx1"/>
                        </w14:solidFill>
                      </w14:textFill>
                    </w:rPr>
                    <w:t>(闽环保大气〔2017〕6号)</w:t>
                  </w:r>
                </w:p>
              </w:tc>
              <w:tc>
                <w:tcPr>
                  <w:tcW w:w="2382" w:type="pct"/>
                </w:tcPr>
                <w:p w14:paraId="4CB15348">
                  <w:pPr>
                    <w:pStyle w:val="111"/>
                    <w:widowControl/>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（一）严格环境准入</w:t>
                  </w:r>
                </w:p>
                <w:p w14:paraId="348E97DA">
                  <w:pPr>
                    <w:pStyle w:val="111"/>
                    <w:widowControl/>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3BDC7FF3">
                  <w:pPr>
                    <w:pStyle w:val="111"/>
                    <w:widowControl/>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（二）大力推进清洁生产</w:t>
                  </w:r>
                </w:p>
                <w:p w14:paraId="532A0D5F">
                  <w:pPr>
                    <w:pStyle w:val="111"/>
                    <w:widowControl/>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在重点行业大力倡导环境标志产品生产及使用，尤其是水性涂料的生产和使用，从源头控制VOCs排放。</w:t>
                  </w:r>
                </w:p>
                <w:p w14:paraId="34B9E103">
                  <w:pPr>
                    <w:pStyle w:val="111"/>
                    <w:widowControl/>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（三）加快推进重点行业VOCs专项整治</w:t>
                  </w:r>
                </w:p>
                <w:p w14:paraId="62692A04">
                  <w:pPr>
                    <w:pStyle w:val="111"/>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（2）加强化工企业污染综合整治</w:t>
                  </w:r>
                </w:p>
                <w:p w14:paraId="00DB84FB">
                  <w:pPr>
                    <w:pStyle w:val="111"/>
                    <w:widowControl/>
                    <w:adjustRightIn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净化效率应不低于80%。</w:t>
                  </w:r>
                </w:p>
              </w:tc>
              <w:tc>
                <w:tcPr>
                  <w:tcW w:w="1523" w:type="pct"/>
                  <w:vAlign w:val="center"/>
                </w:tcPr>
                <w:p w14:paraId="1CACF9C8">
                  <w:pPr>
                    <w:pStyle w:val="111"/>
                    <w:widowControl/>
                    <w:numPr>
                      <w:ilvl w:val="0"/>
                      <w:numId w:val="2"/>
                    </w:numPr>
                    <w:adjustRightIn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不属于</w:t>
                  </w:r>
                  <w:r>
                    <w:rPr>
                      <w:rFonts w:hint="default" w:ascii="Times New Roman" w:hAnsi="Times New Roman" w:cs="Times New Roman" w:eastAsiaTheme="minorEastAsia"/>
                      <w:color w:val="000000" w:themeColor="text1"/>
                      <w:sz w:val="21"/>
                      <w:szCs w:val="21"/>
                      <w14:textFill>
                        <w14:solidFill>
                          <w14:schemeClr w14:val="tx1"/>
                        </w14:solidFill>
                      </w14:textFill>
                    </w:rPr>
                    <w:t>石化、化工、包装印刷、工业涂装等高VOCs排放建设项目。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项目新建，涉</w:t>
                  </w:r>
                  <w:r>
                    <w:rPr>
                      <w:rFonts w:hint="default" w:ascii="Times New Roman" w:hAnsi="Times New Roman" w:cs="Times New Roman" w:eastAsiaTheme="minorEastAsia"/>
                      <w:color w:val="000000" w:themeColor="text1"/>
                      <w:sz w:val="21"/>
                      <w:szCs w:val="21"/>
                      <w14:textFill>
                        <w14:solidFill>
                          <w14:schemeClr w14:val="tx1"/>
                        </w14:solidFill>
                      </w14:textFill>
                    </w:rPr>
                    <w:t>VOCs排放</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，在压铸脱模工序产生少量VOCs，集气罩收集后经活性炭吸附处理通过15m排气筒排放。</w:t>
                  </w:r>
                </w:p>
                <w:p w14:paraId="747AA28A">
                  <w:pPr>
                    <w:pStyle w:val="111"/>
                    <w:widowControl/>
                    <w:numPr>
                      <w:ilvl w:val="0"/>
                      <w:numId w:val="2"/>
                    </w:numPr>
                    <w:adjustRightInd w:val="0"/>
                    <w:ind w:left="0" w:lef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项目不涉及涂料生产和使用。</w:t>
                  </w:r>
                </w:p>
                <w:p w14:paraId="75F06902">
                  <w:pPr>
                    <w:pStyle w:val="111"/>
                    <w:widowControl/>
                    <w:numPr>
                      <w:ilvl w:val="0"/>
                      <w:numId w:val="0"/>
                    </w:numPr>
                    <w:adjustRightInd w:val="0"/>
                    <w:ind w:leftChars="0"/>
                    <w:jc w:val="both"/>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3、不属于化工企业。</w:t>
                  </w:r>
                </w:p>
              </w:tc>
              <w:tc>
                <w:tcPr>
                  <w:tcW w:w="369" w:type="pct"/>
                  <w:vAlign w:val="center"/>
                </w:tcPr>
                <w:p w14:paraId="1BF4A3F2">
                  <w:pPr>
                    <w:pStyle w:val="111"/>
                    <w:widowControl/>
                    <w:adjustRightIn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0B5F47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5B332575">
                  <w:pPr>
                    <w:pStyle w:val="111"/>
                    <w:adjustRightInd w:val="0"/>
                    <w:snapToGrid w:val="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3</w:t>
                  </w:r>
                </w:p>
              </w:tc>
              <w:tc>
                <w:tcPr>
                  <w:tcW w:w="522" w:type="pct"/>
                  <w:vAlign w:val="center"/>
                </w:tcPr>
                <w:p w14:paraId="1696CC28">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 xml:space="preserve">《2021年福州市提升空气质量行动计划》的通知(榕环委办〔2021〕23 号) </w:t>
                  </w:r>
                </w:p>
              </w:tc>
              <w:tc>
                <w:tcPr>
                  <w:tcW w:w="2382" w:type="pct"/>
                </w:tcPr>
                <w:p w14:paraId="006B6F28">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1523" w:type="pct"/>
                  <w:vAlign w:val="center"/>
                </w:tcPr>
                <w:p w14:paraId="4961FA67">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w:t>
                  </w:r>
                  <w:r>
                    <w:rPr>
                      <w:rFonts w:hint="eastAsia" w:cs="Times New Roman" w:eastAsiaTheme="minorEastAsia"/>
                      <w:color w:val="000000" w:themeColor="text1"/>
                      <w:sz w:val="21"/>
                      <w:szCs w:val="21"/>
                      <w:lang w:val="en-US" w:eastAsia="zh-CN"/>
                      <w14:textFill>
                        <w14:solidFill>
                          <w14:schemeClr w14:val="tx1"/>
                        </w14:solidFill>
                      </w14:textFill>
                    </w:rPr>
                    <w:t>为新建项目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，涉新增</w:t>
                  </w:r>
                  <w:r>
                    <w:rPr>
                      <w:rFonts w:hint="default" w:ascii="Times New Roman" w:hAnsi="Times New Roman" w:cs="Times New Roman" w:eastAsiaTheme="minorEastAsia"/>
                      <w:color w:val="000000" w:themeColor="text1"/>
                      <w:sz w:val="21"/>
                      <w:szCs w:val="21"/>
                      <w14:textFill>
                        <w14:solidFill>
                          <w14:schemeClr w14:val="tx1"/>
                        </w14:solidFill>
                      </w14:textFill>
                    </w:rPr>
                    <w:t>VOCs</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排放，需</w:t>
                  </w:r>
                  <w:r>
                    <w:rPr>
                      <w:rFonts w:hint="default" w:ascii="Times New Roman" w:hAnsi="Times New Roman" w:cs="Times New Roman" w:eastAsiaTheme="minorEastAsia"/>
                      <w:color w:val="000000" w:themeColor="text1"/>
                      <w:sz w:val="21"/>
                      <w:szCs w:val="21"/>
                      <w14:textFill>
                        <w14:solidFill>
                          <w14:schemeClr w14:val="tx1"/>
                        </w14:solidFill>
                      </w14:textFill>
                    </w:rPr>
                    <w:t>实现倍量调剂</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但</w:t>
                  </w:r>
                  <w:r>
                    <w:rPr>
                      <w:rFonts w:hint="default" w:ascii="Times New Roman" w:hAnsi="Times New Roman" w:cs="Times New Roman" w:eastAsiaTheme="minorEastAsia"/>
                      <w:color w:val="000000" w:themeColor="text1"/>
                      <w:sz w:val="21"/>
                      <w:szCs w:val="21"/>
                      <w14:textFill>
                        <w14:solidFill>
                          <w14:schemeClr w14:val="tx1"/>
                        </w14:solidFill>
                      </w14:textFill>
                    </w:rPr>
                    <w:t>VOCs年排放量</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远小于</w:t>
                  </w:r>
                  <w:r>
                    <w:rPr>
                      <w:rFonts w:hint="default" w:ascii="Times New Roman" w:hAnsi="Times New Roman" w:cs="Times New Roman" w:eastAsiaTheme="minorEastAsia"/>
                      <w:color w:val="000000" w:themeColor="text1"/>
                      <w:sz w:val="21"/>
                      <w:szCs w:val="21"/>
                      <w14:textFill>
                        <w14:solidFill>
                          <w14:schemeClr w14:val="tx1"/>
                        </w14:solidFill>
                      </w14:textFill>
                    </w:rPr>
                    <w:t>10吨</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不需</w:t>
                  </w:r>
                  <w:r>
                    <w:rPr>
                      <w:rFonts w:hint="default" w:ascii="Times New Roman" w:hAnsi="Times New Roman" w:cs="Times New Roman" w:eastAsiaTheme="minorEastAsia"/>
                      <w:color w:val="000000" w:themeColor="text1"/>
                      <w:sz w:val="21"/>
                      <w:szCs w:val="21"/>
                      <w14:textFill>
                        <w14:solidFill>
                          <w14:schemeClr w14:val="tx1"/>
                        </w14:solidFill>
                      </w14:textFill>
                    </w:rPr>
                    <w:t>安装VOCs在线监控设备</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和</w:t>
                  </w:r>
                  <w:r>
                    <w:rPr>
                      <w:rFonts w:hint="default" w:ascii="Times New Roman" w:hAnsi="Times New Roman" w:cs="Times New Roman" w:eastAsiaTheme="minorEastAsia"/>
                      <w:color w:val="000000" w:themeColor="text1"/>
                      <w:sz w:val="21"/>
                      <w:szCs w:val="21"/>
                      <w14:textFill>
                        <w14:solidFill>
                          <w14:schemeClr w14:val="tx1"/>
                        </w14:solidFill>
                      </w14:textFill>
                    </w:rPr>
                    <w:t>接入市生态云平台。</w:t>
                  </w:r>
                </w:p>
              </w:tc>
              <w:tc>
                <w:tcPr>
                  <w:tcW w:w="369" w:type="pct"/>
                  <w:vAlign w:val="center"/>
                </w:tcPr>
                <w:p w14:paraId="69655B2A">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6A4460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4DE1D70A">
                  <w:pPr>
                    <w:pStyle w:val="111"/>
                    <w:adjustRightInd w:val="0"/>
                    <w:snapToGrid w:val="0"/>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4</w:t>
                  </w:r>
                </w:p>
              </w:tc>
              <w:tc>
                <w:tcPr>
                  <w:tcW w:w="522" w:type="pct"/>
                  <w:vAlign w:val="center"/>
                </w:tcPr>
                <w:p w14:paraId="72941606">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color w:val="000000" w:themeColor="text1"/>
                      <w:szCs w:val="21"/>
                      <w14:textFill>
                        <w14:solidFill>
                          <w14:schemeClr w14:val="tx1"/>
                        </w14:solidFill>
                      </w14:textFill>
                    </w:rPr>
                    <w:t>《福建省“十四五”空气质量改善规划》(2022年)</w:t>
                  </w:r>
                </w:p>
              </w:tc>
              <w:tc>
                <w:tcPr>
                  <w:tcW w:w="2382" w:type="pct"/>
                </w:tcPr>
                <w:p w14:paraId="6BD07D36">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color w:val="000000" w:themeColor="text1"/>
                      <w:szCs w:val="21"/>
                      <w14:textFill>
                        <w14:solidFill>
                          <w14:schemeClr w14:val="tx1"/>
                        </w14:solidFill>
                      </w14:textFill>
                    </w:rPr>
                    <w:t>推广使用水性、高固体分、无溶剂、粉末等低VOCs含量涂料，......木质家具制造、汽车零部件、工程机械使用比例达到50%以上；......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523" w:type="pct"/>
                  <w:vAlign w:val="center"/>
                </w:tcPr>
                <w:p w14:paraId="671F4FC4">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本项目使用低VOCs含量的原辅材料；</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新增</w:t>
                  </w:r>
                  <w:r>
                    <w:rPr>
                      <w:color w:val="000000" w:themeColor="text1"/>
                      <w:szCs w:val="21"/>
                      <w14:textFill>
                        <w14:solidFill>
                          <w14:schemeClr w14:val="tx1"/>
                        </w14:solidFill>
                      </w14:textFill>
                    </w:rPr>
                    <w:t>的VOC</w:t>
                  </w:r>
                  <w:r>
                    <w:rPr>
                      <w:color w:val="000000" w:themeColor="text1"/>
                      <w:szCs w:val="21"/>
                      <w:vertAlign w:val="subscript"/>
                      <w14:textFill>
                        <w14:solidFill>
                          <w14:schemeClr w14:val="tx1"/>
                        </w14:solidFill>
                      </w14:textFill>
                    </w:rPr>
                    <w:t>S</w:t>
                  </w:r>
                  <w:r>
                    <w:rPr>
                      <w:color w:val="000000" w:themeColor="text1"/>
                      <w:szCs w:val="21"/>
                      <w14:textFill>
                        <w14:solidFill>
                          <w14:schemeClr w14:val="tx1"/>
                        </w14:solidFill>
                      </w14:textFill>
                    </w:rPr>
                    <w:t>拟实行区域内倍量替代</w:t>
                  </w:r>
                </w:p>
              </w:tc>
              <w:tc>
                <w:tcPr>
                  <w:tcW w:w="369" w:type="pct"/>
                  <w:vAlign w:val="center"/>
                </w:tcPr>
                <w:p w14:paraId="5E923C82">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70A81A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34E88F1A">
                  <w:pPr>
                    <w:pStyle w:val="111"/>
                    <w:adjustRightInd w:val="0"/>
                    <w:snapToGrid w:val="0"/>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5</w:t>
                  </w:r>
                </w:p>
              </w:tc>
              <w:tc>
                <w:tcPr>
                  <w:tcW w:w="522" w:type="pct"/>
                  <w:shd w:val="clear" w:color="auto" w:fill="auto"/>
                  <w:vAlign w:val="center"/>
                </w:tcPr>
                <w:p w14:paraId="69065567">
                  <w:pPr>
                    <w:pStyle w:val="111"/>
                    <w:adjustRightInd w:val="0"/>
                    <w:snapToGrid w:val="0"/>
                    <w:spacing w:line="340" w:lineRule="exac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《福建省重点行业挥发性有机物排放控制要求(试行)的通知》(闽环保大气〔2017〕9号)</w:t>
                  </w:r>
                </w:p>
              </w:tc>
              <w:tc>
                <w:tcPr>
                  <w:tcW w:w="2382" w:type="pct"/>
                  <w:shd w:val="clear" w:color="auto" w:fill="auto"/>
                  <w:vAlign w:val="top"/>
                </w:tcPr>
                <w:p w14:paraId="47AD3243">
                  <w:pPr>
                    <w:pStyle w:val="141"/>
                    <w:tabs>
                      <w:tab w:val="left" w:pos="4347"/>
                    </w:tabs>
                    <w:snapToGrid w:val="0"/>
                    <w:spacing w:line="340" w:lineRule="exact"/>
                    <w:jc w:val="both"/>
                    <w:outlineLvl w:val="2"/>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(1)工艺过程控制要求</w:t>
                  </w:r>
                </w:p>
                <w:p w14:paraId="75347938">
                  <w:pPr>
                    <w:pStyle w:val="141"/>
                    <w:tabs>
                      <w:tab w:val="left" w:pos="4347"/>
                    </w:tabs>
                    <w:snapToGrid w:val="0"/>
                    <w:spacing w:line="340" w:lineRule="exact"/>
                    <w:jc w:val="both"/>
                    <w:outlineLvl w:val="2"/>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含VOCs物料应储存于密闭容器中。盛装含VOCs物料的容器应存放于储存室内，或至少设置遮阳挡雨等设施；</w:t>
                  </w:r>
                </w:p>
                <w:p w14:paraId="3E6CB63B">
                  <w:pPr>
                    <w:pStyle w:val="141"/>
                    <w:tabs>
                      <w:tab w:val="left" w:pos="4347"/>
                    </w:tabs>
                    <w:snapToGrid w:val="0"/>
                    <w:spacing w:line="340" w:lineRule="exact"/>
                    <w:jc w:val="both"/>
                    <w:outlineLvl w:val="2"/>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(2)其他控制要求</w:t>
                  </w:r>
                </w:p>
                <w:p w14:paraId="60D5C42C">
                  <w:pPr>
                    <w:pStyle w:val="111"/>
                    <w:adjustRightInd w:val="0"/>
                    <w:snapToGrid w:val="0"/>
                    <w:spacing w:line="340" w:lineRule="exact"/>
                    <w:jc w:val="both"/>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产生有废气的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p>
              </w:tc>
              <w:tc>
                <w:tcPr>
                  <w:tcW w:w="1523" w:type="pct"/>
                  <w:vAlign w:val="center"/>
                </w:tcPr>
                <w:p w14:paraId="10F45BD3">
                  <w:pPr>
                    <w:pStyle w:val="111"/>
                    <w:adjustRightInd w:val="0"/>
                    <w:snapToGrid w:val="0"/>
                    <w:spacing w:line="3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(1)项目</w:t>
                  </w:r>
                  <w:r>
                    <w:rPr>
                      <w:rFonts w:hint="eastAsia"/>
                      <w:color w:val="000000" w:themeColor="text1"/>
                      <w:szCs w:val="21"/>
                      <w:lang w:val="en-US" w:eastAsia="zh-CN"/>
                      <w14:textFill>
                        <w14:solidFill>
                          <w14:schemeClr w14:val="tx1"/>
                        </w14:solidFill>
                      </w14:textFill>
                    </w:rPr>
                    <w:t>涉</w:t>
                  </w:r>
                  <w:r>
                    <w:rPr>
                      <w:rFonts w:ascii="Times New Roman"/>
                      <w:color w:val="000000" w:themeColor="text1"/>
                      <w:kern w:val="2"/>
                      <w:sz w:val="21"/>
                      <w:szCs w:val="21"/>
                      <w14:textFill>
                        <w14:solidFill>
                          <w14:schemeClr w14:val="tx1"/>
                        </w14:solidFill>
                      </w14:textFill>
                    </w:rPr>
                    <w:t>VOCs物料</w:t>
                  </w:r>
                  <w:r>
                    <w:rPr>
                      <w:color w:val="000000" w:themeColor="text1"/>
                      <w:szCs w:val="21"/>
                      <w14:textFill>
                        <w14:solidFill>
                          <w14:schemeClr w14:val="tx1"/>
                        </w14:solidFill>
                      </w14:textFill>
                    </w:rPr>
                    <w:t>采</w:t>
                  </w:r>
                  <w:r>
                    <w:rPr>
                      <w:rFonts w:hint="eastAsia"/>
                      <w:color w:val="000000" w:themeColor="text1"/>
                      <w:szCs w:val="21"/>
                      <w14:textFill>
                        <w14:solidFill>
                          <w14:schemeClr w14:val="tx1"/>
                        </w14:solidFill>
                      </w14:textFill>
                    </w:rPr>
                    <w:t>桶装</w:t>
                  </w:r>
                  <w:r>
                    <w:rPr>
                      <w:color w:val="000000" w:themeColor="text1"/>
                      <w:szCs w:val="21"/>
                      <w14:textFill>
                        <w14:solidFill>
                          <w14:schemeClr w14:val="tx1"/>
                        </w14:solidFill>
                      </w14:textFill>
                    </w:rPr>
                    <w:t>暂存在原料仓库；</w:t>
                  </w:r>
                </w:p>
                <w:p w14:paraId="64B80410">
                  <w:pPr>
                    <w:pStyle w:val="111"/>
                    <w:adjustRightInd w:val="0"/>
                    <w:snapToGrid w:val="0"/>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(2)本项目拟将产生的VOCs收集后通过“活性炭吸附装置”处理后排放，拟将更换的废活性炭等当</w:t>
                  </w:r>
                  <w:r>
                    <w:rPr>
                      <w:rFonts w:hint="eastAsia"/>
                      <w:color w:val="000000" w:themeColor="text1"/>
                      <w:szCs w:val="21"/>
                      <w14:textFill>
                        <w14:solidFill>
                          <w14:schemeClr w14:val="tx1"/>
                        </w14:solidFill>
                      </w14:textFill>
                    </w:rPr>
                    <w:t>作</w:t>
                  </w:r>
                  <w:r>
                    <w:rPr>
                      <w:color w:val="000000" w:themeColor="text1"/>
                      <w:szCs w:val="21"/>
                      <w14:textFill>
                        <w14:solidFill>
                          <w14:schemeClr w14:val="tx1"/>
                        </w14:solidFill>
                      </w14:textFill>
                    </w:rPr>
                    <w:t>危险废物，袋装密闭暂存于危险废物暂存间内，VOCs设计收集效率≥</w:t>
                  </w:r>
                  <w:r>
                    <w:rPr>
                      <w:rFonts w:hint="eastAsia"/>
                      <w:color w:val="000000" w:themeColor="text1"/>
                      <w:szCs w:val="21"/>
                      <w:lang w:val="en-US" w:eastAsia="zh-CN"/>
                      <w14:textFill>
                        <w14:solidFill>
                          <w14:schemeClr w14:val="tx1"/>
                        </w14:solidFill>
                      </w14:textFill>
                    </w:rPr>
                    <w:t>90</w:t>
                  </w:r>
                  <w:r>
                    <w:rPr>
                      <w:color w:val="000000" w:themeColor="text1"/>
                      <w:szCs w:val="21"/>
                      <w14:textFill>
                        <w14:solidFill>
                          <w14:schemeClr w14:val="tx1"/>
                        </w14:solidFill>
                      </w14:textFill>
                    </w:rPr>
                    <w:t>%。</w:t>
                  </w:r>
                </w:p>
              </w:tc>
              <w:tc>
                <w:tcPr>
                  <w:tcW w:w="369" w:type="pct"/>
                  <w:vAlign w:val="center"/>
                </w:tcPr>
                <w:p w14:paraId="63BB510B">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0EF802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2D14548F">
                  <w:pPr>
                    <w:pStyle w:val="111"/>
                    <w:adjustRightInd w:val="0"/>
                    <w:snapToGrid w:val="0"/>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6</w:t>
                  </w:r>
                </w:p>
              </w:tc>
              <w:tc>
                <w:tcPr>
                  <w:tcW w:w="522" w:type="pct"/>
                  <w:shd w:val="clear" w:color="auto" w:fill="auto"/>
                  <w:vAlign w:val="center"/>
                </w:tcPr>
                <w:p w14:paraId="6AB5B0FA">
                  <w:pPr>
                    <w:pStyle w:val="111"/>
                    <w:adjustRightInd w:val="0"/>
                    <w:snapToGrid w:val="0"/>
                    <w:spacing w:line="340" w:lineRule="exac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《福州市生态环境保护委员会办公室关于印发2022年度福州市蓝天碧海净土保卫战行动计划通知》(榕环委办[2022]49号)</w:t>
                  </w:r>
                </w:p>
              </w:tc>
              <w:tc>
                <w:tcPr>
                  <w:tcW w:w="2382" w:type="pct"/>
                  <w:shd w:val="clear" w:color="auto" w:fill="auto"/>
                  <w:vAlign w:val="center"/>
                </w:tcPr>
                <w:p w14:paraId="6F6E9A55">
                  <w:pPr>
                    <w:pStyle w:val="111"/>
                    <w:adjustRightInd w:val="0"/>
                    <w:snapToGrid w:val="0"/>
                    <w:spacing w:line="340" w:lineRule="exac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523" w:type="pct"/>
                  <w:shd w:val="clear" w:color="auto" w:fill="auto"/>
                  <w:vAlign w:val="center"/>
                </w:tcPr>
                <w:p w14:paraId="4B29A5F2">
                  <w:pPr>
                    <w:pStyle w:val="111"/>
                    <w:adjustRightInd w:val="0"/>
                    <w:snapToGrid w:val="0"/>
                    <w:spacing w:line="340" w:lineRule="exac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本项目运行后，新增VOCs总量按要求进行倍量替代；项目VOCs年排放量小于5吨，不需安装VOCs在线监控设备。</w:t>
                  </w:r>
                </w:p>
              </w:tc>
              <w:tc>
                <w:tcPr>
                  <w:tcW w:w="369" w:type="pct"/>
                  <w:vAlign w:val="center"/>
                </w:tcPr>
                <w:p w14:paraId="5D3FBC81">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1BBF58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5EF6A768">
                  <w:pPr>
                    <w:pStyle w:val="111"/>
                    <w:adjustRightInd w:val="0"/>
                    <w:snapToGrid w:val="0"/>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7</w:t>
                  </w:r>
                </w:p>
              </w:tc>
              <w:tc>
                <w:tcPr>
                  <w:tcW w:w="522" w:type="pct"/>
                  <w:shd w:val="clear" w:color="auto" w:fill="auto"/>
                  <w:vAlign w:val="center"/>
                </w:tcPr>
                <w:p w14:paraId="5C7E1538">
                  <w:pPr>
                    <w:pStyle w:val="111"/>
                    <w:adjustRightInd w:val="0"/>
                    <w:snapToGrid w:val="0"/>
                    <w:spacing w:line="340" w:lineRule="exac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宋体" w:hAnsi="宋体"/>
                      <w:color w:val="000000" w:themeColor="text1"/>
                      <w14:textFill>
                        <w14:solidFill>
                          <w14:schemeClr w14:val="tx1"/>
                        </w14:solidFill>
                      </w14:textFill>
                    </w:rPr>
                    <w:t>《关于开展福州市重点行业挥发性有机</w:t>
                  </w:r>
                  <w:r>
                    <w:rPr>
                      <w:rFonts w:hint="eastAsia" w:ascii="宋体" w:hAnsi="宋体"/>
                      <w:color w:val="000000" w:themeColor="text1"/>
                      <w14:textFill>
                        <w14:solidFill>
                          <w14:schemeClr w14:val="tx1"/>
                        </w14:solidFill>
                      </w14:textFill>
                    </w:rPr>
                    <w:t>物综合治理工作</w:t>
                  </w:r>
                  <w:r>
                    <w:rPr>
                      <w:rFonts w:ascii="宋体" w:hAnsi="宋体"/>
                      <w:color w:val="000000" w:themeColor="text1"/>
                      <w14:textFill>
                        <w14:solidFill>
                          <w14:schemeClr w14:val="tx1"/>
                        </w14:solidFill>
                      </w14:textFill>
                    </w:rPr>
                    <w:t>(V0Cs2.0)的通知》</w:t>
                  </w:r>
                </w:p>
              </w:tc>
              <w:tc>
                <w:tcPr>
                  <w:tcW w:w="2382" w:type="pct"/>
                  <w:shd w:val="clear" w:color="auto" w:fill="auto"/>
                  <w:vAlign w:val="center"/>
                </w:tcPr>
                <w:p w14:paraId="1B2BBB90">
                  <w:pPr>
                    <w:pStyle w:val="111"/>
                    <w:adjustRightInd w:val="0"/>
                    <w:snapToGrid w:val="0"/>
                    <w:spacing w:line="340" w:lineRule="exact"/>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深入开展重点行业VOCs2.0综合治理，以工业涂装、制鞋、包装印刷、房屋建筑、市政工程等行业为重点，推进原辅材料和产品源头替代工程，提高低（无）VOCs含量原辅材料使用比例。以石化、化工、化纤、纺织染整等行业为重点，实施涉挥发性有机物提标改造综合整治工程，全面提升废气收集率、治理设施同步运行率和去除率。开展易挥发有机液体储罐改造，对浮顶罐推广采用全接液浮盘和高效双重密封技术，对废水系统高浓度废气实施单独收集处理。加强油船和原油、成品油码头以及油库油气回收治理。积极探索在制鞋、汽车配件、家具集中区开展第三方治理,试点集中喷涂中心、活性炭集中处理中心、溶剂回收中心等集中处理处置新模式。严格涉VOCs建设项目准入，新、改、扩建涉VOCs排放项目，应使用低（无）VOCs涂料、粘胶剂等，实行新建项目挥发性有机物排放区域内1.2及以上倍量替代。VOCs年排放量大于5吨的新建项目投运前应安装VOCs在线监控设备，并接入市生态云平台。到2025年，溶剂型工业涂料、油墨使用比例分别降低20个百分点、10个百分点，溶剂型胶粘剂使用量降低20%。</w:t>
                  </w:r>
                </w:p>
              </w:tc>
              <w:tc>
                <w:tcPr>
                  <w:tcW w:w="1523" w:type="pct"/>
                  <w:shd w:val="clear" w:color="auto" w:fill="auto"/>
                  <w:vAlign w:val="center"/>
                </w:tcPr>
                <w:p w14:paraId="7EB46073">
                  <w:pPr>
                    <w:pStyle w:val="111"/>
                    <w:numPr>
                      <w:ilvl w:val="0"/>
                      <w:numId w:val="0"/>
                    </w:numPr>
                    <w:adjustRightInd w:val="0"/>
                    <w:snapToGrid w:val="0"/>
                    <w:ind w:left="0" w:leftChars="0" w:firstLine="0" w:firstLineChars="0"/>
                    <w:rPr>
                      <w:rFonts w:hint="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eastAsia"/>
                      <w:color w:val="000000" w:themeColor="text1"/>
                      <w:szCs w:val="21"/>
                      <w14:textFill>
                        <w14:solidFill>
                          <w14:schemeClr w14:val="tx1"/>
                        </w14:solidFill>
                      </w14:textFill>
                    </w:rPr>
                    <w:t>本项目使用低VOCs含量的原辅材料；</w:t>
                  </w:r>
                </w:p>
                <w:p w14:paraId="6CDFF612">
                  <w:pPr>
                    <w:pStyle w:val="111"/>
                    <w:numPr>
                      <w:ilvl w:val="0"/>
                      <w:numId w:val="0"/>
                    </w:numPr>
                    <w:adjustRightInd w:val="0"/>
                    <w:snapToGrid w:val="0"/>
                    <w:ind w:left="0" w:lef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r>
                    <w:rPr>
                      <w:rFonts w:hint="eastAsia"/>
                      <w:color w:val="000000" w:themeColor="text1"/>
                      <w:szCs w:val="21"/>
                      <w14:textFill>
                        <w14:solidFill>
                          <w14:schemeClr w14:val="tx1"/>
                        </w14:solidFill>
                      </w14:textFill>
                    </w:rPr>
                    <w:t>本项目VOCs年排放量小于5吨</w:t>
                  </w:r>
                  <w:r>
                    <w:rPr>
                      <w:rFonts w:hint="eastAsia"/>
                      <w:color w:val="000000" w:themeColor="text1"/>
                      <w:szCs w:val="21"/>
                      <w:lang w:eastAsia="zh-CN"/>
                      <w14:textFill>
                        <w14:solidFill>
                          <w14:schemeClr w14:val="tx1"/>
                        </w14:solidFill>
                      </w14:textFill>
                    </w:rPr>
                    <w:t>。</w:t>
                  </w:r>
                </w:p>
              </w:tc>
              <w:tc>
                <w:tcPr>
                  <w:tcW w:w="369" w:type="pct"/>
                  <w:vAlign w:val="center"/>
                </w:tcPr>
                <w:p w14:paraId="6F6BA5B1">
                  <w:pPr>
                    <w:pStyle w:val="111"/>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14:paraId="2F3599C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outlineLvl w:val="1"/>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本项目对</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压铸脱模工序产生的</w:t>
            </w:r>
            <w:r>
              <w:rPr>
                <w:rFonts w:hint="default" w:ascii="Times New Roman" w:hAnsi="Times New Roman" w:cs="Times New Roman" w:eastAsiaTheme="minorEastAsia"/>
                <w:color w:val="000000" w:themeColor="text1"/>
                <w:sz w:val="21"/>
                <w:szCs w:val="21"/>
                <w14:textFill>
                  <w14:solidFill>
                    <w14:schemeClr w14:val="tx1"/>
                  </w14:solidFill>
                </w14:textFill>
              </w:rPr>
              <w:t>VOCs设置集气装置，收集效率在90%左右，</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引入</w:t>
            </w:r>
            <w:r>
              <w:rPr>
                <w:rFonts w:hint="default" w:ascii="Times New Roman" w:hAnsi="Times New Roman" w:cs="Times New Roman" w:eastAsiaTheme="minorEastAsia"/>
                <w:color w:val="000000" w:themeColor="text1"/>
                <w:sz w:val="21"/>
                <w:szCs w:val="21"/>
                <w14:textFill>
                  <w14:solidFill>
                    <w14:schemeClr w14:val="tx1"/>
                  </w14:solidFill>
                </w14:textFill>
              </w:rPr>
              <w:t>活性炭吸附</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装置处理后高空排放</w:t>
            </w:r>
            <w:r>
              <w:rPr>
                <w:rFonts w:hint="default" w:ascii="Times New Roman" w:hAnsi="Times New Roman" w:cs="Times New Roman" w:eastAsiaTheme="minorEastAsia"/>
                <w:color w:val="000000" w:themeColor="text1"/>
                <w:sz w:val="21"/>
                <w:szCs w:val="21"/>
                <w14:textFill>
                  <w14:solidFill>
                    <w14:schemeClr w14:val="tx1"/>
                  </w14:solidFill>
                </w14:textFill>
              </w:rPr>
              <w:t>，可减少污染物排放。项目通过采取有效的治理措施后，挥发性有机物可以得到有效</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地</w:t>
            </w:r>
            <w:r>
              <w:rPr>
                <w:rFonts w:hint="default" w:ascii="Times New Roman" w:hAnsi="Times New Roman" w:cs="Times New Roman" w:eastAsiaTheme="minorEastAsia"/>
                <w:color w:val="000000" w:themeColor="text1"/>
                <w:sz w:val="21"/>
                <w:szCs w:val="21"/>
                <w14:textFill>
                  <w14:solidFill>
                    <w14:schemeClr w14:val="tx1"/>
                  </w14:solidFill>
                </w14:textFill>
              </w:rPr>
              <w:t>控制，符合挥发性有机物污染防治相关政策的要求。</w:t>
            </w:r>
          </w:p>
          <w:p w14:paraId="3B01CB51">
            <w:pPr>
              <w:widowControl/>
              <w:spacing w:line="360" w:lineRule="auto"/>
              <w:jc w:val="left"/>
              <w:outlineLvl w:val="1"/>
              <w:rPr>
                <w:rFonts w:hint="default" w:ascii="Times New Roman" w:hAnsi="Times New Roman" w:cs="Times New Roman" w:eastAsiaTheme="minorEastAsia"/>
                <w:b/>
                <w:bCs/>
                <w:color w:val="000000" w:themeColor="text1"/>
                <w:kern w:val="21"/>
                <w:szCs w:val="21"/>
                <w14:textFill>
                  <w14:solidFill>
                    <w14:schemeClr w14:val="tx1"/>
                  </w14:solidFill>
                </w14:textFill>
              </w:rPr>
            </w:pPr>
            <w:r>
              <w:rPr>
                <w:rFonts w:hint="default" w:ascii="Times New Roman" w:hAnsi="Times New Roman" w:cs="Times New Roman" w:eastAsiaTheme="minorEastAsia"/>
                <w:b/>
                <w:bCs/>
                <w:color w:val="000000" w:themeColor="text1"/>
                <w:kern w:val="21"/>
                <w:szCs w:val="21"/>
                <w14:textFill>
                  <w14:solidFill>
                    <w14:schemeClr w14:val="tx1"/>
                  </w14:solidFill>
                </w14:textFill>
              </w:rPr>
              <w:t>1.</w:t>
            </w:r>
            <w:r>
              <w:rPr>
                <w:rFonts w:hint="default" w:ascii="Times New Roman" w:hAnsi="Times New Roman" w:cs="Times New Roman" w:eastAsiaTheme="minorEastAsia"/>
                <w:b/>
                <w:bCs/>
                <w:color w:val="000000" w:themeColor="text1"/>
                <w:kern w:val="21"/>
                <w:szCs w:val="21"/>
                <w:lang w:val="en-US" w:eastAsia="zh-CN"/>
                <w14:textFill>
                  <w14:solidFill>
                    <w14:schemeClr w14:val="tx1"/>
                  </w14:solidFill>
                </w14:textFill>
              </w:rPr>
              <w:t>6与《福建省工业炉窑大气污染综合治理方案》（2019）的</w:t>
            </w:r>
            <w:r>
              <w:rPr>
                <w:rFonts w:hint="default" w:ascii="Times New Roman" w:hAnsi="Times New Roman" w:cs="Times New Roman" w:eastAsiaTheme="minorEastAsia"/>
                <w:b/>
                <w:bCs/>
                <w:color w:val="000000" w:themeColor="text1"/>
                <w:kern w:val="21"/>
                <w:szCs w:val="21"/>
                <w14:textFill>
                  <w14:solidFill>
                    <w14:schemeClr w14:val="tx1"/>
                  </w14:solidFill>
                </w14:textFill>
              </w:rPr>
              <w:t>符合性分析</w:t>
            </w:r>
          </w:p>
          <w:p w14:paraId="6B6AC106">
            <w:pPr>
              <w:pStyle w:val="108"/>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本项目与《福建省工业炉窑大气污染综合治理方案》（2019）相关内容符合性分析，符合性分析详见表1.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6-1</w:t>
            </w:r>
            <w:r>
              <w:rPr>
                <w:rFonts w:hint="default" w:ascii="Times New Roman" w:hAnsi="Times New Roman" w:cs="Times New Roman" w:eastAsiaTheme="minorEastAsia"/>
                <w:color w:val="000000" w:themeColor="text1"/>
                <w:sz w:val="21"/>
                <w:szCs w:val="21"/>
                <w14:textFill>
                  <w14:solidFill>
                    <w14:schemeClr w14:val="tx1"/>
                  </w14:solidFill>
                </w14:textFill>
              </w:rPr>
              <w:t>。</w:t>
            </w:r>
          </w:p>
          <w:p w14:paraId="21007F02">
            <w:pPr>
              <w:spacing w:before="156" w:beforeLines="5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表1.6-1  项目与《福建省工业炉窑大气污染综合治理方案》（2019）的符合性分析</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66"/>
              <w:gridCol w:w="688"/>
              <w:gridCol w:w="3290"/>
              <w:gridCol w:w="1740"/>
              <w:gridCol w:w="602"/>
            </w:tblGrid>
            <w:tr w14:paraId="636506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7C73B7ED">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序号</w:t>
                  </w:r>
                </w:p>
              </w:tc>
              <w:tc>
                <w:tcPr>
                  <w:tcW w:w="522" w:type="pct"/>
                  <w:vAlign w:val="center"/>
                </w:tcPr>
                <w:p w14:paraId="6F66A727">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相关文件名称</w:t>
                  </w:r>
                </w:p>
              </w:tc>
              <w:tc>
                <w:tcPr>
                  <w:tcW w:w="2497" w:type="pct"/>
                  <w:vAlign w:val="center"/>
                </w:tcPr>
                <w:p w14:paraId="596CF120">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相关内容</w:t>
                  </w:r>
                </w:p>
              </w:tc>
              <w:tc>
                <w:tcPr>
                  <w:tcW w:w="1320" w:type="pct"/>
                  <w:vAlign w:val="center"/>
                </w:tcPr>
                <w:p w14:paraId="63625D2F">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本项目情况</w:t>
                  </w:r>
                </w:p>
              </w:tc>
              <w:tc>
                <w:tcPr>
                  <w:tcW w:w="457" w:type="pct"/>
                  <w:vAlign w:val="center"/>
                </w:tcPr>
                <w:p w14:paraId="5D2712BC">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符合性</w:t>
                  </w:r>
                </w:p>
              </w:tc>
            </w:tr>
            <w:tr w14:paraId="345555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4A7713A2">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522" w:type="pct"/>
                  <w:vAlign w:val="center"/>
                </w:tcPr>
                <w:p w14:paraId="6B7DD8D5">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加大产业结构调整力度</w:t>
                  </w:r>
                </w:p>
              </w:tc>
              <w:tc>
                <w:tcPr>
                  <w:tcW w:w="2497" w:type="pct"/>
                  <w:vAlign w:val="center"/>
                </w:tcPr>
                <w:p w14:paraId="32EA7F04">
                  <w:pPr>
                    <w:pStyle w:val="111"/>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.新建涉工业炉窑的建设项目，原则上要入园区，配套建设高效环保治理设施。</w:t>
                  </w:r>
                </w:p>
              </w:tc>
              <w:tc>
                <w:tcPr>
                  <w:tcW w:w="1320" w:type="pct"/>
                  <w:vAlign w:val="center"/>
                </w:tcPr>
                <w:p w14:paraId="395B691B">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1、项目位于福州市福清市阳下街道洪宽工业区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使用感应电炉，属于新建涉工业炉窑的建设项目，产生的电炉</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熔化</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烟尘采用</w:t>
                  </w:r>
                  <w:r>
                    <w:rPr>
                      <w:rFonts w:hint="eastAsia" w:cs="Times New Roman" w:eastAsiaTheme="minorEastAsia"/>
                      <w:color w:val="000000" w:themeColor="text1"/>
                      <w:sz w:val="21"/>
                      <w:szCs w:val="21"/>
                      <w:lang w:val="en-US" w:eastAsia="zh-CN"/>
                      <w14:textFill>
                        <w14:solidFill>
                          <w14:schemeClr w14:val="tx1"/>
                        </w14:solidFill>
                      </w14:textFill>
                    </w:rPr>
                    <w:t>喷淋塔</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高效环保治理设施。</w:t>
                  </w:r>
                </w:p>
              </w:tc>
              <w:tc>
                <w:tcPr>
                  <w:tcW w:w="457" w:type="pct"/>
                  <w:vAlign w:val="center"/>
                </w:tcPr>
                <w:p w14:paraId="17D0FAC1">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3758FE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281C4040">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522" w:type="pct"/>
                  <w:vAlign w:val="center"/>
                </w:tcPr>
                <w:p w14:paraId="3FC29794">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加快燃料清洁低碳化替代</w:t>
                  </w:r>
                </w:p>
              </w:tc>
              <w:tc>
                <w:tcPr>
                  <w:tcW w:w="2497" w:type="pct"/>
                  <w:vAlign w:val="center"/>
                </w:tcPr>
                <w:p w14:paraId="275CBF4D">
                  <w:pPr>
                    <w:pStyle w:val="111"/>
                    <w:widowControl/>
                    <w:adjustRightIn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1.对以煤、石油焦、渣油、重油等为燃料的工业炉窑，加快使用清洁低碳能源以及利用工厂余热、电厂热力等进行替代。严格控制掺烧高硫石油焦（硫含量大于3%）。玻璃行业全面禁止掺烧高硫石油焦。</w:t>
                  </w:r>
                </w:p>
                <w:p w14:paraId="30B78EDC">
                  <w:pPr>
                    <w:pStyle w:val="111"/>
                    <w:widowControl/>
                    <w:adjustRightIn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加快淘汰煤气发生炉和燃煤工业炉窑。鼓励工业炉窑使用电、天然气等清洁能源或由周边热电厂供热。基本淘汰热电联产供热管网覆盖范围内的燃煤加热、烘干炉（窑）。加快推动铸造（10吨/小时及以下）、岩棉等行业冲天炉改为电炉。</w:t>
                  </w:r>
                </w:p>
                <w:p w14:paraId="3BC65D0E">
                  <w:pPr>
                    <w:pStyle w:val="111"/>
                    <w:widowControl/>
                    <w:adjustRightIn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3.新建建筑陶瓷业项目原则上应使用天然气。</w:t>
                  </w:r>
                </w:p>
              </w:tc>
              <w:tc>
                <w:tcPr>
                  <w:tcW w:w="1320" w:type="pct"/>
                  <w:vAlign w:val="center"/>
                </w:tcPr>
                <w:p w14:paraId="03093C03">
                  <w:pPr>
                    <w:pStyle w:val="111"/>
                    <w:widowControl/>
                    <w:numPr>
                      <w:ilvl w:val="0"/>
                      <w:numId w:val="0"/>
                    </w:numPr>
                    <w:adjustRightInd w:val="0"/>
                    <w:ind w:left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项目使用感应电炉，属于清洁低碳能源。</w:t>
                  </w:r>
                </w:p>
              </w:tc>
              <w:tc>
                <w:tcPr>
                  <w:tcW w:w="457" w:type="pct"/>
                  <w:vAlign w:val="center"/>
                </w:tcPr>
                <w:p w14:paraId="29057B28">
                  <w:pPr>
                    <w:pStyle w:val="111"/>
                    <w:widowControl/>
                    <w:adjustRightIn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2065F1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69823DB8">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522" w:type="pct"/>
                  <w:vAlign w:val="center"/>
                </w:tcPr>
                <w:p w14:paraId="6AF61777">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实施污染深度治理</w:t>
                  </w:r>
                </w:p>
              </w:tc>
              <w:tc>
                <w:tcPr>
                  <w:tcW w:w="2497" w:type="pct"/>
                  <w:vAlign w:val="center"/>
                </w:tcPr>
                <w:p w14:paraId="24CFA2FE">
                  <w:pPr>
                    <w:pStyle w:val="111"/>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暂未制订行业排放标准的工业炉窑，包括铸造，日用玻璃，玻璃纤维、耐火材料、石灰、矿物棉等建材行业，钨、工业硅、金属冶炼废渣（灰）二次提取等有色金属行业，氮肥、电石、无机磷、活性炭等化工行业，应全面加大污染治理力度，鼓励按照颗粒物、二氧化硫、氮氧化物排放限值分别不高于30、200、300毫克/立方米实施改造，其中，日用玻璃、玻璃棉氮氧化物排放限值不高于400毫克/立方米。铸造用生铁企业的烧结机、球团和高炉按照闽环保大气〔2019〕7号要求实施超低排放改造。</w:t>
                  </w:r>
                </w:p>
                <w:p w14:paraId="5B5C34DD">
                  <w:pPr>
                    <w:pStyle w:val="111"/>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320" w:type="pct"/>
                  <w:vAlign w:val="center"/>
                </w:tcPr>
                <w:p w14:paraId="3A9C5C1E">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14:textFill>
                        <w14:solidFill>
                          <w14:schemeClr w14:val="tx1"/>
                        </w14:solidFill>
                      </w14:textFill>
                    </w:rPr>
                    <w:t>本项目</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属于有色金属铸造行业，已发布《铸造工业大气污染物排放标准》（GB39726-2020），于2021年1月1日实施，项目电炉烟尘排放执行《铸造工业大气污染物排放标准》（GB39726-2020）表1中的“感应电炉”的限值要求（30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）。2、项目感应电炉产生的烟尘设置集气罩收集，涉及的原料铝合金锭和锌合金锭属于块状物料，储存于车间内。</w:t>
                  </w:r>
                </w:p>
              </w:tc>
              <w:tc>
                <w:tcPr>
                  <w:tcW w:w="457" w:type="pct"/>
                  <w:vAlign w:val="center"/>
                </w:tcPr>
                <w:p w14:paraId="33FBA168">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6F2CC3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20334B06">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522" w:type="pct"/>
                  <w:vAlign w:val="center"/>
                </w:tcPr>
                <w:p w14:paraId="5ECE31A3">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开展工业园区和产业集群综合整治</w:t>
                  </w:r>
                </w:p>
              </w:tc>
              <w:tc>
                <w:tcPr>
                  <w:tcW w:w="2497" w:type="pct"/>
                  <w:vAlign w:val="center"/>
                </w:tcPr>
                <w:p w14:paraId="15D31EF4">
                  <w:pPr>
                    <w:pStyle w:val="111"/>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各地要加大涉工业炉窑类工业园区和产业集群的综合整治力度，结合“三线一单”、园区规划及规划环评等要求，进一步梳理确定园区和产业发展定位、规模及结构等，特别是福州、泉州、漳州陶瓷行业，福州、宁德铸造，福州、泉州、漳州化工等产业集群。制定综合整治方案，对标先进企业，从生产工艺、产能规模、燃料类型、污染治理等方面提出明确要求，提升产业发展质量和环保治理水平。按照统一标准、统一时间表的要求，同步推进区域环境综合整治和企业升级改造。</w:t>
                  </w:r>
                </w:p>
                <w:p w14:paraId="5320999A">
                  <w:pPr>
                    <w:pStyle w:val="111"/>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加强工业园区能源替代利用与资源共享，积极推广集中供汽供热或建设清洁低碳能源中心等，替代工业炉窑燃料用煤；充分利用园区内工厂余热、焦炉煤气等清洁低碳能源，加强分质与梯级利用，提高能源利用效率，促进形成清洁低碳高效产业链。</w:t>
                  </w:r>
                </w:p>
              </w:tc>
              <w:tc>
                <w:tcPr>
                  <w:tcW w:w="1320" w:type="pct"/>
                  <w:vAlign w:val="center"/>
                </w:tcPr>
                <w:p w14:paraId="7E98EFCC">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1、项目位于福清融侨经济技术开发区，属于C3392有色金属铸造，属于C33金属制造业，为福清融侨经济技术开发区主导行业，符合该园区规划环评的产业政策。</w:t>
                  </w:r>
                </w:p>
                <w:p w14:paraId="628C9662">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2、项目使用感应电炉，用电作为能源，属于清洁能源。</w:t>
                  </w:r>
                </w:p>
              </w:tc>
              <w:tc>
                <w:tcPr>
                  <w:tcW w:w="457" w:type="pct"/>
                  <w:vAlign w:val="center"/>
                </w:tcPr>
                <w:p w14:paraId="14293E35">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r w14:paraId="3C90C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01" w:type="pct"/>
                  <w:vAlign w:val="center"/>
                </w:tcPr>
                <w:p w14:paraId="53961AC9">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522" w:type="pct"/>
                  <w:vAlign w:val="center"/>
                </w:tcPr>
                <w:p w14:paraId="08E5912E">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建立健全监测监控体系</w:t>
                  </w:r>
                </w:p>
              </w:tc>
              <w:tc>
                <w:tcPr>
                  <w:tcW w:w="2497" w:type="pct"/>
                  <w:vAlign w:val="center"/>
                </w:tcPr>
                <w:p w14:paraId="02BF3FE8">
                  <w:pPr>
                    <w:pStyle w:val="111"/>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1.钢铁、焦化、水泥、平板玻璃、陶瓷、氮肥、有色金属冶炼、再生有色金属等行业，严格按照排污许可管理规定安装和运行自动监控设施。加快其他行业工业炉窑大气污染物排放自动监控设施建设。</w:t>
                  </w:r>
                </w:p>
              </w:tc>
              <w:tc>
                <w:tcPr>
                  <w:tcW w:w="1320" w:type="pct"/>
                  <w:vAlign w:val="center"/>
                </w:tcPr>
                <w:p w14:paraId="666BF07C">
                  <w:pPr>
                    <w:pStyle w:val="111"/>
                    <w:adjustRightInd w:val="0"/>
                    <w:snapToGrid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项目不属于钢铁、焦化、水泥、平板玻璃、陶瓷、氮肥、有色金属冶炼、再生有色金属等行业。</w:t>
                  </w:r>
                </w:p>
              </w:tc>
              <w:tc>
                <w:tcPr>
                  <w:tcW w:w="457" w:type="pct"/>
                  <w:vAlign w:val="center"/>
                </w:tcPr>
                <w:p w14:paraId="4CAA7C4F">
                  <w:pPr>
                    <w:pStyle w:val="111"/>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w:t>
                  </w:r>
                </w:p>
              </w:tc>
            </w:tr>
          </w:tbl>
          <w:p w14:paraId="076978B9">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工业炉窑指的是在工业生产中利用燃料或电能转换产生的热量，将物料或者工件进行熔化、熔炼的设备。本项目感应电炉属于工业炉窑，使用电作为能源，使用过程中仅产生少量烟尘，不属于高能耗与落后设备，符合《福建省工业炉窑大气污染综合治理方案》。</w:t>
            </w:r>
          </w:p>
          <w:p w14:paraId="0F059B56">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5F0E0464">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781B6262">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6B29B3F8">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71C92506">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20" w:firstLineChars="200"/>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6B38A5EE">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7F4B3B15">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p w14:paraId="6A7C79FB">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left"/>
              <w:textAlignment w:val="auto"/>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p>
        </w:tc>
      </w:tr>
    </w:tbl>
    <w:p w14:paraId="46480C8B">
      <w:pPr>
        <w:spacing w:line="360" w:lineRule="auto"/>
        <w:outlineLvl w:val="0"/>
        <w:rPr>
          <w:rFonts w:hint="default" w:ascii="Times New Roman" w:hAnsi="Times New Roman" w:cs="Times New Roman" w:eastAsiaTheme="minorEastAsia"/>
          <w:color w:val="000000" w:themeColor="text1"/>
          <w:kern w:val="21"/>
          <w:sz w:val="30"/>
          <w14:textFill>
            <w14:solidFill>
              <w14:schemeClr w14:val="tx1"/>
            </w14:solidFill>
          </w14:textFill>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3F04EB73">
      <w:pPr>
        <w:pStyle w:val="30"/>
        <w:jc w:val="center"/>
        <w:outlineLvl w:val="0"/>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pPr>
      <w:r>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t>二、建设项目工程分析</w:t>
      </w:r>
    </w:p>
    <w:tbl>
      <w:tblPr>
        <w:tblStyle w:val="3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280"/>
      </w:tblGrid>
      <w:tr w14:paraId="2FB44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8D7C434">
            <w:pPr>
              <w:pStyle w:val="30"/>
              <w:spacing w:before="0" w:beforeAutospacing="0" w:after="0" w:afterAutospacing="0"/>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建设内容</w:t>
            </w:r>
          </w:p>
        </w:tc>
        <w:tc>
          <w:tcPr>
            <w:tcW w:w="8280" w:type="dxa"/>
            <w:vAlign w:val="center"/>
          </w:tcPr>
          <w:p w14:paraId="59748F03">
            <w:pPr>
              <w:keepNext/>
              <w:keepLines w:val="0"/>
              <w:pageBreakBefore w:val="0"/>
              <w:widowControl/>
              <w:tabs>
                <w:tab w:val="left" w:pos="5400"/>
              </w:tabs>
              <w:kinsoku/>
              <w:wordWrap/>
              <w:topLinePunct w:val="0"/>
              <w:autoSpaceDE/>
              <w:autoSpaceDN/>
              <w:bidi w:val="0"/>
              <w:adjustRightInd/>
              <w:spacing w:line="360" w:lineRule="auto"/>
              <w:jc w:val="left"/>
              <w:textAlignment w:val="auto"/>
              <w:outlineLvl w:val="1"/>
              <w:rPr>
                <w:rFonts w:hint="default" w:ascii="Times New Roman" w:hAnsi="Times New Roman" w:cs="Times New Roman"/>
                <w:b/>
                <w:bCs/>
                <w:iCs/>
                <w:color w:val="000000" w:themeColor="text1"/>
                <w:kern w:val="0"/>
                <w:sz w:val="24"/>
                <w14:textFill>
                  <w14:solidFill>
                    <w14:schemeClr w14:val="tx1"/>
                  </w14:solidFill>
                </w14:textFill>
              </w:rPr>
            </w:pPr>
            <w:r>
              <w:rPr>
                <w:rFonts w:hint="default" w:ascii="Times New Roman" w:hAnsi="Times New Roman" w:cs="Times New Roman"/>
                <w:b/>
                <w:bCs/>
                <w:iCs/>
                <w:color w:val="000000" w:themeColor="text1"/>
                <w:kern w:val="0"/>
                <w:sz w:val="24"/>
                <w:lang w:bidi="ar"/>
                <w14:textFill>
                  <w14:solidFill>
                    <w14:schemeClr w14:val="tx1"/>
                  </w14:solidFill>
                </w14:textFill>
              </w:rPr>
              <w:t>福清洪添科技有限公司（厂房产权所属单位）</w:t>
            </w:r>
            <w:r>
              <w:rPr>
                <w:rFonts w:hint="default" w:ascii="Times New Roman" w:hAnsi="Times New Roman" w:cs="Times New Roman"/>
                <w:b/>
                <w:bCs/>
                <w:iCs/>
                <w:color w:val="000000" w:themeColor="text1"/>
                <w:kern w:val="0"/>
                <w:sz w:val="24"/>
                <w14:textFill>
                  <w14:solidFill>
                    <w14:schemeClr w14:val="tx1"/>
                  </w14:solidFill>
                </w14:textFill>
              </w:rPr>
              <w:t>情况</w:t>
            </w:r>
          </w:p>
          <w:p w14:paraId="2F89B339">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本项目生产厂址位于福建省福州市福清市阳下街道洪宽工业区（租赁福清洪添科技有限公司车间1第1、2层），厂房面积</w:t>
            </w:r>
            <w:r>
              <w:rPr>
                <w:rFonts w:hint="eastAsia" w:ascii="Times New Roman" w:hAnsi="Times New Roman" w:cs="Times New Roman"/>
                <w:color w:val="000000" w:themeColor="text1"/>
                <w:kern w:val="0"/>
                <w:sz w:val="24"/>
                <w:lang w:val="en-US" w:eastAsia="zh-CN" w:bidi="ar"/>
                <w14:textFill>
                  <w14:solidFill>
                    <w14:schemeClr w14:val="tx1"/>
                  </w14:solidFill>
                </w14:textFill>
              </w:rPr>
              <w:t>3050</w:t>
            </w:r>
            <w:r>
              <w:rPr>
                <w:rFonts w:hint="default" w:ascii="Times New Roman" w:hAnsi="Times New Roman" w:cs="Times New Roman"/>
                <w:color w:val="000000" w:themeColor="text1"/>
                <w:kern w:val="0"/>
                <w:sz w:val="24"/>
                <w:lang w:bidi="ar"/>
                <w14:textFill>
                  <w14:solidFill>
                    <w14:schemeClr w14:val="tx1"/>
                  </w14:solidFill>
                </w14:textFill>
              </w:rPr>
              <w:t>m</w:t>
            </w:r>
            <w:r>
              <w:rPr>
                <w:rFonts w:hint="default" w:ascii="Times New Roman" w:hAnsi="Times New Roman" w:cs="Times New Roman"/>
                <w:color w:val="000000" w:themeColor="text1"/>
                <w:kern w:val="0"/>
                <w:sz w:val="24"/>
                <w:vertAlign w:val="superscript"/>
                <w:lang w:bidi="ar"/>
                <w14:textFill>
                  <w14:solidFill>
                    <w14:schemeClr w14:val="tx1"/>
                  </w14:solidFill>
                </w14:textFill>
              </w:rPr>
              <w:t>2</w:t>
            </w:r>
            <w:r>
              <w:rPr>
                <w:rFonts w:hint="default" w:ascii="Times New Roman" w:hAnsi="Times New Roman" w:cs="Times New Roman"/>
                <w:color w:val="000000" w:themeColor="text1"/>
                <w:kern w:val="0"/>
                <w:sz w:val="24"/>
                <w:lang w:bidi="ar"/>
                <w14:textFill>
                  <w14:solidFill>
                    <w14:schemeClr w14:val="tx1"/>
                  </w14:solidFill>
                </w14:textFill>
              </w:rPr>
              <w:t>，因此，本评价在此介绍项目依托企业福清洪添科技有限公司的基本内容。</w:t>
            </w:r>
          </w:p>
          <w:p w14:paraId="3EC65B7B">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cs="Times New Roman"/>
                <w:color w:val="000000" w:themeColor="text1"/>
                <w:kern w:val="0"/>
                <w:sz w:val="24"/>
                <w:lang w:bidi="ar"/>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14:textFill>
                  <w14:solidFill>
                    <w14:schemeClr w14:val="tx1"/>
                  </w14:solidFill>
                </w14:textFill>
              </w:rPr>
              <w:t>福清洪添科技有限公司</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是一家从事技术服务</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技术开发</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技术咨询等业务的公司</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于2025年8月11日公司名称由福清洪添制刀有限公司变更为福清洪添科技有限公司（厂房使用情况说明见附件10），主要</w:t>
            </w:r>
            <w:r>
              <w:rPr>
                <w:rFonts w:hint="eastAsia" w:cs="Times New Roman" w:eastAsiaTheme="minorEastAsia"/>
                <w:b w:val="0"/>
                <w:bCs w:val="0"/>
                <w:color w:val="000000" w:themeColor="text1"/>
                <w:kern w:val="2"/>
                <w:sz w:val="24"/>
                <w:szCs w:val="24"/>
                <w:lang w:eastAsia="zh-CN"/>
                <w14:textFill>
                  <w14:solidFill>
                    <w14:schemeClr w14:val="tx1"/>
                  </w14:solidFill>
                </w14:textFill>
              </w:rPr>
              <w:t>生产各种家庭用刀及农具、各种钢材及各种制刀叠层板热轧冷轧，</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建设</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有</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4栋厂房（分别为1号楼、2号楼、车间1、车间2）（不动产权证见附件4）。</w:t>
            </w:r>
          </w:p>
          <w:p w14:paraId="490A09A6">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cs="Times New Roman"/>
                <w:color w:val="000000" w:themeColor="text1"/>
                <w:kern w:val="0"/>
                <w:sz w:val="24"/>
                <w:highlight w:val="none"/>
                <w:lang w:bidi="ar"/>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福清洪添制刀有限公司</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福清洪添科技有限公司</w:t>
            </w:r>
            <w:r>
              <w:rPr>
                <w:rFonts w:hint="eastAsia" w:cs="Times New Roman"/>
                <w:color w:val="000000" w:themeColor="text1"/>
                <w:kern w:val="0"/>
                <w:sz w:val="24"/>
                <w:lang w:val="en-US" w:eastAsia="zh-CN" w:bidi="ar"/>
                <w14:textFill>
                  <w14:solidFill>
                    <w14:schemeClr w14:val="tx1"/>
                  </w14:solidFill>
                </w14:textFill>
              </w:rPr>
              <w:t>变更前</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于2022年6月将</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1号楼、2号楼</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租赁给福清市洪光塑胶有限公司作为项目建设使用。</w:t>
            </w:r>
            <w:r>
              <w:rPr>
                <w:rFonts w:hint="default" w:ascii="Times New Roman" w:hAnsi="Times New Roman" w:cs="Times New Roman"/>
                <w:color w:val="000000" w:themeColor="text1"/>
                <w:kern w:val="0"/>
                <w:sz w:val="24"/>
                <w:lang w:bidi="ar"/>
                <w14:textFill>
                  <w14:solidFill>
                    <w14:schemeClr w14:val="tx1"/>
                  </w14:solidFill>
                </w14:textFill>
              </w:rPr>
              <w:t>20</w:t>
            </w:r>
            <w:r>
              <w:rPr>
                <w:rFonts w:hint="eastAsia" w:cs="Times New Roman"/>
                <w:color w:val="000000" w:themeColor="text1"/>
                <w:kern w:val="0"/>
                <w:sz w:val="24"/>
                <w:lang w:val="en-US" w:eastAsia="zh-CN" w:bidi="ar"/>
                <w14:textFill>
                  <w14:solidFill>
                    <w14:schemeClr w14:val="tx1"/>
                  </w14:solidFill>
                </w14:textFill>
              </w:rPr>
              <w:t>22</w:t>
            </w:r>
            <w:r>
              <w:rPr>
                <w:rFonts w:hint="default" w:ascii="Times New Roman" w:hAnsi="Times New Roman" w:cs="Times New Roman"/>
                <w:color w:val="000000" w:themeColor="text1"/>
                <w:kern w:val="0"/>
                <w:sz w:val="24"/>
                <w:lang w:bidi="ar"/>
                <w14:textFill>
                  <w14:solidFill>
                    <w14:schemeClr w14:val="tx1"/>
                  </w14:solidFill>
                </w14:textFill>
              </w:rPr>
              <w:t>年</w:t>
            </w:r>
            <w:r>
              <w:rPr>
                <w:rFonts w:hint="eastAsia" w:cs="Times New Roman"/>
                <w:color w:val="000000" w:themeColor="text1"/>
                <w:kern w:val="0"/>
                <w:sz w:val="24"/>
                <w:lang w:val="en-US" w:eastAsia="zh-CN" w:bidi="ar"/>
                <w14:textFill>
                  <w14:solidFill>
                    <w14:schemeClr w14:val="tx1"/>
                  </w14:solidFill>
                </w14:textFill>
              </w:rPr>
              <w:t>6</w:t>
            </w:r>
            <w:r>
              <w:rPr>
                <w:rFonts w:hint="default" w:ascii="Times New Roman" w:hAnsi="Times New Roman" w:cs="Times New Roman"/>
                <w:color w:val="000000" w:themeColor="text1"/>
                <w:kern w:val="0"/>
                <w:sz w:val="24"/>
                <w:lang w:bidi="ar"/>
                <w14:textFill>
                  <w14:solidFill>
                    <w14:schemeClr w14:val="tx1"/>
                  </w14:solidFill>
                </w14:textFill>
              </w:rPr>
              <w:t>月福清市洪光塑胶有限公司委托编制完成了《福清市洪光塑胶有限公司年产塑胶显示器支架、底座10万套项目》项目环境影响评价</w:t>
            </w:r>
            <w:r>
              <w:rPr>
                <w:rFonts w:hint="eastAsia" w:cs="Times New Roman"/>
                <w:color w:val="000000" w:themeColor="text1"/>
                <w:kern w:val="0"/>
                <w:sz w:val="24"/>
                <w:lang w:val="en-US" w:eastAsia="zh-CN" w:bidi="ar"/>
                <w14:textFill>
                  <w14:solidFill>
                    <w14:schemeClr w14:val="tx1"/>
                  </w14:solidFill>
                </w14:textFill>
              </w:rPr>
              <w:t>报</w:t>
            </w:r>
            <w:r>
              <w:rPr>
                <w:rFonts w:hint="eastAsia" w:cs="Times New Roman"/>
                <w:color w:val="000000" w:themeColor="text1"/>
                <w:kern w:val="0"/>
                <w:sz w:val="24"/>
                <w:highlight w:val="none"/>
                <w:lang w:val="en-US" w:eastAsia="zh-CN" w:bidi="ar"/>
                <w14:textFill>
                  <w14:solidFill>
                    <w14:schemeClr w14:val="tx1"/>
                  </w14:solidFill>
                </w14:textFill>
              </w:rPr>
              <w:t>告表</w:t>
            </w:r>
            <w:r>
              <w:rPr>
                <w:rFonts w:hint="default" w:ascii="Times New Roman" w:hAnsi="Times New Roman" w:cs="Times New Roman"/>
                <w:color w:val="000000" w:themeColor="text1"/>
                <w:kern w:val="0"/>
                <w:sz w:val="24"/>
                <w:highlight w:val="none"/>
                <w:lang w:bidi="ar"/>
                <w14:textFill>
                  <w14:solidFill>
                    <w14:schemeClr w14:val="tx1"/>
                  </w14:solidFill>
                </w14:textFill>
              </w:rPr>
              <w:t>，该项目于20</w:t>
            </w:r>
            <w:r>
              <w:rPr>
                <w:rFonts w:hint="eastAsia" w:cs="Times New Roman"/>
                <w:color w:val="000000" w:themeColor="text1"/>
                <w:kern w:val="0"/>
                <w:sz w:val="24"/>
                <w:highlight w:val="none"/>
                <w:lang w:val="en-US" w:eastAsia="zh-CN" w:bidi="ar"/>
                <w14:textFill>
                  <w14:solidFill>
                    <w14:schemeClr w14:val="tx1"/>
                  </w14:solidFill>
                </w14:textFill>
              </w:rPr>
              <w:t>22</w:t>
            </w:r>
            <w:r>
              <w:rPr>
                <w:rFonts w:hint="default" w:ascii="Times New Roman" w:hAnsi="Times New Roman" w:cs="Times New Roman"/>
                <w:color w:val="000000" w:themeColor="text1"/>
                <w:kern w:val="0"/>
                <w:sz w:val="24"/>
                <w:highlight w:val="none"/>
                <w:lang w:bidi="ar"/>
                <w14:textFill>
                  <w14:solidFill>
                    <w14:schemeClr w14:val="tx1"/>
                  </w14:solidFill>
                </w14:textFill>
              </w:rPr>
              <w:t>年</w:t>
            </w:r>
            <w:r>
              <w:rPr>
                <w:rFonts w:hint="eastAsia" w:cs="Times New Roman"/>
                <w:color w:val="000000" w:themeColor="text1"/>
                <w:kern w:val="0"/>
                <w:sz w:val="24"/>
                <w:highlight w:val="none"/>
                <w:lang w:val="en-US" w:eastAsia="zh-CN" w:bidi="ar"/>
                <w14:textFill>
                  <w14:solidFill>
                    <w14:schemeClr w14:val="tx1"/>
                  </w14:solidFill>
                </w14:textFill>
              </w:rPr>
              <w:t>7</w:t>
            </w:r>
            <w:r>
              <w:rPr>
                <w:rFonts w:hint="default" w:ascii="Times New Roman" w:hAnsi="Times New Roman" w:cs="Times New Roman"/>
                <w:color w:val="000000" w:themeColor="text1"/>
                <w:kern w:val="0"/>
                <w:sz w:val="24"/>
                <w:highlight w:val="none"/>
                <w:lang w:bidi="ar"/>
                <w14:textFill>
                  <w14:solidFill>
                    <w14:schemeClr w14:val="tx1"/>
                  </w14:solidFill>
                </w14:textFill>
              </w:rPr>
              <w:t>月</w:t>
            </w:r>
            <w:r>
              <w:rPr>
                <w:rFonts w:hint="eastAsia" w:cs="Times New Roman"/>
                <w:color w:val="000000" w:themeColor="text1"/>
                <w:kern w:val="0"/>
                <w:sz w:val="24"/>
                <w:highlight w:val="none"/>
                <w:lang w:val="en-US" w:eastAsia="zh-CN" w:bidi="ar"/>
                <w14:textFill>
                  <w14:solidFill>
                    <w14:schemeClr w14:val="tx1"/>
                  </w14:solidFill>
                </w14:textFill>
              </w:rPr>
              <w:t>7</w:t>
            </w:r>
            <w:r>
              <w:rPr>
                <w:rFonts w:hint="default" w:ascii="Times New Roman" w:hAnsi="Times New Roman" w:cs="Times New Roman"/>
                <w:color w:val="000000" w:themeColor="text1"/>
                <w:kern w:val="0"/>
                <w:sz w:val="24"/>
                <w:highlight w:val="none"/>
                <w:lang w:bidi="ar"/>
                <w14:textFill>
                  <w14:solidFill>
                    <w14:schemeClr w14:val="tx1"/>
                  </w14:solidFill>
                </w14:textFill>
              </w:rPr>
              <w:t>日</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取得福清市</w:t>
            </w:r>
            <w:r>
              <w:rPr>
                <w:rFonts w:hint="eastAsia" w:cs="Times New Roman"/>
                <w:color w:val="000000" w:themeColor="text1"/>
                <w:kern w:val="0"/>
                <w:sz w:val="24"/>
                <w:highlight w:val="none"/>
                <w:lang w:val="en-US" w:eastAsia="zh-CN" w:bidi="ar"/>
                <w14:textFill>
                  <w14:solidFill>
                    <w14:schemeClr w14:val="tx1"/>
                  </w14:solidFill>
                </w14:textFill>
              </w:rPr>
              <w:t>生态环境局关于项目的</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批复</w:t>
            </w:r>
            <w:r>
              <w:rPr>
                <w:rFonts w:hint="eastAsia" w:cs="Times New Roman"/>
                <w:color w:val="000000" w:themeColor="text1"/>
                <w:kern w:val="0"/>
                <w:sz w:val="24"/>
                <w:highlight w:val="none"/>
                <w:lang w:val="en-US" w:eastAsia="zh-CN" w:bidi="ar"/>
                <w14:textFill>
                  <w14:solidFill>
                    <w14:schemeClr w14:val="tx1"/>
                  </w14:solidFill>
                </w14:textFill>
              </w:rPr>
              <w:t>意见（</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见附件</w:t>
            </w:r>
            <w:r>
              <w:rPr>
                <w:rFonts w:hint="eastAsia" w:cs="Times New Roman"/>
                <w:color w:val="000000" w:themeColor="text1"/>
                <w:kern w:val="0"/>
                <w:sz w:val="24"/>
                <w:highlight w:val="none"/>
                <w:lang w:val="en-US" w:eastAsia="zh-CN" w:bidi="ar"/>
                <w14:textFill>
                  <w14:solidFill>
                    <w14:schemeClr w14:val="tx1"/>
                  </w14:solidFill>
                </w14:textFill>
              </w:rPr>
              <w:t>8）；2022年8月2日，建设单位组织召开了</w:t>
            </w:r>
            <w:r>
              <w:rPr>
                <w:rFonts w:hint="default" w:ascii="Times New Roman" w:hAnsi="Times New Roman" w:cs="Times New Roman"/>
                <w:color w:val="000000" w:themeColor="text1"/>
                <w:kern w:val="0"/>
                <w:sz w:val="24"/>
                <w:highlight w:val="none"/>
                <w:lang w:bidi="ar"/>
                <w14:textFill>
                  <w14:solidFill>
                    <w14:schemeClr w14:val="tx1"/>
                  </w14:solidFill>
                </w14:textFill>
              </w:rPr>
              <w:t>《福清市洪光塑胶有限公司年产塑胶显示器支架、底座10万套项目》阶段性竣工环境保护验收</w:t>
            </w:r>
            <w:r>
              <w:rPr>
                <w:rFonts w:hint="eastAsia" w:cs="Times New Roman"/>
                <w:color w:val="000000" w:themeColor="text1"/>
                <w:kern w:val="0"/>
                <w:sz w:val="24"/>
                <w:highlight w:val="none"/>
                <w:lang w:val="en-US" w:eastAsia="zh-CN" w:bidi="ar"/>
                <w14:textFill>
                  <w14:solidFill>
                    <w14:schemeClr w14:val="tx1"/>
                  </w14:solidFill>
                </w14:textFill>
              </w:rPr>
              <w:t>会，项目建设内容为：产塑胶显示器支架、底座5万套。并取得验收专家意见，同意通过验收（</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见附件</w:t>
            </w:r>
            <w:r>
              <w:rPr>
                <w:rFonts w:hint="eastAsia" w:cs="Times New Roman"/>
                <w:color w:val="000000" w:themeColor="text1"/>
                <w:kern w:val="0"/>
                <w:sz w:val="24"/>
                <w:highlight w:val="none"/>
                <w:lang w:val="en-US" w:eastAsia="zh-CN" w:bidi="ar"/>
                <w14:textFill>
                  <w14:solidFill>
                    <w14:schemeClr w14:val="tx1"/>
                  </w14:solidFill>
                </w14:textFill>
              </w:rPr>
              <w:t>9）</w:t>
            </w:r>
            <w:r>
              <w:rPr>
                <w:rFonts w:hint="default" w:ascii="Times New Roman" w:hAnsi="Times New Roman" w:cs="Times New Roman"/>
                <w:color w:val="000000" w:themeColor="text1"/>
                <w:kern w:val="0"/>
                <w:sz w:val="24"/>
                <w:highlight w:val="none"/>
                <w:lang w:bidi="ar"/>
                <w14:textFill>
                  <w14:solidFill>
                    <w14:schemeClr w14:val="tx1"/>
                  </w14:solidFill>
                </w14:textFill>
              </w:rPr>
              <w:t>。</w:t>
            </w:r>
          </w:p>
          <w:p w14:paraId="639355EE">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eastAsia" w:cs="Times New Roman"/>
                <w:color w:val="000000" w:themeColor="text1"/>
                <w:kern w:val="0"/>
                <w:sz w:val="24"/>
                <w:lang w:val="en-US" w:eastAsia="zh-CN" w:bidi="ar"/>
                <w14:textFill>
                  <w14:solidFill>
                    <w14:schemeClr w14:val="tx1"/>
                  </w14:solidFill>
                </w14:textFill>
              </w:rPr>
              <w:t>2025年9月福清洪添科技有限公司</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将</w:t>
            </w:r>
            <w:r>
              <w:rPr>
                <w:rFonts w:hint="default" w:ascii="Times New Roman" w:hAnsi="Times New Roman" w:cs="Times New Roman"/>
                <w:color w:val="000000" w:themeColor="text1"/>
                <w:kern w:val="0"/>
                <w:sz w:val="24"/>
                <w:lang w:bidi="ar"/>
                <w14:textFill>
                  <w14:solidFill>
                    <w14:schemeClr w14:val="tx1"/>
                  </w14:solidFill>
                </w14:textFill>
              </w:rPr>
              <w:t>车间1</w:t>
            </w:r>
            <w:r>
              <w:rPr>
                <w:rFonts w:hint="eastAsia" w:cs="Times New Roman"/>
                <w:color w:val="000000" w:themeColor="text1"/>
                <w:kern w:val="0"/>
                <w:sz w:val="24"/>
                <w:lang w:val="en-US" w:eastAsia="zh-CN" w:bidi="ar"/>
                <w14:textFill>
                  <w14:solidFill>
                    <w14:schemeClr w14:val="tx1"/>
                  </w14:solidFill>
                </w14:textFill>
              </w:rPr>
              <w:t>厂房</w:t>
            </w:r>
            <w:r>
              <w:rPr>
                <w:rFonts w:hint="default" w:ascii="Times New Roman" w:hAnsi="Times New Roman" w:cs="Times New Roman"/>
                <w:color w:val="000000" w:themeColor="text1"/>
                <w:kern w:val="0"/>
                <w:sz w:val="24"/>
                <w:lang w:bidi="ar"/>
                <w14:textFill>
                  <w14:solidFill>
                    <w14:schemeClr w14:val="tx1"/>
                  </w14:solidFill>
                </w14:textFill>
              </w:rPr>
              <w:t>第1、2层</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（房屋租赁合同见附件7）</w:t>
            </w:r>
            <w:r>
              <w:rPr>
                <w:rFonts w:hint="default" w:ascii="Times New Roman" w:hAnsi="Times New Roman" w:cs="Times New Roman"/>
                <w:color w:val="000000" w:themeColor="text1"/>
                <w:kern w:val="0"/>
                <w:sz w:val="24"/>
                <w:lang w:bidi="ar"/>
                <w14:textFill>
                  <w14:solidFill>
                    <w14:schemeClr w14:val="tx1"/>
                  </w14:solidFill>
                </w14:textFill>
              </w:rPr>
              <w:t>出租给福清市珑诚电子科技有限公司</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年加工电脑显示器锌</w:t>
            </w:r>
            <w:r>
              <w:rPr>
                <w:rFonts w:hint="default" w:ascii="Times New Roman" w:hAnsi="Times New Roman" w:cs="Times New Roman" w:eastAsiaTheme="minorEastAsia"/>
                <w:b w:val="0"/>
                <w:bCs w:val="0"/>
                <w:color w:val="000000" w:themeColor="text1"/>
                <w:kern w:val="2"/>
                <w:sz w:val="24"/>
                <w:szCs w:val="24"/>
                <w:highlight w:val="none"/>
                <w:lang w:val="en-US" w:eastAsia="zh-CN"/>
                <w14:textFill>
                  <w14:solidFill>
                    <w14:schemeClr w14:val="tx1"/>
                  </w14:solidFill>
                </w14:textFill>
              </w:rPr>
              <w:t>合金支架100万个，铝合金支架350万个</w:t>
            </w:r>
            <w:r>
              <w:rPr>
                <w:rFonts w:hint="default" w:ascii="Times New Roman" w:hAnsi="Times New Roman" w:cs="Times New Roman" w:eastAsiaTheme="minorEastAsia"/>
                <w:b w:val="0"/>
                <w:bCs w:val="0"/>
                <w:color w:val="000000" w:themeColor="text1"/>
                <w:kern w:val="2"/>
                <w:sz w:val="24"/>
                <w:szCs w:val="24"/>
                <w:highlight w:val="none"/>
                <w:lang w:eastAsia="zh-CN"/>
                <w14:textFill>
                  <w14:solidFill>
                    <w14:schemeClr w14:val="tx1"/>
                  </w14:solidFill>
                </w14:textFill>
              </w:rPr>
              <w:t>项目</w:t>
            </w:r>
            <w:r>
              <w:rPr>
                <w:rFonts w:hint="eastAsia" w:cs="Times New Roman" w:eastAsiaTheme="minorEastAsia"/>
                <w:b w:val="0"/>
                <w:bCs w:val="0"/>
                <w:color w:val="000000" w:themeColor="text1"/>
                <w:kern w:val="2"/>
                <w:sz w:val="24"/>
                <w:szCs w:val="24"/>
                <w:highlight w:val="none"/>
                <w:lang w:val="en-US" w:eastAsia="zh-CN"/>
                <w14:textFill>
                  <w14:solidFill>
                    <w14:schemeClr w14:val="tx1"/>
                  </w14:solidFill>
                </w14:textFill>
              </w:rPr>
              <w:t>建设使用</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14:paraId="1CAEBF0E">
            <w:pPr>
              <w:keepLines w:val="0"/>
              <w:pageBreakBefore w:val="0"/>
              <w:widowControl/>
              <w:kinsoku/>
              <w:wordWrap/>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现场勘查，该区域属于福清市融元污水处理厂服务范围内，目前生活污水经厂区内现有化粪池处理后接入市政管网送往福清市融元污水处理厂集中处理后排放。本项目可依托的设施主要为厂房内的给水管网、排水管网、供电管网及给水消防等公用工程设施</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14:paraId="067C9A52">
            <w:pPr>
              <w:autoSpaceDE w:val="0"/>
              <w:autoSpaceDN w:val="0"/>
              <w:spacing w:line="360" w:lineRule="auto"/>
              <w:rPr>
                <w:rFonts w:hint="default" w:ascii="Times New Roman" w:hAnsi="Times New Roman" w:cs="Times New Roman" w:eastAsiaTheme="minorEastAsia"/>
                <w:b/>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2.1 项目由来</w:t>
            </w:r>
          </w:p>
          <w:p w14:paraId="37ECD939">
            <w:pPr>
              <w:pStyle w:val="12"/>
              <w:spacing w:beforeLines="0" w:line="360" w:lineRule="auto"/>
              <w:ind w:firstLine="480" w:firstLineChars="200"/>
              <w:jc w:val="left"/>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福清市珑诚电子科技有限公司</w:t>
            </w:r>
            <w:r>
              <w:rPr>
                <w:rFonts w:hint="default" w:ascii="Times New Roman" w:hAnsi="Times New Roman" w:cs="Times New Roman" w:eastAsiaTheme="minorEastAsia"/>
                <w:color w:val="000000" w:themeColor="text1"/>
                <w14:textFill>
                  <w14:solidFill>
                    <w14:schemeClr w14:val="tx1"/>
                  </w14:solidFill>
                </w14:textFill>
              </w:rPr>
              <w:t>成立于</w:t>
            </w:r>
            <w:r>
              <w:rPr>
                <w:rFonts w:hint="default" w:ascii="Times New Roman" w:hAnsi="Times New Roman" w:cs="Times New Roman" w:eastAsiaTheme="minorEastAsia"/>
                <w:color w:val="000000" w:themeColor="text1"/>
                <w:lang w:val="en-US" w:eastAsia="zh-CN"/>
                <w14:textFill>
                  <w14:solidFill>
                    <w14:schemeClr w14:val="tx1"/>
                  </w14:solidFill>
                </w14:textFill>
              </w:rPr>
              <w:t>2023年08月02日</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(营业执照见附件2)，主要从事机械零件、零部件加工、轴承、齿轮和传动部件制造</w:t>
            </w:r>
            <w:r>
              <w:rPr>
                <w:rFonts w:hint="default" w:ascii="Times New Roman" w:hAnsi="Times New Roman" w:cs="Times New Roman" w:eastAsiaTheme="minorEastAsia"/>
                <w:color w:val="000000" w:themeColor="text1"/>
                <w:lang w:val="en-US" w:eastAsia="zh-CN"/>
                <w14:textFill>
                  <w14:solidFill>
                    <w14:schemeClr w14:val="tx1"/>
                  </w14:solidFill>
                </w14:textFill>
              </w:rPr>
              <w:t>、轴承制造、金属工具制造、金属加工机械制造、机床功能部件及附件制造、五金产品制造、机械电气设备制造及销售。</w:t>
            </w:r>
          </w:p>
          <w:p w14:paraId="00EF1B49">
            <w:pPr>
              <w:pStyle w:val="12"/>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jc w:val="left"/>
              <w:textAlignment w:val="auto"/>
              <w:rPr>
                <w:rFonts w:hint="default" w:ascii="Times New Roman" w:hAnsi="Times New Roman" w:cs="Times New Roman" w:eastAsiaTheme="minorEastAsia"/>
                <w:b w:val="0"/>
                <w:bCs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由于市场需求，企业拟</w:t>
            </w:r>
            <w:r>
              <w:rPr>
                <w:rFonts w:hint="default" w:ascii="Times New Roman" w:hAnsi="Times New Roman" w:cs="Times New Roman" w:eastAsiaTheme="minorEastAsia"/>
                <w:b w:val="0"/>
                <w:bCs w:val="0"/>
                <w:color w:val="000000" w:themeColor="text1"/>
                <w:kern w:val="2"/>
                <w:sz w:val="24"/>
                <w:szCs w:val="24"/>
                <w14:textFill>
                  <w14:solidFill>
                    <w14:schemeClr w14:val="tx1"/>
                  </w14:solidFill>
                </w14:textFill>
              </w:rPr>
              <w:t>投资</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300</w:t>
            </w:r>
            <w:r>
              <w:rPr>
                <w:rFonts w:hint="default" w:ascii="Times New Roman" w:hAnsi="Times New Roman" w:cs="Times New Roman" w:eastAsiaTheme="minorEastAsia"/>
                <w:b w:val="0"/>
                <w:bCs w:val="0"/>
                <w:color w:val="000000" w:themeColor="text1"/>
                <w:kern w:val="2"/>
                <w:sz w:val="24"/>
                <w:szCs w:val="24"/>
                <w14:textFill>
                  <w14:solidFill>
                    <w14:schemeClr w14:val="tx1"/>
                  </w14:solidFill>
                </w14:textFill>
              </w:rPr>
              <w:t>万元</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在福建省福州市福清市阳下街道洪宽工业区（</w:t>
            </w:r>
            <w:r>
              <w:rPr>
                <w:rFonts w:hint="default" w:ascii="Times New Roman" w:hAnsi="Times New Roman" w:cs="Times New Roman" w:eastAsiaTheme="minorEastAsia"/>
                <w:color w:val="000000" w:themeColor="text1"/>
                <w:kern w:val="21"/>
                <w:szCs w:val="21"/>
                <w14:textFill>
                  <w14:solidFill>
                    <w14:schemeClr w14:val="tx1"/>
                  </w14:solidFill>
                </w14:textFill>
              </w:rPr>
              <w:t>租赁福清洪添科技有限公司</w:t>
            </w:r>
            <w:r>
              <w:rPr>
                <w:rFonts w:hint="eastAsia" w:ascii="Times New Roman" w:hAnsi="Times New Roman" w:cs="Times New Roman" w:eastAsiaTheme="minorEastAsia"/>
                <w:color w:val="000000" w:themeColor="text1"/>
                <w:kern w:val="21"/>
                <w:szCs w:val="21"/>
                <w:lang w:val="en-US" w:eastAsia="zh-CN"/>
                <w14:textFill>
                  <w14:solidFill>
                    <w14:schemeClr w14:val="tx1"/>
                  </w14:solidFill>
                </w14:textFill>
              </w:rPr>
              <w:t>车间1</w:t>
            </w:r>
            <w:r>
              <w:rPr>
                <w:rFonts w:hint="default" w:ascii="Times New Roman" w:hAnsi="Times New Roman" w:cs="Times New Roman" w:eastAsiaTheme="minorEastAsia"/>
                <w:color w:val="000000" w:themeColor="text1"/>
                <w:kern w:val="21"/>
                <w:szCs w:val="21"/>
                <w14:textFill>
                  <w14:solidFill>
                    <w14:schemeClr w14:val="tx1"/>
                  </w14:solidFill>
                </w14:textFill>
              </w:rPr>
              <w:t>第1、2层</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14:textFill>
                  <w14:solidFill>
                    <w14:schemeClr w14:val="tx1"/>
                  </w14:solidFill>
                </w14:textFill>
              </w:rPr>
              <w:t>建设</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福清市珑诚电子科技有限公司年加工电脑显示器锌</w:t>
            </w:r>
            <w:r>
              <w:rPr>
                <w:rFonts w:hint="default" w:ascii="Times New Roman" w:hAnsi="Times New Roman" w:cs="Times New Roman" w:eastAsiaTheme="minorEastAsia"/>
                <w:b w:val="0"/>
                <w:bCs w:val="0"/>
                <w:color w:val="000000" w:themeColor="text1"/>
                <w:kern w:val="2"/>
                <w:sz w:val="24"/>
                <w:szCs w:val="24"/>
                <w:highlight w:val="none"/>
                <w:lang w:val="en-US" w:eastAsia="zh-CN"/>
                <w14:textFill>
                  <w14:solidFill>
                    <w14:schemeClr w14:val="tx1"/>
                  </w14:solidFill>
                </w14:textFill>
              </w:rPr>
              <w:t>合金支架100 万个，铝合金支架350万个</w:t>
            </w:r>
            <w:r>
              <w:rPr>
                <w:rFonts w:hint="default" w:ascii="Times New Roman" w:hAnsi="Times New Roman" w:cs="Times New Roman" w:eastAsiaTheme="minorEastAsia"/>
                <w:b w:val="0"/>
                <w:bCs w:val="0"/>
                <w:color w:val="000000" w:themeColor="text1"/>
                <w:kern w:val="2"/>
                <w:sz w:val="24"/>
                <w:szCs w:val="24"/>
                <w:highlight w:val="none"/>
                <w:lang w:eastAsia="zh-CN"/>
                <w14:textFill>
                  <w14:solidFill>
                    <w14:schemeClr w14:val="tx1"/>
                  </w14:solidFill>
                </w14:textFill>
              </w:rPr>
              <w:t>项目，厂房面积</w:t>
            </w:r>
            <w:r>
              <w:rPr>
                <w:rFonts w:hint="default" w:ascii="Times New Roman" w:hAnsi="Times New Roman" w:cs="Times New Roman" w:eastAsiaTheme="minorEastAsia"/>
                <w:b w:val="0"/>
                <w:bCs w:val="0"/>
                <w:color w:val="000000" w:themeColor="text1"/>
                <w:kern w:val="2"/>
                <w:sz w:val="24"/>
                <w:szCs w:val="24"/>
                <w:highlight w:val="none"/>
                <w:lang w:val="en-US" w:eastAsia="zh-CN"/>
                <w14:textFill>
                  <w14:solidFill>
                    <w14:schemeClr w14:val="tx1"/>
                  </w14:solidFill>
                </w14:textFill>
              </w:rPr>
              <w:t>3050m</w:t>
            </w:r>
            <w:r>
              <w:rPr>
                <w:rFonts w:hint="default" w:ascii="Times New Roman" w:hAnsi="Times New Roman" w:cs="Times New Roman" w:eastAsiaTheme="minorEastAsia"/>
                <w:b w:val="0"/>
                <w:bCs w:val="0"/>
                <w:color w:val="000000" w:themeColor="text1"/>
                <w:kern w:val="2"/>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4"/>
                <w:szCs w:val="24"/>
                <w:highlight w:val="none"/>
                <w:lang w:val="en-US" w:eastAsia="zh-CN"/>
                <w14:textFill>
                  <w14:solidFill>
                    <w14:schemeClr w14:val="tx1"/>
                  </w14:solidFill>
                </w14:textFill>
              </w:rPr>
              <w:t>，于2025年08月26日取得福清市发展和改革局关于该项目的备案（闽发改备[2025]A060320号，见附件5）。目前项目厂房为空置状态（厂房现状详见附图4），计划于2025年10月开工建设，于同年12月底完工投入运行。</w:t>
            </w:r>
          </w:p>
          <w:p w14:paraId="03D5E098">
            <w:pPr>
              <w:spacing w:line="360" w:lineRule="auto"/>
              <w:ind w:firstLine="480" w:firstLineChars="20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根据《中华人民共和国环境保护法》（2015年）、《中华人民共和国环境影响评价法》（2018年修正）、《建设项目环境保护管理条例》（2017年）以及《建设项目环境影响评价分类管理名录（2021年）》等规定，电脑显示器支架属于名录中“三十、金属制品业33—68铸造及其他金属制品制造339—其他（仅分割、焊接、组装的除外）”，具体详见表2.1-1，应编制环境影响报告表。因此，福清市珑诚电子科技有限公司于2025年8月委托深圳市晟筠泽环保科技有限公司</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对该项目进行环境影响评价（委托书</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见附件</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）。我司接受委托后，立即进行现场踏勘、收集分析有关资料，并按环评有关技术规范编制了《福</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清市珑诚电子科技有限公司年加工电脑显示器锌合金支架100 万个，铝合金支架350万个</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环境影响报告表》，供建设</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单位</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上报审批。</w:t>
            </w:r>
          </w:p>
          <w:p w14:paraId="772ACC2D">
            <w:pPr>
              <w:pStyle w:val="71"/>
              <w:spacing w:line="240" w:lineRule="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表2.1-1  建设项目环境影响评价分类管理名录（摘录）</w:t>
            </w:r>
          </w:p>
          <w:tbl>
            <w:tblPr>
              <w:tblStyle w:val="36"/>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897"/>
              <w:gridCol w:w="2873"/>
              <w:gridCol w:w="1907"/>
              <w:gridCol w:w="920"/>
            </w:tblGrid>
            <w:tr w14:paraId="02CDB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520" w:type="dxa"/>
                  <w:gridSpan w:val="2"/>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7A809EE">
                  <w:pPr>
                    <w:pStyle w:val="114"/>
                    <w:snapToGrid w:val="0"/>
                    <w:jc w:val="both"/>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p w14:paraId="53C2109B">
                  <w:pPr>
                    <w:pStyle w:val="114"/>
                    <w:snapToGrid w:val="0"/>
                    <w:jc w:val="both"/>
                    <mc:AlternateContent>
                      <mc:Choice Requires="wpsCustomData">
                        <wpsCustomData:diagonalParaType/>
                      </mc:Choice>
                    </mc:AlternateContent>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项目类别</w:t>
                  </w:r>
                </w:p>
                <w:p w14:paraId="53D1C98B">
                  <w:pPr>
                    <w:pStyle w:val="114"/>
                    <w:jc w:val="cente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环评类别</w:t>
                  </w:r>
                </w:p>
              </w:tc>
              <w:tc>
                <w:tcPr>
                  <w:tcW w:w="2873" w:type="dxa"/>
                  <w:tcBorders>
                    <w:tl2br w:val="nil"/>
                    <w:tr2bl w:val="nil"/>
                  </w:tcBorders>
                  <w:vAlign w:val="center"/>
                </w:tcPr>
                <w:p w14:paraId="1081D5A0">
                  <w:pPr>
                    <w:pStyle w:val="114"/>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报告书</w:t>
                  </w:r>
                </w:p>
              </w:tc>
              <w:tc>
                <w:tcPr>
                  <w:tcW w:w="1907" w:type="dxa"/>
                  <w:tcBorders>
                    <w:tl2br w:val="nil"/>
                    <w:tr2bl w:val="nil"/>
                  </w:tcBorders>
                  <w:vAlign w:val="center"/>
                </w:tcPr>
                <w:p w14:paraId="26B4BC5A">
                  <w:pPr>
                    <w:pStyle w:val="114"/>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报告表</w:t>
                  </w:r>
                </w:p>
              </w:tc>
              <w:tc>
                <w:tcPr>
                  <w:tcW w:w="920" w:type="dxa"/>
                  <w:tcBorders>
                    <w:tl2br w:val="nil"/>
                    <w:tr2bl w:val="nil"/>
                  </w:tcBorders>
                  <w:vAlign w:val="center"/>
                </w:tcPr>
                <w:p w14:paraId="610B03D7">
                  <w:pPr>
                    <w:pStyle w:val="114"/>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登记表</w:t>
                  </w:r>
                </w:p>
              </w:tc>
            </w:tr>
            <w:tr w14:paraId="41A4A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tcBorders>
                    <w:tl2br w:val="nil"/>
                    <w:tr2bl w:val="nil"/>
                  </w:tcBorders>
                  <w:vAlign w:val="center"/>
                </w:tcPr>
                <w:p w14:paraId="3559604C">
                  <w:pPr>
                    <w:pStyle w:val="114"/>
                    <w:jc w:val="left"/>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三十、</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金属制品业</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33</w:t>
                  </w:r>
                </w:p>
              </w:tc>
            </w:tr>
            <w:tr w14:paraId="7805D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dxa"/>
                  <w:tcBorders>
                    <w:tl2br w:val="nil"/>
                    <w:tr2bl w:val="nil"/>
                  </w:tcBorders>
                  <w:shd w:val="clear" w:color="auto" w:fill="auto"/>
                  <w:vAlign w:val="center"/>
                </w:tcPr>
                <w:p w14:paraId="57B9E907">
                  <w:pPr>
                    <w:pStyle w:val="114"/>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68</w:t>
                  </w:r>
                </w:p>
              </w:tc>
              <w:tc>
                <w:tcPr>
                  <w:tcW w:w="1897" w:type="dxa"/>
                  <w:tcBorders>
                    <w:tl2br w:val="nil"/>
                    <w:tr2bl w:val="nil"/>
                  </w:tcBorders>
                  <w:shd w:val="clear" w:color="auto" w:fill="auto"/>
                  <w:vAlign w:val="center"/>
                </w:tcPr>
                <w:p w14:paraId="5E2F1AB2">
                  <w:pPr>
                    <w:pStyle w:val="114"/>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铸造及其他金属制品制造339</w:t>
                  </w:r>
                </w:p>
              </w:tc>
              <w:tc>
                <w:tcPr>
                  <w:tcW w:w="2873" w:type="dxa"/>
                  <w:tcBorders>
                    <w:tl2br w:val="nil"/>
                    <w:tr2bl w:val="nil"/>
                  </w:tcBorders>
                  <w:shd w:val="clear" w:color="auto" w:fill="auto"/>
                  <w:vAlign w:val="center"/>
                </w:tcPr>
                <w:p w14:paraId="1AC3250E">
                  <w:pPr>
                    <w:pStyle w:val="114"/>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黑色金属铸造年产</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10万吨及以上的；有色金属铸造年产10万吨及以上的</w:t>
                  </w:r>
                </w:p>
              </w:tc>
              <w:tc>
                <w:tcPr>
                  <w:tcW w:w="1907" w:type="dxa"/>
                  <w:tcBorders>
                    <w:tl2br w:val="nil"/>
                    <w:tr2bl w:val="nil"/>
                  </w:tcBorders>
                  <w:shd w:val="clear" w:color="auto" w:fill="auto"/>
                  <w:vAlign w:val="center"/>
                </w:tcPr>
                <w:p w14:paraId="7B3F11F3">
                  <w:pPr>
                    <w:pStyle w:val="114"/>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shd w:val="clear" w:fill="BEBEBE" w:themeFill="background1" w:themeFillShade="BF"/>
                      <w14:textFill>
                        <w14:solidFill>
                          <w14:schemeClr w14:val="tx1"/>
                        </w14:solidFill>
                      </w14:textFill>
                    </w:rPr>
                    <w:t>其他（</w:t>
                  </w:r>
                  <w:r>
                    <w:rPr>
                      <w:rFonts w:hint="default" w:ascii="Times New Roman" w:hAnsi="Times New Roman" w:cs="Times New Roman" w:eastAsiaTheme="minorEastAsia"/>
                      <w:color w:val="000000" w:themeColor="text1"/>
                      <w:sz w:val="21"/>
                      <w:szCs w:val="21"/>
                      <w:highlight w:val="none"/>
                      <w:shd w:val="clear" w:fill="BEBEBE" w:themeFill="background1" w:themeFillShade="BF"/>
                      <w:lang w:eastAsia="zh-CN"/>
                      <w14:textFill>
                        <w14:solidFill>
                          <w14:schemeClr w14:val="tx1"/>
                        </w14:solidFill>
                      </w14:textFill>
                    </w:rPr>
                    <w:t>仅分割、焊接、组装的除外</w:t>
                  </w:r>
                  <w:r>
                    <w:rPr>
                      <w:rFonts w:hint="default" w:ascii="Times New Roman" w:hAnsi="Times New Roman" w:cs="Times New Roman" w:eastAsiaTheme="minorEastAsia"/>
                      <w:color w:val="000000" w:themeColor="text1"/>
                      <w:sz w:val="21"/>
                      <w:szCs w:val="21"/>
                      <w:highlight w:val="none"/>
                      <w:shd w:val="clear" w:fill="BEBEBE" w:themeFill="background1" w:themeFillShade="BF"/>
                      <w14:textFill>
                        <w14:solidFill>
                          <w14:schemeClr w14:val="tx1"/>
                        </w14:solidFill>
                      </w14:textFill>
                    </w:rPr>
                    <w:t>）</w:t>
                  </w:r>
                </w:p>
              </w:tc>
              <w:tc>
                <w:tcPr>
                  <w:tcW w:w="920" w:type="dxa"/>
                  <w:tcBorders>
                    <w:tl2br w:val="nil"/>
                    <w:tr2bl w:val="nil"/>
                  </w:tcBorders>
                  <w:shd w:val="clear" w:color="auto" w:fill="auto"/>
                  <w:vAlign w:val="center"/>
                </w:tcPr>
                <w:p w14:paraId="6D18AC7E">
                  <w:pPr>
                    <w:pStyle w:val="114"/>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bl>
          <w:p w14:paraId="1397377C">
            <w:pPr>
              <w:autoSpaceDE w:val="0"/>
              <w:autoSpaceDN w:val="0"/>
              <w:spacing w:line="360" w:lineRule="auto"/>
              <w:rPr>
                <w:rFonts w:hint="default" w:ascii="Times New Roman" w:hAnsi="Times New Roman" w:cs="Times New Roman" w:eastAsiaTheme="minorEastAsia"/>
                <w:b/>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2.2 项目基本情况</w:t>
            </w:r>
          </w:p>
          <w:p w14:paraId="5D54A6A8">
            <w:pPr>
              <w:autoSpaceDE w:val="0"/>
              <w:autoSpaceDN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(1)项目名称：福</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清市珑诚电子科技有限公司年加工电脑显示器锌合金支架100万个，铝合金支架350万个</w:t>
            </w:r>
          </w:p>
          <w:p w14:paraId="44C3B302">
            <w:pPr>
              <w:autoSpaceDE w:val="0"/>
              <w:autoSpaceDN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(2)建设单位：福</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清市珑诚电子科技有限公司</w:t>
            </w:r>
          </w:p>
          <w:p w14:paraId="075CEA14">
            <w:pPr>
              <w:autoSpaceDE w:val="0"/>
              <w:autoSpaceDN w:val="0"/>
              <w:spacing w:line="360" w:lineRule="auto"/>
              <w:ind w:firstLine="480" w:firstLineChars="200"/>
              <w:rPr>
                <w:rFonts w:hint="eastAsia"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(3)建设地点：福建省福州市福清市阳下街道洪宽工业区</w:t>
            </w:r>
            <w:r>
              <w:rPr>
                <w:rFonts w:hint="eastAsia" w:cs="Times New Roman" w:eastAsiaTheme="minorEastAsia"/>
                <w:color w:val="000000" w:themeColor="text1"/>
                <w:sz w:val="24"/>
                <w:lang w:eastAsia="zh-CN"/>
                <w14:textFill>
                  <w14:solidFill>
                    <w14:schemeClr w14:val="tx1"/>
                  </w14:solidFill>
                </w14:textFill>
              </w:rPr>
              <w:t>（租赁福清洪添科技有限公司车间1第1、2层）</w:t>
            </w:r>
          </w:p>
          <w:p w14:paraId="11DF07AE">
            <w:pPr>
              <w:autoSpaceDE w:val="0"/>
              <w:autoSpaceDN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(4)项目总投资</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4"/>
                <w14:textFill>
                  <w14:solidFill>
                    <w14:schemeClr w14:val="tx1"/>
                  </w14:solidFill>
                </w14:textFill>
              </w:rPr>
              <w:t>万元</w:t>
            </w:r>
          </w:p>
          <w:p w14:paraId="0124C4B1">
            <w:pPr>
              <w:autoSpaceDE w:val="0"/>
              <w:autoSpaceDN w:val="0"/>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)建设规模：</w:t>
            </w:r>
            <w:r>
              <w:rPr>
                <w:rFonts w:hint="default" w:ascii="Times New Roman" w:hAnsi="Times New Roman" w:cs="Times New Roman" w:eastAsiaTheme="minorEastAsia"/>
                <w:color w:val="000000" w:themeColor="text1"/>
                <w:sz w:val="24"/>
                <w:lang w:eastAsia="zh-CN"/>
                <w14:textFill>
                  <w14:solidFill>
                    <w14:schemeClr w14:val="tx1"/>
                  </w14:solidFill>
                </w14:textFill>
              </w:rPr>
              <w:t>厂房</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面积3050m</w:t>
            </w:r>
            <w:r>
              <w:rPr>
                <w:rFonts w:hint="default" w:ascii="Times New Roman" w:hAnsi="Times New Roman" w:cs="Times New Roman" w:eastAsiaTheme="minorEastAsia"/>
                <w:color w:val="000000" w:themeColor="text1"/>
                <w:sz w:val="24"/>
                <w:vertAlign w:val="superscript"/>
                <w:lang w:val="en-US" w:eastAsia="zh-CN"/>
                <w14:textFill>
                  <w14:solidFill>
                    <w14:schemeClr w14:val="tx1"/>
                  </w14:solidFill>
                </w14:textFill>
              </w:rPr>
              <w:t>2</w:t>
            </w:r>
          </w:p>
          <w:p w14:paraId="74B30CB3">
            <w:pPr>
              <w:autoSpaceDE w:val="0"/>
              <w:autoSpaceDN w:val="0"/>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14:textFill>
                  <w14:solidFill>
                    <w14:schemeClr w14:val="tx1"/>
                  </w14:solidFill>
                </w14:textFill>
              </w:rPr>
              <w:t>)建设工期</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3个月</w:t>
            </w:r>
          </w:p>
          <w:p w14:paraId="5FAEC3E0">
            <w:pPr>
              <w:autoSpaceDE w:val="0"/>
              <w:autoSpaceDN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14:textFill>
                  <w14:solidFill>
                    <w14:schemeClr w14:val="tx1"/>
                  </w14:solidFill>
                </w14:textFill>
              </w:rPr>
              <w:t>)生产规模：</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年加工电脑显示器锌合金支架100万个，铝合金支架350万个</w:t>
            </w:r>
          </w:p>
          <w:p w14:paraId="2491B2A4">
            <w:pPr>
              <w:autoSpaceDE w:val="0"/>
              <w:autoSpaceDN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14:textFill>
                  <w14:solidFill>
                    <w14:schemeClr w14:val="tx1"/>
                  </w14:solidFill>
                </w14:textFill>
              </w:rPr>
              <w:t>)职工人数：职工人数</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14:textFill>
                  <w14:solidFill>
                    <w14:schemeClr w14:val="tx1"/>
                  </w14:solidFill>
                </w14:textFill>
              </w:rPr>
              <w:t>人，</w:t>
            </w:r>
            <w:r>
              <w:rPr>
                <w:rFonts w:hint="default" w:ascii="Times New Roman" w:hAnsi="Times New Roman" w:cs="Times New Roman" w:eastAsiaTheme="minorEastAsia"/>
                <w:color w:val="000000" w:themeColor="text1"/>
                <w:sz w:val="24"/>
                <w:lang w:eastAsia="zh-CN"/>
                <w14:textFill>
                  <w14:solidFill>
                    <w14:schemeClr w14:val="tx1"/>
                  </w14:solidFill>
                </w14:textFill>
              </w:rPr>
              <w:t>均不食宿厂区</w:t>
            </w:r>
          </w:p>
          <w:p w14:paraId="2E0EC4FD">
            <w:pPr>
              <w:autoSpaceDE w:val="0"/>
              <w:autoSpaceDN w:val="0"/>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14:textFill>
                  <w14:solidFill>
                    <w14:schemeClr w14:val="tx1"/>
                  </w14:solidFill>
                </w14:textFill>
              </w:rPr>
              <w:t>)工作制度：年工作</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00天，每</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天</w:t>
            </w:r>
            <w:r>
              <w:rPr>
                <w:rFonts w:hint="default" w:ascii="Times New Roman" w:hAnsi="Times New Roman" w:cs="Times New Roman" w:eastAsiaTheme="minorEastAsia"/>
                <w:color w:val="000000" w:themeColor="text1"/>
                <w:sz w:val="24"/>
                <w14:textFill>
                  <w14:solidFill>
                    <w14:schemeClr w14:val="tx1"/>
                  </w14:solidFill>
                </w14:textFill>
              </w:rPr>
              <w:t>工作</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14:textFill>
                  <w14:solidFill>
                    <w14:schemeClr w14:val="tx1"/>
                  </w14:solidFill>
                </w14:textFill>
              </w:rPr>
              <w:t>小时</w:t>
            </w:r>
          </w:p>
          <w:p w14:paraId="5CA27B78">
            <w:pPr>
              <w:autoSpaceDE w:val="0"/>
              <w:autoSpaceDN w:val="0"/>
              <w:spacing w:line="360" w:lineRule="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2.3</w:t>
            </w:r>
            <w:r>
              <w:rPr>
                <w:rFonts w:hint="default" w:ascii="Times New Roman" w:hAnsi="Times New Roman" w:cs="Times New Roman" w:eastAsiaTheme="minorEastAsia"/>
                <w:b/>
                <w:bCs/>
                <w:color w:val="000000" w:themeColor="text1"/>
                <w:kern w:val="2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项目组成</w:t>
            </w:r>
          </w:p>
          <w:p w14:paraId="3FC07F6C">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kern w:val="2"/>
                <w:sz w:val="24"/>
                <w:szCs w:val="24"/>
                <w14:textFill>
                  <w14:solidFill>
                    <w14:schemeClr w14:val="tx1"/>
                  </w14:solidFill>
                </w14:textFill>
              </w:rPr>
              <w:t>项目</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租赁福清洪添科技有限公司车间1第1、2层</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作为项目建设用地，占地面积1738m</w:t>
            </w:r>
            <w:r>
              <w:rPr>
                <w:rFonts w:hint="default" w:ascii="Times New Roman" w:hAnsi="Times New Roman" w:cs="Times New Roman" w:eastAsiaTheme="minorEastAsia"/>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vertAlign w:val="baseline"/>
                <w:lang w:val="en-US" w:eastAsia="zh-CN"/>
                <w14:textFill>
                  <w14:solidFill>
                    <w14:schemeClr w14:val="tx1"/>
                  </w14:solidFill>
                </w14:textFill>
              </w:rPr>
              <w:t>，建筑</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面积3050m</w:t>
            </w:r>
            <w:r>
              <w:rPr>
                <w:rFonts w:hint="default" w:ascii="Times New Roman" w:hAnsi="Times New Roman" w:cs="Times New Roman" w:eastAsiaTheme="minorEastAsia"/>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，主要由主体工程、公用工程、环保工程等组成，项目主要</w:t>
            </w:r>
            <w:r>
              <w:rPr>
                <w:rFonts w:hint="default" w:ascii="Times New Roman" w:hAnsi="Times New Roman" w:cs="Times New Roman" w:eastAsiaTheme="minorEastAsia"/>
                <w:color w:val="000000" w:themeColor="text1"/>
                <w:kern w:val="2"/>
                <w:sz w:val="24"/>
                <w:szCs w:val="24"/>
                <w14:textFill>
                  <w14:solidFill>
                    <w14:schemeClr w14:val="tx1"/>
                  </w14:solidFill>
                </w14:textFill>
              </w:rPr>
              <w:t>组成一览表见表2.3-1</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60A1025C">
            <w:pPr>
              <w:pStyle w:val="6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表2.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1 </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项目主要工程组成一览表</w:t>
            </w:r>
          </w:p>
          <w:tbl>
            <w:tblPr>
              <w:tblStyle w:val="35"/>
              <w:tblW w:w="821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545"/>
              <w:gridCol w:w="5879"/>
            </w:tblGrid>
            <w:tr w14:paraId="44A8C4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3" w:type="pct"/>
                  <w:gridSpan w:val="2"/>
                  <w:vAlign w:val="center"/>
                </w:tcPr>
                <w:p w14:paraId="667F2991">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项目组成</w:t>
                  </w:r>
                </w:p>
              </w:tc>
              <w:tc>
                <w:tcPr>
                  <w:tcW w:w="3576" w:type="pct"/>
                  <w:vAlign w:val="center"/>
                </w:tcPr>
                <w:p w14:paraId="73E1F22C">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主要建设内容及规模</w:t>
                  </w:r>
                </w:p>
              </w:tc>
            </w:tr>
            <w:tr w14:paraId="264A63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Align w:val="center"/>
                </w:tcPr>
                <w:p w14:paraId="7A3FE816">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主体工程</w:t>
                  </w:r>
                </w:p>
              </w:tc>
              <w:tc>
                <w:tcPr>
                  <w:tcW w:w="939" w:type="pct"/>
                  <w:vAlign w:val="center"/>
                </w:tcPr>
                <w:p w14:paraId="5DDBF3DD">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1#厂房</w:t>
                  </w:r>
                </w:p>
              </w:tc>
              <w:tc>
                <w:tcPr>
                  <w:tcW w:w="3576" w:type="pct"/>
                  <w:vAlign w:val="center"/>
                </w:tcPr>
                <w:p w14:paraId="2CCE6F19">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2层厂房，建筑面积各为1525</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、一层为熔化压铸工序、研磨区、</w:t>
                  </w: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冲压区、烘干区、原料仓库，</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二层为机加工区（包含抛光、攻牙、打磨）</w:t>
                  </w:r>
                </w:p>
              </w:tc>
            </w:tr>
            <w:tr w14:paraId="6567B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restart"/>
                  <w:vAlign w:val="center"/>
                </w:tcPr>
                <w:p w14:paraId="5D897838">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公用工程</w:t>
                  </w:r>
                </w:p>
              </w:tc>
              <w:tc>
                <w:tcPr>
                  <w:tcW w:w="939" w:type="pct"/>
                  <w:vAlign w:val="center"/>
                </w:tcPr>
                <w:p w14:paraId="4DA99EB0">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供水</w:t>
                  </w:r>
                </w:p>
              </w:tc>
              <w:tc>
                <w:tcPr>
                  <w:tcW w:w="3576" w:type="pct"/>
                  <w:vAlign w:val="center"/>
                </w:tcPr>
                <w:p w14:paraId="27165EE2">
                  <w:pPr>
                    <w:jc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接市政</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给水</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管网</w:t>
                  </w:r>
                </w:p>
              </w:tc>
            </w:tr>
            <w:tr w14:paraId="07F134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023F16B5">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39" w:type="pct"/>
                  <w:vAlign w:val="center"/>
                </w:tcPr>
                <w:p w14:paraId="4B16E540">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供电</w:t>
                  </w:r>
                </w:p>
              </w:tc>
              <w:tc>
                <w:tcPr>
                  <w:tcW w:w="3576" w:type="pct"/>
                  <w:vAlign w:val="center"/>
                </w:tcPr>
                <w:p w14:paraId="7BC20A31">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接市政供电系统</w:t>
                  </w:r>
                </w:p>
              </w:tc>
            </w:tr>
            <w:tr w14:paraId="28B3CB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536D7AF4">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39" w:type="pct"/>
                  <w:vAlign w:val="center"/>
                </w:tcPr>
                <w:p w14:paraId="2F052E74">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排水</w:t>
                  </w:r>
                </w:p>
              </w:tc>
              <w:tc>
                <w:tcPr>
                  <w:tcW w:w="3576" w:type="pct"/>
                  <w:vAlign w:val="center"/>
                </w:tcPr>
                <w:p w14:paraId="60D22264">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采取雨污分流，雨水经雨水管网收集后汇入大北溪。</w:t>
                  </w:r>
                </w:p>
              </w:tc>
            </w:tr>
            <w:tr w14:paraId="605425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restart"/>
                  <w:vAlign w:val="center"/>
                </w:tcPr>
                <w:p w14:paraId="47DB545F">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环保工程</w:t>
                  </w:r>
                </w:p>
              </w:tc>
              <w:tc>
                <w:tcPr>
                  <w:tcW w:w="939" w:type="pct"/>
                  <w:vAlign w:val="center"/>
                </w:tcPr>
                <w:p w14:paraId="08E65D3E">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废水处理</w:t>
                  </w:r>
                </w:p>
              </w:tc>
              <w:tc>
                <w:tcPr>
                  <w:tcW w:w="3576" w:type="pct"/>
                  <w:vAlign w:val="center"/>
                </w:tcPr>
                <w:p w14:paraId="1FC08141">
                  <w:pP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冷却水循环使用不外排。生</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活污水经</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化粪池处理后</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接入</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市政污水管网进入</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福清市</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融元污水处理厂</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处理</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0A3760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69CC767D">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939" w:type="pct"/>
                  <w:vAlign w:val="center"/>
                </w:tcPr>
                <w:p w14:paraId="618B36A0">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废气处理</w:t>
                  </w:r>
                </w:p>
              </w:tc>
              <w:tc>
                <w:tcPr>
                  <w:tcW w:w="3576" w:type="pct"/>
                  <w:vAlign w:val="center"/>
                </w:tcPr>
                <w:p w14:paraId="06378F20">
                  <w:pP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①</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熔化废气</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和压铸废气</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经集气罩收集后，采用</w:t>
                  </w:r>
                  <w:r>
                    <w:rPr>
                      <w:rFonts w:hint="eastAsia" w:cs="Times New Roman" w:eastAsiaTheme="minorEastAsia"/>
                      <w:color w:val="000000" w:themeColor="text1"/>
                      <w:sz w:val="21"/>
                      <w:szCs w:val="21"/>
                      <w:highlight w:val="none"/>
                      <w:lang w:val="en-US" w:eastAsia="zh-CN"/>
                      <w14:textFill>
                        <w14:solidFill>
                          <w14:schemeClr w14:val="tx1"/>
                        </w14:solidFill>
                      </w14:textFill>
                    </w:rPr>
                    <w:t>喷淋+干式过滤</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+活性炭吸附装置处理</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后通过</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1根15m排气筒（DA001）排放。</w:t>
                  </w:r>
                </w:p>
                <w:p w14:paraId="26A72E71">
                  <w:pP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③</w:t>
                  </w:r>
                  <w:r>
                    <w:rPr>
                      <w:rFonts w:hint="default" w:ascii="Times New Roman" w:hAnsi="Times New Roman" w:cs="Times New Roman" w:eastAsiaTheme="minorEastAsia"/>
                      <w:color w:val="000000" w:themeColor="text1"/>
                      <w:lang w:eastAsia="zh-CN"/>
                      <w14:textFill>
                        <w14:solidFill>
                          <w14:schemeClr w14:val="tx1"/>
                        </w14:solidFill>
                      </w14:textFill>
                    </w:rPr>
                    <w:t>研磨废气在密闭空间，定期清扫沉降粉尘。</w:t>
                  </w:r>
                </w:p>
              </w:tc>
            </w:tr>
            <w:tr w14:paraId="388A3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2AA1ECBE">
                  <w:pPr>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p>
              </w:tc>
              <w:tc>
                <w:tcPr>
                  <w:tcW w:w="939" w:type="pct"/>
                  <w:vAlign w:val="center"/>
                </w:tcPr>
                <w:p w14:paraId="3D1C2807">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噪声处置</w:t>
                  </w:r>
                </w:p>
              </w:tc>
              <w:tc>
                <w:tcPr>
                  <w:tcW w:w="3576" w:type="pct"/>
                  <w:vAlign w:val="center"/>
                </w:tcPr>
                <w:p w14:paraId="05F162A6">
                  <w:pP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选用低噪声设备，厂房</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隔声</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对高噪声设备采取</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基础减振</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等降噪措施</w:t>
                  </w:r>
                </w:p>
              </w:tc>
            </w:tr>
            <w:tr w14:paraId="1BAB91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15E5D79B">
                  <w:pPr>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p>
              </w:tc>
              <w:tc>
                <w:tcPr>
                  <w:tcW w:w="939" w:type="pct"/>
                  <w:vMerge w:val="restart"/>
                  <w:vAlign w:val="center"/>
                </w:tcPr>
                <w:p w14:paraId="45D4F303">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固废处置</w:t>
                  </w:r>
                </w:p>
              </w:tc>
              <w:tc>
                <w:tcPr>
                  <w:tcW w:w="3576" w:type="pct"/>
                  <w:vAlign w:val="center"/>
                </w:tcPr>
                <w:p w14:paraId="2137C9AA">
                  <w:pP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一间</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危废暂存间，面积</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约</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危废暂存间</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贴明显警示标志并设好围堰和地面</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防腐</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防渗，危险</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废物分类</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收集</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暂存于危废间，</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委托有</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危废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资质的单位</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回收</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处置。</w:t>
                  </w:r>
                </w:p>
              </w:tc>
            </w:tr>
            <w:tr w14:paraId="2FF451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1EB053B2">
                  <w:pPr>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p>
              </w:tc>
              <w:tc>
                <w:tcPr>
                  <w:tcW w:w="939" w:type="pct"/>
                  <w:vMerge w:val="continue"/>
                  <w:vAlign w:val="center"/>
                </w:tcPr>
                <w:p w14:paraId="3701CE25">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576" w:type="pct"/>
                  <w:vAlign w:val="center"/>
                </w:tcPr>
                <w:p w14:paraId="2E322B3A">
                  <w:pP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设一般固废暂存间，</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面积</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约</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一般工业</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固废分类收集后外售</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相关物质回收单位</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p>
              </w:tc>
            </w:tr>
            <w:tr w14:paraId="7FAC17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vMerge w:val="continue"/>
                  <w:vAlign w:val="center"/>
                </w:tcPr>
                <w:p w14:paraId="2FD0810D">
                  <w:pPr>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p>
              </w:tc>
              <w:tc>
                <w:tcPr>
                  <w:tcW w:w="939" w:type="pct"/>
                  <w:vMerge w:val="continue"/>
                  <w:vAlign w:val="center"/>
                </w:tcPr>
                <w:p w14:paraId="530B882C">
                  <w:pPr>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p>
              </w:tc>
              <w:tc>
                <w:tcPr>
                  <w:tcW w:w="3576" w:type="pct"/>
                  <w:vAlign w:val="center"/>
                </w:tcPr>
                <w:p w14:paraId="61327DC6">
                  <w:pP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设生活垃圾桶，生活垃圾</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分类</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收集后委托环卫</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部门清运</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处置。</w:t>
                  </w:r>
                </w:p>
              </w:tc>
            </w:tr>
          </w:tbl>
          <w:p w14:paraId="6C82784C">
            <w:pPr>
              <w:pStyle w:val="30"/>
              <w:widowControl w:val="0"/>
              <w:adjustRightInd/>
              <w:snapToGrid/>
              <w:spacing w:beforeLines="50" w:beforeAutospacing="0" w:after="0" w:afterAutospacing="0"/>
              <w:jc w:val="both"/>
              <w:rPr>
                <w:rFonts w:hint="default" w:ascii="Times New Roman" w:hAnsi="Times New Roman" w:cs="Times New Roman" w:eastAsiaTheme="minorEastAsia"/>
                <w:b/>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2.4</w:t>
            </w:r>
            <w:r>
              <w:rPr>
                <w:rFonts w:hint="default" w:ascii="Times New Roman" w:hAnsi="Times New Roman" w:cs="Times New Roman" w:eastAsiaTheme="minorEastAsia"/>
                <w:b/>
                <w:bCs/>
                <w:color w:val="000000" w:themeColor="text1"/>
                <w:kern w:val="2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kern w:val="21"/>
                <w:sz w:val="24"/>
                <w:szCs w:val="24"/>
                <w:lang w:eastAsia="zh-CN"/>
                <w14:textFill>
                  <w14:solidFill>
                    <w14:schemeClr w14:val="tx1"/>
                  </w14:solidFill>
                </w14:textFill>
              </w:rPr>
              <w:t>项目</w:t>
            </w: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产品与产能</w:t>
            </w:r>
          </w:p>
          <w:p w14:paraId="03935AB2">
            <w:pPr>
              <w:pStyle w:val="30"/>
              <w:widowControl w:val="0"/>
              <w:adjustRightInd/>
              <w:snapToGrid/>
              <w:spacing w:beforeLines="50" w:beforeAutospacing="0" w:after="0" w:afterAutospacing="0"/>
              <w:ind w:firstLine="480"/>
              <w:jc w:val="both"/>
              <w:rPr>
                <w:rFonts w:hint="default" w:ascii="Times New Roman" w:hAnsi="Times New Roman" w:cs="Times New Roman" w:eastAsiaTheme="minorEastAsia"/>
                <w:color w:val="000000" w:themeColor="text1"/>
                <w:kern w:val="21"/>
                <w:szCs w:val="24"/>
                <w14:textFill>
                  <w14:solidFill>
                    <w14:schemeClr w14:val="tx1"/>
                  </w14:solidFill>
                </w14:textFill>
              </w:rPr>
            </w:pPr>
            <w:r>
              <w:rPr>
                <w:rFonts w:hint="default" w:ascii="Times New Roman" w:hAnsi="Times New Roman" w:cs="Times New Roman" w:eastAsiaTheme="minorEastAsia"/>
                <w:color w:val="000000" w:themeColor="text1"/>
                <w:kern w:val="21"/>
                <w:szCs w:val="24"/>
                <w14:textFill>
                  <w14:solidFill>
                    <w14:schemeClr w14:val="tx1"/>
                  </w14:solidFill>
                </w14:textFill>
              </w:rPr>
              <w:t>项目产品方案见表2.</w:t>
            </w:r>
            <w:r>
              <w:rPr>
                <w:rFonts w:hint="default" w:ascii="Times New Roman" w:hAnsi="Times New Roman" w:cs="Times New Roman" w:eastAsiaTheme="minorEastAsia"/>
                <w:color w:val="000000" w:themeColor="text1"/>
                <w:kern w:val="21"/>
                <w:szCs w:val="24"/>
                <w:lang w:val="en-US" w:eastAsia="zh-CN"/>
                <w14:textFill>
                  <w14:solidFill>
                    <w14:schemeClr w14:val="tx1"/>
                  </w14:solidFill>
                </w14:textFill>
              </w:rPr>
              <w:t>4-1</w:t>
            </w:r>
            <w:r>
              <w:rPr>
                <w:rFonts w:hint="default" w:ascii="Times New Roman" w:hAnsi="Times New Roman" w:cs="Times New Roman" w:eastAsiaTheme="minorEastAsia"/>
                <w:color w:val="000000" w:themeColor="text1"/>
                <w:kern w:val="21"/>
                <w:szCs w:val="24"/>
                <w14:textFill>
                  <w14:solidFill>
                    <w14:schemeClr w14:val="tx1"/>
                  </w14:solidFill>
                </w14:textFill>
              </w:rPr>
              <w:t>。</w:t>
            </w:r>
          </w:p>
          <w:p w14:paraId="2F9B3CE9">
            <w:pPr>
              <w:pStyle w:val="68"/>
              <w:rPr>
                <w:rFonts w:hint="default" w:ascii="Times New Roman" w:hAnsi="Times New Roman" w:cs="Times New Roman" w:eastAsiaTheme="minorEastAsia"/>
                <w:color w:val="000000" w:themeColor="text1"/>
                <w:sz w:val="24"/>
                <w:szCs w:val="24"/>
                <w14:textFill>
                  <w14:solidFill>
                    <w14:schemeClr w14:val="tx1"/>
                  </w14:solidFill>
                </w14:textFill>
              </w:rPr>
            </w:pPr>
          </w:p>
          <w:p w14:paraId="6C7D443C">
            <w:pPr>
              <w:pStyle w:val="68"/>
              <w:rPr>
                <w:rFonts w:hint="default" w:ascii="Times New Roman" w:hAnsi="Times New Roman" w:cs="Times New Roman" w:eastAsiaTheme="minorEastAsia"/>
                <w:color w:val="000000" w:themeColor="text1"/>
                <w:sz w:val="24"/>
                <w:szCs w:val="24"/>
                <w14:textFill>
                  <w14:solidFill>
                    <w14:schemeClr w14:val="tx1"/>
                  </w14:solidFill>
                </w14:textFill>
              </w:rPr>
            </w:pPr>
          </w:p>
          <w:p w14:paraId="070CA714">
            <w:pPr>
              <w:pStyle w:val="68"/>
              <w:rPr>
                <w:rFonts w:hint="default" w:ascii="Times New Roman" w:hAnsi="Times New Roman" w:cs="Times New Roman" w:eastAsiaTheme="minorEastAsia"/>
                <w:color w:val="000000" w:themeColor="text1"/>
                <w:sz w:val="24"/>
                <w:szCs w:val="24"/>
                <w14:textFill>
                  <w14:solidFill>
                    <w14:schemeClr w14:val="tx1"/>
                  </w14:solidFill>
                </w14:textFill>
              </w:rPr>
            </w:pPr>
          </w:p>
          <w:p w14:paraId="09F56D50">
            <w:pPr>
              <w:pStyle w:val="68"/>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表2.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4-1 </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项目主要产品方案</w:t>
            </w:r>
          </w:p>
          <w:tbl>
            <w:tblPr>
              <w:tblStyle w:val="3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430"/>
              <w:gridCol w:w="1260"/>
              <w:gridCol w:w="1410"/>
              <w:gridCol w:w="1133"/>
              <w:gridCol w:w="1248"/>
            </w:tblGrid>
            <w:tr w14:paraId="2AEC4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14:paraId="1914B24E">
                  <w:pPr>
                    <w:spacing w:line="240" w:lineRule="auto"/>
                    <w:jc w:val="center"/>
                    <w:rPr>
                      <w:rFonts w:hint="default" w:ascii="Times New Roman" w:hAnsi="Times New Roman" w:cs="Times New Roman" w:eastAsiaTheme="minorEastAsia"/>
                      <w:b w:val="0"/>
                      <w:bCs w:val="0"/>
                      <w:color w:val="000000" w:themeColor="text1"/>
                      <w:szCs w:val="21"/>
                      <w14:textFill>
                        <w14:solidFill>
                          <w14:schemeClr w14:val="tx1"/>
                        </w14:solidFill>
                      </w14:textFill>
                    </w:rPr>
                  </w:pPr>
                  <w:r>
                    <w:rPr>
                      <w:rFonts w:hint="default" w:ascii="Times New Roman" w:hAnsi="Times New Roman" w:cs="Times New Roman" w:eastAsiaTheme="minorEastAsia"/>
                      <w:b w:val="0"/>
                      <w:bCs w:val="0"/>
                      <w:color w:val="000000" w:themeColor="text1"/>
                      <w:szCs w:val="21"/>
                      <w14:textFill>
                        <w14:solidFill>
                          <w14:schemeClr w14:val="tx1"/>
                        </w14:solidFill>
                      </w14:textFill>
                    </w:rPr>
                    <w:t>序号</w:t>
                  </w:r>
                </w:p>
              </w:tc>
              <w:tc>
                <w:tcPr>
                  <w:tcW w:w="1478" w:type="pct"/>
                  <w:tcBorders>
                    <w:tl2br w:val="nil"/>
                    <w:tr2bl w:val="nil"/>
                  </w:tcBorders>
                  <w:vAlign w:val="center"/>
                </w:tcPr>
                <w:p w14:paraId="7B445E93">
                  <w:pPr>
                    <w:spacing w:line="240" w:lineRule="auto"/>
                    <w:jc w:val="center"/>
                    <w:rPr>
                      <w:rFonts w:hint="default" w:ascii="Times New Roman" w:hAnsi="Times New Roman" w:cs="Times New Roman" w:eastAsiaTheme="minorEastAsia"/>
                      <w:b w:val="0"/>
                      <w:bCs w:val="0"/>
                      <w:color w:val="000000" w:themeColor="text1"/>
                      <w:szCs w:val="21"/>
                      <w14:textFill>
                        <w14:solidFill>
                          <w14:schemeClr w14:val="tx1"/>
                        </w14:solidFill>
                      </w14:textFill>
                    </w:rPr>
                  </w:pPr>
                  <w:r>
                    <w:rPr>
                      <w:rFonts w:hint="default" w:ascii="Times New Roman" w:hAnsi="Times New Roman" w:cs="Times New Roman" w:eastAsiaTheme="minorEastAsia"/>
                      <w:b w:val="0"/>
                      <w:bCs w:val="0"/>
                      <w:color w:val="000000" w:themeColor="text1"/>
                      <w:szCs w:val="21"/>
                      <w14:textFill>
                        <w14:solidFill>
                          <w14:schemeClr w14:val="tx1"/>
                        </w14:solidFill>
                      </w14:textFill>
                    </w:rPr>
                    <w:t>产品名称</w:t>
                  </w:r>
                </w:p>
              </w:tc>
              <w:tc>
                <w:tcPr>
                  <w:tcW w:w="766" w:type="pct"/>
                  <w:tcBorders>
                    <w:tl2br w:val="nil"/>
                    <w:tr2bl w:val="nil"/>
                  </w:tcBorders>
                  <w:vAlign w:val="center"/>
                </w:tcPr>
                <w:p w14:paraId="58DBCBF9">
                  <w:pPr>
                    <w:spacing w:line="240" w:lineRule="auto"/>
                    <w:jc w:val="cente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设计产能</w:t>
                  </w:r>
                </w:p>
              </w:tc>
              <w:tc>
                <w:tcPr>
                  <w:tcW w:w="857" w:type="pct"/>
                  <w:tcBorders>
                    <w:tl2br w:val="nil"/>
                    <w:tr2bl w:val="nil"/>
                  </w:tcBorders>
                  <w:vAlign w:val="center"/>
                </w:tcPr>
                <w:p w14:paraId="71FF4169">
                  <w:pPr>
                    <w:spacing w:line="240" w:lineRule="auto"/>
                    <w:jc w:val="cente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最大储存量</w:t>
                  </w:r>
                </w:p>
              </w:tc>
              <w:tc>
                <w:tcPr>
                  <w:tcW w:w="1133" w:type="dxa"/>
                  <w:tcBorders>
                    <w:tl2br w:val="nil"/>
                    <w:tr2bl w:val="nil"/>
                  </w:tcBorders>
                  <w:vAlign w:val="center"/>
                </w:tcPr>
                <w:p w14:paraId="73893C82">
                  <w:pPr>
                    <w:spacing w:line="240" w:lineRule="auto"/>
                    <w:jc w:val="cente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储存场所</w:t>
                  </w:r>
                </w:p>
              </w:tc>
              <w:tc>
                <w:tcPr>
                  <w:tcW w:w="759" w:type="pct"/>
                  <w:tcBorders>
                    <w:tl2br w:val="nil"/>
                    <w:tr2bl w:val="nil"/>
                  </w:tcBorders>
                  <w:vAlign w:val="center"/>
                </w:tcPr>
                <w:p w14:paraId="7EFC5E49">
                  <w:pPr>
                    <w:spacing w:line="240" w:lineRule="auto"/>
                    <w:jc w:val="cente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lang w:val="en-US" w:eastAsia="zh-CN"/>
                      <w14:textFill>
                        <w14:solidFill>
                          <w14:schemeClr w14:val="tx1"/>
                        </w14:solidFill>
                      </w14:textFill>
                    </w:rPr>
                    <w:t>备注</w:t>
                  </w:r>
                </w:p>
              </w:tc>
            </w:tr>
            <w:tr w14:paraId="124CB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14:paraId="46098582">
                  <w:pPr>
                    <w:spacing w:line="240" w:lineRule="auto"/>
                    <w:jc w:val="center"/>
                    <w:rPr>
                      <w:rFonts w:hint="default" w:ascii="Times New Roman" w:hAnsi="Times New Roman" w:cs="Times New Roman" w:eastAsiaTheme="minorEastAsia"/>
                      <w:b w:val="0"/>
                      <w:bCs w:val="0"/>
                      <w:color w:val="000000" w:themeColor="text1"/>
                      <w:szCs w:val="21"/>
                      <w14:textFill>
                        <w14:solidFill>
                          <w14:schemeClr w14:val="tx1"/>
                        </w14:solidFill>
                      </w14:textFill>
                    </w:rPr>
                  </w:pPr>
                  <w:r>
                    <w:rPr>
                      <w:rFonts w:hint="default" w:ascii="Times New Roman" w:hAnsi="Times New Roman" w:cs="Times New Roman" w:eastAsiaTheme="minorEastAsia"/>
                      <w:b w:val="0"/>
                      <w:bCs w:val="0"/>
                      <w:color w:val="000000" w:themeColor="text1"/>
                      <w:szCs w:val="21"/>
                      <w14:textFill>
                        <w14:solidFill>
                          <w14:schemeClr w14:val="tx1"/>
                        </w14:solidFill>
                      </w14:textFill>
                    </w:rPr>
                    <w:t>1</w:t>
                  </w:r>
                </w:p>
              </w:tc>
              <w:tc>
                <w:tcPr>
                  <w:tcW w:w="1478" w:type="pct"/>
                  <w:tcBorders>
                    <w:tl2br w:val="nil"/>
                    <w:tr2bl w:val="nil"/>
                  </w:tcBorders>
                  <w:vAlign w:val="center"/>
                </w:tcPr>
                <w:p w14:paraId="5C426B9C">
                  <w:pPr>
                    <w:spacing w:line="240" w:lineRule="auto"/>
                    <w:jc w:val="cente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电脑显示器铝合金支架</w:t>
                  </w:r>
                </w:p>
              </w:tc>
              <w:tc>
                <w:tcPr>
                  <w:tcW w:w="766" w:type="pct"/>
                  <w:tcBorders>
                    <w:tl2br w:val="nil"/>
                    <w:tr2bl w:val="nil"/>
                  </w:tcBorders>
                  <w:vAlign w:val="center"/>
                </w:tcPr>
                <w:p w14:paraId="62B3511A">
                  <w:pPr>
                    <w:spacing w:line="240" w:lineRule="auto"/>
                    <w:jc w:val="center"/>
                    <w:rPr>
                      <w:rFonts w:hint="default" w:ascii="Times New Roman" w:hAnsi="Times New Roman" w:cs="Times New Roman" w:eastAsiaTheme="minorEastAsia"/>
                      <w:b w:val="0"/>
                      <w:bCs w:val="0"/>
                      <w:color w:val="000000" w:themeColor="text1"/>
                      <w:szCs w:val="21"/>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350万个</w:t>
                  </w:r>
                  <w:r>
                    <w:rPr>
                      <w:rFonts w:hint="default" w:ascii="Times New Roman" w:hAnsi="Times New Roman" w:cs="Times New Roman" w:eastAsiaTheme="minorEastAsia"/>
                      <w:b w:val="0"/>
                      <w:bCs w:val="0"/>
                      <w:color w:val="000000" w:themeColor="text1"/>
                      <w14:textFill>
                        <w14:solidFill>
                          <w14:schemeClr w14:val="tx1"/>
                        </w14:solidFill>
                      </w14:textFill>
                    </w:rPr>
                    <w:t>/年</w:t>
                  </w:r>
                </w:p>
              </w:tc>
              <w:tc>
                <w:tcPr>
                  <w:tcW w:w="857" w:type="pct"/>
                  <w:tcBorders>
                    <w:tl2br w:val="nil"/>
                    <w:tr2bl w:val="nil"/>
                  </w:tcBorders>
                  <w:vAlign w:val="center"/>
                </w:tcPr>
                <w:p w14:paraId="1247F95C">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18万个</w:t>
                  </w:r>
                </w:p>
              </w:tc>
              <w:tc>
                <w:tcPr>
                  <w:tcW w:w="1133" w:type="dxa"/>
                  <w:tcBorders>
                    <w:tl2br w:val="nil"/>
                    <w:tr2bl w:val="nil"/>
                  </w:tcBorders>
                  <w:vAlign w:val="center"/>
                </w:tcPr>
                <w:p w14:paraId="53D5009B">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成品仓库</w:t>
                  </w:r>
                </w:p>
              </w:tc>
              <w:tc>
                <w:tcPr>
                  <w:tcW w:w="759" w:type="pct"/>
                  <w:tcBorders>
                    <w:tl2br w:val="nil"/>
                    <w:tr2bl w:val="nil"/>
                  </w:tcBorders>
                  <w:vAlign w:val="center"/>
                </w:tcPr>
                <w:p w14:paraId="39CF9D4C">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285g/个</w:t>
                  </w:r>
                </w:p>
              </w:tc>
            </w:tr>
            <w:tr w14:paraId="71273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14:paraId="113E577E">
                  <w:pPr>
                    <w:spacing w:line="240" w:lineRule="auto"/>
                    <w:jc w:val="center"/>
                    <w:rPr>
                      <w:rFonts w:hint="default" w:ascii="Times New Roman" w:hAnsi="Times New Roman" w:cs="Times New Roman" w:eastAsiaTheme="minorEastAsia"/>
                      <w:b w:val="0"/>
                      <w:bCs w:val="0"/>
                      <w:color w:val="000000" w:themeColor="text1"/>
                      <w:szCs w:val="21"/>
                      <w:lang w:val="en-US" w:eastAsia="zh-CN"/>
                      <w14:textFill>
                        <w14:solidFill>
                          <w14:schemeClr w14:val="tx1"/>
                        </w14:solidFill>
                      </w14:textFill>
                    </w:rPr>
                  </w:pPr>
                  <w:bookmarkStart w:id="2" w:name="_Toc23407_WPSOffice_Level3"/>
                  <w:bookmarkStart w:id="3" w:name="_Toc7769_WPSOffice_Level2"/>
                  <w:r>
                    <w:rPr>
                      <w:rFonts w:hint="default" w:ascii="Times New Roman" w:hAnsi="Times New Roman" w:cs="Times New Roman" w:eastAsiaTheme="minorEastAsia"/>
                      <w:b w:val="0"/>
                      <w:bCs w:val="0"/>
                      <w:color w:val="000000" w:themeColor="text1"/>
                      <w:szCs w:val="21"/>
                      <w:lang w:val="en-US" w:eastAsia="zh-CN"/>
                      <w14:textFill>
                        <w14:solidFill>
                          <w14:schemeClr w14:val="tx1"/>
                        </w14:solidFill>
                      </w14:textFill>
                    </w:rPr>
                    <w:t>2</w:t>
                  </w:r>
                </w:p>
              </w:tc>
              <w:tc>
                <w:tcPr>
                  <w:tcW w:w="1478" w:type="pct"/>
                  <w:tcBorders>
                    <w:tl2br w:val="nil"/>
                    <w:tr2bl w:val="nil"/>
                  </w:tcBorders>
                  <w:vAlign w:val="center"/>
                </w:tcPr>
                <w:p w14:paraId="6A59B22A">
                  <w:pPr>
                    <w:spacing w:line="240" w:lineRule="auto"/>
                    <w:jc w:val="cente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锌合金支架</w:t>
                  </w:r>
                </w:p>
              </w:tc>
              <w:tc>
                <w:tcPr>
                  <w:tcW w:w="766" w:type="pct"/>
                  <w:tcBorders>
                    <w:tl2br w:val="nil"/>
                    <w:tr2bl w:val="nil"/>
                  </w:tcBorders>
                  <w:vAlign w:val="center"/>
                </w:tcPr>
                <w:p w14:paraId="72FBD3AB">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100万个</w:t>
                  </w:r>
                  <w:r>
                    <w:rPr>
                      <w:rFonts w:hint="default" w:ascii="Times New Roman" w:hAnsi="Times New Roman" w:cs="Times New Roman" w:eastAsiaTheme="minorEastAsia"/>
                      <w:b w:val="0"/>
                      <w:bCs w:val="0"/>
                      <w:color w:val="000000" w:themeColor="text1"/>
                      <w14:textFill>
                        <w14:solidFill>
                          <w14:schemeClr w14:val="tx1"/>
                        </w14:solidFill>
                      </w14:textFill>
                    </w:rPr>
                    <w:t>/年</w:t>
                  </w:r>
                </w:p>
              </w:tc>
              <w:tc>
                <w:tcPr>
                  <w:tcW w:w="857" w:type="pct"/>
                  <w:tcBorders>
                    <w:tl2br w:val="nil"/>
                    <w:tr2bl w:val="nil"/>
                  </w:tcBorders>
                  <w:vAlign w:val="center"/>
                </w:tcPr>
                <w:p w14:paraId="1A04D550">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5万个</w:t>
                  </w:r>
                </w:p>
              </w:tc>
              <w:tc>
                <w:tcPr>
                  <w:tcW w:w="1133" w:type="dxa"/>
                  <w:tcBorders>
                    <w:tl2br w:val="nil"/>
                    <w:tr2bl w:val="nil"/>
                  </w:tcBorders>
                  <w:vAlign w:val="center"/>
                </w:tcPr>
                <w:p w14:paraId="2AED0654">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成品仓库</w:t>
                  </w:r>
                </w:p>
              </w:tc>
              <w:tc>
                <w:tcPr>
                  <w:tcW w:w="759" w:type="pct"/>
                  <w:tcBorders>
                    <w:tl2br w:val="nil"/>
                    <w:tr2bl w:val="nil"/>
                  </w:tcBorders>
                  <w:vAlign w:val="center"/>
                </w:tcPr>
                <w:p w14:paraId="3C906345">
                  <w:pPr>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198g/个</w:t>
                  </w:r>
                </w:p>
              </w:tc>
            </w:tr>
          </w:tbl>
          <w:p w14:paraId="668E67A3">
            <w:pPr>
              <w:pStyle w:val="30"/>
              <w:widowControl w:val="0"/>
              <w:adjustRightInd/>
              <w:snapToGrid/>
              <w:spacing w:beforeLines="50" w:beforeAutospacing="0" w:after="0" w:afterAutospacing="0"/>
              <w:jc w:val="both"/>
              <w:rPr>
                <w:rFonts w:hint="default" w:ascii="Times New Roman" w:hAnsi="Times New Roman" w:cs="Times New Roman" w:eastAsiaTheme="minorEastAsia"/>
                <w:b/>
                <w:bCs/>
                <w:color w:val="000000" w:themeColor="text1"/>
                <w:kern w:val="2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2.5</w:t>
            </w:r>
            <w:r>
              <w:rPr>
                <w:rFonts w:hint="default" w:ascii="Times New Roman" w:hAnsi="Times New Roman" w:cs="Times New Roman" w:eastAsiaTheme="minorEastAsia"/>
                <w:b/>
                <w:bCs/>
                <w:color w:val="000000" w:themeColor="text1"/>
                <w:kern w:val="21"/>
                <w:sz w:val="24"/>
                <w:szCs w:val="24"/>
                <w:lang w:val="en-US" w:eastAsia="zh-CN"/>
                <w14:textFill>
                  <w14:solidFill>
                    <w14:schemeClr w14:val="tx1"/>
                  </w14:solidFill>
                </w14:textFill>
              </w:rPr>
              <w:t xml:space="preserve"> 项目</w:t>
            </w:r>
            <w:r>
              <w:rPr>
                <w:rFonts w:hint="default" w:ascii="Times New Roman" w:hAnsi="Times New Roman" w:cs="Times New Roman" w:eastAsiaTheme="minorEastAsia"/>
                <w:b/>
                <w:bCs/>
                <w:color w:val="000000" w:themeColor="text1"/>
                <w:kern w:val="21"/>
                <w:sz w:val="24"/>
                <w:szCs w:val="24"/>
                <w14:textFill>
                  <w14:solidFill>
                    <w14:schemeClr w14:val="tx1"/>
                  </w14:solidFill>
                </w14:textFill>
              </w:rPr>
              <w:t>主要原辅材料</w:t>
            </w:r>
            <w:bookmarkEnd w:id="2"/>
            <w:bookmarkEnd w:id="3"/>
            <w:r>
              <w:rPr>
                <w:rFonts w:hint="default" w:ascii="Times New Roman" w:hAnsi="Times New Roman" w:cs="Times New Roman" w:eastAsiaTheme="minorEastAsia"/>
                <w:b/>
                <w:bCs/>
                <w:color w:val="000000" w:themeColor="text1"/>
                <w:kern w:val="21"/>
                <w:sz w:val="24"/>
                <w:szCs w:val="24"/>
                <w:lang w:eastAsia="zh-CN"/>
                <w14:textFill>
                  <w14:solidFill>
                    <w14:schemeClr w14:val="tx1"/>
                  </w14:solidFill>
                </w14:textFill>
              </w:rPr>
              <w:t>及能耗</w:t>
            </w:r>
          </w:p>
          <w:p w14:paraId="1A498358">
            <w:pPr>
              <w:pStyle w:val="30"/>
              <w:widowControl w:val="0"/>
              <w:adjustRightInd/>
              <w:snapToGrid/>
              <w:spacing w:beforeLines="50" w:beforeAutospacing="0" w:after="0" w:afterAutospacing="0"/>
              <w:ind w:firstLine="480"/>
              <w:jc w:val="both"/>
              <w:rPr>
                <w:rFonts w:hint="default" w:ascii="Times New Roman" w:hAnsi="Times New Roman" w:cs="Times New Roman" w:eastAsiaTheme="minorEastAsia"/>
                <w:color w:val="000000" w:themeColor="text1"/>
                <w:kern w:val="21"/>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1"/>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1"/>
                <w:szCs w:val="24"/>
                <w14:textFill>
                  <w14:solidFill>
                    <w14:schemeClr w14:val="tx1"/>
                  </w14:solidFill>
                </w14:textFill>
              </w:rPr>
              <w:t>主要原辅材料消耗</w:t>
            </w:r>
            <w:r>
              <w:rPr>
                <w:rFonts w:hint="default" w:ascii="Times New Roman" w:hAnsi="Times New Roman" w:cs="Times New Roman" w:eastAsiaTheme="minorEastAsia"/>
                <w:color w:val="000000" w:themeColor="text1"/>
                <w:kern w:val="21"/>
                <w:szCs w:val="24"/>
                <w:lang w:eastAsia="zh-CN"/>
                <w14:textFill>
                  <w14:solidFill>
                    <w14:schemeClr w14:val="tx1"/>
                  </w14:solidFill>
                </w14:textFill>
              </w:rPr>
              <w:t>及能耗</w:t>
            </w:r>
          </w:p>
          <w:p w14:paraId="1E2F10F7">
            <w:pPr>
              <w:pStyle w:val="30"/>
              <w:widowControl w:val="0"/>
              <w:adjustRightInd/>
              <w:snapToGrid/>
              <w:spacing w:beforeLines="50" w:beforeAutospacing="0" w:after="0" w:afterAutospacing="0" w:line="360" w:lineRule="auto"/>
              <w:ind w:firstLine="480"/>
              <w:jc w:val="both"/>
              <w:rPr>
                <w:rFonts w:hint="default" w:ascii="Times New Roman" w:hAnsi="Times New Roman" w:cs="Times New Roman" w:eastAsiaTheme="minorEastAsia"/>
                <w:color w:val="000000" w:themeColor="text1"/>
                <w:kern w:val="21"/>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21"/>
                <w:szCs w:val="24"/>
                <w:highlight w:val="none"/>
                <w14:textFill>
                  <w14:solidFill>
                    <w14:schemeClr w14:val="tx1"/>
                  </w14:solidFill>
                </w14:textFill>
              </w:rPr>
              <w:t>项目主要原辅材料</w:t>
            </w:r>
            <w:r>
              <w:rPr>
                <w:rFonts w:hint="default" w:ascii="Times New Roman" w:hAnsi="Times New Roman" w:cs="Times New Roman" w:eastAsiaTheme="minorEastAsia"/>
                <w:color w:val="000000" w:themeColor="text1"/>
                <w:kern w:val="21"/>
                <w:szCs w:val="24"/>
                <w:highlight w:val="none"/>
                <w:lang w:eastAsia="zh-CN"/>
                <w14:textFill>
                  <w14:solidFill>
                    <w14:schemeClr w14:val="tx1"/>
                  </w14:solidFill>
                </w14:textFill>
              </w:rPr>
              <w:t>及能耗</w:t>
            </w:r>
            <w:r>
              <w:rPr>
                <w:rFonts w:hint="default" w:ascii="Times New Roman" w:hAnsi="Times New Roman" w:cs="Times New Roman" w:eastAsiaTheme="minorEastAsia"/>
                <w:color w:val="000000" w:themeColor="text1"/>
                <w:kern w:val="21"/>
                <w:szCs w:val="24"/>
                <w:highlight w:val="none"/>
                <w14:textFill>
                  <w14:solidFill>
                    <w14:schemeClr w14:val="tx1"/>
                  </w14:solidFill>
                </w14:textFill>
              </w:rPr>
              <w:t>见表2.5</w:t>
            </w:r>
            <w:r>
              <w:rPr>
                <w:rFonts w:hint="default" w:ascii="Times New Roman" w:hAnsi="Times New Roman" w:cs="Times New Roman" w:eastAsiaTheme="minorEastAsia"/>
                <w:color w:val="000000" w:themeColor="text1"/>
                <w:kern w:val="21"/>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1"/>
                <w:szCs w:val="24"/>
                <w:highlight w:val="none"/>
                <w14:textFill>
                  <w14:solidFill>
                    <w14:schemeClr w14:val="tx1"/>
                  </w14:solidFill>
                </w14:textFill>
              </w:rPr>
              <w:t>。</w:t>
            </w:r>
          </w:p>
          <w:p w14:paraId="3022718D">
            <w:pPr>
              <w:pStyle w:val="68"/>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pPr>
            <w:bookmarkStart w:id="4" w:name="_Toc17000_WPSOffice_Level2"/>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表2.5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1  </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主要原辅材料</w:t>
            </w:r>
            <w:bookmarkEnd w:id="4"/>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及能耗</w:t>
            </w:r>
          </w:p>
          <w:tbl>
            <w:tblPr>
              <w:tblStyle w:val="3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44"/>
              <w:gridCol w:w="1278"/>
              <w:gridCol w:w="1340"/>
              <w:gridCol w:w="810"/>
              <w:gridCol w:w="1185"/>
              <w:gridCol w:w="1222"/>
            </w:tblGrid>
            <w:tr w14:paraId="3669E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0953199D">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t>序号</w:t>
                  </w:r>
                </w:p>
              </w:tc>
              <w:tc>
                <w:tcPr>
                  <w:tcW w:w="1000" w:type="pct"/>
                  <w:vAlign w:val="center"/>
                </w:tcPr>
                <w:p w14:paraId="2D9CD746">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t>原名称</w:t>
                  </w:r>
                </w:p>
              </w:tc>
              <w:tc>
                <w:tcPr>
                  <w:tcW w:w="777" w:type="pct"/>
                  <w:vAlign w:val="center"/>
                </w:tcPr>
                <w:p w14:paraId="46824397">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设计年</w:t>
                  </w:r>
                  <w: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t>用量</w:t>
                  </w:r>
                </w:p>
              </w:tc>
              <w:tc>
                <w:tcPr>
                  <w:tcW w:w="815" w:type="pct"/>
                  <w:vAlign w:val="center"/>
                </w:tcPr>
                <w:p w14:paraId="2D737D74">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最大储存量</w:t>
                  </w:r>
                </w:p>
              </w:tc>
              <w:tc>
                <w:tcPr>
                  <w:tcW w:w="492" w:type="pct"/>
                  <w:vAlign w:val="center"/>
                </w:tcPr>
                <w:p w14:paraId="4220F8B3">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状态</w:t>
                  </w:r>
                </w:p>
              </w:tc>
              <w:tc>
                <w:tcPr>
                  <w:tcW w:w="720" w:type="pct"/>
                  <w:vAlign w:val="center"/>
                </w:tcPr>
                <w:p w14:paraId="4902A487">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储存方式</w:t>
                  </w:r>
                </w:p>
              </w:tc>
              <w:tc>
                <w:tcPr>
                  <w:tcW w:w="743" w:type="pct"/>
                  <w:vAlign w:val="center"/>
                </w:tcPr>
                <w:p w14:paraId="327F47E5">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储存场所</w:t>
                  </w:r>
                </w:p>
              </w:tc>
            </w:tr>
            <w:tr w14:paraId="019BE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23A4041E">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原辅材料</w:t>
                  </w:r>
                </w:p>
              </w:tc>
            </w:tr>
            <w:tr w14:paraId="6C95B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1D701AD0">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14:textFill>
                        <w14:solidFill>
                          <w14:schemeClr w14:val="tx1"/>
                        </w14:solidFill>
                      </w14:textFill>
                    </w:rPr>
                    <w:t>1</w:t>
                  </w:r>
                </w:p>
              </w:tc>
              <w:tc>
                <w:tcPr>
                  <w:tcW w:w="1000" w:type="pct"/>
                  <w:vAlign w:val="center"/>
                </w:tcPr>
                <w:p w14:paraId="0170C4B1">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highlight w:val="none"/>
                      <w:lang w:val="en-US" w:eastAsia="zh-CN"/>
                      <w14:textFill>
                        <w14:solidFill>
                          <w14:schemeClr w14:val="tx1"/>
                        </w14:solidFill>
                      </w14:textFill>
                    </w:rPr>
                    <w:t>锌合金锭</w:t>
                  </w:r>
                </w:p>
              </w:tc>
              <w:tc>
                <w:tcPr>
                  <w:tcW w:w="777" w:type="pct"/>
                  <w:vAlign w:val="center"/>
                </w:tcPr>
                <w:p w14:paraId="5F1EBE24">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200t/a</w:t>
                  </w:r>
                </w:p>
              </w:tc>
              <w:tc>
                <w:tcPr>
                  <w:tcW w:w="815" w:type="pct"/>
                  <w:vAlign w:val="center"/>
                </w:tcPr>
                <w:p w14:paraId="0546BEC3">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5t</w:t>
                  </w:r>
                </w:p>
              </w:tc>
              <w:tc>
                <w:tcPr>
                  <w:tcW w:w="492" w:type="pct"/>
                  <w:vAlign w:val="center"/>
                </w:tcPr>
                <w:p w14:paraId="674A8F7E">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固体</w:t>
                  </w:r>
                </w:p>
              </w:tc>
              <w:tc>
                <w:tcPr>
                  <w:tcW w:w="720" w:type="pct"/>
                  <w:vAlign w:val="center"/>
                </w:tcPr>
                <w:p w14:paraId="5BA5B8EE">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t>堆放</w:t>
                  </w:r>
                </w:p>
              </w:tc>
              <w:tc>
                <w:tcPr>
                  <w:tcW w:w="743" w:type="pct"/>
                  <w:vAlign w:val="center"/>
                </w:tcPr>
                <w:p w14:paraId="6D954A6B">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原料仓库</w:t>
                  </w:r>
                </w:p>
              </w:tc>
            </w:tr>
            <w:tr w14:paraId="1633C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2D7575D3">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2</w:t>
                  </w:r>
                </w:p>
              </w:tc>
              <w:tc>
                <w:tcPr>
                  <w:tcW w:w="1000" w:type="pct"/>
                  <w:vAlign w:val="center"/>
                </w:tcPr>
                <w:p w14:paraId="6ABFEF8D">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eastAsia="zh-CN"/>
                      <w14:textFill>
                        <w14:solidFill>
                          <w14:schemeClr w14:val="tx1"/>
                        </w14:solidFill>
                      </w14:textFill>
                    </w:rPr>
                    <w:t>铝合金</w:t>
                  </w:r>
                  <w:r>
                    <w:rPr>
                      <w:rFonts w:hint="default" w:ascii="Times New Roman" w:hAnsi="Times New Roman" w:cs="Times New Roman" w:eastAsiaTheme="minorEastAsia"/>
                      <w:b w:val="0"/>
                      <w:bCs/>
                      <w:color w:val="000000" w:themeColor="text1"/>
                      <w:highlight w:val="none"/>
                      <w:lang w:val="en-US" w:eastAsia="zh-CN"/>
                      <w14:textFill>
                        <w14:solidFill>
                          <w14:schemeClr w14:val="tx1"/>
                        </w14:solidFill>
                      </w14:textFill>
                    </w:rPr>
                    <w:t>锭</w:t>
                  </w:r>
                </w:p>
              </w:tc>
              <w:tc>
                <w:tcPr>
                  <w:tcW w:w="777" w:type="pct"/>
                  <w:vAlign w:val="center"/>
                </w:tcPr>
                <w:p w14:paraId="52C2600D">
                  <w:pPr>
                    <w:adjustRightInd/>
                    <w:snapToGrid/>
                    <w:spacing w:line="340" w:lineRule="exact"/>
                    <w:jc w:val="center"/>
                    <w:rPr>
                      <w:rFonts w:hint="default" w:ascii="Times New Roman" w:hAnsi="Times New Roman" w:cs="Times New Roman" w:eastAsiaTheme="minorEastAsia"/>
                      <w:b w:val="0"/>
                      <w:bCs/>
                      <w:color w:val="000000" w:themeColor="text1"/>
                      <w:spacing w:val="-6"/>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6"/>
                      <w:szCs w:val="21"/>
                      <w:highlight w:val="none"/>
                      <w:lang w:val="en-US" w:eastAsia="zh-CN"/>
                      <w14:textFill>
                        <w14:solidFill>
                          <w14:schemeClr w14:val="tx1"/>
                        </w14:solidFill>
                      </w14:textFill>
                    </w:rPr>
                    <w:t>1000</w:t>
                  </w: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t/a</w:t>
                  </w:r>
                </w:p>
              </w:tc>
              <w:tc>
                <w:tcPr>
                  <w:tcW w:w="815" w:type="pct"/>
                  <w:vAlign w:val="center"/>
                </w:tcPr>
                <w:p w14:paraId="3D53F73C">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25t</w:t>
                  </w:r>
                </w:p>
              </w:tc>
              <w:tc>
                <w:tcPr>
                  <w:tcW w:w="492" w:type="pct"/>
                  <w:vAlign w:val="center"/>
                </w:tcPr>
                <w:p w14:paraId="6277443F">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固体</w:t>
                  </w:r>
                </w:p>
              </w:tc>
              <w:tc>
                <w:tcPr>
                  <w:tcW w:w="720" w:type="pct"/>
                  <w:vAlign w:val="center"/>
                </w:tcPr>
                <w:p w14:paraId="3386957C">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t>堆放</w:t>
                  </w:r>
                </w:p>
              </w:tc>
              <w:tc>
                <w:tcPr>
                  <w:tcW w:w="743" w:type="pct"/>
                  <w:vAlign w:val="center"/>
                </w:tcPr>
                <w:p w14:paraId="21430A62">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原料仓库</w:t>
                  </w:r>
                </w:p>
              </w:tc>
            </w:tr>
            <w:tr w14:paraId="2A81A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4175DE5B">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3</w:t>
                  </w:r>
                </w:p>
              </w:tc>
              <w:tc>
                <w:tcPr>
                  <w:tcW w:w="1000" w:type="pct"/>
                  <w:vAlign w:val="center"/>
                </w:tcPr>
                <w:p w14:paraId="2AFC2B95">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t>脱模剂</w:t>
                  </w:r>
                </w:p>
              </w:tc>
              <w:tc>
                <w:tcPr>
                  <w:tcW w:w="777" w:type="pct"/>
                  <w:vAlign w:val="center"/>
                </w:tcPr>
                <w:p w14:paraId="66D8622C">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2.5t/a</w:t>
                  </w:r>
                </w:p>
              </w:tc>
              <w:tc>
                <w:tcPr>
                  <w:tcW w:w="815" w:type="pct"/>
                  <w:vAlign w:val="center"/>
                </w:tcPr>
                <w:p w14:paraId="7AE32FED">
                  <w:pPr>
                    <w:tabs>
                      <w:tab w:val="left" w:pos="559"/>
                    </w:tabs>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0.5t</w:t>
                  </w:r>
                </w:p>
              </w:tc>
              <w:tc>
                <w:tcPr>
                  <w:tcW w:w="492" w:type="pct"/>
                  <w:vAlign w:val="center"/>
                </w:tcPr>
                <w:p w14:paraId="4ABEFD0E">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液体</w:t>
                  </w:r>
                </w:p>
              </w:tc>
              <w:tc>
                <w:tcPr>
                  <w:tcW w:w="720" w:type="pct"/>
                  <w:vAlign w:val="center"/>
                </w:tcPr>
                <w:p w14:paraId="4B0FC960">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t>密封桶装</w:t>
                  </w:r>
                </w:p>
              </w:tc>
              <w:tc>
                <w:tcPr>
                  <w:tcW w:w="743" w:type="pct"/>
                  <w:vAlign w:val="center"/>
                </w:tcPr>
                <w:p w14:paraId="6D6B5031">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原料仓库</w:t>
                  </w:r>
                </w:p>
              </w:tc>
            </w:tr>
            <w:tr w14:paraId="5AF01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2995E3BF">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bookmarkStart w:id="5" w:name="_Toc13619_WPSOffice_Level3"/>
                  <w:bookmarkStart w:id="6" w:name="_Toc31618_WPSOffice_Level2"/>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4</w:t>
                  </w:r>
                </w:p>
              </w:tc>
              <w:tc>
                <w:tcPr>
                  <w:tcW w:w="1000" w:type="pct"/>
                  <w:vAlign w:val="center"/>
                </w:tcPr>
                <w:p w14:paraId="4A6036EB">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t>水基切削液</w:t>
                  </w:r>
                </w:p>
              </w:tc>
              <w:tc>
                <w:tcPr>
                  <w:tcW w:w="777" w:type="pct"/>
                  <w:vAlign w:val="center"/>
                </w:tcPr>
                <w:p w14:paraId="31C5CB91">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0.2t/a</w:t>
                  </w:r>
                </w:p>
              </w:tc>
              <w:tc>
                <w:tcPr>
                  <w:tcW w:w="815" w:type="pct"/>
                  <w:vAlign w:val="center"/>
                </w:tcPr>
                <w:p w14:paraId="0D097451">
                  <w:pPr>
                    <w:tabs>
                      <w:tab w:val="left" w:pos="559"/>
                    </w:tabs>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0.05t</w:t>
                  </w:r>
                </w:p>
              </w:tc>
              <w:tc>
                <w:tcPr>
                  <w:tcW w:w="492" w:type="pct"/>
                  <w:vAlign w:val="center"/>
                </w:tcPr>
                <w:p w14:paraId="137E013E">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液体</w:t>
                  </w:r>
                </w:p>
              </w:tc>
              <w:tc>
                <w:tcPr>
                  <w:tcW w:w="720" w:type="pct"/>
                  <w:shd w:val="clear" w:color="auto" w:fill="auto"/>
                  <w:vAlign w:val="center"/>
                </w:tcPr>
                <w:p w14:paraId="3CC6B5E1">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t>密封桶装</w:t>
                  </w:r>
                </w:p>
              </w:tc>
              <w:tc>
                <w:tcPr>
                  <w:tcW w:w="743" w:type="pct"/>
                  <w:shd w:val="clear" w:color="auto" w:fill="auto"/>
                  <w:vAlign w:val="center"/>
                </w:tcPr>
                <w:p w14:paraId="39C820A4">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原料仓库</w:t>
                  </w:r>
                </w:p>
              </w:tc>
            </w:tr>
            <w:tr w14:paraId="14C39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43C61F72">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能耗</w:t>
                  </w:r>
                </w:p>
              </w:tc>
            </w:tr>
            <w:tr w14:paraId="052EF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614BBD5C">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5</w:t>
                  </w:r>
                </w:p>
              </w:tc>
              <w:tc>
                <w:tcPr>
                  <w:tcW w:w="1000" w:type="pct"/>
                  <w:vAlign w:val="center"/>
                </w:tcPr>
                <w:p w14:paraId="79AA5C32">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t>水</w:t>
                  </w:r>
                </w:p>
              </w:tc>
              <w:tc>
                <w:tcPr>
                  <w:tcW w:w="777" w:type="pct"/>
                  <w:vAlign w:val="center"/>
                </w:tcPr>
                <w:p w14:paraId="493C8A9B">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eastAsia" w:cs="Times New Roman" w:eastAsiaTheme="minorEastAsia"/>
                      <w:b w:val="0"/>
                      <w:bCs/>
                      <w:color w:val="000000" w:themeColor="text1"/>
                      <w:szCs w:val="21"/>
                      <w:highlight w:val="none"/>
                      <w:lang w:val="en-US" w:eastAsia="zh-CN"/>
                      <w14:textFill>
                        <w14:solidFill>
                          <w14:schemeClr w14:val="tx1"/>
                        </w14:solidFill>
                      </w14:textFill>
                    </w:rPr>
                    <w:t>6</w:t>
                  </w: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75t/a</w:t>
                  </w:r>
                </w:p>
              </w:tc>
              <w:tc>
                <w:tcPr>
                  <w:tcW w:w="815" w:type="pct"/>
                  <w:vAlign w:val="center"/>
                </w:tcPr>
                <w:p w14:paraId="38616D3C">
                  <w:pPr>
                    <w:tabs>
                      <w:tab w:val="left" w:pos="559"/>
                    </w:tabs>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w:t>
                  </w:r>
                </w:p>
              </w:tc>
              <w:tc>
                <w:tcPr>
                  <w:tcW w:w="492" w:type="pct"/>
                  <w:vAlign w:val="center"/>
                </w:tcPr>
                <w:p w14:paraId="7AE2E776">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w:t>
                  </w:r>
                </w:p>
              </w:tc>
              <w:tc>
                <w:tcPr>
                  <w:tcW w:w="720" w:type="pct"/>
                  <w:vAlign w:val="center"/>
                </w:tcPr>
                <w:p w14:paraId="77640CFA">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t>/</w:t>
                  </w:r>
                </w:p>
              </w:tc>
              <w:tc>
                <w:tcPr>
                  <w:tcW w:w="743" w:type="pct"/>
                  <w:vAlign w:val="center"/>
                </w:tcPr>
                <w:p w14:paraId="544E0FB1">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w:t>
                  </w:r>
                </w:p>
              </w:tc>
            </w:tr>
            <w:tr w14:paraId="03B2C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79EEF1C4">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6</w:t>
                  </w:r>
                </w:p>
              </w:tc>
              <w:tc>
                <w:tcPr>
                  <w:tcW w:w="1000" w:type="pct"/>
                  <w:vAlign w:val="center"/>
                </w:tcPr>
                <w:p w14:paraId="62C80518">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highlight w:val="none"/>
                      <w:lang w:val="en-US" w:eastAsia="zh-CN" w:bidi="ar-SA"/>
                      <w14:textFill>
                        <w14:solidFill>
                          <w14:schemeClr w14:val="tx1"/>
                        </w14:solidFill>
                      </w14:textFill>
                    </w:rPr>
                    <w:t>电</w:t>
                  </w:r>
                </w:p>
              </w:tc>
              <w:tc>
                <w:tcPr>
                  <w:tcW w:w="777" w:type="pct"/>
                  <w:vAlign w:val="center"/>
                </w:tcPr>
                <w:p w14:paraId="3D70CAAB">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60万kw·h/a</w:t>
                  </w:r>
                </w:p>
              </w:tc>
              <w:tc>
                <w:tcPr>
                  <w:tcW w:w="815" w:type="pct"/>
                  <w:vAlign w:val="center"/>
                </w:tcPr>
                <w:p w14:paraId="60037683">
                  <w:pPr>
                    <w:tabs>
                      <w:tab w:val="left" w:pos="559"/>
                    </w:tabs>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w:t>
                  </w:r>
                </w:p>
              </w:tc>
              <w:tc>
                <w:tcPr>
                  <w:tcW w:w="492" w:type="pct"/>
                  <w:vAlign w:val="center"/>
                </w:tcPr>
                <w:p w14:paraId="145FE079">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w:t>
                  </w:r>
                </w:p>
              </w:tc>
              <w:tc>
                <w:tcPr>
                  <w:tcW w:w="720" w:type="pct"/>
                  <w:vAlign w:val="center"/>
                </w:tcPr>
                <w:p w14:paraId="19D01D4B">
                  <w:pPr>
                    <w:adjustRightInd/>
                    <w:snapToGrid/>
                    <w:spacing w:line="340" w:lineRule="exact"/>
                    <w:jc w:val="cente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t>/</w:t>
                  </w:r>
                </w:p>
              </w:tc>
              <w:tc>
                <w:tcPr>
                  <w:tcW w:w="743" w:type="pct"/>
                  <w:vAlign w:val="center"/>
                </w:tcPr>
                <w:p w14:paraId="56862000">
                  <w:pPr>
                    <w:adjustRightInd/>
                    <w:snapToGrid/>
                    <w:spacing w:line="340" w:lineRule="exact"/>
                    <w:jc w:val="cente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highlight w:val="none"/>
                      <w:lang w:val="en-US" w:eastAsia="zh-CN"/>
                      <w14:textFill>
                        <w14:solidFill>
                          <w14:schemeClr w14:val="tx1"/>
                        </w14:solidFill>
                      </w14:textFill>
                    </w:rPr>
                    <w:t>/</w:t>
                  </w:r>
                </w:p>
              </w:tc>
            </w:tr>
          </w:tbl>
          <w:p w14:paraId="6DFAB7F9">
            <w:pPr>
              <w:pStyle w:val="6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kern w:val="2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1"/>
                <w:sz w:val="24"/>
                <w:szCs w:val="24"/>
                <w:lang w:val="en-US" w:eastAsia="zh-CN"/>
                <w14:textFill>
                  <w14:solidFill>
                    <w14:schemeClr w14:val="tx1"/>
                  </w14:solidFill>
                </w14:textFill>
              </w:rPr>
              <w:t>(2)项目</w:t>
            </w:r>
            <w:r>
              <w:rPr>
                <w:rFonts w:hint="default" w:ascii="Times New Roman" w:hAnsi="Times New Roman" w:cs="Times New Roman" w:eastAsiaTheme="minorEastAsia"/>
                <w:color w:val="000000" w:themeColor="text1"/>
                <w:kern w:val="21"/>
                <w:sz w:val="24"/>
                <w:szCs w:val="24"/>
                <w14:textFill>
                  <w14:solidFill>
                    <w14:schemeClr w14:val="tx1"/>
                  </w14:solidFill>
                </w14:textFill>
              </w:rPr>
              <w:t>主要原辅材料特性</w:t>
            </w:r>
            <w:r>
              <w:rPr>
                <w:rFonts w:hint="default" w:ascii="Times New Roman" w:hAnsi="Times New Roman" w:cs="Times New Roman" w:eastAsiaTheme="minorEastAsia"/>
                <w:color w:val="000000" w:themeColor="text1"/>
                <w:kern w:val="21"/>
                <w:sz w:val="24"/>
                <w:szCs w:val="24"/>
                <w:lang w:eastAsia="zh-CN"/>
                <w14:textFill>
                  <w14:solidFill>
                    <w14:schemeClr w14:val="tx1"/>
                  </w14:solidFill>
                </w14:textFill>
              </w:rPr>
              <w:t>见表</w:t>
            </w:r>
            <w:r>
              <w:rPr>
                <w:rFonts w:hint="default" w:ascii="Times New Roman" w:hAnsi="Times New Roman" w:cs="Times New Roman" w:eastAsiaTheme="minorEastAsia"/>
                <w:color w:val="000000" w:themeColor="text1"/>
                <w:kern w:val="21"/>
                <w:sz w:val="24"/>
                <w:szCs w:val="24"/>
                <w:lang w:val="en-US" w:eastAsia="zh-CN"/>
                <w14:textFill>
                  <w14:solidFill>
                    <w14:schemeClr w14:val="tx1"/>
                  </w14:solidFill>
                </w14:textFill>
              </w:rPr>
              <w:t>2.5-2</w:t>
            </w:r>
            <w:r>
              <w:rPr>
                <w:rFonts w:hint="default" w:ascii="Times New Roman" w:hAnsi="Times New Roman" w:cs="Times New Roman" w:eastAsiaTheme="minorEastAsia"/>
                <w:color w:val="000000" w:themeColor="text1"/>
                <w:kern w:val="21"/>
                <w:sz w:val="24"/>
                <w:szCs w:val="24"/>
                <w:lang w:eastAsia="zh-CN"/>
                <w14:textFill>
                  <w14:solidFill>
                    <w14:schemeClr w14:val="tx1"/>
                  </w14:solidFill>
                </w14:textFill>
              </w:rPr>
              <w:t>。</w:t>
            </w:r>
          </w:p>
          <w:p w14:paraId="3B674D79">
            <w:pPr>
              <w:pStyle w:val="68"/>
              <w:ind w:firstLine="420"/>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 xml:space="preserve">表2.5.2  </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w:t>
            </w:r>
            <w:r>
              <w:rPr>
                <w:rFonts w:hint="default" w:ascii="Times New Roman" w:hAnsi="Times New Roman" w:cs="Times New Roman" w:eastAsiaTheme="minorEastAsia"/>
                <w:color w:val="000000" w:themeColor="text1"/>
                <w:sz w:val="24"/>
                <w:szCs w:val="24"/>
                <w14:textFill>
                  <w14:solidFill>
                    <w14:schemeClr w14:val="tx1"/>
                  </w14:solidFill>
                </w14:textFill>
              </w:rPr>
              <w:t>主要原辅材料</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特性一览表</w:t>
            </w:r>
          </w:p>
          <w:tbl>
            <w:tblPr>
              <w:tblStyle w:val="35"/>
              <w:tblW w:w="50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86"/>
              <w:gridCol w:w="6265"/>
            </w:tblGrid>
            <w:tr w14:paraId="69E39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14:paraId="690A25B4">
                  <w:pPr>
                    <w:adjustRightInd/>
                    <w:snapToGrid/>
                    <w:spacing w:line="240" w:lineRule="auto"/>
                    <w:jc w:val="center"/>
                    <w:rPr>
                      <w:rFonts w:hint="default" w:ascii="Times New Roman" w:hAnsi="Times New Roman" w:cs="Times New Roman" w:eastAsiaTheme="minorEastAsia"/>
                      <w:b w:val="0"/>
                      <w:bCs/>
                      <w:color w:val="000000" w:themeColor="text1"/>
                      <w:szCs w:val="21"/>
                      <w14:textFill>
                        <w14:solidFill>
                          <w14:schemeClr w14:val="tx1"/>
                        </w14:solidFill>
                      </w14:textFill>
                    </w:rPr>
                  </w:pPr>
                  <w:r>
                    <w:rPr>
                      <w:rFonts w:hint="default" w:ascii="Times New Roman" w:hAnsi="Times New Roman" w:cs="Times New Roman" w:eastAsiaTheme="minorEastAsia"/>
                      <w:b w:val="0"/>
                      <w:bCs/>
                      <w:color w:val="000000" w:themeColor="text1"/>
                      <w:szCs w:val="21"/>
                      <w14:textFill>
                        <w14:solidFill>
                          <w14:schemeClr w14:val="tx1"/>
                        </w14:solidFill>
                      </w14:textFill>
                    </w:rPr>
                    <w:t>序号</w:t>
                  </w:r>
                </w:p>
              </w:tc>
              <w:tc>
                <w:tcPr>
                  <w:tcW w:w="782" w:type="pct"/>
                  <w:vAlign w:val="center"/>
                </w:tcPr>
                <w:p w14:paraId="1B451F64">
                  <w:pPr>
                    <w:adjustRightInd/>
                    <w:snapToGrid/>
                    <w:spacing w:line="240" w:lineRule="auto"/>
                    <w:jc w:val="center"/>
                    <w:rPr>
                      <w:rFonts w:hint="default" w:ascii="Times New Roman" w:hAnsi="Times New Roman" w:cs="Times New Roman" w:eastAsiaTheme="minorEastAsia"/>
                      <w:b w:val="0"/>
                      <w:bCs/>
                      <w:color w:val="000000" w:themeColor="text1"/>
                      <w:szCs w:val="21"/>
                      <w14:textFill>
                        <w14:solidFill>
                          <w14:schemeClr w14:val="tx1"/>
                        </w14:solidFill>
                      </w14:textFill>
                    </w:rPr>
                  </w:pPr>
                  <w:r>
                    <w:rPr>
                      <w:rFonts w:hint="default" w:ascii="Times New Roman" w:hAnsi="Times New Roman" w:cs="Times New Roman" w:eastAsiaTheme="minorEastAsia"/>
                      <w:b w:val="0"/>
                      <w:bCs/>
                      <w:color w:val="000000" w:themeColor="text1"/>
                      <w:szCs w:val="21"/>
                      <w14:textFill>
                        <w14:solidFill>
                          <w14:schemeClr w14:val="tx1"/>
                        </w14:solidFill>
                      </w14:textFill>
                    </w:rPr>
                    <w:t>原料名称</w:t>
                  </w:r>
                </w:p>
              </w:tc>
              <w:tc>
                <w:tcPr>
                  <w:tcW w:w="3811" w:type="pct"/>
                  <w:vAlign w:val="center"/>
                </w:tcPr>
                <w:p w14:paraId="0E7601BD">
                  <w:pPr>
                    <w:adjustRightInd/>
                    <w:snapToGrid/>
                    <w:spacing w:line="240" w:lineRule="auto"/>
                    <w:jc w:val="center"/>
                    <w:rPr>
                      <w:rFonts w:hint="default" w:ascii="Times New Roman" w:hAnsi="Times New Roman" w:cs="Times New Roman" w:eastAsiaTheme="minorEastAsia"/>
                      <w:b w:val="0"/>
                      <w:bCs/>
                      <w:color w:val="000000" w:themeColor="text1"/>
                      <w:szCs w:val="21"/>
                      <w:lang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lang w:eastAsia="zh-CN"/>
                      <w14:textFill>
                        <w14:solidFill>
                          <w14:schemeClr w14:val="tx1"/>
                        </w14:solidFill>
                      </w14:textFill>
                    </w:rPr>
                    <w:t>特性</w:t>
                  </w:r>
                </w:p>
              </w:tc>
            </w:tr>
            <w:tr w14:paraId="6A7EB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14:paraId="1062F6AD">
                  <w:pPr>
                    <w:adjustRightInd/>
                    <w:snapToGrid/>
                    <w:spacing w:line="240" w:lineRule="auto"/>
                    <w:jc w:val="cente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t>1</w:t>
                  </w:r>
                </w:p>
              </w:tc>
              <w:tc>
                <w:tcPr>
                  <w:tcW w:w="782" w:type="pct"/>
                  <w:vAlign w:val="center"/>
                </w:tcPr>
                <w:p w14:paraId="7A14E94D">
                  <w:pPr>
                    <w:pStyle w:val="19"/>
                    <w:adjustRightInd/>
                    <w:snapToGrid/>
                    <w:spacing w:line="240" w:lineRule="auto"/>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highlight w:val="none"/>
                      <w:lang w:val="en-US" w:eastAsia="zh-CN"/>
                      <w14:textFill>
                        <w14:solidFill>
                          <w14:schemeClr w14:val="tx1"/>
                        </w14:solidFill>
                      </w14:textFill>
                    </w:rPr>
                    <w:t>锌合金锭</w:t>
                  </w:r>
                </w:p>
              </w:tc>
              <w:tc>
                <w:tcPr>
                  <w:tcW w:w="3811" w:type="pct"/>
                  <w:vAlign w:val="center"/>
                </w:tcPr>
                <w:p w14:paraId="58B988DB">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b w:val="0"/>
                      <w:bCs/>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lang w:val="en-US" w:eastAsia="zh-CN"/>
                      <w14:textFill>
                        <w14:solidFill>
                          <w14:schemeClr w14:val="tx1"/>
                        </w14:solidFill>
                      </w14:textFill>
                    </w:rPr>
                    <w:t>以锌为基础</w:t>
                  </w:r>
                  <w:r>
                    <w:rPr>
                      <w:rFonts w:hint="default" w:ascii="Times New Roman" w:hAnsi="Times New Roman" w:cs="Times New Roman" w:eastAsiaTheme="minorEastAsia"/>
                      <w:color w:val="000000" w:themeColor="text1"/>
                      <w:lang w:eastAsia="zh-CN"/>
                      <w14:textFill>
                        <w14:solidFill>
                          <w14:schemeClr w14:val="tx1"/>
                        </w14:solidFill>
                      </w14:textFill>
                    </w:rPr>
                    <w:t>加入其他元素组成的合金</w:t>
                  </w:r>
                  <w:r>
                    <w:rPr>
                      <w:rFonts w:hint="default" w:ascii="Times New Roman" w:hAnsi="Times New Roman" w:cs="Times New Roman" w:eastAsiaTheme="minorEastAsia"/>
                      <w:b w:val="0"/>
                      <w:bCs/>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eastAsia="zh-CN"/>
                      <w14:textFill>
                        <w14:solidFill>
                          <w14:schemeClr w14:val="tx1"/>
                        </w14:solidFill>
                      </w14:textFill>
                    </w:rPr>
                    <w:t>合金元素有铝、镁。锌合金熔点低（</w:t>
                  </w:r>
                  <w:r>
                    <w:rPr>
                      <w:rFonts w:hint="default" w:ascii="Times New Roman" w:hAnsi="Times New Roman" w:cs="Times New Roman" w:eastAsiaTheme="minorEastAsia"/>
                      <w:color w:val="000000" w:themeColor="text1"/>
                      <w:lang w:val="en-US" w:eastAsia="zh-CN"/>
                      <w14:textFill>
                        <w14:solidFill>
                          <w14:schemeClr w14:val="tx1"/>
                        </w14:solidFill>
                      </w14:textFill>
                    </w:rPr>
                    <w:t>385℃</w:t>
                  </w:r>
                  <w:r>
                    <w:rPr>
                      <w:rFonts w:hint="default" w:ascii="Times New Roman" w:hAnsi="Times New Roman" w:cs="Times New Roman" w:eastAsiaTheme="minorEastAsia"/>
                      <w:color w:val="000000" w:themeColor="text1"/>
                      <w:lang w:eastAsia="zh-CN"/>
                      <w14:textFill>
                        <w14:solidFill>
                          <w14:schemeClr w14:val="tx1"/>
                        </w14:solidFill>
                      </w14:textFill>
                    </w:rPr>
                    <w:t>），流动性好，易熔焊，钎焊和塑性加工，在大气中耐腐蚀，残废料便于回收和重熔，但蠕变强度低，易发生自然时效引起的尺寸变化</w:t>
                  </w:r>
                  <w:r>
                    <w:rPr>
                      <w:rFonts w:hint="default" w:ascii="Times New Roman" w:hAnsi="Times New Roman" w:cs="Times New Roman" w:eastAsiaTheme="minorEastAsia"/>
                      <w:b w:val="0"/>
                      <w:bCs/>
                      <w:color w:val="000000" w:themeColor="text1"/>
                      <w:lang w:val="en-US" w:eastAsia="zh-CN"/>
                      <w14:textFill>
                        <w14:solidFill>
                          <w14:schemeClr w14:val="tx1"/>
                        </w14:solidFill>
                      </w14:textFill>
                    </w:rPr>
                    <w:t>。</w:t>
                  </w:r>
                </w:p>
              </w:tc>
            </w:tr>
            <w:tr w14:paraId="56D70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14:paraId="044A6266">
                  <w:pPr>
                    <w:adjustRightInd/>
                    <w:snapToGrid/>
                    <w:spacing w:line="240" w:lineRule="auto"/>
                    <w:jc w:val="cente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t>2</w:t>
                  </w:r>
                </w:p>
              </w:tc>
              <w:tc>
                <w:tcPr>
                  <w:tcW w:w="782" w:type="pct"/>
                  <w:vAlign w:val="center"/>
                </w:tcPr>
                <w:p w14:paraId="4574B422">
                  <w:pPr>
                    <w:pStyle w:val="19"/>
                    <w:adjustRightInd/>
                    <w:snapToGrid/>
                    <w:spacing w:line="240" w:lineRule="auto"/>
                    <w:rPr>
                      <w:rFonts w:hint="default" w:ascii="Times New Roman" w:hAnsi="Times New Roman" w:cs="Times New Roman" w:eastAsiaTheme="minorEastAsia"/>
                      <w:b w:val="0"/>
                      <w:bCs/>
                      <w:color w:val="000000" w:themeColor="text1"/>
                      <w:lang w:eastAsia="zh-CN"/>
                      <w14:textFill>
                        <w14:solidFill>
                          <w14:schemeClr w14:val="tx1"/>
                        </w14:solidFill>
                      </w14:textFill>
                    </w:rPr>
                  </w:pPr>
                  <w:r>
                    <w:rPr>
                      <w:rFonts w:hint="default" w:ascii="Times New Roman" w:hAnsi="Times New Roman" w:cs="Times New Roman" w:eastAsiaTheme="minorEastAsia"/>
                      <w:b w:val="0"/>
                      <w:bCs/>
                      <w:color w:val="000000" w:themeColor="text1"/>
                      <w:lang w:eastAsia="zh-CN"/>
                      <w14:textFill>
                        <w14:solidFill>
                          <w14:schemeClr w14:val="tx1"/>
                        </w14:solidFill>
                      </w14:textFill>
                    </w:rPr>
                    <w:t>铝合金</w:t>
                  </w:r>
                  <w:r>
                    <w:rPr>
                      <w:rFonts w:hint="default" w:ascii="Times New Roman" w:hAnsi="Times New Roman" w:cs="Times New Roman" w:eastAsiaTheme="minorEastAsia"/>
                      <w:b w:val="0"/>
                      <w:bCs/>
                      <w:color w:val="000000" w:themeColor="text1"/>
                      <w:highlight w:val="none"/>
                      <w:lang w:val="en-US" w:eastAsia="zh-CN"/>
                      <w14:textFill>
                        <w14:solidFill>
                          <w14:schemeClr w14:val="tx1"/>
                        </w14:solidFill>
                      </w14:textFill>
                    </w:rPr>
                    <w:t>锭</w:t>
                  </w:r>
                </w:p>
              </w:tc>
              <w:tc>
                <w:tcPr>
                  <w:tcW w:w="3811" w:type="pct"/>
                  <w:vAlign w:val="center"/>
                </w:tcPr>
                <w:p w14:paraId="4C147DCF">
                  <w:pPr>
                    <w:adjustRightInd/>
                    <w:snapToGrid/>
                    <w:spacing w:line="240" w:lineRule="auto"/>
                    <w:jc w:val="left"/>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铝合金是以铝为基础加入其他元素组成的合金，合金元素有镁、锌等。铝合金熔点低（</w:t>
                  </w:r>
                  <w:r>
                    <w:rPr>
                      <w:rFonts w:hint="default" w:ascii="Times New Roman" w:hAnsi="Times New Roman" w:cs="Times New Roman" w:eastAsiaTheme="minorEastAsia"/>
                      <w:color w:val="000000" w:themeColor="text1"/>
                      <w:lang w:val="en-US" w:eastAsia="zh-CN"/>
                      <w14:textFill>
                        <w14:solidFill>
                          <w14:schemeClr w14:val="tx1"/>
                        </w14:solidFill>
                      </w14:textFill>
                    </w:rPr>
                    <w:t>660℃</w:t>
                  </w:r>
                  <w:r>
                    <w:rPr>
                      <w:rFonts w:hint="default" w:ascii="Times New Roman" w:hAnsi="Times New Roman" w:cs="Times New Roman" w:eastAsiaTheme="minorEastAsia"/>
                      <w:color w:val="000000" w:themeColor="text1"/>
                      <w:lang w:eastAsia="zh-CN"/>
                      <w14:textFill>
                        <w14:solidFill>
                          <w14:schemeClr w14:val="tx1"/>
                        </w14:solidFill>
                      </w14:textFill>
                    </w:rPr>
                    <w:t>）、比重</w:t>
                  </w:r>
                  <w:r>
                    <w:rPr>
                      <w:rFonts w:hint="default" w:ascii="Times New Roman" w:hAnsi="Times New Roman" w:cs="Times New Roman" w:eastAsiaTheme="minorEastAsia"/>
                      <w:color w:val="000000" w:themeColor="text1"/>
                      <w:lang w:val="en-US" w:eastAsia="zh-CN"/>
                      <w14:textFill>
                        <w14:solidFill>
                          <w14:schemeClr w14:val="tx1"/>
                        </w14:solidFill>
                      </w14:textFill>
                    </w:rPr>
                    <w:t>2.702，</w:t>
                  </w:r>
                  <w:r>
                    <w:rPr>
                      <w:rFonts w:hint="default" w:ascii="Times New Roman" w:hAnsi="Times New Roman" w:cs="Times New Roman" w:eastAsiaTheme="minorEastAsia"/>
                      <w:b w:val="0"/>
                      <w:bCs/>
                      <w:color w:val="000000" w:themeColor="text1"/>
                      <w:lang w:val="en-US" w:eastAsia="zh-CN"/>
                      <w14:textFill>
                        <w14:solidFill>
                          <w14:schemeClr w14:val="tx1"/>
                        </w14:solidFill>
                      </w14:textFill>
                    </w:rPr>
                    <w:t>密度为2.63～2.85g/cm，有较高的强度(σb为110～650MPa)，</w:t>
                  </w:r>
                  <w:r>
                    <w:rPr>
                      <w:rFonts w:hint="default" w:ascii="Times New Roman" w:hAnsi="Times New Roman" w:cs="Times New Roman" w:eastAsiaTheme="minorEastAsia"/>
                      <w:color w:val="000000" w:themeColor="text1"/>
                      <w:lang w:val="en-US" w:eastAsia="zh-CN"/>
                      <w14:textFill>
                        <w14:solidFill>
                          <w14:schemeClr w14:val="tx1"/>
                        </w14:solidFill>
                      </w14:textFill>
                    </w:rPr>
                    <w:t>接近或超过优质钢、塑性好，具有良好的导电性、导热性和抗蚀性，是工业中应用最广泛的一类有色金属结构材料，在航空、航天、汽车、机械制造、船舶及化学工业中已大量应用。</w:t>
                  </w:r>
                </w:p>
              </w:tc>
            </w:tr>
            <w:tr w14:paraId="18205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14:paraId="0369F1F5">
                  <w:pPr>
                    <w:adjustRightInd/>
                    <w:snapToGrid/>
                    <w:spacing w:line="240" w:lineRule="auto"/>
                    <w:jc w:val="cente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t>3</w:t>
                  </w:r>
                </w:p>
              </w:tc>
              <w:tc>
                <w:tcPr>
                  <w:tcW w:w="782" w:type="pct"/>
                  <w:vAlign w:val="center"/>
                </w:tcPr>
                <w:p w14:paraId="43991056">
                  <w:pPr>
                    <w:pStyle w:val="19"/>
                    <w:adjustRightInd/>
                    <w:snapToGrid/>
                    <w:spacing w:line="240" w:lineRule="auto"/>
                    <w:rPr>
                      <w:rFonts w:hint="default" w:ascii="Times New Roman" w:hAnsi="Times New Roman" w:cs="Times New Roman" w:eastAsiaTheme="minorEastAsia"/>
                      <w:b w:val="0"/>
                      <w:bCs/>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0"/>
                      <w:lang w:val="en-US" w:eastAsia="zh-CN" w:bidi="ar-SA"/>
                      <w14:textFill>
                        <w14:solidFill>
                          <w14:schemeClr w14:val="tx1"/>
                        </w14:solidFill>
                      </w14:textFill>
                    </w:rPr>
                    <w:t>脱模剂</w:t>
                  </w:r>
                </w:p>
              </w:tc>
              <w:tc>
                <w:tcPr>
                  <w:tcW w:w="3811" w:type="pct"/>
                  <w:vAlign w:val="center"/>
                </w:tcPr>
                <w:p w14:paraId="3AF9F4E0">
                  <w:pPr>
                    <w:adjustRightInd/>
                    <w:snapToGrid/>
                    <w:spacing w:line="240" w:lineRule="auto"/>
                    <w:jc w:val="left"/>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t>主要成分为硅酮58%、石蜡油32%、水10%。脱模剂是一种介于模具和成品之间的功能性物质。脱模剂有耐化学性，在与不同树脂的化学成分（特别是苯乙烯和胺类）接触时不被溶解。脱模剂还具有耐热及应力性能，不易分解或磨损；脱模剂粘合到模具上而不转移到被加工的制件上，不妨碍喷漆或其他二次加工操作。</w:t>
                  </w:r>
                </w:p>
              </w:tc>
            </w:tr>
            <w:tr w14:paraId="1D9CC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vAlign w:val="center"/>
                </w:tcPr>
                <w:p w14:paraId="1A486328">
                  <w:pPr>
                    <w:adjustRightInd/>
                    <w:snapToGrid/>
                    <w:spacing w:line="240" w:lineRule="auto"/>
                    <w:jc w:val="cente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Cs w:val="21"/>
                      <w:lang w:val="en-US" w:eastAsia="zh-CN"/>
                      <w14:textFill>
                        <w14:solidFill>
                          <w14:schemeClr w14:val="tx1"/>
                        </w14:solidFill>
                      </w14:textFill>
                    </w:rPr>
                    <w:t>4</w:t>
                  </w:r>
                </w:p>
              </w:tc>
              <w:tc>
                <w:tcPr>
                  <w:tcW w:w="782" w:type="pct"/>
                  <w:vAlign w:val="center"/>
                </w:tcPr>
                <w:p w14:paraId="733DED49">
                  <w:pPr>
                    <w:pStyle w:val="19"/>
                    <w:adjustRightInd/>
                    <w:snapToGrid/>
                    <w:spacing w:line="240" w:lineRule="auto"/>
                    <w:rPr>
                      <w:rFonts w:hint="default" w:ascii="Times New Roman" w:hAnsi="Times New Roman" w:cs="Times New Roman" w:eastAsiaTheme="minorEastAsia"/>
                      <w:b w:val="0"/>
                      <w:bCs/>
                      <w:color w:val="000000" w:themeColor="text1"/>
                      <w:kern w:val="2"/>
                      <w:sz w:val="21"/>
                      <w:szCs w:val="20"/>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0"/>
                      <w:lang w:val="en-US" w:eastAsia="zh-CN" w:bidi="ar-SA"/>
                      <w14:textFill>
                        <w14:solidFill>
                          <w14:schemeClr w14:val="tx1"/>
                        </w14:solidFill>
                      </w14:textFill>
                    </w:rPr>
                    <w:t>水基切削液</w:t>
                  </w:r>
                </w:p>
              </w:tc>
              <w:tc>
                <w:tcPr>
                  <w:tcW w:w="3811" w:type="pct"/>
                  <w:vAlign w:val="center"/>
                </w:tcPr>
                <w:p w14:paraId="42638AAF">
                  <w:pPr>
                    <w:adjustRightInd/>
                    <w:snapToGrid/>
                    <w:spacing w:line="240" w:lineRule="auto"/>
                    <w:jc w:val="left"/>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t>一种用在金属切、削、磨等机加工过程中，用来冷却和润滑刀具和</w:t>
                  </w:r>
                </w:p>
                <w:p w14:paraId="4EA9DD6C">
                  <w:pPr>
                    <w:adjustRightInd/>
                    <w:snapToGrid/>
                    <w:spacing w:line="240" w:lineRule="auto"/>
                    <w:jc w:val="left"/>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t>加工件的工业用液体，本项目使用的水基切削液为乳化液，主要由</w:t>
                  </w:r>
                </w:p>
                <w:p w14:paraId="049C027F">
                  <w:pPr>
                    <w:adjustRightInd/>
                    <w:snapToGrid/>
                    <w:spacing w:line="240" w:lineRule="auto"/>
                    <w:jc w:val="left"/>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t>乳化油组成，其中矿物油占 50~80%，经水稀释后液体不透明，呈</w:t>
                  </w:r>
                </w:p>
                <w:p w14:paraId="76335C0D">
                  <w:pPr>
                    <w:adjustRightInd/>
                    <w:snapToGrid/>
                    <w:spacing w:line="240" w:lineRule="auto"/>
                    <w:jc w:val="left"/>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t>乳白色，具备良好的冷却性能、润滑性能、防锈性能、除油清洗功</w:t>
                  </w:r>
                </w:p>
                <w:p w14:paraId="563A64A0">
                  <w:pPr>
                    <w:adjustRightInd/>
                    <w:snapToGrid/>
                    <w:spacing w:line="240" w:lineRule="auto"/>
                    <w:jc w:val="left"/>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kern w:val="2"/>
                      <w:sz w:val="21"/>
                      <w:szCs w:val="24"/>
                      <w:lang w:val="en-US" w:eastAsia="zh-CN" w:bidi="ar-SA"/>
                      <w14:textFill>
                        <w14:solidFill>
                          <w14:schemeClr w14:val="tx1"/>
                        </w14:solidFill>
                      </w14:textFill>
                    </w:rPr>
                    <w:t>能、防腐功能。</w:t>
                  </w:r>
                </w:p>
              </w:tc>
            </w:tr>
          </w:tbl>
          <w:p w14:paraId="5A457339">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2.6</w:t>
            </w: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项目</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主要生产设备</w:t>
            </w:r>
            <w:bookmarkEnd w:id="5"/>
            <w:bookmarkEnd w:id="6"/>
          </w:p>
          <w:p w14:paraId="67FA0029">
            <w:pPr>
              <w:bidi w:val="0"/>
              <w:spacing w:line="360" w:lineRule="auto"/>
              <w:ind w:firstLine="420"/>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项目主要生产设备情况见表2.6-1。</w:t>
            </w:r>
          </w:p>
          <w:p w14:paraId="1F2238CD">
            <w:pPr>
              <w:pStyle w:val="71"/>
              <w:spacing w:line="240" w:lineRule="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表2.6-1  项目主要生产设备一览表</w:t>
            </w:r>
          </w:p>
          <w:tbl>
            <w:tblPr>
              <w:tblStyle w:val="35"/>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1487"/>
              <w:gridCol w:w="2247"/>
              <w:gridCol w:w="945"/>
              <w:gridCol w:w="1020"/>
              <w:gridCol w:w="1777"/>
            </w:tblGrid>
            <w:tr w14:paraId="0C1D26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3F836397">
                  <w:pPr>
                    <w:pStyle w:val="114"/>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序号</w:t>
                  </w:r>
                </w:p>
              </w:tc>
              <w:tc>
                <w:tcPr>
                  <w:tcW w:w="1487" w:type="dxa"/>
                  <w:tcBorders>
                    <w:tl2br w:val="nil"/>
                    <w:tr2bl w:val="nil"/>
                  </w:tcBorders>
                  <w:shd w:val="clear" w:color="auto" w:fill="auto"/>
                  <w:vAlign w:val="center"/>
                </w:tcPr>
                <w:p w14:paraId="08BD1917">
                  <w:pPr>
                    <w:pStyle w:val="114"/>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设备名称</w:t>
                  </w:r>
                </w:p>
              </w:tc>
              <w:tc>
                <w:tcPr>
                  <w:tcW w:w="2247" w:type="dxa"/>
                  <w:tcBorders>
                    <w:tl2br w:val="nil"/>
                    <w:tr2bl w:val="nil"/>
                  </w:tcBorders>
                  <w:shd w:val="clear" w:color="auto" w:fill="auto"/>
                  <w:vAlign w:val="center"/>
                </w:tcPr>
                <w:p w14:paraId="3E72BAE4">
                  <w:pPr>
                    <w:pStyle w:val="114"/>
                    <w:ind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规格/型号</w:t>
                  </w:r>
                </w:p>
              </w:tc>
              <w:tc>
                <w:tcPr>
                  <w:tcW w:w="945" w:type="dxa"/>
                  <w:tcBorders>
                    <w:tl2br w:val="nil"/>
                    <w:tr2bl w:val="nil"/>
                  </w:tcBorders>
                  <w:shd w:val="clear" w:color="auto" w:fill="auto"/>
                  <w:vAlign w:val="center"/>
                </w:tcPr>
                <w:p w14:paraId="2F05FE34">
                  <w:pPr>
                    <w:pStyle w:val="114"/>
                    <w:ind w:firstLine="0" w:firstLineChars="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数量</w:t>
                  </w:r>
                </w:p>
              </w:tc>
              <w:tc>
                <w:tcPr>
                  <w:tcW w:w="1020" w:type="dxa"/>
                  <w:tcBorders>
                    <w:tl2br w:val="nil"/>
                    <w:tr2bl w:val="nil"/>
                  </w:tcBorders>
                  <w:shd w:val="clear" w:color="auto" w:fill="auto"/>
                  <w:vAlign w:val="center"/>
                </w:tcPr>
                <w:p w14:paraId="011158F6">
                  <w:pPr>
                    <w:pStyle w:val="114"/>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单位</w:t>
                  </w:r>
                </w:p>
              </w:tc>
              <w:tc>
                <w:tcPr>
                  <w:tcW w:w="1777" w:type="dxa"/>
                  <w:tcBorders>
                    <w:tl2br w:val="nil"/>
                    <w:tr2bl w:val="nil"/>
                  </w:tcBorders>
                  <w:shd w:val="clear" w:color="auto" w:fill="auto"/>
                  <w:vAlign w:val="center"/>
                </w:tcPr>
                <w:p w14:paraId="3B7F6897">
                  <w:pPr>
                    <w:pStyle w:val="114"/>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工序</w:t>
                  </w:r>
                </w:p>
              </w:tc>
            </w:tr>
            <w:tr w14:paraId="77D0C7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613484AE">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1</w:t>
                  </w:r>
                </w:p>
              </w:tc>
              <w:tc>
                <w:tcPr>
                  <w:tcW w:w="1487" w:type="dxa"/>
                  <w:tcBorders>
                    <w:tl2br w:val="nil"/>
                    <w:tr2bl w:val="nil"/>
                  </w:tcBorders>
                  <w:shd w:val="clear" w:color="auto" w:fill="auto"/>
                  <w:vAlign w:val="center"/>
                </w:tcPr>
                <w:p w14:paraId="50DD9EE6">
                  <w:pPr>
                    <w:pStyle w:val="114"/>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电熔炉</w:t>
                  </w:r>
                </w:p>
              </w:tc>
              <w:tc>
                <w:tcPr>
                  <w:tcW w:w="2247" w:type="dxa"/>
                  <w:tcBorders>
                    <w:tl2br w:val="nil"/>
                    <w:tr2bl w:val="nil"/>
                  </w:tcBorders>
                  <w:shd w:val="clear" w:color="auto" w:fill="auto"/>
                  <w:vAlign w:val="center"/>
                </w:tcPr>
                <w:p w14:paraId="3C3276B9">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90KW</w:t>
                  </w:r>
                </w:p>
              </w:tc>
              <w:tc>
                <w:tcPr>
                  <w:tcW w:w="945" w:type="dxa"/>
                  <w:tcBorders>
                    <w:tl2br w:val="nil"/>
                    <w:tr2bl w:val="nil"/>
                  </w:tcBorders>
                  <w:shd w:val="clear" w:color="auto" w:fill="auto"/>
                  <w:vAlign w:val="center"/>
                </w:tcPr>
                <w:p w14:paraId="67DAF46F">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4</w:t>
                  </w:r>
                </w:p>
              </w:tc>
              <w:tc>
                <w:tcPr>
                  <w:tcW w:w="1020" w:type="dxa"/>
                  <w:tcBorders>
                    <w:tl2br w:val="nil"/>
                    <w:tr2bl w:val="nil"/>
                  </w:tcBorders>
                  <w:shd w:val="clear" w:color="auto" w:fill="auto"/>
                  <w:vAlign w:val="center"/>
                </w:tcPr>
                <w:p w14:paraId="20F18938">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0F71D2B2">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熔化</w:t>
                  </w:r>
                </w:p>
              </w:tc>
            </w:tr>
            <w:tr w14:paraId="59FE1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008AC564">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2</w:t>
                  </w:r>
                </w:p>
              </w:tc>
              <w:tc>
                <w:tcPr>
                  <w:tcW w:w="1487" w:type="dxa"/>
                  <w:tcBorders>
                    <w:tl2br w:val="nil"/>
                    <w:tr2bl w:val="nil"/>
                  </w:tcBorders>
                  <w:shd w:val="clear" w:color="auto" w:fill="auto"/>
                  <w:vAlign w:val="center"/>
                </w:tcPr>
                <w:p w14:paraId="24A79B2B">
                  <w:pPr>
                    <w:pStyle w:val="114"/>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压铸机</w:t>
                  </w:r>
                </w:p>
              </w:tc>
              <w:tc>
                <w:tcPr>
                  <w:tcW w:w="2247" w:type="dxa"/>
                  <w:tcBorders>
                    <w:tl2br w:val="nil"/>
                    <w:tr2bl w:val="nil"/>
                  </w:tcBorders>
                  <w:shd w:val="clear" w:color="auto" w:fill="auto"/>
                  <w:vAlign w:val="center"/>
                </w:tcPr>
                <w:p w14:paraId="72F3AB29">
                  <w:pPr>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20KW</w:t>
                  </w:r>
                </w:p>
              </w:tc>
              <w:tc>
                <w:tcPr>
                  <w:tcW w:w="945" w:type="dxa"/>
                  <w:tcBorders>
                    <w:tl2br w:val="nil"/>
                    <w:tr2bl w:val="nil"/>
                  </w:tcBorders>
                  <w:shd w:val="clear" w:color="auto" w:fill="auto"/>
                  <w:vAlign w:val="center"/>
                </w:tcPr>
                <w:p w14:paraId="05638FBE">
                  <w:pPr>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4</w:t>
                  </w:r>
                </w:p>
              </w:tc>
              <w:tc>
                <w:tcPr>
                  <w:tcW w:w="1020" w:type="dxa"/>
                  <w:tcBorders>
                    <w:tl2br w:val="nil"/>
                    <w:tr2bl w:val="nil"/>
                  </w:tcBorders>
                  <w:shd w:val="clear" w:color="auto" w:fill="auto"/>
                  <w:vAlign w:val="center"/>
                </w:tcPr>
                <w:p w14:paraId="367F0063">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20730D48">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压铸</w:t>
                  </w:r>
                </w:p>
              </w:tc>
            </w:tr>
            <w:tr w14:paraId="60F2A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73446360">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3</w:t>
                  </w:r>
                </w:p>
              </w:tc>
              <w:tc>
                <w:tcPr>
                  <w:tcW w:w="1487" w:type="dxa"/>
                  <w:tcBorders>
                    <w:tl2br w:val="nil"/>
                    <w:tr2bl w:val="nil"/>
                  </w:tcBorders>
                  <w:shd w:val="clear" w:color="auto" w:fill="auto"/>
                  <w:vAlign w:val="center"/>
                </w:tcPr>
                <w:p w14:paraId="2A9E860C">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空压机</w:t>
                  </w:r>
                </w:p>
              </w:tc>
              <w:tc>
                <w:tcPr>
                  <w:tcW w:w="2247" w:type="dxa"/>
                  <w:tcBorders>
                    <w:tl2br w:val="nil"/>
                    <w:tr2bl w:val="nil"/>
                  </w:tcBorders>
                  <w:shd w:val="clear" w:color="auto" w:fill="auto"/>
                  <w:vAlign w:val="center"/>
                </w:tcPr>
                <w:p w14:paraId="2C24FD04">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XS-30/8</w:t>
                  </w:r>
                </w:p>
              </w:tc>
              <w:tc>
                <w:tcPr>
                  <w:tcW w:w="945" w:type="dxa"/>
                  <w:tcBorders>
                    <w:tl2br w:val="nil"/>
                    <w:tr2bl w:val="nil"/>
                  </w:tcBorders>
                  <w:shd w:val="clear" w:color="auto" w:fill="auto"/>
                  <w:vAlign w:val="center"/>
                </w:tcPr>
                <w:p w14:paraId="4A663B12">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w:t>
                  </w:r>
                </w:p>
              </w:tc>
              <w:tc>
                <w:tcPr>
                  <w:tcW w:w="1020" w:type="dxa"/>
                  <w:tcBorders>
                    <w:tl2br w:val="nil"/>
                    <w:tr2bl w:val="nil"/>
                  </w:tcBorders>
                  <w:shd w:val="clear" w:color="auto" w:fill="auto"/>
                  <w:vAlign w:val="center"/>
                </w:tcPr>
                <w:p w14:paraId="59010058">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754C7CA7">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空气压缩</w:t>
                  </w:r>
                </w:p>
              </w:tc>
            </w:tr>
            <w:tr w14:paraId="58E7EC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61CF8310">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4</w:t>
                  </w:r>
                </w:p>
              </w:tc>
              <w:tc>
                <w:tcPr>
                  <w:tcW w:w="1487" w:type="dxa"/>
                  <w:tcBorders>
                    <w:tl2br w:val="nil"/>
                    <w:tr2bl w:val="nil"/>
                  </w:tcBorders>
                  <w:shd w:val="clear" w:color="auto" w:fill="auto"/>
                  <w:vAlign w:val="center"/>
                </w:tcPr>
                <w:p w14:paraId="5ABB82FD">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抛光机</w:t>
                  </w:r>
                </w:p>
              </w:tc>
              <w:tc>
                <w:tcPr>
                  <w:tcW w:w="2247" w:type="dxa"/>
                  <w:tcBorders>
                    <w:tl2br w:val="nil"/>
                    <w:tr2bl w:val="nil"/>
                  </w:tcBorders>
                  <w:shd w:val="clear" w:color="auto" w:fill="auto"/>
                  <w:vAlign w:val="center"/>
                </w:tcPr>
                <w:p w14:paraId="669C9F83">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w:t>
                  </w:r>
                </w:p>
              </w:tc>
              <w:tc>
                <w:tcPr>
                  <w:tcW w:w="945" w:type="dxa"/>
                  <w:tcBorders>
                    <w:tl2br w:val="nil"/>
                    <w:tr2bl w:val="nil"/>
                  </w:tcBorders>
                  <w:shd w:val="clear" w:color="auto" w:fill="auto"/>
                  <w:vAlign w:val="center"/>
                </w:tcPr>
                <w:p w14:paraId="274A4C9F">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w:t>
                  </w:r>
                </w:p>
              </w:tc>
              <w:tc>
                <w:tcPr>
                  <w:tcW w:w="1020" w:type="dxa"/>
                  <w:tcBorders>
                    <w:tl2br w:val="nil"/>
                    <w:tr2bl w:val="nil"/>
                  </w:tcBorders>
                  <w:shd w:val="clear" w:color="auto" w:fill="auto"/>
                  <w:vAlign w:val="center"/>
                </w:tcPr>
                <w:p w14:paraId="2B92F455">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6DD53920">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机加工</w:t>
                  </w:r>
                </w:p>
              </w:tc>
            </w:tr>
            <w:tr w14:paraId="458F12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30E61605">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5</w:t>
                  </w:r>
                </w:p>
              </w:tc>
              <w:tc>
                <w:tcPr>
                  <w:tcW w:w="1487" w:type="dxa"/>
                  <w:tcBorders>
                    <w:tl2br w:val="nil"/>
                    <w:tr2bl w:val="nil"/>
                  </w:tcBorders>
                  <w:shd w:val="clear" w:color="auto" w:fill="auto"/>
                  <w:vAlign w:val="center"/>
                </w:tcPr>
                <w:p w14:paraId="238D1C92">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攻牙机</w:t>
                  </w:r>
                </w:p>
              </w:tc>
              <w:tc>
                <w:tcPr>
                  <w:tcW w:w="2247" w:type="dxa"/>
                  <w:tcBorders>
                    <w:tl2br w:val="nil"/>
                    <w:tr2bl w:val="nil"/>
                  </w:tcBorders>
                  <w:shd w:val="clear" w:color="auto" w:fill="auto"/>
                  <w:vAlign w:val="center"/>
                </w:tcPr>
                <w:p w14:paraId="76BEE777">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YDZ20</w:t>
                  </w:r>
                </w:p>
              </w:tc>
              <w:tc>
                <w:tcPr>
                  <w:tcW w:w="945" w:type="dxa"/>
                  <w:tcBorders>
                    <w:tl2br w:val="nil"/>
                    <w:tr2bl w:val="nil"/>
                  </w:tcBorders>
                  <w:shd w:val="clear" w:color="auto" w:fill="auto"/>
                  <w:vAlign w:val="center"/>
                </w:tcPr>
                <w:p w14:paraId="31BCC273">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28</w:t>
                  </w:r>
                </w:p>
              </w:tc>
              <w:tc>
                <w:tcPr>
                  <w:tcW w:w="1020" w:type="dxa"/>
                  <w:tcBorders>
                    <w:tl2br w:val="nil"/>
                    <w:tr2bl w:val="nil"/>
                  </w:tcBorders>
                  <w:shd w:val="clear" w:color="auto" w:fill="auto"/>
                  <w:vAlign w:val="center"/>
                </w:tcPr>
                <w:p w14:paraId="29C15D6B">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34273F2B">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机加工</w:t>
                  </w:r>
                </w:p>
              </w:tc>
            </w:tr>
            <w:tr w14:paraId="5D43E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787B1876">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6</w:t>
                  </w:r>
                </w:p>
              </w:tc>
              <w:tc>
                <w:tcPr>
                  <w:tcW w:w="1487" w:type="dxa"/>
                  <w:tcBorders>
                    <w:tl2br w:val="nil"/>
                    <w:tr2bl w:val="nil"/>
                  </w:tcBorders>
                  <w:shd w:val="clear" w:color="auto" w:fill="auto"/>
                  <w:vAlign w:val="center"/>
                </w:tcPr>
                <w:p w14:paraId="754BF48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t>钻孔机</w:t>
                  </w:r>
                </w:p>
              </w:tc>
              <w:tc>
                <w:tcPr>
                  <w:tcW w:w="2247" w:type="dxa"/>
                  <w:tcBorders>
                    <w:tl2br w:val="nil"/>
                    <w:tr2bl w:val="nil"/>
                  </w:tcBorders>
                  <w:shd w:val="clear" w:color="auto" w:fill="auto"/>
                  <w:vAlign w:val="center"/>
                </w:tcPr>
                <w:p w14:paraId="765080D3">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w:t>
                  </w:r>
                </w:p>
              </w:tc>
              <w:tc>
                <w:tcPr>
                  <w:tcW w:w="945" w:type="dxa"/>
                  <w:tcBorders>
                    <w:tl2br w:val="nil"/>
                    <w:tr2bl w:val="nil"/>
                  </w:tcBorders>
                  <w:shd w:val="clear" w:color="auto" w:fill="auto"/>
                  <w:vAlign w:val="center"/>
                </w:tcPr>
                <w:p w14:paraId="4F69E4BA">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10</w:t>
                  </w:r>
                </w:p>
              </w:tc>
              <w:tc>
                <w:tcPr>
                  <w:tcW w:w="1020" w:type="dxa"/>
                  <w:tcBorders>
                    <w:tl2br w:val="nil"/>
                    <w:tr2bl w:val="nil"/>
                  </w:tcBorders>
                  <w:shd w:val="clear" w:color="auto" w:fill="auto"/>
                  <w:vAlign w:val="center"/>
                </w:tcPr>
                <w:p w14:paraId="439B3002">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1D08945A">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机加工</w:t>
                  </w:r>
                </w:p>
              </w:tc>
            </w:tr>
            <w:tr w14:paraId="3ED1E2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3D4A758D">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7</w:t>
                  </w:r>
                </w:p>
              </w:tc>
              <w:tc>
                <w:tcPr>
                  <w:tcW w:w="1487" w:type="dxa"/>
                  <w:tcBorders>
                    <w:tl2br w:val="nil"/>
                    <w:tr2bl w:val="nil"/>
                  </w:tcBorders>
                  <w:shd w:val="clear" w:color="auto" w:fill="auto"/>
                  <w:vAlign w:val="center"/>
                </w:tcPr>
                <w:p w14:paraId="20CA70BA">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液压冲压机</w:t>
                  </w:r>
                </w:p>
              </w:tc>
              <w:tc>
                <w:tcPr>
                  <w:tcW w:w="2247" w:type="dxa"/>
                  <w:tcBorders>
                    <w:tl2br w:val="nil"/>
                    <w:tr2bl w:val="nil"/>
                  </w:tcBorders>
                  <w:shd w:val="clear" w:color="auto" w:fill="auto"/>
                  <w:vAlign w:val="center"/>
                </w:tcPr>
                <w:p w14:paraId="0B9760E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100T</w:t>
                  </w:r>
                </w:p>
              </w:tc>
              <w:tc>
                <w:tcPr>
                  <w:tcW w:w="945" w:type="dxa"/>
                  <w:tcBorders>
                    <w:tl2br w:val="nil"/>
                    <w:tr2bl w:val="nil"/>
                  </w:tcBorders>
                  <w:shd w:val="clear" w:color="auto" w:fill="auto"/>
                  <w:vAlign w:val="center"/>
                </w:tcPr>
                <w:p w14:paraId="74FAD604">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10</w:t>
                  </w:r>
                </w:p>
              </w:tc>
              <w:tc>
                <w:tcPr>
                  <w:tcW w:w="1020" w:type="dxa"/>
                  <w:tcBorders>
                    <w:tl2br w:val="nil"/>
                    <w:tr2bl w:val="nil"/>
                  </w:tcBorders>
                  <w:shd w:val="clear" w:color="auto" w:fill="auto"/>
                  <w:vAlign w:val="center"/>
                </w:tcPr>
                <w:p w14:paraId="4685409D">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409A88CB">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机加工</w:t>
                  </w:r>
                </w:p>
              </w:tc>
            </w:tr>
            <w:tr w14:paraId="4B3581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59F63220">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8</w:t>
                  </w:r>
                </w:p>
              </w:tc>
              <w:tc>
                <w:tcPr>
                  <w:tcW w:w="1487" w:type="dxa"/>
                  <w:tcBorders>
                    <w:tl2br w:val="nil"/>
                    <w:tr2bl w:val="nil"/>
                  </w:tcBorders>
                  <w:shd w:val="clear" w:color="auto" w:fill="auto"/>
                  <w:vAlign w:val="center"/>
                </w:tcPr>
                <w:p w14:paraId="543FB183">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研磨机</w:t>
                  </w:r>
                </w:p>
              </w:tc>
              <w:tc>
                <w:tcPr>
                  <w:tcW w:w="2247" w:type="dxa"/>
                  <w:tcBorders>
                    <w:tl2br w:val="nil"/>
                    <w:tr2bl w:val="nil"/>
                  </w:tcBorders>
                  <w:shd w:val="clear" w:color="auto" w:fill="auto"/>
                  <w:vAlign w:val="center"/>
                </w:tcPr>
                <w:p w14:paraId="56CFA14A">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400L直口振动研磨</w:t>
                  </w:r>
                </w:p>
              </w:tc>
              <w:tc>
                <w:tcPr>
                  <w:tcW w:w="945" w:type="dxa"/>
                  <w:tcBorders>
                    <w:tl2br w:val="nil"/>
                    <w:tr2bl w:val="nil"/>
                  </w:tcBorders>
                  <w:shd w:val="clear" w:color="auto" w:fill="auto"/>
                  <w:vAlign w:val="center"/>
                </w:tcPr>
                <w:p w14:paraId="304E31B4">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w:t>
                  </w:r>
                </w:p>
              </w:tc>
              <w:tc>
                <w:tcPr>
                  <w:tcW w:w="1020" w:type="dxa"/>
                  <w:tcBorders>
                    <w:tl2br w:val="nil"/>
                    <w:tr2bl w:val="nil"/>
                  </w:tcBorders>
                  <w:shd w:val="clear" w:color="auto" w:fill="auto"/>
                  <w:vAlign w:val="center"/>
                </w:tcPr>
                <w:p w14:paraId="025F396A">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140A28EA">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研磨</w:t>
                  </w:r>
                </w:p>
              </w:tc>
            </w:tr>
            <w:tr w14:paraId="4757A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6CF34BE6">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9</w:t>
                  </w:r>
                </w:p>
              </w:tc>
              <w:tc>
                <w:tcPr>
                  <w:tcW w:w="1487" w:type="dxa"/>
                  <w:tcBorders>
                    <w:tl2br w:val="nil"/>
                    <w:tr2bl w:val="nil"/>
                  </w:tcBorders>
                  <w:shd w:val="clear" w:color="auto" w:fill="auto"/>
                  <w:vAlign w:val="center"/>
                </w:tcPr>
                <w:p w14:paraId="1E84D651">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烘干机</w:t>
                  </w:r>
                </w:p>
              </w:tc>
              <w:tc>
                <w:tcPr>
                  <w:tcW w:w="2247" w:type="dxa"/>
                  <w:tcBorders>
                    <w:tl2br w:val="nil"/>
                    <w:tr2bl w:val="nil"/>
                  </w:tcBorders>
                  <w:shd w:val="clear" w:color="auto" w:fill="auto"/>
                  <w:vAlign w:val="center"/>
                </w:tcPr>
                <w:p w14:paraId="328015BA">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z w:val="21"/>
                      <w:szCs w:val="21"/>
                      <w:lang w:eastAsia="zh-CN"/>
                      <w14:textFill>
                        <w14:solidFill>
                          <w14:schemeClr w14:val="tx1"/>
                        </w14:solidFill>
                      </w14:textFill>
                    </w:rPr>
                    <w:t>35型普通脱水烘干机</w:t>
                  </w:r>
                </w:p>
              </w:tc>
              <w:tc>
                <w:tcPr>
                  <w:tcW w:w="945" w:type="dxa"/>
                  <w:tcBorders>
                    <w:tl2br w:val="nil"/>
                    <w:tr2bl w:val="nil"/>
                  </w:tcBorders>
                  <w:shd w:val="clear" w:color="auto" w:fill="auto"/>
                  <w:vAlign w:val="center"/>
                </w:tcPr>
                <w:p w14:paraId="6923FC3A">
                  <w:pPr>
                    <w:widowControl/>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3</w:t>
                  </w:r>
                </w:p>
              </w:tc>
              <w:tc>
                <w:tcPr>
                  <w:tcW w:w="1020" w:type="dxa"/>
                  <w:tcBorders>
                    <w:tl2br w:val="nil"/>
                    <w:tr2bl w:val="nil"/>
                  </w:tcBorders>
                  <w:shd w:val="clear" w:color="auto" w:fill="auto"/>
                  <w:vAlign w:val="center"/>
                </w:tcPr>
                <w:p w14:paraId="6BBDBE70">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1D67105E">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机烘干</w:t>
                  </w:r>
                  <w:r>
                    <w:rPr>
                      <w:rFonts w:hint="eastAsia" w:cs="Times New Roman" w:eastAsiaTheme="minorEastAsia"/>
                      <w:color w:val="000000" w:themeColor="text1"/>
                      <w:kern w:val="2"/>
                      <w:sz w:val="21"/>
                      <w:szCs w:val="24"/>
                      <w:highlight w:val="none"/>
                      <w:lang w:val="en-US" w:eastAsia="zh-CN" w:bidi="ar-SA"/>
                      <w14:textFill>
                        <w14:solidFill>
                          <w14:schemeClr w14:val="tx1"/>
                        </w14:solidFill>
                      </w14:textFill>
                    </w:rPr>
                    <w:t>（电烘干）</w:t>
                  </w:r>
                </w:p>
              </w:tc>
            </w:tr>
            <w:tr w14:paraId="739EB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44" w:type="dxa"/>
                  <w:tcBorders>
                    <w:tl2br w:val="nil"/>
                    <w:tr2bl w:val="nil"/>
                  </w:tcBorders>
                  <w:shd w:val="clear" w:color="auto" w:fill="auto"/>
                  <w:vAlign w:val="center"/>
                </w:tcPr>
                <w:p w14:paraId="56B8030C">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bookmarkStart w:id="7" w:name="_Toc29427_WPSOffice_Level3"/>
                  <w:bookmarkStart w:id="8" w:name="_Toc9394_WPSOffice_Level2"/>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10</w:t>
                  </w:r>
                </w:p>
              </w:tc>
              <w:tc>
                <w:tcPr>
                  <w:tcW w:w="1487" w:type="dxa"/>
                  <w:tcBorders>
                    <w:tl2br w:val="nil"/>
                    <w:tr2bl w:val="nil"/>
                  </w:tcBorders>
                  <w:shd w:val="clear" w:color="auto" w:fill="auto"/>
                  <w:vAlign w:val="center"/>
                </w:tcPr>
                <w:p w14:paraId="5E91E80A">
                  <w:pPr>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冷却塔</w:t>
                  </w:r>
                </w:p>
              </w:tc>
              <w:tc>
                <w:tcPr>
                  <w:tcW w:w="2247" w:type="dxa"/>
                  <w:tcBorders>
                    <w:tl2br w:val="nil"/>
                    <w:tr2bl w:val="nil"/>
                  </w:tcBorders>
                  <w:shd w:val="clear" w:color="auto" w:fill="auto"/>
                  <w:vAlign w:val="center"/>
                </w:tcPr>
                <w:p w14:paraId="682B217B">
                  <w:pPr>
                    <w:jc w:val="cente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w:t>
                  </w:r>
                </w:p>
              </w:tc>
              <w:tc>
                <w:tcPr>
                  <w:tcW w:w="945" w:type="dxa"/>
                  <w:tcBorders>
                    <w:tl2br w:val="nil"/>
                    <w:tr2bl w:val="nil"/>
                  </w:tcBorders>
                  <w:shd w:val="clear" w:color="auto" w:fill="auto"/>
                  <w:vAlign w:val="center"/>
                </w:tcPr>
                <w:p w14:paraId="0129B979">
                  <w:pPr>
                    <w:widowControl/>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w:t>
                  </w:r>
                </w:p>
              </w:tc>
              <w:tc>
                <w:tcPr>
                  <w:tcW w:w="1020" w:type="dxa"/>
                  <w:tcBorders>
                    <w:tl2br w:val="nil"/>
                    <w:tr2bl w:val="nil"/>
                  </w:tcBorders>
                  <w:shd w:val="clear" w:color="auto" w:fill="auto"/>
                  <w:vAlign w:val="center"/>
                </w:tcPr>
                <w:p w14:paraId="324267AA">
                  <w:pPr>
                    <w:pStyle w:val="114"/>
                    <w:ind w:firstLine="0" w:firstLineChars="0"/>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台</w:t>
                  </w:r>
                </w:p>
              </w:tc>
              <w:tc>
                <w:tcPr>
                  <w:tcW w:w="1777" w:type="dxa"/>
                  <w:tcBorders>
                    <w:tl2br w:val="nil"/>
                    <w:tr2bl w:val="nil"/>
                  </w:tcBorders>
                  <w:shd w:val="clear" w:color="auto" w:fill="auto"/>
                  <w:vAlign w:val="center"/>
                </w:tcPr>
                <w:p w14:paraId="50A23537">
                  <w:pPr>
                    <w:pStyle w:val="114"/>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电熔炉冷却</w:t>
                  </w:r>
                </w:p>
              </w:tc>
            </w:tr>
          </w:tbl>
          <w:p w14:paraId="0E15433F">
            <w:pPr>
              <w:pStyle w:val="60"/>
              <w:ind w:firstLine="0" w:firstLineChars="0"/>
              <w:rPr>
                <w:rFonts w:hint="default" w:ascii="Times New Roman" w:hAnsi="Times New Roman" w:cs="Times New Roman" w:eastAsiaTheme="minorEastAsia"/>
                <w:b/>
                <w:bCs/>
                <w:color w:val="000000" w:themeColor="text1"/>
                <w:kern w:val="2"/>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14:textFill>
                  <w14:solidFill>
                    <w14:schemeClr w14:val="tx1"/>
                  </w14:solidFill>
                </w14:textFill>
              </w:rPr>
              <w:t>2.7水平衡</w:t>
            </w:r>
            <w:bookmarkEnd w:id="7"/>
            <w:bookmarkEnd w:id="8"/>
          </w:p>
          <w:p w14:paraId="22469687">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14:textFill>
                  <w14:solidFill>
                    <w14:schemeClr w14:val="tx1"/>
                  </w14:solidFill>
                </w14:textFill>
              </w:rPr>
              <w:t>用水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情况</w:t>
            </w:r>
          </w:p>
          <w:p w14:paraId="457250A6">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项目生产过程用水主要为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冷却塔用水、攻牙用水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和生活用水。</w:t>
            </w:r>
          </w:p>
          <w:p w14:paraId="41BEAEA9">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①</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生产用水</w:t>
            </w:r>
          </w:p>
          <w:p w14:paraId="272AFA77">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电熔炉冷却需配备冷却塔间接冷却，冷却塔用水循环使用不外排，攻牙工序采用水性攻牙</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攻牙用水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循环使用不外排，但</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会</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蒸发损耗。根据建设单位提供资料，</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冷却塔</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蒸发损耗水量为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100t/a，循环使用量占</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蒸发损耗水量的</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10%，则循环使用水量为10t/a。攻牙工序</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补充蒸发损耗水量为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50t/a，循环使用量占</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蒸发损耗水量的</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10%，则循环使用水量为5t/a。本项目压铸工序会产生烟尘，烟尘经水喷淋塔喷淋过滤处理，喷淋水全部循环使用，不</w:t>
            </w:r>
            <w:r>
              <w:rPr>
                <w:rFonts w:hint="eastAsia" w:cs="Times New Roman" w:eastAsiaTheme="minorEastAsia"/>
                <w:color w:val="000000" w:themeColor="text1"/>
                <w:kern w:val="2"/>
                <w:sz w:val="24"/>
                <w:szCs w:val="24"/>
                <w:lang w:val="en-US" w:eastAsia="zh-CN"/>
                <w14:textFill>
                  <w14:solidFill>
                    <w14:schemeClr w14:val="tx1"/>
                  </w14:solidFill>
                </w14:textFill>
              </w:rPr>
              <w:t>外排，</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项目水喷淋除尘器配套一个循环水为1m</w:t>
            </w:r>
            <w:r>
              <w:rPr>
                <w:rFonts w:hint="eastAsia"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的喷淋塔，则项目喷淋循环用水总计约为1m</w:t>
            </w:r>
            <w:r>
              <w:rPr>
                <w:rFonts w:hint="eastAsia"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。项目每天因蒸发损耗补充的新鲜水量约占循环用水量的10%，年工作日按300天计，则补充喷淋用水量约为0.1t/d，30t</w:t>
            </w:r>
            <w:r>
              <w:rPr>
                <w:rFonts w:hint="eastAsia" w:cs="Times New Roman" w:eastAsiaTheme="minorEastAsia"/>
                <w:color w:val="000000" w:themeColor="text1"/>
                <w:kern w:val="2"/>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a。</w:t>
            </w:r>
          </w:p>
          <w:p w14:paraId="5B2C6335">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②</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生活用水</w:t>
            </w:r>
          </w:p>
          <w:p w14:paraId="4A9044DA">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根据建设单位提供资料，</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全厂</w:t>
            </w:r>
            <w:r>
              <w:rPr>
                <w:rFonts w:hint="default" w:ascii="Times New Roman" w:hAnsi="Times New Roman" w:cs="Times New Roman" w:eastAsiaTheme="minorEastAsia"/>
                <w:color w:val="000000" w:themeColor="text1"/>
                <w:kern w:val="2"/>
                <w:sz w:val="24"/>
                <w:szCs w:val="24"/>
                <w14:textFill>
                  <w14:solidFill>
                    <w14:schemeClr w14:val="tx1"/>
                  </w14:solidFill>
                </w14:textFill>
              </w:rPr>
              <w:t>职工人数</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kern w:val="2"/>
                <w:sz w:val="24"/>
                <w:szCs w:val="24"/>
                <w14:textFill>
                  <w14:solidFill>
                    <w14:schemeClr w14:val="tx1"/>
                  </w14:solidFill>
                </w14:textFill>
              </w:rPr>
              <w:t>人(包括生产人员、管理人员等)，</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均不食宿厂区。</w:t>
            </w:r>
            <w:r>
              <w:rPr>
                <w:rFonts w:hint="default" w:ascii="Times New Roman" w:hAnsi="Times New Roman" w:cs="Times New Roman" w:eastAsiaTheme="minorEastAsia"/>
                <w:color w:val="000000" w:themeColor="text1"/>
                <w:kern w:val="2"/>
                <w:sz w:val="24"/>
                <w:szCs w:val="24"/>
                <w14:textFill>
                  <w14:solidFill>
                    <w14:schemeClr w14:val="tx1"/>
                  </w14:solidFill>
                </w14:textFill>
              </w:rPr>
              <w:t>根据《建筑给水排水设计规范》(GB50015-201</w:t>
            </w:r>
            <w:r>
              <w:rPr>
                <w:rFonts w:hint="eastAsia" w:cs="Times New Roman" w:eastAsiaTheme="minorEastAsia"/>
                <w:color w:val="000000" w:themeColor="text1"/>
                <w:kern w:val="2"/>
                <w:sz w:val="24"/>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，不住厂员工生活用水量为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50</w:t>
            </w:r>
            <w:r>
              <w:rPr>
                <w:rFonts w:hint="default" w:ascii="Times New Roman" w:hAnsi="Times New Roman" w:cs="Times New Roman" w:eastAsiaTheme="minorEastAsia"/>
                <w:color w:val="000000" w:themeColor="text1"/>
                <w:kern w:val="2"/>
                <w:sz w:val="24"/>
                <w:szCs w:val="24"/>
                <w14:textFill>
                  <w14:solidFill>
                    <w14:schemeClr w14:val="tx1"/>
                  </w14:solidFill>
                </w14:textFill>
              </w:rPr>
              <w:t>L/人，年工作日按全年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运营</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30</w:t>
            </w:r>
            <w:r>
              <w:rPr>
                <w:rFonts w:hint="default" w:ascii="Times New Roman" w:hAnsi="Times New Roman" w:cs="Times New Roman" w:eastAsiaTheme="minorEastAsia"/>
                <w:color w:val="000000" w:themeColor="text1"/>
                <w:kern w:val="2"/>
                <w:sz w:val="24"/>
                <w:szCs w:val="24"/>
                <w14:textFill>
                  <w14:solidFill>
                    <w14:schemeClr w14:val="tx1"/>
                  </w14:solidFill>
                </w14:textFill>
              </w:rPr>
              <w:t>0天计，则</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全厂</w:t>
            </w:r>
            <w:r>
              <w:rPr>
                <w:rFonts w:hint="default" w:ascii="Times New Roman" w:hAnsi="Times New Roman" w:cs="Times New Roman" w:eastAsiaTheme="minorEastAsia"/>
                <w:color w:val="000000" w:themeColor="text1"/>
                <w:kern w:val="2"/>
                <w:sz w:val="24"/>
                <w:szCs w:val="24"/>
                <w14:textFill>
                  <w14:solidFill>
                    <w14:schemeClr w14:val="tx1"/>
                  </w14:solidFill>
                </w14:textFill>
              </w:rPr>
              <w:t>职工生活用水量约为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0.75</w:t>
            </w:r>
            <w:r>
              <w:rPr>
                <w:rFonts w:hint="default" w:ascii="Times New Roman" w:hAnsi="Times New Roman" w:cs="Times New Roman" w:eastAsiaTheme="minorEastAsia"/>
                <w:color w:val="000000" w:themeColor="text1"/>
                <w:kern w:val="2"/>
                <w:sz w:val="24"/>
                <w:szCs w:val="24"/>
                <w14:textFill>
                  <w14:solidFill>
                    <w14:schemeClr w14:val="tx1"/>
                  </w14:solidFill>
                </w14:textFill>
              </w:rPr>
              <w:t>t/d(</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225</w:t>
            </w:r>
            <w:r>
              <w:rPr>
                <w:rFonts w:hint="default" w:ascii="Times New Roman" w:hAnsi="Times New Roman" w:cs="Times New Roman" w:eastAsiaTheme="minorEastAsia"/>
                <w:color w:val="000000" w:themeColor="text1"/>
                <w:kern w:val="2"/>
                <w:sz w:val="24"/>
                <w:szCs w:val="24"/>
                <w14:textFill>
                  <w14:solidFill>
                    <w14:schemeClr w14:val="tx1"/>
                  </w14:solidFill>
                </w14:textFill>
              </w:rPr>
              <w:t>t/a)</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67D0FB8B">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14:textFill>
                  <w14:solidFill>
                    <w14:schemeClr w14:val="tx1"/>
                  </w14:solidFill>
                </w14:textFill>
              </w:rPr>
              <w:t>排水分析</w:t>
            </w:r>
          </w:p>
          <w:p w14:paraId="3A08EF07">
            <w:pPr>
              <w:pStyle w:val="60"/>
              <w:ind w:firstLine="48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项目仅排放生活污水，</w:t>
            </w:r>
            <w:r>
              <w:rPr>
                <w:rFonts w:hint="default" w:ascii="Times New Roman" w:hAnsi="Times New Roman" w:cs="Times New Roman" w:eastAsiaTheme="minorEastAsia"/>
                <w:color w:val="000000" w:themeColor="text1"/>
                <w:kern w:val="2"/>
                <w:sz w:val="24"/>
                <w:szCs w:val="24"/>
                <w14:textFill>
                  <w14:solidFill>
                    <w14:schemeClr w14:val="tx1"/>
                  </w14:solidFill>
                </w14:textFill>
              </w:rPr>
              <w:t>生活</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污水</w:t>
            </w:r>
            <w:r>
              <w:rPr>
                <w:rFonts w:hint="default" w:ascii="Times New Roman" w:hAnsi="Times New Roman" w:cs="Times New Roman" w:eastAsiaTheme="minorEastAsia"/>
                <w:color w:val="000000" w:themeColor="text1"/>
                <w:kern w:val="2"/>
                <w:sz w:val="24"/>
                <w:szCs w:val="24"/>
                <w14:textFill>
                  <w14:solidFill>
                    <w14:schemeClr w14:val="tx1"/>
                  </w14:solidFill>
                </w14:textFill>
              </w:rPr>
              <w:t>根据《室外排水设计规范》(GB50014-20</w:t>
            </w:r>
            <w:r>
              <w:rPr>
                <w:rFonts w:hint="eastAsia" w:cs="Times New Roman" w:eastAsiaTheme="minorEastAsia"/>
                <w:color w:val="000000" w:themeColor="text1"/>
                <w:kern w:val="2"/>
                <w:sz w:val="24"/>
                <w:szCs w:val="24"/>
                <w:lang w:val="en-US" w:eastAsia="zh-CN"/>
                <w14:textFill>
                  <w14:solidFill>
                    <w14:schemeClr w14:val="tx1"/>
                  </w14:solidFill>
                </w14:textFill>
              </w:rPr>
              <w:t>21</w:t>
            </w:r>
            <w:r>
              <w:rPr>
                <w:rFonts w:hint="default" w:ascii="Times New Roman" w:hAnsi="Times New Roman" w:cs="Times New Roman" w:eastAsiaTheme="minorEastAsia"/>
                <w:color w:val="000000" w:themeColor="text1"/>
                <w:kern w:val="2"/>
                <w:sz w:val="24"/>
                <w:szCs w:val="24"/>
                <w14:textFill>
                  <w14:solidFill>
                    <w14:schemeClr w14:val="tx1"/>
                  </w14:solidFill>
                </w14:textFill>
              </w:rPr>
              <w:t>)，居民生活污水定额可按用水定额的80%计算(其余20%蒸发损耗等)，则生活污水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产生</w:t>
            </w:r>
            <w:r>
              <w:rPr>
                <w:rFonts w:hint="default" w:ascii="Times New Roman" w:hAnsi="Times New Roman" w:cs="Times New Roman" w:eastAsiaTheme="minorEastAsia"/>
                <w:color w:val="000000" w:themeColor="text1"/>
                <w:kern w:val="2"/>
                <w:sz w:val="24"/>
                <w:szCs w:val="24"/>
                <w14:textFill>
                  <w14:solidFill>
                    <w14:schemeClr w14:val="tx1"/>
                  </w14:solidFill>
                </w14:textFill>
              </w:rPr>
              <w:t>量为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0.6</w:t>
            </w:r>
            <w:r>
              <w:rPr>
                <w:rFonts w:hint="default" w:ascii="Times New Roman" w:hAnsi="Times New Roman" w:cs="Times New Roman" w:eastAsiaTheme="minorEastAsia"/>
                <w:color w:val="000000" w:themeColor="text1"/>
                <w:kern w:val="2"/>
                <w:sz w:val="24"/>
                <w:szCs w:val="24"/>
                <w14:textFill>
                  <w14:solidFill>
                    <w14:schemeClr w14:val="tx1"/>
                  </w14:solidFill>
                </w14:textFill>
              </w:rPr>
              <w:t>t/d</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180</w:t>
            </w:r>
            <w:r>
              <w:rPr>
                <w:rFonts w:hint="default" w:ascii="Times New Roman" w:hAnsi="Times New Roman" w:cs="Times New Roman" w:eastAsiaTheme="minorEastAsia"/>
                <w:color w:val="000000" w:themeColor="text1"/>
                <w:kern w:val="2"/>
                <w:sz w:val="24"/>
                <w:szCs w:val="24"/>
                <w14:textFill>
                  <w14:solidFill>
                    <w14:schemeClr w14:val="tx1"/>
                  </w14:solidFill>
                </w14:textFill>
              </w:rPr>
              <w:t>t/a</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），经化粪池处理后接入市政污水管网排入福清市融元污水处理厂处理。</w:t>
            </w:r>
          </w:p>
          <w:p w14:paraId="27A65238">
            <w:pPr>
              <w:pStyle w:val="71"/>
              <w:spacing w:line="240" w:lineRule="auto"/>
              <w:jc w:val="cente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9" w:name="_Toc2275_WPSOffice_Level2"/>
            <w:r>
              <w:rPr>
                <w:color w:val="000000" w:themeColor="text1"/>
                <w14:textFill>
                  <w14:solidFill>
                    <w14:schemeClr w14:val="tx1"/>
                  </w14:solidFill>
                </w14:textFill>
              </w:rPr>
              <w:drawing>
                <wp:inline distT="0" distB="0" distL="114300" distR="114300">
                  <wp:extent cx="5117465" cy="2924810"/>
                  <wp:effectExtent l="0" t="0" r="6985" b="889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9"/>
                          <a:stretch>
                            <a:fillRect/>
                          </a:stretch>
                        </pic:blipFill>
                        <pic:spPr>
                          <a:xfrm>
                            <a:off x="0" y="0"/>
                            <a:ext cx="5117465" cy="2924810"/>
                          </a:xfrm>
                          <a:prstGeom prst="rect">
                            <a:avLst/>
                          </a:prstGeom>
                          <a:noFill/>
                          <a:ln>
                            <a:noFill/>
                          </a:ln>
                        </pic:spPr>
                      </pic:pic>
                    </a:graphicData>
                  </a:graphic>
                </wp:inline>
              </w:drawing>
            </w:r>
          </w:p>
          <w:p w14:paraId="69602A4C">
            <w:pPr>
              <w:pStyle w:val="71"/>
              <w:spacing w:line="240" w:lineRule="auto"/>
              <w:jc w:val="cente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图2.7-1  项目水平衡图</w:t>
            </w:r>
            <w:bookmarkEnd w:id="9"/>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（t/a）</w:t>
            </w:r>
          </w:p>
          <w:p w14:paraId="0AF64E18">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bookmarkStart w:id="10" w:name="_Toc2415"/>
            <w:bookmarkStart w:id="11" w:name="_Toc20319_WPSOffice_Level1"/>
            <w:bookmarkStart w:id="12" w:name="_Toc14867_WPSOffice_Level2"/>
            <w:bookmarkStart w:id="13" w:name="_Toc22956_WPSOffice_Level2"/>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2.8平面布置</w:t>
            </w:r>
            <w:bookmarkEnd w:id="10"/>
            <w:bookmarkEnd w:id="11"/>
            <w:bookmarkEnd w:id="12"/>
            <w:bookmarkEnd w:id="13"/>
          </w:p>
          <w:p w14:paraId="28DA78A4">
            <w:pPr>
              <w:pStyle w:val="60"/>
              <w:ind w:firstLine="480"/>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位于</w:t>
            </w:r>
            <w:r>
              <w:rPr>
                <w:rFonts w:hint="default" w:ascii="Times New Roman" w:hAnsi="Times New Roman" w:cs="Times New Roman"/>
                <w:color w:val="000000" w:themeColor="text1"/>
                <w:kern w:val="0"/>
                <w:sz w:val="24"/>
                <w:lang w:bidi="ar"/>
                <w14:textFill>
                  <w14:solidFill>
                    <w14:schemeClr w14:val="tx1"/>
                  </w14:solidFill>
                </w14:textFill>
              </w:rPr>
              <w:t>福建省福州市福清市阳下街道洪宽工业区（租赁福清洪添科技有限公司1第1、2层）</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厂房为2层，厂房总面积3050</w:t>
            </w:r>
            <w:r>
              <w:rPr>
                <w:rFonts w:hint="default" w:ascii="Times New Roman" w:hAnsi="Times New Roman" w:cs="Times New Roman" w:eastAsiaTheme="minorEastAsia"/>
                <w:color w:val="000000" w:themeColor="text1"/>
                <w:sz w:val="24"/>
                <w:szCs w:val="24"/>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生产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厂房</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一层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布设为原料仓库、成品仓库，</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熔化压铸工序、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研磨、烘干工序</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；二层为机加工区、。</w:t>
            </w:r>
            <w:r>
              <w:rPr>
                <w:rFonts w:hint="default" w:ascii="Times New Roman" w:hAnsi="Times New Roman" w:cs="Times New Roman" w:eastAsiaTheme="minorEastAsia"/>
                <w:color w:val="000000" w:themeColor="text1"/>
                <w:sz w:val="24"/>
                <w:szCs w:val="24"/>
                <w14:textFill>
                  <w14:solidFill>
                    <w14:schemeClr w14:val="tx1"/>
                  </w14:solidFill>
                </w14:textFill>
              </w:rPr>
              <w:t>总平面布置功能分区明确、布置紧凑、生产流程顺畅，</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减少交叉干扰</w:t>
            </w:r>
            <w:r>
              <w:rPr>
                <w:rFonts w:hint="eastAsia"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从总体上考虑，该厂的平面布局是基本合理的。项目总平面布置图详见附图</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p>
        </w:tc>
      </w:tr>
      <w:tr w14:paraId="53D43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DC9FA63">
            <w:pPr>
              <w:pStyle w:val="30"/>
              <w:spacing w:before="0" w:beforeAutospacing="0" w:after="0" w:afterAutospacing="0"/>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工艺流程和产排污环节</w:t>
            </w:r>
          </w:p>
        </w:tc>
        <w:tc>
          <w:tcPr>
            <w:tcW w:w="8280" w:type="dxa"/>
            <w:vAlign w:val="center"/>
          </w:tcPr>
          <w:p w14:paraId="53FBF60D">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2.9项目生产工艺流程及产</w:t>
            </w: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排</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污环节</w:t>
            </w:r>
          </w:p>
          <w:p w14:paraId="6A83FC35">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14:textFill>
                  <w14:solidFill>
                    <w14:schemeClr w14:val="tx1"/>
                  </w14:solidFill>
                </w14:textFill>
              </w:rPr>
              <w:t>生产工艺流程</w:t>
            </w:r>
          </w:p>
          <w:p w14:paraId="2BAB43C3">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w:t>
            </w:r>
            <w:r>
              <w:rPr>
                <w:rFonts w:hint="default" w:ascii="Times New Roman" w:hAnsi="Times New Roman" w:cs="Times New Roman" w:eastAsiaTheme="minorEastAsia"/>
                <w:color w:val="000000" w:themeColor="text1"/>
                <w:kern w:val="2"/>
                <w:sz w:val="24"/>
                <w:szCs w:val="24"/>
                <w14:textFill>
                  <w14:solidFill>
                    <w14:schemeClr w14:val="tx1"/>
                  </w14:solidFill>
                </w14:textFill>
              </w:rPr>
              <w:t>项目主要从事电脑显示器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锌合金及铝合金支架的生产活动，</w:t>
            </w:r>
            <w:r>
              <w:rPr>
                <w:rFonts w:hint="default" w:ascii="Times New Roman" w:hAnsi="Times New Roman" w:cs="Times New Roman" w:eastAsiaTheme="minorEastAsia"/>
                <w:color w:val="000000" w:themeColor="text1"/>
                <w:kern w:val="2"/>
                <w:sz w:val="24"/>
                <w:szCs w:val="24"/>
                <w14:textFill>
                  <w14:solidFill>
                    <w14:schemeClr w14:val="tx1"/>
                  </w14:solidFill>
                </w14:textFill>
              </w:rPr>
              <w:t>具体</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kern w:val="2"/>
                <w:sz w:val="24"/>
                <w:szCs w:val="24"/>
                <w14:textFill>
                  <w14:solidFill>
                    <w14:schemeClr w14:val="tx1"/>
                  </w14:solidFill>
                </w14:textFill>
              </w:rPr>
              <w:t>工艺流程详见图2.9</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p>
          <w:p w14:paraId="02ADC214">
            <w:pPr>
              <w:pStyle w:val="60"/>
              <w:ind w:left="0" w:leftChars="0" w:firstLine="0" w:firstLineChars="0"/>
              <w:jc w:val="cente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114300" distR="114300">
                  <wp:extent cx="3486150" cy="5019675"/>
                  <wp:effectExtent l="0" t="0" r="0" b="9525"/>
                  <wp:docPr id="1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3"/>
                          <pic:cNvPicPr>
                            <a:picLocks noChangeAspect="1"/>
                          </pic:cNvPicPr>
                        </pic:nvPicPr>
                        <pic:blipFill>
                          <a:blip r:embed="rId10"/>
                          <a:stretch>
                            <a:fillRect/>
                          </a:stretch>
                        </pic:blipFill>
                        <pic:spPr>
                          <a:xfrm>
                            <a:off x="0" y="0"/>
                            <a:ext cx="3486150" cy="5019675"/>
                          </a:xfrm>
                          <a:prstGeom prst="rect">
                            <a:avLst/>
                          </a:prstGeom>
                          <a:noFill/>
                          <a:ln>
                            <a:noFill/>
                          </a:ln>
                        </pic:spPr>
                      </pic:pic>
                    </a:graphicData>
                  </a:graphic>
                </wp:inline>
              </w:drawing>
            </w:r>
          </w:p>
          <w:p w14:paraId="5120B18C">
            <w:pPr>
              <w:pStyle w:val="71"/>
              <w:spacing w:line="360" w:lineRule="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bookmarkStart w:id="14" w:name="_Toc31683_WPSOffice_Level2"/>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图2.9-1  生产工艺流程及产污</w:t>
            </w:r>
            <w:bookmarkEnd w:id="14"/>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环节图</w:t>
            </w:r>
          </w:p>
          <w:p w14:paraId="48F005DC">
            <w:pPr>
              <w:pStyle w:val="60"/>
              <w:spacing w:line="360" w:lineRule="auto"/>
              <w:ind w:firstLine="420"/>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生产</w:t>
            </w:r>
            <w:r>
              <w:rPr>
                <w:rFonts w:hint="default" w:ascii="Times New Roman" w:hAnsi="Times New Roman" w:cs="Times New Roman" w:eastAsiaTheme="minorEastAsia"/>
                <w:b w:val="0"/>
                <w:bCs w:val="0"/>
                <w:color w:val="000000" w:themeColor="text1"/>
                <w:kern w:val="2"/>
                <w:sz w:val="24"/>
                <w:szCs w:val="24"/>
                <w14:textFill>
                  <w14:solidFill>
                    <w14:schemeClr w14:val="tx1"/>
                  </w14:solidFill>
                </w14:textFill>
              </w:rPr>
              <w:t>工艺流程</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简介：</w:t>
            </w:r>
          </w:p>
          <w:p w14:paraId="609AF079">
            <w:pPr>
              <w:spacing w:line="360" w:lineRule="auto"/>
              <w:ind w:firstLine="480" w:firstLineChars="20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①投料、熔化：将外购的铝合金锭、锌合金锭分别投入感应电炉中高温（锌合金锭时控制炉内温度约400℃、铝合金锭时控制炉内温度约660℃）熔化成液体，经静置保温一段时间即可出汤，该工序会产生烟气（颗粒物）和噪声。</w:t>
            </w:r>
          </w:p>
          <w:p w14:paraId="780073AE">
            <w:pPr>
              <w:spacing w:line="360" w:lineRule="auto"/>
              <w:ind w:firstLine="480" w:firstLineChars="20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②压铸、脱模：先在压铸机的模具内表面喷涂脱模剂，然后将熔化后的铝合金液、锌合金液分别注入压铸机的模具中，压铸成型；此过程会产生脱模废气（非甲烷总烃）、脱模剂包装桶、噪声。</w:t>
            </w:r>
          </w:p>
          <w:p w14:paraId="0DB2B666">
            <w:pPr>
              <w:pStyle w:val="99"/>
              <w:ind w:firstLine="480"/>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4"/>
                <w:szCs w:val="24"/>
                <w:lang w:val="en-US"/>
                <w14:textFill>
                  <w14:solidFill>
                    <w14:schemeClr w14:val="tx1"/>
                  </w14:solidFill>
                </w14:textFill>
              </w:rPr>
              <w:fldChar w:fldCharType="begin"/>
            </w:r>
            <w:r>
              <w:rPr>
                <w:rFonts w:hint="default" w:ascii="Times New Roman" w:hAnsi="Times New Roman" w:cs="Times New Roman" w:eastAsiaTheme="minorEastAsia"/>
                <w:bCs/>
                <w:color w:val="000000" w:themeColor="text1"/>
                <w:sz w:val="24"/>
                <w:szCs w:val="24"/>
                <w:lang w:val="en-US"/>
                <w14:textFill>
                  <w14:solidFill>
                    <w14:schemeClr w14:val="tx1"/>
                  </w14:solidFill>
                </w14:textFill>
              </w:rPr>
              <w:instrText xml:space="preserve"> = 3 \* GB3 \* MERGEFORMAT </w:instrText>
            </w:r>
            <w:r>
              <w:rPr>
                <w:rFonts w:hint="default" w:ascii="Times New Roman" w:hAnsi="Times New Roman" w:cs="Times New Roman" w:eastAsiaTheme="minorEastAsia"/>
                <w:bCs/>
                <w:color w:val="000000" w:themeColor="text1"/>
                <w:sz w:val="24"/>
                <w:szCs w:val="24"/>
                <w:lang w:val="en-US"/>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14:textFill>
                  <w14:solidFill>
                    <w14:schemeClr w14:val="tx1"/>
                  </w14:solidFill>
                </w14:textFill>
              </w:rPr>
              <w:t>③</w:t>
            </w:r>
            <w:r>
              <w:rPr>
                <w:rFonts w:hint="default" w:ascii="Times New Roman" w:hAnsi="Times New Roman" w:cs="Times New Roman" w:eastAsiaTheme="minorEastAsia"/>
                <w:bCs/>
                <w:color w:val="000000" w:themeColor="text1"/>
                <w:sz w:val="24"/>
                <w:szCs w:val="24"/>
                <w:lang w:val="en-US"/>
                <w14:textFill>
                  <w14:solidFill>
                    <w14:schemeClr w14:val="tx1"/>
                  </w14:solidFill>
                </w14:textFill>
              </w:rPr>
              <w:fldChar w:fldCharType="end"/>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分拣：</w:t>
            </w:r>
            <w:r>
              <w:rPr>
                <w:rFonts w:hint="default" w:ascii="Times New Roman" w:hAnsi="Times New Roman" w:cs="Times New Roman" w:eastAsiaTheme="minorEastAsia"/>
                <w:bCs/>
                <w:color w:val="000000" w:themeColor="text1"/>
                <w14:textFill>
                  <w14:solidFill>
                    <w14:schemeClr w14:val="tx1"/>
                  </w14:solidFill>
                </w14:textFill>
              </w:rPr>
              <w:t>人工分拣出在压铸脱模过程中被过度氧化的</w:t>
            </w:r>
            <w:r>
              <w:rPr>
                <w:rFonts w:hint="default" w:ascii="Times New Roman" w:hAnsi="Times New Roman" w:cs="Times New Roman" w:eastAsiaTheme="minorEastAsia"/>
                <w:bCs/>
                <w:color w:val="000000" w:themeColor="text1"/>
                <w:lang w:eastAsia="zh-CN"/>
                <w14:textFill>
                  <w14:solidFill>
                    <w14:schemeClr w14:val="tx1"/>
                  </w14:solidFill>
                </w14:textFill>
              </w:rPr>
              <w:t>铸件和</w:t>
            </w:r>
            <w:r>
              <w:rPr>
                <w:rFonts w:hint="default" w:ascii="Times New Roman" w:hAnsi="Times New Roman" w:cs="Times New Roman" w:eastAsiaTheme="minorEastAsia"/>
                <w:bCs/>
                <w:color w:val="000000" w:themeColor="text1"/>
                <w14:textFill>
                  <w14:solidFill>
                    <w14:schemeClr w14:val="tx1"/>
                  </w14:solidFill>
                </w14:textFill>
              </w:rPr>
              <w:t>压铸形状不合格的</w:t>
            </w:r>
            <w:r>
              <w:rPr>
                <w:rFonts w:hint="default" w:ascii="Times New Roman" w:hAnsi="Times New Roman" w:cs="Times New Roman" w:eastAsiaTheme="minorEastAsia"/>
                <w:bCs/>
                <w:color w:val="000000" w:themeColor="text1"/>
                <w:lang w:eastAsia="zh-CN"/>
                <w14:textFill>
                  <w14:solidFill>
                    <w14:schemeClr w14:val="tx1"/>
                  </w14:solidFill>
                </w14:textFill>
              </w:rPr>
              <w:t>铸件，回感应电炉进行重新熔化加工</w:t>
            </w:r>
            <w:r>
              <w:rPr>
                <w:rFonts w:hint="default" w:ascii="Times New Roman" w:hAnsi="Times New Roman" w:cs="Times New Roman" w:eastAsiaTheme="minorEastAsia"/>
                <w:bCs/>
                <w:color w:val="000000" w:themeColor="text1"/>
                <w14:textFill>
                  <w14:solidFill>
                    <w14:schemeClr w14:val="tx1"/>
                  </w14:solidFill>
                </w14:textFill>
              </w:rPr>
              <w:t>；</w:t>
            </w:r>
          </w:p>
          <w:p w14:paraId="208114C2">
            <w:pPr>
              <w:pStyle w:val="99"/>
              <w:ind w:firstLine="480"/>
              <w:rPr>
                <w:rFonts w:hint="default" w:ascii="Times New Roman" w:hAnsi="Times New Roman" w:cs="Times New Roman" w:eastAsiaTheme="minorEastAsia"/>
                <w:bCs/>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 4 \* GB3 \* MERGEFORMAT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14:textFill>
                  <w14:solidFill>
                    <w14:schemeClr w14:val="tx1"/>
                  </w14:solidFill>
                </w14:textFill>
              </w:rPr>
              <w:t>④</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机加工：</w:t>
            </w:r>
            <w:r>
              <w:rPr>
                <w:rFonts w:hint="default" w:ascii="Times New Roman" w:hAnsi="Times New Roman" w:cs="Times New Roman" w:eastAsiaTheme="minorEastAsia"/>
                <w:bCs/>
                <w:color w:val="000000" w:themeColor="text1"/>
                <w14:textFill>
                  <w14:solidFill>
                    <w14:schemeClr w14:val="tx1"/>
                  </w14:solidFill>
                </w14:textFill>
              </w:rPr>
              <w:t>脱模后</w:t>
            </w:r>
            <w:r>
              <w:rPr>
                <w:rFonts w:hint="default" w:ascii="Times New Roman" w:hAnsi="Times New Roman" w:cs="Times New Roman" w:eastAsiaTheme="minorEastAsia"/>
                <w:bCs/>
                <w:color w:val="000000" w:themeColor="text1"/>
                <w:lang w:eastAsia="zh-CN"/>
                <w14:textFill>
                  <w14:solidFill>
                    <w14:schemeClr w14:val="tx1"/>
                  </w14:solidFill>
                </w14:textFill>
              </w:rPr>
              <w:t>合格的铸件先用油压机切去边角料，边角料回感应电炉进行重新熔化加工；表面粗糙的铸件再在研磨</w:t>
            </w:r>
            <w:r>
              <w:rPr>
                <w:rFonts w:hint="default" w:ascii="Times New Roman" w:hAnsi="Times New Roman" w:cs="Times New Roman" w:eastAsiaTheme="minorEastAsia"/>
                <w:bCs/>
                <w:color w:val="000000" w:themeColor="text1"/>
                <w14:textFill>
                  <w14:solidFill>
                    <w14:schemeClr w14:val="tx1"/>
                  </w14:solidFill>
                </w14:textFill>
              </w:rPr>
              <w:t>机内进行研磨处理</w:t>
            </w:r>
            <w:r>
              <w:rPr>
                <w:rFonts w:hint="default" w:ascii="Times New Roman" w:hAnsi="Times New Roman" w:cs="Times New Roman" w:eastAsiaTheme="minorEastAsia"/>
                <w:bCs/>
                <w:color w:val="000000" w:themeColor="text1"/>
                <w:lang w:eastAsia="zh-CN"/>
                <w14:textFill>
                  <w14:solidFill>
                    <w14:schemeClr w14:val="tx1"/>
                  </w14:solidFill>
                </w14:textFill>
              </w:rPr>
              <w:t>，然后</w:t>
            </w:r>
            <w:r>
              <w:rPr>
                <w:rFonts w:hint="default" w:ascii="Times New Roman" w:hAnsi="Times New Roman" w:cs="Times New Roman" w:eastAsiaTheme="minorEastAsia"/>
                <w:bCs/>
                <w:color w:val="000000" w:themeColor="text1"/>
                <w14:textFill>
                  <w14:solidFill>
                    <w14:schemeClr w14:val="tx1"/>
                  </w14:solidFill>
                </w14:textFill>
              </w:rPr>
              <w:t>对检验合格的压铸进行打包，</w:t>
            </w:r>
            <w:r>
              <w:rPr>
                <w:rFonts w:hint="default" w:ascii="Times New Roman" w:hAnsi="Times New Roman" w:cs="Times New Roman" w:eastAsiaTheme="minorEastAsia"/>
                <w:bCs/>
                <w:color w:val="000000" w:themeColor="text1"/>
                <w:lang w:eastAsia="zh-CN"/>
                <w14:textFill>
                  <w14:solidFill>
                    <w14:schemeClr w14:val="tx1"/>
                  </w14:solidFill>
                </w14:textFill>
              </w:rPr>
              <w:t>进入下一步工序。此过程会产生金属粉尘、噪声，由于研磨机在密闭空间进行，产生的金属粉尘由于比重大，会沉降设备周围，定期清扫作为一般固废外售物资回收单位。</w:t>
            </w:r>
          </w:p>
          <w:p w14:paraId="5C12F2E6">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钻孔、攻牙等机加工：合格的铸件按照要求在钻孔、攻牙、冲压、抛光等机加工设备进行机加工，机加工过程需要用切削液对机加工设备进行润滑、冷却。此过程会产生废边角料、切削液包装桶、噪声，废边角料回感应电炉进行重新熔化加工。</w:t>
            </w:r>
          </w:p>
          <w:p w14:paraId="3A0CD9A5">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⑤研磨：铸件钻孔、攻牙等机加工后，表面粗糙的铸件再在研磨机内进行</w:t>
            </w:r>
          </w:p>
          <w:p w14:paraId="7E441A86">
            <w:pPr>
              <w:spacing w:line="360" w:lineRule="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研磨处理，此过程会产生金属粉尘、噪声，由于研磨机在密闭空间进行，产生</w:t>
            </w:r>
          </w:p>
          <w:p w14:paraId="535E8502">
            <w:pPr>
              <w:spacing w:line="360" w:lineRule="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的金属粉尘比重大，会沉降设备周围，定期清扫作为一般固废外售物资回收单</w:t>
            </w:r>
          </w:p>
          <w:p w14:paraId="2F2C6476">
            <w:pPr>
              <w:spacing w:line="360" w:lineRule="auto"/>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位利用</w:t>
            </w:r>
            <w:r>
              <w:rPr>
                <w:rFonts w:hint="default" w:ascii="Times New Roman" w:hAnsi="Times New Roman" w:cs="Times New Roman" w:eastAsiaTheme="minorEastAsia"/>
                <w:bCs/>
                <w:color w:val="000000" w:themeColor="text1"/>
                <w:sz w:val="24"/>
                <w:highlight w:val="none"/>
                <w:lang w:val="en-US" w:eastAsia="zh-CN"/>
                <w14:textFill>
                  <w14:solidFill>
                    <w14:schemeClr w14:val="tx1"/>
                  </w14:solidFill>
                </w14:textFill>
              </w:rPr>
              <w:t>。</w:t>
            </w:r>
          </w:p>
          <w:p w14:paraId="6F9394E1">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⑥烘干：因攻牙工序采用水性攻牙，铸件上沾有少量的水分，采用电烘干机进行烘干。此工序会产生噪声，水分直接挥发。</w:t>
            </w:r>
          </w:p>
          <w:p w14:paraId="6F23A449">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⑦包装入库：对加工后合格的铸件成品进行打包入库、待售。</w:t>
            </w:r>
          </w:p>
          <w:p w14:paraId="5DA25209">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本项目使用的原材料为纯的铝合金锭与锌合金锭，基本不</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掺杂</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其他杂质，不含重金属，熔化过程中会排放一定的热烟废气，该废气的主要成分包括烟尘和少量的CO、CO</w:t>
            </w:r>
            <w:r>
              <w:rPr>
                <w:rFonts w:hint="default" w:ascii="Times New Roman" w:hAnsi="Times New Roman" w:cs="Times New Roman" w:eastAsiaTheme="minorEastAsia"/>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。脱模工序会喷洒脱模剂，此工序会产生脱模废气，主要为非甲烷总烃。研磨过程中主要为铝、锌颗粒物，不含重金属。机加工产生的废边角料重新用于熔化压铸，不产生其他废渣。</w:t>
            </w:r>
          </w:p>
          <w:p w14:paraId="24734462">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产污环节</w:t>
            </w:r>
          </w:p>
          <w:p w14:paraId="15AB42C7">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项目</w:t>
            </w:r>
            <w:r>
              <w:rPr>
                <w:rFonts w:hint="default" w:ascii="Times New Roman" w:hAnsi="Times New Roman" w:cs="Times New Roman" w:eastAsiaTheme="minorEastAsia"/>
                <w:color w:val="000000" w:themeColor="text1"/>
                <w:sz w:val="24"/>
                <w14:textFill>
                  <w14:solidFill>
                    <w14:schemeClr w14:val="tx1"/>
                  </w14:solidFill>
                </w14:textFill>
              </w:rPr>
              <w:t>运营期</w:t>
            </w:r>
            <w:r>
              <w:rPr>
                <w:rFonts w:hint="default" w:ascii="Times New Roman" w:hAnsi="Times New Roman" w:cs="Times New Roman" w:eastAsiaTheme="minorEastAsia"/>
                <w:color w:val="000000" w:themeColor="text1"/>
                <w:sz w:val="24"/>
                <w:lang w:eastAsia="zh-CN"/>
                <w14:textFill>
                  <w14:solidFill>
                    <w14:schemeClr w14:val="tx1"/>
                  </w14:solidFill>
                </w14:textFill>
              </w:rPr>
              <w:t>产污</w:t>
            </w:r>
            <w:r>
              <w:rPr>
                <w:rFonts w:hint="default" w:ascii="Times New Roman" w:hAnsi="Times New Roman" w:cs="Times New Roman" w:eastAsiaTheme="minorEastAsia"/>
                <w:color w:val="000000" w:themeColor="text1"/>
                <w:sz w:val="24"/>
                <w14:textFill>
                  <w14:solidFill>
                    <w14:schemeClr w14:val="tx1"/>
                  </w14:solidFill>
                </w14:textFill>
              </w:rPr>
              <w:t>环节汇总见下表</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2.9-1</w:t>
            </w:r>
            <w:r>
              <w:rPr>
                <w:rFonts w:hint="default" w:ascii="Times New Roman" w:hAnsi="Times New Roman" w:cs="Times New Roman" w:eastAsiaTheme="minorEastAsia"/>
                <w:color w:val="000000" w:themeColor="text1"/>
                <w:sz w:val="24"/>
                <w14:textFill>
                  <w14:solidFill>
                    <w14:schemeClr w14:val="tx1"/>
                  </w14:solidFill>
                </w14:textFill>
              </w:rPr>
              <w:t>。</w:t>
            </w:r>
          </w:p>
          <w:p w14:paraId="6FB49E4F">
            <w:pPr>
              <w:pStyle w:val="60"/>
              <w:spacing w:line="240" w:lineRule="auto"/>
              <w:ind w:firstLine="402"/>
              <w:jc w:val="center"/>
              <w:rPr>
                <w:rFonts w:hint="default" w:ascii="Times New Roman" w:hAnsi="Times New Roman" w:cs="Times New Roman" w:eastAsiaTheme="minorEastAsia"/>
                <w:b/>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color w:val="000000" w:themeColor="text1"/>
                <w:sz w:val="24"/>
                <w:szCs w:val="24"/>
                <w:lang w:eastAsia="zh-CN"/>
                <w14:textFill>
                  <w14:solidFill>
                    <w14:schemeClr w14:val="tx1"/>
                  </w14:solidFill>
                </w14:textFill>
              </w:rPr>
              <w:t>表</w:t>
            </w:r>
            <w:r>
              <w:rPr>
                <w:rFonts w:hint="default" w:ascii="Times New Roman" w:hAnsi="Times New Roman" w:cs="Times New Roman" w:eastAsiaTheme="minorEastAsia"/>
                <w:b/>
                <w:color w:val="000000" w:themeColor="text1"/>
                <w:sz w:val="24"/>
                <w:szCs w:val="24"/>
                <w14:textFill>
                  <w14:solidFill>
                    <w14:schemeClr w14:val="tx1"/>
                  </w14:solidFill>
                </w14:textFill>
              </w:rPr>
              <w:t>2.9</w:t>
            </w: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 xml:space="preserve">-1 </w:t>
            </w:r>
            <w:r>
              <w:rPr>
                <w:rFonts w:hint="default" w:ascii="Times New Roman" w:hAnsi="Times New Roman" w:cs="Times New Roman" w:eastAsiaTheme="minorEastAsia"/>
                <w:b/>
                <w:color w:val="000000" w:themeColor="text1"/>
                <w:sz w:val="24"/>
                <w:szCs w:val="24"/>
                <w14:textFill>
                  <w14:solidFill>
                    <w14:schemeClr w14:val="tx1"/>
                  </w14:solidFill>
                </w14:textFill>
              </w:rPr>
              <w:t xml:space="preserve"> 项目运营期产污环节汇总</w:t>
            </w:r>
            <w:r>
              <w:rPr>
                <w:rFonts w:hint="default" w:ascii="Times New Roman" w:hAnsi="Times New Roman" w:cs="Times New Roman" w:eastAsiaTheme="minorEastAsia"/>
                <w:b/>
                <w:color w:val="000000" w:themeColor="text1"/>
                <w:sz w:val="24"/>
                <w:szCs w:val="24"/>
                <w:lang w:eastAsia="zh-CN"/>
                <w14:textFill>
                  <w14:solidFill>
                    <w14:schemeClr w14:val="tx1"/>
                  </w14:solidFill>
                </w14:textFill>
              </w:rPr>
              <w:t>一览表</w:t>
            </w:r>
          </w:p>
          <w:tbl>
            <w:tblPr>
              <w:tblStyle w:val="3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60"/>
              <w:gridCol w:w="1595"/>
              <w:gridCol w:w="1930"/>
              <w:gridCol w:w="3200"/>
            </w:tblGrid>
            <w:tr w14:paraId="1225C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tcMar>
                    <w:top w:w="0" w:type="dxa"/>
                    <w:left w:w="51" w:type="dxa"/>
                    <w:bottom w:w="0" w:type="dxa"/>
                    <w:right w:w="51" w:type="dxa"/>
                  </w:tcMar>
                  <w:vAlign w:val="center"/>
                </w:tcPr>
                <w:p w14:paraId="60B9108F">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序号</w:t>
                  </w:r>
                </w:p>
              </w:tc>
              <w:tc>
                <w:tcPr>
                  <w:tcW w:w="960" w:type="dxa"/>
                  <w:tcMar>
                    <w:top w:w="0" w:type="dxa"/>
                    <w:left w:w="51" w:type="dxa"/>
                    <w:bottom w:w="0" w:type="dxa"/>
                    <w:right w:w="51" w:type="dxa"/>
                  </w:tcMar>
                  <w:vAlign w:val="center"/>
                </w:tcPr>
                <w:p w14:paraId="513B654A">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污染源</w:t>
                  </w: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43E69384">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产污工序</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183D22F6">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污染物</w:t>
                  </w: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因子</w:t>
                  </w:r>
                </w:p>
              </w:tc>
              <w:tc>
                <w:tcPr>
                  <w:tcW w:w="3200" w:type="dxa"/>
                  <w:tcBorders>
                    <w:left w:val="single" w:color="000000" w:sz="4" w:space="0"/>
                  </w:tcBorders>
                  <w:tcMar>
                    <w:top w:w="0" w:type="dxa"/>
                    <w:left w:w="51" w:type="dxa"/>
                    <w:bottom w:w="0" w:type="dxa"/>
                    <w:right w:w="51" w:type="dxa"/>
                  </w:tcMar>
                  <w:vAlign w:val="center"/>
                </w:tcPr>
                <w:p w14:paraId="5AF085B4">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Cs w:val="21"/>
                      <w14:textFill>
                        <w14:solidFill>
                          <w14:schemeClr w14:val="tx1"/>
                        </w14:solidFill>
                      </w14:textFill>
                    </w:rPr>
                    <w:t>处置措施</w:t>
                  </w: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及去向</w:t>
                  </w:r>
                </w:p>
              </w:tc>
            </w:tr>
            <w:tr w14:paraId="13C0D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restart"/>
                  <w:tcMar>
                    <w:top w:w="0" w:type="dxa"/>
                    <w:left w:w="51" w:type="dxa"/>
                    <w:bottom w:w="0" w:type="dxa"/>
                    <w:right w:w="51" w:type="dxa"/>
                  </w:tcMar>
                  <w:vAlign w:val="center"/>
                </w:tcPr>
                <w:p w14:paraId="4E44A153">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1</w:t>
                  </w:r>
                </w:p>
              </w:tc>
              <w:tc>
                <w:tcPr>
                  <w:tcW w:w="960" w:type="dxa"/>
                  <w:vMerge w:val="restart"/>
                  <w:tcMar>
                    <w:top w:w="0" w:type="dxa"/>
                    <w:left w:w="51" w:type="dxa"/>
                    <w:bottom w:w="0" w:type="dxa"/>
                    <w:right w:w="51" w:type="dxa"/>
                  </w:tcMar>
                  <w:vAlign w:val="center"/>
                </w:tcPr>
                <w:p w14:paraId="06711B14">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废水</w:t>
                  </w: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4AA59945">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职工</w:t>
                  </w: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生活污水</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0478D860">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pH、COD、BOD</w:t>
                  </w:r>
                  <w:r>
                    <w:rPr>
                      <w:rFonts w:hint="default" w:ascii="Times New Roman" w:hAnsi="Times New Roman" w:cs="Times New Roman" w:eastAsiaTheme="minorEastAsia"/>
                      <w:b w:val="0"/>
                      <w:bCs w:val="0"/>
                      <w:color w:val="000000" w:themeColor="text1"/>
                      <w:kern w:val="0"/>
                      <w:szCs w:val="21"/>
                      <w:vertAlign w:val="subscript"/>
                      <w14:textFill>
                        <w14:solidFill>
                          <w14:schemeClr w14:val="tx1"/>
                        </w14:solidFill>
                      </w14:textFill>
                    </w:rPr>
                    <w:t>5</w:t>
                  </w: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、SS、氨氮</w:t>
                  </w:r>
                </w:p>
              </w:tc>
              <w:tc>
                <w:tcPr>
                  <w:tcW w:w="3200" w:type="dxa"/>
                  <w:tcBorders>
                    <w:left w:val="single" w:color="000000" w:sz="4" w:space="0"/>
                  </w:tcBorders>
                  <w:tcMar>
                    <w:top w:w="0" w:type="dxa"/>
                    <w:left w:w="51" w:type="dxa"/>
                    <w:bottom w:w="0" w:type="dxa"/>
                    <w:right w:w="51" w:type="dxa"/>
                  </w:tcMar>
                  <w:vAlign w:val="center"/>
                </w:tcPr>
                <w:p w14:paraId="1B90CDC3">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14:textFill>
                        <w14:solidFill>
                          <w14:schemeClr w14:val="tx1"/>
                        </w14:solidFill>
                      </w14:textFill>
                    </w:rPr>
                    <w:t>生活污水经化粪池</w:t>
                  </w:r>
                  <w:r>
                    <w:rPr>
                      <w:rFonts w:hint="default" w:ascii="Times New Roman" w:hAnsi="Times New Roman" w:cs="Times New Roman" w:eastAsiaTheme="minorEastAsia"/>
                      <w:b w:val="0"/>
                      <w:bCs w:val="0"/>
                      <w:color w:val="000000" w:themeColor="text1"/>
                      <w:lang w:eastAsia="zh-CN"/>
                      <w14:textFill>
                        <w14:solidFill>
                          <w14:schemeClr w14:val="tx1"/>
                        </w14:solidFill>
                      </w14:textFill>
                    </w:rPr>
                    <w:t>预</w:t>
                  </w:r>
                  <w:r>
                    <w:rPr>
                      <w:rFonts w:hint="default" w:ascii="Times New Roman" w:hAnsi="Times New Roman" w:cs="Times New Roman" w:eastAsiaTheme="minorEastAsia"/>
                      <w:b w:val="0"/>
                      <w:bCs w:val="0"/>
                      <w:color w:val="000000" w:themeColor="text1"/>
                      <w14:textFill>
                        <w14:solidFill>
                          <w14:schemeClr w14:val="tx1"/>
                        </w14:solidFill>
                      </w14:textFill>
                    </w:rPr>
                    <w:t>处理后</w:t>
                  </w:r>
                  <w:r>
                    <w:rPr>
                      <w:rFonts w:hint="default" w:ascii="Times New Roman" w:hAnsi="Times New Roman" w:cs="Times New Roman" w:eastAsiaTheme="minorEastAsia"/>
                      <w:b w:val="0"/>
                      <w:bCs w:val="0"/>
                      <w:color w:val="000000" w:themeColor="text1"/>
                      <w:lang w:eastAsia="zh-CN"/>
                      <w14:textFill>
                        <w14:solidFill>
                          <w14:schemeClr w14:val="tx1"/>
                        </w14:solidFill>
                      </w14:textFill>
                    </w:rPr>
                    <w:t>接入</w:t>
                  </w:r>
                  <w:r>
                    <w:rPr>
                      <w:rFonts w:hint="default" w:ascii="Times New Roman" w:hAnsi="Times New Roman" w:cs="Times New Roman" w:eastAsiaTheme="minorEastAsia"/>
                      <w:b w:val="0"/>
                      <w:bCs w:val="0"/>
                      <w:color w:val="000000" w:themeColor="text1"/>
                      <w14:textFill>
                        <w14:solidFill>
                          <w14:schemeClr w14:val="tx1"/>
                        </w14:solidFill>
                      </w14:textFill>
                    </w:rPr>
                    <w:t>市政</w:t>
                  </w:r>
                  <w:r>
                    <w:rPr>
                      <w:rFonts w:hint="default" w:ascii="Times New Roman" w:hAnsi="Times New Roman" w:cs="Times New Roman" w:eastAsiaTheme="minorEastAsia"/>
                      <w:b w:val="0"/>
                      <w:bCs w:val="0"/>
                      <w:color w:val="000000" w:themeColor="text1"/>
                      <w:lang w:eastAsia="zh-CN"/>
                      <w14:textFill>
                        <w14:solidFill>
                          <w14:schemeClr w14:val="tx1"/>
                        </w14:solidFill>
                      </w14:textFill>
                    </w:rPr>
                    <w:t>污水</w:t>
                  </w:r>
                  <w:r>
                    <w:rPr>
                      <w:rFonts w:hint="default" w:ascii="Times New Roman" w:hAnsi="Times New Roman" w:cs="Times New Roman" w:eastAsiaTheme="minorEastAsia"/>
                      <w:b w:val="0"/>
                      <w:bCs w:val="0"/>
                      <w:color w:val="000000" w:themeColor="text1"/>
                      <w14:textFill>
                        <w14:solidFill>
                          <w14:schemeClr w14:val="tx1"/>
                        </w14:solidFill>
                      </w14:textFill>
                    </w:rPr>
                    <w:t>管网</w:t>
                  </w:r>
                  <w:r>
                    <w:rPr>
                      <w:rFonts w:hint="default" w:ascii="Times New Roman" w:hAnsi="Times New Roman" w:cs="Times New Roman" w:eastAsiaTheme="minorEastAsia"/>
                      <w:b w:val="0"/>
                      <w:bCs w:val="0"/>
                      <w:color w:val="000000" w:themeColor="text1"/>
                      <w:lang w:eastAsia="zh-CN"/>
                      <w14:textFill>
                        <w14:solidFill>
                          <w14:schemeClr w14:val="tx1"/>
                        </w14:solidFill>
                      </w14:textFill>
                    </w:rPr>
                    <w:t>排入福清市</w:t>
                  </w:r>
                  <w:r>
                    <w:rPr>
                      <w:rFonts w:hint="default" w:ascii="Times New Roman" w:hAnsi="Times New Roman" w:cs="Times New Roman" w:eastAsiaTheme="minorEastAsia"/>
                      <w:b w:val="0"/>
                      <w:bCs w:val="0"/>
                      <w:color w:val="000000" w:themeColor="text1"/>
                      <w14:textFill>
                        <w14:solidFill>
                          <w14:schemeClr w14:val="tx1"/>
                        </w14:solidFill>
                      </w14:textFill>
                    </w:rPr>
                    <w:t>融元污水处理厂</w:t>
                  </w:r>
                  <w:r>
                    <w:rPr>
                      <w:rFonts w:hint="default" w:ascii="Times New Roman" w:hAnsi="Times New Roman" w:cs="Times New Roman" w:eastAsiaTheme="minorEastAsia"/>
                      <w:b w:val="0"/>
                      <w:bCs w:val="0"/>
                      <w:color w:val="000000" w:themeColor="text1"/>
                      <w:lang w:eastAsia="zh-CN"/>
                      <w14:textFill>
                        <w14:solidFill>
                          <w14:schemeClr w14:val="tx1"/>
                        </w14:solidFill>
                      </w14:textFill>
                    </w:rPr>
                    <w:t>处集中</w:t>
                  </w:r>
                  <w:r>
                    <w:rPr>
                      <w:rFonts w:hint="eastAsia" w:ascii="Times New Roman" w:hAnsi="Times New Roman" w:cs="Times New Roman" w:eastAsiaTheme="minorEastAsia"/>
                      <w:b w:val="0"/>
                      <w:bCs w:val="0"/>
                      <w:color w:val="000000" w:themeColor="text1"/>
                      <w:lang w:val="en-US" w:eastAsia="zh-CN"/>
                      <w14:textFill>
                        <w14:solidFill>
                          <w14:schemeClr w14:val="tx1"/>
                        </w14:solidFill>
                      </w14:textFill>
                    </w:rPr>
                    <w:t>处</w:t>
                  </w:r>
                  <w:r>
                    <w:rPr>
                      <w:rFonts w:hint="default" w:ascii="Times New Roman" w:hAnsi="Times New Roman" w:cs="Times New Roman" w:eastAsiaTheme="minorEastAsia"/>
                      <w:b w:val="0"/>
                      <w:bCs w:val="0"/>
                      <w:color w:val="000000" w:themeColor="text1"/>
                      <w:lang w:eastAsia="zh-CN"/>
                      <w14:textFill>
                        <w14:solidFill>
                          <w14:schemeClr w14:val="tx1"/>
                        </w14:solidFill>
                      </w14:textFill>
                    </w:rPr>
                    <w:t>理</w:t>
                  </w:r>
                </w:p>
              </w:tc>
            </w:tr>
            <w:tr w14:paraId="0F039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6372EEC0">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6A8CE4BE">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32492C3B">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t>攻牙工序</w:t>
                  </w:r>
                  <w:r>
                    <w:rPr>
                      <w:rFonts w:hint="eastAsia"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t>、冷却塔</w:t>
                  </w:r>
                  <w:r>
                    <w:rPr>
                      <w:rFonts w:hint="default"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t>用</w:t>
                  </w: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水</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76E9BC85">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t>SS</w:t>
                  </w:r>
                </w:p>
              </w:tc>
              <w:tc>
                <w:tcPr>
                  <w:tcW w:w="3200" w:type="dxa"/>
                  <w:tcBorders>
                    <w:left w:val="single" w:color="000000" w:sz="4" w:space="0"/>
                  </w:tcBorders>
                  <w:tcMar>
                    <w:top w:w="0" w:type="dxa"/>
                    <w:left w:w="51" w:type="dxa"/>
                    <w:bottom w:w="0" w:type="dxa"/>
                    <w:right w:w="51" w:type="dxa"/>
                  </w:tcMar>
                  <w:vAlign w:val="center"/>
                </w:tcPr>
                <w:p w14:paraId="0173C10D">
                  <w:pPr>
                    <w:widowControl/>
                    <w:adjustRightInd/>
                    <w:snapToGrid/>
                    <w:spacing w:line="240" w:lineRule="auto"/>
                    <w:jc w:val="cente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循环回用，不外排</w:t>
                  </w:r>
                </w:p>
              </w:tc>
            </w:tr>
            <w:tr w14:paraId="77CC1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restart"/>
                  <w:tcMar>
                    <w:top w:w="0" w:type="dxa"/>
                    <w:left w:w="51" w:type="dxa"/>
                    <w:bottom w:w="0" w:type="dxa"/>
                    <w:right w:w="51" w:type="dxa"/>
                  </w:tcMar>
                  <w:vAlign w:val="center"/>
                </w:tcPr>
                <w:p w14:paraId="7D4DB7CA">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2</w:t>
                  </w:r>
                </w:p>
              </w:tc>
              <w:tc>
                <w:tcPr>
                  <w:tcW w:w="960" w:type="dxa"/>
                  <w:vMerge w:val="restart"/>
                  <w:tcMar>
                    <w:top w:w="0" w:type="dxa"/>
                    <w:left w:w="51" w:type="dxa"/>
                    <w:bottom w:w="0" w:type="dxa"/>
                    <w:right w:w="51" w:type="dxa"/>
                  </w:tcMar>
                  <w:vAlign w:val="center"/>
                </w:tcPr>
                <w:p w14:paraId="313E880C">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废气</w:t>
                  </w:r>
                </w:p>
              </w:tc>
              <w:tc>
                <w:tcPr>
                  <w:tcW w:w="1595"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4A3C1D2C">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熔化</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7DCC07D8">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熔化废气（颗粒物）</w:t>
                  </w:r>
                </w:p>
              </w:tc>
              <w:tc>
                <w:tcPr>
                  <w:tcW w:w="3200" w:type="dxa"/>
                  <w:vMerge w:val="restart"/>
                  <w:tcBorders>
                    <w:left w:val="single" w:color="000000" w:sz="4" w:space="0"/>
                  </w:tcBorders>
                  <w:tcMar>
                    <w:top w:w="0" w:type="dxa"/>
                    <w:left w:w="51" w:type="dxa"/>
                    <w:bottom w:w="0" w:type="dxa"/>
                    <w:right w:w="51" w:type="dxa"/>
                  </w:tcMar>
                  <w:vAlign w:val="center"/>
                </w:tcPr>
                <w:p w14:paraId="3C59B08A">
                  <w:pPr>
                    <w:widowControl/>
                    <w:adjustRightInd/>
                    <w:snapToGrid/>
                    <w:spacing w:line="240" w:lineRule="auto"/>
                    <w:jc w:val="center"/>
                    <w:rPr>
                      <w:rFonts w:hint="default" w:ascii="Times New Roman" w:hAnsi="Times New Roman" w:cs="Times New Roman" w:eastAsiaTheme="minorEastAsia"/>
                      <w:b w:val="0"/>
                      <w:bCs w:val="0"/>
                      <w:color w:val="000000" w:themeColor="text1"/>
                      <w:szCs w:val="21"/>
                      <w14:textFill>
                        <w14:solidFill>
                          <w14:schemeClr w14:val="tx1"/>
                        </w14:solidFill>
                      </w14:textFill>
                    </w:rPr>
                  </w:pPr>
                  <w:r>
                    <w:rPr>
                      <w:rFonts w:hint="default" w:ascii="Times New Roman" w:hAnsi="Times New Roman" w:cs="Times New Roman" w:eastAsiaTheme="minorEastAsia"/>
                      <w:b w:val="0"/>
                      <w:bCs w:val="0"/>
                      <w:color w:val="000000" w:themeColor="text1"/>
                      <w:szCs w:val="21"/>
                      <w14:textFill>
                        <w14:solidFill>
                          <w14:schemeClr w14:val="tx1"/>
                        </w14:solidFill>
                      </w14:textFill>
                    </w:rPr>
                    <w:t>集气罩+</w:t>
                  </w:r>
                  <w:r>
                    <w:rPr>
                      <w:rFonts w:hint="eastAsia" w:cs="Times New Roman" w:eastAsiaTheme="minorEastAsia"/>
                      <w:b w:val="0"/>
                      <w:bCs w:val="0"/>
                      <w:color w:val="000000" w:themeColor="text1"/>
                      <w:szCs w:val="21"/>
                      <w:lang w:val="en-US" w:eastAsia="zh-CN"/>
                      <w14:textFill>
                        <w14:solidFill>
                          <w14:schemeClr w14:val="tx1"/>
                        </w14:solidFill>
                      </w14:textFill>
                    </w:rPr>
                    <w:t>喷淋+干式过滤</w:t>
                  </w:r>
                  <w:r>
                    <w:rPr>
                      <w:rFonts w:hint="default" w:ascii="Times New Roman" w:hAnsi="Times New Roman" w:cs="Times New Roman" w:eastAsiaTheme="minorEastAsia"/>
                      <w:b w:val="0"/>
                      <w:bCs w:val="0"/>
                      <w:color w:val="000000" w:themeColor="text1"/>
                      <w:szCs w:val="21"/>
                      <w14:textFill>
                        <w14:solidFill>
                          <w14:schemeClr w14:val="tx1"/>
                        </w14:solidFill>
                      </w14:textFill>
                    </w:rPr>
                    <w:t>+活性炭吸附装置+15m高排气筒(DA001)</w:t>
                  </w:r>
                </w:p>
              </w:tc>
            </w:tr>
            <w:tr w14:paraId="12973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41E9D3F5">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70FF9817">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33A6F44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脱模</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24261815">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Cs w:val="21"/>
                      <w:lang w:eastAsia="zh-CN"/>
                      <w14:textFill>
                        <w14:solidFill>
                          <w14:schemeClr w14:val="tx1"/>
                        </w14:solidFill>
                      </w14:textFill>
                    </w:rPr>
                    <w:t>非甲烷总烃</w:t>
                  </w:r>
                </w:p>
              </w:tc>
              <w:tc>
                <w:tcPr>
                  <w:tcW w:w="3200" w:type="dxa"/>
                  <w:vMerge w:val="continue"/>
                  <w:tcBorders>
                    <w:left w:val="single" w:color="000000" w:sz="4" w:space="0"/>
                  </w:tcBorders>
                  <w:tcMar>
                    <w:top w:w="0" w:type="dxa"/>
                    <w:left w:w="51" w:type="dxa"/>
                    <w:bottom w:w="0" w:type="dxa"/>
                    <w:right w:w="51" w:type="dxa"/>
                  </w:tcMar>
                  <w:vAlign w:val="center"/>
                </w:tcPr>
                <w:p w14:paraId="7DC3C6ED">
                  <w:pPr>
                    <w:widowControl/>
                    <w:adjustRightInd/>
                    <w:snapToGrid/>
                    <w:spacing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2D9C6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restart"/>
                  <w:tcMar>
                    <w:top w:w="0" w:type="dxa"/>
                    <w:left w:w="51" w:type="dxa"/>
                    <w:bottom w:w="0" w:type="dxa"/>
                    <w:right w:w="51" w:type="dxa"/>
                  </w:tcMar>
                  <w:vAlign w:val="center"/>
                </w:tcPr>
                <w:p w14:paraId="09B575D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3</w:t>
                  </w:r>
                </w:p>
              </w:tc>
              <w:tc>
                <w:tcPr>
                  <w:tcW w:w="960" w:type="dxa"/>
                  <w:tcMar>
                    <w:top w:w="0" w:type="dxa"/>
                    <w:left w:w="51" w:type="dxa"/>
                    <w:bottom w:w="0" w:type="dxa"/>
                    <w:right w:w="51" w:type="dxa"/>
                  </w:tcMar>
                  <w:vAlign w:val="center"/>
                </w:tcPr>
                <w:p w14:paraId="46241654">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生活</w:t>
                  </w:r>
                </w:p>
                <w:p w14:paraId="45F2D5D2">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垃圾</w:t>
                  </w: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4EA74EFA">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职工</w:t>
                  </w: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生活垃圾</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7CF9F66A">
                  <w:pPr>
                    <w:widowControl/>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纸屑、塑料等</w:t>
                  </w:r>
                </w:p>
              </w:tc>
              <w:tc>
                <w:tcPr>
                  <w:tcW w:w="3200" w:type="dxa"/>
                  <w:tcBorders>
                    <w:left w:val="single" w:color="000000" w:sz="4" w:space="0"/>
                  </w:tcBorders>
                  <w:tcMar>
                    <w:top w:w="0" w:type="dxa"/>
                    <w:left w:w="51" w:type="dxa"/>
                    <w:bottom w:w="0" w:type="dxa"/>
                    <w:right w:w="51" w:type="dxa"/>
                  </w:tcMar>
                  <w:vAlign w:val="center"/>
                </w:tcPr>
                <w:p w14:paraId="63DF6A5F">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经垃圾桶分类收集后由环卫部门定期清运处置</w:t>
                  </w:r>
                </w:p>
              </w:tc>
            </w:tr>
            <w:tr w14:paraId="65937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5981E83C">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restart"/>
                  <w:tcMar>
                    <w:top w:w="0" w:type="dxa"/>
                    <w:left w:w="51" w:type="dxa"/>
                    <w:bottom w:w="0" w:type="dxa"/>
                    <w:right w:w="51" w:type="dxa"/>
                  </w:tcMar>
                  <w:vAlign w:val="center"/>
                </w:tcPr>
                <w:p w14:paraId="26173C27">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一般工业</w:t>
                  </w: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固废</w:t>
                  </w: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2483D29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t>分拣</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0846582D">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不合格</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品</w:t>
                  </w:r>
                </w:p>
              </w:tc>
              <w:tc>
                <w:tcPr>
                  <w:tcW w:w="3200" w:type="dxa"/>
                  <w:vMerge w:val="restart"/>
                  <w:tcBorders>
                    <w:left w:val="single" w:color="000000" w:sz="4" w:space="0"/>
                  </w:tcBorders>
                  <w:tcMar>
                    <w:top w:w="0" w:type="dxa"/>
                    <w:left w:w="51" w:type="dxa"/>
                    <w:bottom w:w="0" w:type="dxa"/>
                    <w:right w:w="51" w:type="dxa"/>
                  </w:tcMar>
                  <w:vAlign w:val="center"/>
                </w:tcPr>
                <w:p w14:paraId="0C88F865">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收集进入感应电炉重新熔化加工</w:t>
                  </w:r>
                </w:p>
              </w:tc>
            </w:tr>
            <w:tr w14:paraId="3A47E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0F86C79A">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3AEC15B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15E365FF">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钻孔、攻牙、</w:t>
                  </w:r>
                  <w:r>
                    <w:rPr>
                      <w:rFonts w:hint="default" w:ascii="Times New Roman" w:hAnsi="Times New Roman" w:cs="Times New Roman" w:eastAsiaTheme="minorEastAsia"/>
                      <w:b w:val="0"/>
                      <w:bCs w:val="0"/>
                      <w:color w:val="000000" w:themeColor="text1"/>
                      <w:kern w:val="0"/>
                      <w:szCs w:val="21"/>
                      <w:lang w:val="en-US" w:eastAsia="zh-CN"/>
                      <w14:textFill>
                        <w14:solidFill>
                          <w14:schemeClr w14:val="tx1"/>
                        </w14:solidFill>
                      </w14:textFill>
                    </w:rPr>
                    <w:t>冲压</w:t>
                  </w: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等机加工</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529238A6">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废边角料</w:t>
                  </w:r>
                </w:p>
              </w:tc>
              <w:tc>
                <w:tcPr>
                  <w:tcW w:w="3200" w:type="dxa"/>
                  <w:vMerge w:val="continue"/>
                  <w:tcBorders>
                    <w:left w:val="single" w:color="000000" w:sz="4" w:space="0"/>
                  </w:tcBorders>
                  <w:tcMar>
                    <w:top w:w="0" w:type="dxa"/>
                    <w:left w:w="51" w:type="dxa"/>
                    <w:bottom w:w="0" w:type="dxa"/>
                    <w:right w:w="51" w:type="dxa"/>
                  </w:tcMar>
                  <w:vAlign w:val="center"/>
                </w:tcPr>
                <w:p w14:paraId="2D9697B1">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p>
              </w:tc>
            </w:tr>
            <w:tr w14:paraId="2ABAB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35" w:type="dxa"/>
                  <w:vMerge w:val="continue"/>
                  <w:tcMar>
                    <w:top w:w="0" w:type="dxa"/>
                    <w:left w:w="51" w:type="dxa"/>
                    <w:bottom w:w="0" w:type="dxa"/>
                    <w:right w:w="51" w:type="dxa"/>
                  </w:tcMar>
                  <w:vAlign w:val="center"/>
                </w:tcPr>
                <w:p w14:paraId="7CD56F4F">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586C7A4E">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17B7C43C">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研磨</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427749A2">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研磨粉尘</w:t>
                  </w:r>
                </w:p>
              </w:tc>
              <w:tc>
                <w:tcPr>
                  <w:tcW w:w="3200" w:type="dxa"/>
                  <w:tcBorders>
                    <w:left w:val="single" w:color="000000" w:sz="4" w:space="0"/>
                  </w:tcBorders>
                  <w:tcMar>
                    <w:top w:w="0" w:type="dxa"/>
                    <w:left w:w="51" w:type="dxa"/>
                    <w:bottom w:w="0" w:type="dxa"/>
                    <w:right w:w="51" w:type="dxa"/>
                  </w:tcMar>
                  <w:vAlign w:val="center"/>
                </w:tcPr>
                <w:p w14:paraId="1D49DE92">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收集后外售物资回收单位处置</w:t>
                  </w:r>
                </w:p>
              </w:tc>
            </w:tr>
            <w:tr w14:paraId="76570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78D01846">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restart"/>
                  <w:tcMar>
                    <w:top w:w="0" w:type="dxa"/>
                    <w:left w:w="51" w:type="dxa"/>
                    <w:bottom w:w="0" w:type="dxa"/>
                    <w:right w:w="51" w:type="dxa"/>
                  </w:tcMar>
                  <w:vAlign w:val="center"/>
                </w:tcPr>
                <w:p w14:paraId="3EB86599">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危险</w:t>
                  </w:r>
                </w:p>
                <w:p w14:paraId="10DB37C1">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废物</w:t>
                  </w:r>
                </w:p>
              </w:tc>
              <w:tc>
                <w:tcPr>
                  <w:tcW w:w="1595" w:type="dxa"/>
                  <w:vMerge w:val="restart"/>
                  <w:tcBorders>
                    <w:left w:val="single" w:color="000000" w:sz="4" w:space="0"/>
                    <w:right w:val="single" w:color="000000" w:sz="4" w:space="0"/>
                  </w:tcBorders>
                  <w:tcMar>
                    <w:top w:w="0" w:type="dxa"/>
                    <w:left w:w="51" w:type="dxa"/>
                    <w:bottom w:w="0" w:type="dxa"/>
                    <w:right w:w="51" w:type="dxa"/>
                  </w:tcMar>
                  <w:vAlign w:val="center"/>
                </w:tcPr>
                <w:p w14:paraId="71BFCA4B">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压铸</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10C9A745">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废</w:t>
                  </w: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脱模剂</w:t>
                  </w: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包装桶</w:t>
                  </w:r>
                </w:p>
              </w:tc>
              <w:tc>
                <w:tcPr>
                  <w:tcW w:w="3200" w:type="dxa"/>
                  <w:vMerge w:val="restart"/>
                  <w:tcBorders>
                    <w:left w:val="single" w:color="000000" w:sz="4" w:space="0"/>
                  </w:tcBorders>
                  <w:tcMar>
                    <w:top w:w="0" w:type="dxa"/>
                    <w:left w:w="51" w:type="dxa"/>
                    <w:bottom w:w="0" w:type="dxa"/>
                    <w:right w:w="51" w:type="dxa"/>
                  </w:tcMar>
                  <w:vAlign w:val="center"/>
                </w:tcPr>
                <w:p w14:paraId="19B75AD9">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分类收集暂存于危废间，委托有危废资质单位回收处置</w:t>
                  </w:r>
                </w:p>
              </w:tc>
            </w:tr>
            <w:tr w14:paraId="0681E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592B8CD4">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6AC3FBDB">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vMerge w:val="continue"/>
                  <w:tcBorders>
                    <w:left w:val="single" w:color="000000" w:sz="4" w:space="0"/>
                    <w:right w:val="single" w:color="000000" w:sz="4" w:space="0"/>
                  </w:tcBorders>
                  <w:tcMar>
                    <w:top w:w="0" w:type="dxa"/>
                    <w:left w:w="51" w:type="dxa"/>
                    <w:bottom w:w="0" w:type="dxa"/>
                    <w:right w:w="51" w:type="dxa"/>
                  </w:tcMar>
                  <w:vAlign w:val="center"/>
                </w:tcPr>
                <w:p w14:paraId="12490667">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0E05E411">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废切削液包装桶</w:t>
                  </w:r>
                </w:p>
              </w:tc>
              <w:tc>
                <w:tcPr>
                  <w:tcW w:w="3200" w:type="dxa"/>
                  <w:vMerge w:val="continue"/>
                  <w:tcBorders>
                    <w:left w:val="single" w:color="000000" w:sz="4" w:space="0"/>
                  </w:tcBorders>
                  <w:tcMar>
                    <w:top w:w="0" w:type="dxa"/>
                    <w:left w:w="51" w:type="dxa"/>
                    <w:bottom w:w="0" w:type="dxa"/>
                    <w:right w:w="51" w:type="dxa"/>
                  </w:tcMar>
                  <w:vAlign w:val="center"/>
                </w:tcPr>
                <w:p w14:paraId="1ED73561">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p>
              </w:tc>
            </w:tr>
            <w:tr w14:paraId="790D4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3D68CED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5BDD1E49">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19221182">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highlight w:val="none"/>
                      <w:lang w:eastAsia="zh-CN"/>
                      <w14:textFill>
                        <w14:solidFill>
                          <w14:schemeClr w14:val="tx1"/>
                        </w14:solidFill>
                      </w14:textFill>
                    </w:rPr>
                    <w:t>废切削液</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4611CBA9">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设备润滑、冷却</w:t>
                  </w:r>
                </w:p>
              </w:tc>
              <w:tc>
                <w:tcPr>
                  <w:tcW w:w="3200" w:type="dxa"/>
                  <w:vMerge w:val="continue"/>
                  <w:tcBorders>
                    <w:left w:val="single" w:color="000000" w:sz="4" w:space="0"/>
                  </w:tcBorders>
                  <w:tcMar>
                    <w:top w:w="0" w:type="dxa"/>
                    <w:left w:w="51" w:type="dxa"/>
                    <w:bottom w:w="0" w:type="dxa"/>
                    <w:right w:w="51" w:type="dxa"/>
                  </w:tcMar>
                  <w:vAlign w:val="center"/>
                </w:tcPr>
                <w:p w14:paraId="5A4DCA5A">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14:paraId="41E48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013AFE14">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7F48EABE">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16A47BE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0"/>
                      <w:szCs w:val="21"/>
                      <w:lang w:val="en-US" w:eastAsia="zh-CN"/>
                      <w14:textFill>
                        <w14:solidFill>
                          <w14:schemeClr w14:val="tx1"/>
                        </w14:solidFill>
                      </w14:textFill>
                    </w:rPr>
                    <w:t>喷淋塔</w:t>
                  </w:r>
                </w:p>
              </w:tc>
              <w:tc>
                <w:tcPr>
                  <w:tcW w:w="193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34F1270A">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沉淀渣</w:t>
                  </w:r>
                </w:p>
              </w:tc>
              <w:tc>
                <w:tcPr>
                  <w:tcW w:w="3200" w:type="dxa"/>
                  <w:vMerge w:val="continue"/>
                  <w:tcBorders>
                    <w:left w:val="single" w:color="000000" w:sz="4" w:space="0"/>
                  </w:tcBorders>
                  <w:tcMar>
                    <w:top w:w="0" w:type="dxa"/>
                    <w:left w:w="51" w:type="dxa"/>
                    <w:bottom w:w="0" w:type="dxa"/>
                    <w:right w:w="51" w:type="dxa"/>
                  </w:tcMar>
                  <w:vAlign w:val="center"/>
                </w:tcPr>
                <w:p w14:paraId="2B8E5EA6">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14:paraId="4D118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09D77200">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06F130CB">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0CBE75DE">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t>干式过滤器</w:t>
                  </w:r>
                </w:p>
              </w:tc>
              <w:tc>
                <w:tcPr>
                  <w:tcW w:w="193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3F9B9531">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0"/>
                      <w:sz w:val="21"/>
                      <w:szCs w:val="21"/>
                      <w:lang w:val="en-US" w:eastAsia="zh-CN" w:bidi="ar-SA"/>
                      <w14:textFill>
                        <w14:solidFill>
                          <w14:schemeClr w14:val="tx1"/>
                        </w14:solidFill>
                      </w14:textFill>
                    </w:rPr>
                    <w:t>废过滤棉</w:t>
                  </w:r>
                </w:p>
              </w:tc>
              <w:tc>
                <w:tcPr>
                  <w:tcW w:w="3200" w:type="dxa"/>
                  <w:vMerge w:val="continue"/>
                  <w:tcBorders>
                    <w:left w:val="single" w:color="000000" w:sz="4" w:space="0"/>
                  </w:tcBorders>
                  <w:tcMar>
                    <w:top w:w="0" w:type="dxa"/>
                    <w:left w:w="51" w:type="dxa"/>
                    <w:bottom w:w="0" w:type="dxa"/>
                    <w:right w:w="51" w:type="dxa"/>
                  </w:tcMar>
                  <w:vAlign w:val="center"/>
                </w:tcPr>
                <w:p w14:paraId="084FEEBB">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14:paraId="06449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vMerge w:val="continue"/>
                  <w:tcMar>
                    <w:top w:w="0" w:type="dxa"/>
                    <w:left w:w="51" w:type="dxa"/>
                    <w:bottom w:w="0" w:type="dxa"/>
                    <w:right w:w="51" w:type="dxa"/>
                  </w:tcMar>
                  <w:vAlign w:val="center"/>
                </w:tcPr>
                <w:p w14:paraId="0C39B4B6">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960" w:type="dxa"/>
                  <w:vMerge w:val="continue"/>
                  <w:tcMar>
                    <w:top w:w="0" w:type="dxa"/>
                    <w:left w:w="51" w:type="dxa"/>
                    <w:bottom w:w="0" w:type="dxa"/>
                    <w:right w:w="51" w:type="dxa"/>
                  </w:tcMar>
                  <w:vAlign w:val="center"/>
                </w:tcPr>
                <w:p w14:paraId="6214833D">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495E481E">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活性炭吸附装置</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6E5B680F">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废活性炭</w:t>
                  </w:r>
                </w:p>
              </w:tc>
              <w:tc>
                <w:tcPr>
                  <w:tcW w:w="3200" w:type="dxa"/>
                  <w:vMerge w:val="continue"/>
                  <w:tcBorders>
                    <w:left w:val="single" w:color="000000" w:sz="4" w:space="0"/>
                  </w:tcBorders>
                  <w:tcMar>
                    <w:top w:w="0" w:type="dxa"/>
                    <w:left w:w="51" w:type="dxa"/>
                    <w:bottom w:w="0" w:type="dxa"/>
                    <w:right w:w="51" w:type="dxa"/>
                  </w:tcMar>
                  <w:vAlign w:val="center"/>
                </w:tcPr>
                <w:p w14:paraId="52F5A0AA">
                  <w:pPr>
                    <w:pStyle w:val="74"/>
                    <w:widowControl w:val="0"/>
                    <w:adjustRightInd/>
                    <w:snapToGrid/>
                    <w:spacing w:line="240" w:lineRule="auto"/>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r>
            <w:tr w14:paraId="4EDC3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5" w:type="dxa"/>
                  <w:tcMar>
                    <w:top w:w="0" w:type="dxa"/>
                    <w:left w:w="51" w:type="dxa"/>
                    <w:bottom w:w="0" w:type="dxa"/>
                    <w:right w:w="51" w:type="dxa"/>
                  </w:tcMar>
                  <w:vAlign w:val="center"/>
                </w:tcPr>
                <w:p w14:paraId="6E8C9DFA">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4</w:t>
                  </w:r>
                </w:p>
              </w:tc>
              <w:tc>
                <w:tcPr>
                  <w:tcW w:w="960" w:type="dxa"/>
                  <w:tcMar>
                    <w:top w:w="0" w:type="dxa"/>
                    <w:left w:w="51" w:type="dxa"/>
                    <w:bottom w:w="0" w:type="dxa"/>
                    <w:right w:w="51" w:type="dxa"/>
                  </w:tcMar>
                  <w:vAlign w:val="center"/>
                </w:tcPr>
                <w:p w14:paraId="1135C7E6">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噪声</w:t>
                  </w:r>
                </w:p>
              </w:tc>
              <w:tc>
                <w:tcPr>
                  <w:tcW w:w="1595" w:type="dxa"/>
                  <w:tcBorders>
                    <w:left w:val="single" w:color="000000" w:sz="4" w:space="0"/>
                    <w:right w:val="single" w:color="000000" w:sz="4" w:space="0"/>
                  </w:tcBorders>
                  <w:tcMar>
                    <w:top w:w="0" w:type="dxa"/>
                    <w:left w:w="51" w:type="dxa"/>
                    <w:bottom w:w="0" w:type="dxa"/>
                    <w:right w:w="51" w:type="dxa"/>
                  </w:tcMar>
                  <w:vAlign w:val="center"/>
                </w:tcPr>
                <w:p w14:paraId="0979A8A0">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highlight w:val="yellow"/>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14:textFill>
                        <w14:solidFill>
                          <w14:schemeClr w14:val="tx1"/>
                        </w14:solidFill>
                      </w14:textFill>
                    </w:rPr>
                    <w:t>机械设备运行</w:t>
                  </w:r>
                </w:p>
              </w:tc>
              <w:tc>
                <w:tcPr>
                  <w:tcW w:w="1930" w:type="dxa"/>
                  <w:tcBorders>
                    <w:left w:val="single" w:color="000000" w:sz="4" w:space="0"/>
                    <w:right w:val="single" w:color="000000" w:sz="4" w:space="0"/>
                  </w:tcBorders>
                  <w:tcMar>
                    <w:top w:w="0" w:type="dxa"/>
                    <w:left w:w="51" w:type="dxa"/>
                    <w:bottom w:w="0" w:type="dxa"/>
                    <w:right w:w="51" w:type="dxa"/>
                  </w:tcMar>
                  <w:vAlign w:val="center"/>
                </w:tcPr>
                <w:p w14:paraId="0B48B3CE">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0"/>
                      <w:szCs w:val="21"/>
                      <w:lang w:eastAsia="zh-CN"/>
                      <w14:textFill>
                        <w14:solidFill>
                          <w14:schemeClr w14:val="tx1"/>
                        </w14:solidFill>
                      </w14:textFill>
                    </w:rPr>
                    <w:t>噪声</w:t>
                  </w:r>
                </w:p>
              </w:tc>
              <w:tc>
                <w:tcPr>
                  <w:tcW w:w="3200" w:type="dxa"/>
                  <w:tcBorders>
                    <w:left w:val="single" w:color="000000" w:sz="4" w:space="0"/>
                  </w:tcBorders>
                  <w:tcMar>
                    <w:top w:w="0" w:type="dxa"/>
                    <w:left w:w="51" w:type="dxa"/>
                    <w:bottom w:w="0" w:type="dxa"/>
                    <w:right w:w="51" w:type="dxa"/>
                  </w:tcMar>
                  <w:vAlign w:val="center"/>
                </w:tcPr>
                <w:p w14:paraId="4256DDF6">
                  <w:pPr>
                    <w:widowControl/>
                    <w:adjustRightInd/>
                    <w:snapToGrid/>
                    <w:spacing w:line="240" w:lineRule="auto"/>
                    <w:jc w:val="center"/>
                    <w:rPr>
                      <w:rFonts w:hint="default" w:ascii="Times New Roman" w:hAnsi="Times New Roman" w:cs="Times New Roman" w:eastAsiaTheme="minorEastAsia"/>
                      <w:b w:val="0"/>
                      <w:bCs w:val="0"/>
                      <w:color w:val="000000" w:themeColor="text1"/>
                      <w:kern w:val="0"/>
                      <w:szCs w:val="21"/>
                      <w14:textFill>
                        <w14:solidFill>
                          <w14:schemeClr w14:val="tx1"/>
                        </w14:solidFill>
                      </w14:textFill>
                    </w:rPr>
                  </w:pPr>
                  <w:r>
                    <w:rPr>
                      <w:rFonts w:hint="default" w:ascii="Times New Roman" w:hAnsi="Times New Roman" w:cs="Times New Roman" w:eastAsiaTheme="minorEastAsia"/>
                      <w:b w:val="0"/>
                      <w:bCs w:val="0"/>
                      <w:color w:val="000000" w:themeColor="text1"/>
                      <w:szCs w:val="21"/>
                      <w14:textFill>
                        <w14:solidFill>
                          <w14:schemeClr w14:val="tx1"/>
                        </w14:solidFill>
                      </w14:textFill>
                    </w:rPr>
                    <w:t>厂房隔声、设备基础减振等措施</w:t>
                  </w:r>
                </w:p>
              </w:tc>
            </w:tr>
          </w:tbl>
          <w:p w14:paraId="0ED592CE">
            <w:pPr>
              <w:pStyle w:val="68"/>
              <w:spacing w:line="360" w:lineRule="auto"/>
              <w:ind w:firstLine="422" w:firstLineChars="200"/>
              <w:jc w:val="left"/>
              <w:rPr>
                <w:rFonts w:hint="default" w:ascii="Times New Roman" w:hAnsi="Times New Roman" w:cs="Times New Roman" w:eastAsiaTheme="minorEastAsia"/>
                <w:color w:val="000000" w:themeColor="text1"/>
                <w14:textFill>
                  <w14:solidFill>
                    <w14:schemeClr w14:val="tx1"/>
                  </w14:solidFill>
                </w14:textFill>
              </w:rPr>
            </w:pPr>
          </w:p>
        </w:tc>
      </w:tr>
      <w:tr w14:paraId="05869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9B79CDF">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与项目有关的原有环境污染问题</w:t>
            </w:r>
          </w:p>
        </w:tc>
        <w:tc>
          <w:tcPr>
            <w:tcW w:w="8280" w:type="dxa"/>
            <w:vAlign w:val="center"/>
          </w:tcPr>
          <w:p w14:paraId="2DE298B3">
            <w:pPr>
              <w:pStyle w:val="107"/>
              <w:keepNext w:val="0"/>
              <w:keepLines w:val="0"/>
              <w:pageBreakBefore w:val="0"/>
              <w:widowControl w:val="0"/>
              <w:kinsoku/>
              <w:wordWrap/>
              <w:overflowPunct/>
              <w:topLinePunct w:val="0"/>
              <w:autoSpaceDE/>
              <w:autoSpaceDN/>
              <w:bidi w:val="0"/>
              <w:adjustRightInd/>
              <w:snapToGrid/>
              <w:spacing w:before="157" w:beforeLines="50"/>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本项目为新建项目，系租赁福清洪添科技有限公司</w:t>
            </w:r>
            <w:r>
              <w:rPr>
                <w:rFonts w:hint="eastAsia" w:cs="Times New Roman" w:eastAsiaTheme="minorEastAsia"/>
                <w:b w:val="0"/>
                <w:bCs w:val="0"/>
                <w:color w:val="000000" w:themeColor="text1"/>
                <w:sz w:val="24"/>
                <w:szCs w:val="24"/>
                <w:highlight w:val="none"/>
                <w:lang w:val="en-US" w:eastAsia="zh-CN"/>
                <w14:textFill>
                  <w14:solidFill>
                    <w14:schemeClr w14:val="tx1"/>
                  </w14:solidFill>
                </w14:textFill>
              </w:rPr>
              <w:t>闲置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车间1第1、2层进行项目建设，根据现场踏勘及收集资料可知，项目厂房现状为空置厂房，因此，不存在与项目有关的原有污染问题。</w:t>
            </w:r>
          </w:p>
          <w:p w14:paraId="1707C5D9">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13BE65AE">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0E7D5929">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6A80B78C">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192E2AC5">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00B0626B">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0AA2EFFC">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0079B74B">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1DBD45F4">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196FEFB8">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469AFC70">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3C0CB4C8">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0308F225">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5F305B67">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108DF9AA">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473400E8">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4A513CE7">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5DC3BD7E">
            <w:pPr>
              <w:pStyle w:val="107"/>
              <w:keepNext w:val="0"/>
              <w:keepLines w:val="0"/>
              <w:pageBreakBefore w:val="0"/>
              <w:widowControl w:val="0"/>
              <w:kinsoku/>
              <w:wordWrap/>
              <w:overflowPunct/>
              <w:topLinePunct w:val="0"/>
              <w:autoSpaceDE/>
              <w:autoSpaceDN/>
              <w:bidi w:val="0"/>
              <w:adjustRightInd/>
              <w:snapToGrid/>
              <w:ind w:firstLine="480" w:firstLineChars="200"/>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p w14:paraId="0B33FA34">
            <w:pPr>
              <w:pStyle w:val="107"/>
              <w:keepNext w:val="0"/>
              <w:keepLines w:val="0"/>
              <w:pageBreakBefore w:val="0"/>
              <w:widowControl w:val="0"/>
              <w:kinsoku/>
              <w:wordWrap/>
              <w:overflowPunct/>
              <w:topLinePunct w:val="0"/>
              <w:autoSpaceDE/>
              <w:autoSpaceDN/>
              <w:bidi w:val="0"/>
              <w:adjustRightInd/>
              <w:snapToGrid/>
              <w:textAlignment w:val="center"/>
              <w:outlineLvl w:val="2"/>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p>
        </w:tc>
      </w:tr>
    </w:tbl>
    <w:p w14:paraId="6C7B0995">
      <w:pPr>
        <w:pStyle w:val="30"/>
        <w:jc w:val="center"/>
        <w:rPr>
          <w:rFonts w:hint="default" w:ascii="Times New Roman" w:hAnsi="Times New Roman" w:cs="Times New Roman" w:eastAsiaTheme="minorEastAsia"/>
          <w:snapToGrid w:val="0"/>
          <w:color w:val="000000" w:themeColor="text1"/>
          <w:kern w:val="21"/>
          <w:sz w:val="36"/>
          <w:szCs w:val="36"/>
          <w14:textFill>
            <w14:solidFill>
              <w14:schemeClr w14:val="tx1"/>
            </w14:solidFill>
          </w14:textFill>
        </w:rPr>
        <w:sectPr>
          <w:footerReference r:id="rId4" w:type="default"/>
          <w:pgSz w:w="11906" w:h="16838"/>
          <w:pgMar w:top="1301" w:right="1531" w:bottom="1477" w:left="1531" w:header="851" w:footer="851" w:gutter="0"/>
          <w:pgBorders>
            <w:top w:val="none" w:sz="0" w:space="0"/>
            <w:left w:val="none" w:sz="0" w:space="0"/>
            <w:bottom w:val="none" w:sz="0" w:space="0"/>
            <w:right w:val="none" w:sz="0" w:space="0"/>
          </w:pgBorders>
          <w:cols w:space="720" w:num="1"/>
          <w:docGrid w:linePitch="312" w:charSpace="0"/>
        </w:sectPr>
      </w:pPr>
    </w:p>
    <w:p w14:paraId="337024B9">
      <w:pPr>
        <w:pStyle w:val="30"/>
        <w:jc w:val="center"/>
        <w:outlineLvl w:val="0"/>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pPr>
      <w:r>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t>三、区域环境质量现状、环境保护目标及评价标准</w:t>
      </w:r>
    </w:p>
    <w:tbl>
      <w:tblPr>
        <w:tblStyle w:val="35"/>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14:paraId="592EB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062F9D5D">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区域</w:t>
            </w:r>
          </w:p>
          <w:p w14:paraId="67CCFEBA">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环境</w:t>
            </w:r>
          </w:p>
          <w:p w14:paraId="276A6ED1">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质量</w:t>
            </w:r>
          </w:p>
          <w:p w14:paraId="30558A5A">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现状</w:t>
            </w:r>
          </w:p>
        </w:tc>
        <w:tc>
          <w:tcPr>
            <w:tcW w:w="7803" w:type="dxa"/>
            <w:vAlign w:val="center"/>
          </w:tcPr>
          <w:p w14:paraId="2CC6C848">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3.1</w:t>
            </w: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区域环境质量</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现状</w:t>
            </w:r>
          </w:p>
          <w:p w14:paraId="64E7C2F6">
            <w:pPr>
              <w:spacing w:line="360" w:lineRule="auto"/>
              <w:ind w:firstLine="480" w:firstLineChars="200"/>
              <w:contextualSpacing/>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大气环境质量现状</w:t>
            </w:r>
          </w:p>
          <w:p w14:paraId="4CEE0FEE">
            <w:pPr>
              <w:spacing w:line="360" w:lineRule="auto"/>
              <w:ind w:firstLine="480" w:firstLineChars="200"/>
              <w:contextualSpacing/>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本评价区域处于福清融侨经济技术开发区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根据福州市人民政府榕政综[2014]30号文件正式批准实施《福州市环境空气质量功能区划(报批稿)》的规定，项目所在区域环境空气功能规划为二类区，环境空气质量执行《环境空气质量标准》(GB3095-2012)及其修改单中的二级标准</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288F5F25">
            <w:pPr>
              <w:spacing w:line="360" w:lineRule="auto"/>
              <w:ind w:firstLine="480" w:firstLineChars="200"/>
              <w:contextualSpacing/>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①基本污染因子</w:t>
            </w:r>
          </w:p>
          <w:p w14:paraId="054985A0">
            <w:pPr>
              <w:pStyle w:val="109"/>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根据福清市人民政府在网站发布福清市环境空气质量月报（链接：http://www.fuqing.gov.cn/xjwz/zwgk/ztzl/sdgjz/dhwrfzgjz/）可知，202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lang w:eastAsia="zh-CN"/>
                <w14:textFill>
                  <w14:solidFill>
                    <w14:schemeClr w14:val="tx1"/>
                  </w14:solidFill>
                </w14:textFill>
              </w:rPr>
              <w:t>年1月~202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lang w:eastAsia="zh-CN"/>
                <w14:textFill>
                  <w14:solidFill>
                    <w14:schemeClr w14:val="tx1"/>
                  </w14:solidFill>
                </w14:textFill>
              </w:rPr>
              <w:t>年12月空气环境中SO</w:t>
            </w:r>
            <w:r>
              <w:rPr>
                <w:rFonts w:hint="default" w:ascii="Times New Roman" w:hAnsi="Times New Roman" w:cs="Times New Roman" w:eastAsiaTheme="minorEastAsia"/>
                <w:color w:val="000000" w:themeColor="text1"/>
                <w:vertAlign w:val="subscript"/>
                <w:lang w:eastAsia="zh-CN"/>
                <w14:textFill>
                  <w14:solidFill>
                    <w14:schemeClr w14:val="tx1"/>
                  </w14:solidFill>
                </w14:textFill>
              </w:rPr>
              <w:t>2</w:t>
            </w:r>
            <w:r>
              <w:rPr>
                <w:rFonts w:hint="default" w:ascii="Times New Roman" w:hAnsi="Times New Roman" w:cs="Times New Roman" w:eastAsiaTheme="minorEastAsia"/>
                <w:color w:val="000000" w:themeColor="text1"/>
                <w:lang w:eastAsia="zh-CN"/>
                <w14:textFill>
                  <w14:solidFill>
                    <w14:schemeClr w14:val="tx1"/>
                  </w14:solidFill>
                </w14:textFill>
              </w:rPr>
              <w:t>、NO</w:t>
            </w:r>
            <w:r>
              <w:rPr>
                <w:rFonts w:hint="default" w:ascii="Times New Roman" w:hAnsi="Times New Roman" w:cs="Times New Roman" w:eastAsiaTheme="minorEastAsia"/>
                <w:color w:val="000000" w:themeColor="text1"/>
                <w:vertAlign w:val="subscript"/>
                <w:lang w:eastAsia="zh-CN"/>
                <w14:textFill>
                  <w14:solidFill>
                    <w14:schemeClr w14:val="tx1"/>
                  </w14:solidFill>
                </w14:textFill>
              </w:rPr>
              <w:t>2</w:t>
            </w:r>
            <w:r>
              <w:rPr>
                <w:rFonts w:hint="default" w:ascii="Times New Roman" w:hAnsi="Times New Roman" w:cs="Times New Roman" w:eastAsiaTheme="minorEastAsia"/>
                <w:color w:val="000000" w:themeColor="text1"/>
                <w:lang w:eastAsia="zh-CN"/>
                <w14:textFill>
                  <w14:solidFill>
                    <w14:schemeClr w14:val="tx1"/>
                  </w14:solidFill>
                </w14:textFill>
              </w:rPr>
              <w:t>、PM</w:t>
            </w:r>
            <w:r>
              <w:rPr>
                <w:rFonts w:hint="default" w:ascii="Times New Roman" w:hAnsi="Times New Roman" w:cs="Times New Roman" w:eastAsiaTheme="minorEastAsia"/>
                <w:color w:val="000000" w:themeColor="text1"/>
                <w:vertAlign w:val="subscript"/>
                <w:lang w:eastAsia="zh-CN"/>
                <w14:textFill>
                  <w14:solidFill>
                    <w14:schemeClr w14:val="tx1"/>
                  </w14:solidFill>
                </w14:textFill>
              </w:rPr>
              <w:t>10</w:t>
            </w:r>
            <w:r>
              <w:rPr>
                <w:rFonts w:hint="default" w:ascii="Times New Roman" w:hAnsi="Times New Roman" w:cs="Times New Roman" w:eastAsiaTheme="minorEastAsia"/>
                <w:color w:val="000000" w:themeColor="text1"/>
                <w:lang w:eastAsia="zh-CN"/>
                <w14:textFill>
                  <w14:solidFill>
                    <w14:schemeClr w14:val="tx1"/>
                  </w14:solidFill>
                </w14:textFill>
              </w:rPr>
              <w:t>、PM</w:t>
            </w:r>
            <w:r>
              <w:rPr>
                <w:rFonts w:hint="default" w:ascii="Times New Roman" w:hAnsi="Times New Roman" w:cs="Times New Roman" w:eastAsiaTheme="minorEastAsia"/>
                <w:color w:val="000000" w:themeColor="text1"/>
                <w:vertAlign w:val="subscript"/>
                <w:lang w:eastAsia="zh-CN"/>
                <w14:textFill>
                  <w14:solidFill>
                    <w14:schemeClr w14:val="tx1"/>
                  </w14:solidFill>
                </w14:textFill>
              </w:rPr>
              <w:t>2.5</w:t>
            </w:r>
            <w:r>
              <w:rPr>
                <w:rFonts w:hint="default" w:ascii="Times New Roman" w:hAnsi="Times New Roman" w:cs="Times New Roman" w:eastAsiaTheme="minorEastAsia"/>
                <w:color w:val="000000" w:themeColor="text1"/>
                <w:lang w:eastAsia="zh-CN"/>
                <w14:textFill>
                  <w14:solidFill>
                    <w14:schemeClr w14:val="tx1"/>
                  </w14:solidFill>
                </w14:textFill>
              </w:rPr>
              <w:t>以及CO日均值第95百分位数、O</w:t>
            </w:r>
            <w:r>
              <w:rPr>
                <w:rFonts w:hint="default" w:ascii="Times New Roman" w:hAnsi="Times New Roman" w:cs="Times New Roman" w:eastAsiaTheme="minorEastAsia"/>
                <w:color w:val="000000" w:themeColor="text1"/>
                <w:vertAlign w:val="subscript"/>
                <w:lang w:eastAsia="zh-CN"/>
                <w14:textFill>
                  <w14:solidFill>
                    <w14:schemeClr w14:val="tx1"/>
                  </w14:solidFill>
                </w14:textFill>
              </w:rPr>
              <w:t>3</w:t>
            </w:r>
            <w:r>
              <w:rPr>
                <w:rFonts w:hint="default" w:ascii="Times New Roman" w:hAnsi="Times New Roman" w:cs="Times New Roman" w:eastAsiaTheme="minorEastAsia"/>
                <w:color w:val="000000" w:themeColor="text1"/>
                <w:lang w:eastAsia="zh-CN"/>
                <w14:textFill>
                  <w14:solidFill>
                    <w14:schemeClr w14:val="tx1"/>
                  </w14:solidFill>
                </w14:textFill>
              </w:rPr>
              <w:t>日最大8小时值第90百分位数均未超过《环境空气质量标准》（GB3095-2012）及其修改单（生态环境部2018年第29号）中的二级浓度限值。具体详见表</w:t>
            </w:r>
            <w:r>
              <w:rPr>
                <w:rFonts w:hint="default" w:ascii="Times New Roman" w:hAnsi="Times New Roman" w:cs="Times New Roman" w:eastAsiaTheme="minorEastAsia"/>
                <w:color w:val="000000" w:themeColor="text1"/>
                <w:lang w:val="en-US" w:eastAsia="zh-CN"/>
                <w14:textFill>
                  <w14:solidFill>
                    <w14:schemeClr w14:val="tx1"/>
                  </w14:solidFill>
                </w14:textFill>
              </w:rPr>
              <w:t>3.1-1。</w:t>
            </w:r>
          </w:p>
          <w:p w14:paraId="18369549">
            <w:pPr>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表3.1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 xml:space="preserve">1  </w:t>
            </w:r>
            <w:bookmarkStart w:id="15" w:name="_Toc26639"/>
            <w:r>
              <w:rPr>
                <w:rFonts w:hint="default" w:ascii="Times New Roman" w:hAnsi="Times New Roman" w:cs="Times New Roman" w:eastAsiaTheme="minorEastAsia"/>
                <w:b/>
                <w:bCs/>
                <w:color w:val="000000" w:themeColor="text1"/>
                <w:sz w:val="24"/>
                <w:szCs w:val="24"/>
                <w14:textFill>
                  <w14:solidFill>
                    <w14:schemeClr w14:val="tx1"/>
                  </w14:solidFill>
                </w14:textFill>
              </w:rPr>
              <w:t>福清市</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202</w:t>
            </w:r>
            <w:r>
              <w:rPr>
                <w:rFonts w:hint="eastAsia"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年</w:t>
            </w:r>
            <w:r>
              <w:rPr>
                <w:rFonts w:hint="default" w:ascii="Times New Roman" w:hAnsi="Times New Roman" w:cs="Times New Roman" w:eastAsiaTheme="minorEastAsia"/>
                <w:b/>
                <w:bCs/>
                <w:color w:val="000000" w:themeColor="text1"/>
                <w:sz w:val="24"/>
                <w:szCs w:val="24"/>
                <w14:textFill>
                  <w14:solidFill>
                    <w14:schemeClr w14:val="tx1"/>
                  </w14:solidFill>
                </w14:textFill>
              </w:rPr>
              <w:t>环境空气质量监测结果</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201"/>
              <w:gridCol w:w="1186"/>
              <w:gridCol w:w="1088"/>
              <w:gridCol w:w="1213"/>
              <w:gridCol w:w="1209"/>
              <w:gridCol w:w="933"/>
            </w:tblGrid>
            <w:tr w14:paraId="12A29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674" w:type="dxa"/>
                  <w:vMerge w:val="restart"/>
                  <w:vAlign w:val="center"/>
                </w:tcPr>
                <w:p w14:paraId="79D940C8">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监测结果</w:t>
                  </w:r>
                </w:p>
              </w:tc>
              <w:tc>
                <w:tcPr>
                  <w:tcW w:w="6830" w:type="dxa"/>
                  <w:gridSpan w:val="6"/>
                  <w:vAlign w:val="center"/>
                </w:tcPr>
                <w:p w14:paraId="19592385">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月日均值*（mg/m³）</w:t>
                  </w:r>
                </w:p>
              </w:tc>
            </w:tr>
            <w:tr w14:paraId="75594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674" w:type="dxa"/>
                  <w:vMerge w:val="continue"/>
                  <w:vAlign w:val="center"/>
                </w:tcPr>
                <w:p w14:paraId="435FCCA0">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p>
              </w:tc>
              <w:tc>
                <w:tcPr>
                  <w:tcW w:w="1201" w:type="dxa"/>
                  <w:vAlign w:val="center"/>
                </w:tcPr>
                <w:p w14:paraId="18A3023C">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SO</w:t>
                  </w:r>
                  <w:r>
                    <w:rPr>
                      <w:rFonts w:hint="default" w:ascii="Times New Roman" w:hAnsi="Times New Roman" w:cs="Times New Roman" w:eastAsiaTheme="minorEastAsia"/>
                      <w:color w:val="000000" w:themeColor="text1"/>
                      <w:kern w:val="0"/>
                      <w:szCs w:val="20"/>
                      <w:vertAlign w:val="subscript"/>
                      <w14:textFill>
                        <w14:solidFill>
                          <w14:schemeClr w14:val="tx1"/>
                        </w14:solidFill>
                      </w14:textFill>
                    </w:rPr>
                    <w:t>2</w:t>
                  </w:r>
                </w:p>
              </w:tc>
              <w:tc>
                <w:tcPr>
                  <w:tcW w:w="1186" w:type="dxa"/>
                  <w:vAlign w:val="center"/>
                </w:tcPr>
                <w:p w14:paraId="4648EA37">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NO</w:t>
                  </w:r>
                  <w:r>
                    <w:rPr>
                      <w:rFonts w:hint="default" w:ascii="Times New Roman" w:hAnsi="Times New Roman" w:cs="Times New Roman" w:eastAsiaTheme="minorEastAsia"/>
                      <w:color w:val="000000" w:themeColor="text1"/>
                      <w:kern w:val="0"/>
                      <w:szCs w:val="20"/>
                      <w:vertAlign w:val="subscript"/>
                      <w14:textFill>
                        <w14:solidFill>
                          <w14:schemeClr w14:val="tx1"/>
                        </w14:solidFill>
                      </w14:textFill>
                    </w:rPr>
                    <w:t>2</w:t>
                  </w:r>
                </w:p>
              </w:tc>
              <w:tc>
                <w:tcPr>
                  <w:tcW w:w="1088" w:type="dxa"/>
                  <w:vAlign w:val="center"/>
                </w:tcPr>
                <w:p w14:paraId="03D22185">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PM</w:t>
                  </w:r>
                  <w:r>
                    <w:rPr>
                      <w:rFonts w:hint="default" w:ascii="Times New Roman" w:hAnsi="Times New Roman" w:cs="Times New Roman" w:eastAsiaTheme="minorEastAsia"/>
                      <w:color w:val="000000" w:themeColor="text1"/>
                      <w:kern w:val="0"/>
                      <w:szCs w:val="20"/>
                      <w:vertAlign w:val="subscript"/>
                      <w14:textFill>
                        <w14:solidFill>
                          <w14:schemeClr w14:val="tx1"/>
                        </w14:solidFill>
                      </w14:textFill>
                    </w:rPr>
                    <w:t>10</w:t>
                  </w:r>
                </w:p>
              </w:tc>
              <w:tc>
                <w:tcPr>
                  <w:tcW w:w="1213" w:type="dxa"/>
                  <w:vAlign w:val="center"/>
                </w:tcPr>
                <w:p w14:paraId="0A76397F">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PM</w:t>
                  </w:r>
                  <w:r>
                    <w:rPr>
                      <w:rFonts w:hint="default" w:ascii="Times New Roman" w:hAnsi="Times New Roman" w:cs="Times New Roman" w:eastAsiaTheme="minorEastAsia"/>
                      <w:color w:val="000000" w:themeColor="text1"/>
                      <w:vertAlign w:val="subscript"/>
                      <w14:textFill>
                        <w14:solidFill>
                          <w14:schemeClr w14:val="tx1"/>
                        </w14:solidFill>
                      </w14:textFill>
                    </w:rPr>
                    <w:t>2.5</w:t>
                  </w:r>
                </w:p>
              </w:tc>
              <w:tc>
                <w:tcPr>
                  <w:tcW w:w="1209" w:type="dxa"/>
                  <w:vAlign w:val="center"/>
                </w:tcPr>
                <w:p w14:paraId="38C81180">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CO</w:t>
                  </w:r>
                </w:p>
              </w:tc>
              <w:tc>
                <w:tcPr>
                  <w:tcW w:w="933" w:type="dxa"/>
                  <w:vAlign w:val="center"/>
                </w:tcPr>
                <w:p w14:paraId="1D376DF2">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O</w:t>
                  </w:r>
                  <w:r>
                    <w:rPr>
                      <w:rFonts w:hint="default" w:ascii="Times New Roman" w:hAnsi="Times New Roman" w:cs="Times New Roman" w:eastAsiaTheme="minorEastAsia"/>
                      <w:color w:val="000000" w:themeColor="text1"/>
                      <w:kern w:val="0"/>
                      <w:szCs w:val="20"/>
                      <w:vertAlign w:val="subscript"/>
                      <w14:textFill>
                        <w14:solidFill>
                          <w14:schemeClr w14:val="tx1"/>
                        </w14:solidFill>
                      </w14:textFill>
                    </w:rPr>
                    <w:t>3</w:t>
                  </w:r>
                </w:p>
              </w:tc>
            </w:tr>
            <w:tr w14:paraId="2D275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4498648A">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年1月</w:t>
                  </w:r>
                </w:p>
              </w:tc>
              <w:tc>
                <w:tcPr>
                  <w:tcW w:w="1201" w:type="dxa"/>
                  <w:vAlign w:val="center"/>
                </w:tcPr>
                <w:p w14:paraId="7F7F2E0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0.003</w:t>
                  </w:r>
                </w:p>
              </w:tc>
              <w:tc>
                <w:tcPr>
                  <w:tcW w:w="1186" w:type="dxa"/>
                  <w:vAlign w:val="center"/>
                </w:tcPr>
                <w:p w14:paraId="6937532F">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0.022</w:t>
                  </w:r>
                </w:p>
              </w:tc>
              <w:tc>
                <w:tcPr>
                  <w:tcW w:w="1088" w:type="dxa"/>
                  <w:vAlign w:val="center"/>
                </w:tcPr>
                <w:p w14:paraId="7FDE7F6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0.048</w:t>
                  </w:r>
                </w:p>
              </w:tc>
              <w:tc>
                <w:tcPr>
                  <w:tcW w:w="1213" w:type="dxa"/>
                  <w:vAlign w:val="center"/>
                </w:tcPr>
                <w:p w14:paraId="4169670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0.030</w:t>
                  </w:r>
                </w:p>
              </w:tc>
              <w:tc>
                <w:tcPr>
                  <w:tcW w:w="1209" w:type="dxa"/>
                  <w:vAlign w:val="center"/>
                </w:tcPr>
                <w:p w14:paraId="3CDA618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0.9</w:t>
                  </w:r>
                </w:p>
              </w:tc>
              <w:tc>
                <w:tcPr>
                  <w:tcW w:w="933" w:type="dxa"/>
                  <w:vAlign w:val="center"/>
                </w:tcPr>
                <w:p w14:paraId="10D3FA6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0.110</w:t>
                  </w:r>
                </w:p>
              </w:tc>
            </w:tr>
            <w:tr w14:paraId="3DEF2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172130B6">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年2月</w:t>
                  </w:r>
                </w:p>
              </w:tc>
              <w:tc>
                <w:tcPr>
                  <w:tcW w:w="1201" w:type="dxa"/>
                  <w:vAlign w:val="center"/>
                </w:tcPr>
                <w:p w14:paraId="6DD84E31">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0.003</w:t>
                  </w:r>
                </w:p>
              </w:tc>
              <w:tc>
                <w:tcPr>
                  <w:tcW w:w="1186" w:type="dxa"/>
                  <w:vAlign w:val="center"/>
                </w:tcPr>
                <w:p w14:paraId="243DDF18">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0.009</w:t>
                  </w:r>
                </w:p>
              </w:tc>
              <w:tc>
                <w:tcPr>
                  <w:tcW w:w="1088" w:type="dxa"/>
                  <w:vAlign w:val="center"/>
                </w:tcPr>
                <w:p w14:paraId="150BD36D">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0.038</w:t>
                  </w:r>
                </w:p>
              </w:tc>
              <w:tc>
                <w:tcPr>
                  <w:tcW w:w="1213" w:type="dxa"/>
                  <w:vAlign w:val="center"/>
                </w:tcPr>
                <w:p w14:paraId="08DFDB86">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0.023</w:t>
                  </w:r>
                </w:p>
              </w:tc>
              <w:tc>
                <w:tcPr>
                  <w:tcW w:w="1209" w:type="dxa"/>
                  <w:vAlign w:val="center"/>
                </w:tcPr>
                <w:p w14:paraId="6108075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1.2</w:t>
                  </w:r>
                </w:p>
              </w:tc>
              <w:tc>
                <w:tcPr>
                  <w:tcW w:w="933" w:type="dxa"/>
                  <w:vAlign w:val="center"/>
                </w:tcPr>
                <w:p w14:paraId="3E369861">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0.112</w:t>
                  </w:r>
                </w:p>
              </w:tc>
            </w:tr>
            <w:tr w14:paraId="376CA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57817CA1">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年3月</w:t>
                  </w:r>
                </w:p>
              </w:tc>
              <w:tc>
                <w:tcPr>
                  <w:tcW w:w="1201" w:type="dxa"/>
                  <w:vAlign w:val="center"/>
                </w:tcPr>
                <w:p w14:paraId="5ADF8AD8">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0.003</w:t>
                  </w:r>
                </w:p>
              </w:tc>
              <w:tc>
                <w:tcPr>
                  <w:tcW w:w="1186" w:type="dxa"/>
                  <w:vAlign w:val="center"/>
                </w:tcPr>
                <w:p w14:paraId="3AE2AAA1">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0.016</w:t>
                  </w:r>
                </w:p>
              </w:tc>
              <w:tc>
                <w:tcPr>
                  <w:tcW w:w="1088" w:type="dxa"/>
                  <w:vAlign w:val="center"/>
                </w:tcPr>
                <w:p w14:paraId="3A2B19A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0.041</w:t>
                  </w:r>
                </w:p>
              </w:tc>
              <w:tc>
                <w:tcPr>
                  <w:tcW w:w="1213" w:type="dxa"/>
                  <w:vAlign w:val="center"/>
                </w:tcPr>
                <w:p w14:paraId="4B6C5CB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0.020</w:t>
                  </w:r>
                </w:p>
              </w:tc>
              <w:tc>
                <w:tcPr>
                  <w:tcW w:w="1209" w:type="dxa"/>
                  <w:vAlign w:val="center"/>
                </w:tcPr>
                <w:p w14:paraId="5C792EFD">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0.8</w:t>
                  </w:r>
                </w:p>
              </w:tc>
              <w:tc>
                <w:tcPr>
                  <w:tcW w:w="933" w:type="dxa"/>
                  <w:vAlign w:val="center"/>
                </w:tcPr>
                <w:p w14:paraId="40BEBD99">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0.122</w:t>
                  </w:r>
                </w:p>
              </w:tc>
            </w:tr>
            <w:tr w14:paraId="037DF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281AF380">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年4月</w:t>
                  </w:r>
                </w:p>
              </w:tc>
              <w:tc>
                <w:tcPr>
                  <w:tcW w:w="1201" w:type="dxa"/>
                  <w:vAlign w:val="center"/>
                </w:tcPr>
                <w:p w14:paraId="2B2E8C7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0.004</w:t>
                  </w:r>
                </w:p>
              </w:tc>
              <w:tc>
                <w:tcPr>
                  <w:tcW w:w="1186" w:type="dxa"/>
                  <w:vAlign w:val="center"/>
                </w:tcPr>
                <w:p w14:paraId="7576A435">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0.019</w:t>
                  </w:r>
                </w:p>
              </w:tc>
              <w:tc>
                <w:tcPr>
                  <w:tcW w:w="1088" w:type="dxa"/>
                  <w:vAlign w:val="center"/>
                </w:tcPr>
                <w:p w14:paraId="4D809881">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0.038</w:t>
                  </w:r>
                </w:p>
              </w:tc>
              <w:tc>
                <w:tcPr>
                  <w:tcW w:w="1213" w:type="dxa"/>
                  <w:vAlign w:val="center"/>
                </w:tcPr>
                <w:p w14:paraId="3FC49806">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0.019</w:t>
                  </w:r>
                </w:p>
              </w:tc>
              <w:tc>
                <w:tcPr>
                  <w:tcW w:w="1209" w:type="dxa"/>
                  <w:vAlign w:val="center"/>
                </w:tcPr>
                <w:p w14:paraId="58706979">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0.6</w:t>
                  </w:r>
                </w:p>
              </w:tc>
              <w:tc>
                <w:tcPr>
                  <w:tcW w:w="933" w:type="dxa"/>
                  <w:vAlign w:val="center"/>
                </w:tcPr>
                <w:p w14:paraId="74146B8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0.116</w:t>
                  </w:r>
                </w:p>
              </w:tc>
            </w:tr>
            <w:tr w14:paraId="396D0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49BFBF02">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年5月</w:t>
                  </w:r>
                </w:p>
              </w:tc>
              <w:tc>
                <w:tcPr>
                  <w:tcW w:w="1201" w:type="dxa"/>
                  <w:vAlign w:val="center"/>
                </w:tcPr>
                <w:p w14:paraId="15CC3449">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0.002</w:t>
                  </w:r>
                </w:p>
              </w:tc>
              <w:tc>
                <w:tcPr>
                  <w:tcW w:w="1186" w:type="dxa"/>
                  <w:vAlign w:val="center"/>
                </w:tcPr>
                <w:p w14:paraId="59C87FB9">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0.011</w:t>
                  </w:r>
                </w:p>
              </w:tc>
              <w:tc>
                <w:tcPr>
                  <w:tcW w:w="1088" w:type="dxa"/>
                  <w:vAlign w:val="center"/>
                </w:tcPr>
                <w:p w14:paraId="5A9DEC76">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0.028</w:t>
                  </w:r>
                </w:p>
              </w:tc>
              <w:tc>
                <w:tcPr>
                  <w:tcW w:w="1213" w:type="dxa"/>
                  <w:vAlign w:val="center"/>
                </w:tcPr>
                <w:p w14:paraId="6DDD673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0.013</w:t>
                  </w:r>
                </w:p>
              </w:tc>
              <w:tc>
                <w:tcPr>
                  <w:tcW w:w="1209" w:type="dxa"/>
                  <w:vAlign w:val="center"/>
                </w:tcPr>
                <w:p w14:paraId="3B2A28C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0.6</w:t>
                  </w:r>
                </w:p>
              </w:tc>
              <w:tc>
                <w:tcPr>
                  <w:tcW w:w="933" w:type="dxa"/>
                  <w:vAlign w:val="center"/>
                </w:tcPr>
                <w:p w14:paraId="4B1593D3">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0.130</w:t>
                  </w:r>
                </w:p>
              </w:tc>
            </w:tr>
            <w:tr w14:paraId="1E3A1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089D2276">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年6月</w:t>
                  </w:r>
                </w:p>
              </w:tc>
              <w:tc>
                <w:tcPr>
                  <w:tcW w:w="1201" w:type="dxa"/>
                  <w:vAlign w:val="center"/>
                </w:tcPr>
                <w:p w14:paraId="1D228051">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0.002</w:t>
                  </w:r>
                </w:p>
              </w:tc>
              <w:tc>
                <w:tcPr>
                  <w:tcW w:w="1186" w:type="dxa"/>
                  <w:vAlign w:val="center"/>
                </w:tcPr>
                <w:p w14:paraId="7272693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0.010</w:t>
                  </w:r>
                </w:p>
              </w:tc>
              <w:tc>
                <w:tcPr>
                  <w:tcW w:w="1088" w:type="dxa"/>
                  <w:vAlign w:val="center"/>
                </w:tcPr>
                <w:p w14:paraId="0108E72F">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0.022</w:t>
                  </w:r>
                </w:p>
              </w:tc>
              <w:tc>
                <w:tcPr>
                  <w:tcW w:w="1213" w:type="dxa"/>
                  <w:vAlign w:val="center"/>
                </w:tcPr>
                <w:p w14:paraId="0C47B70E">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0.010</w:t>
                  </w:r>
                </w:p>
              </w:tc>
              <w:tc>
                <w:tcPr>
                  <w:tcW w:w="1209" w:type="dxa"/>
                  <w:vAlign w:val="center"/>
                </w:tcPr>
                <w:p w14:paraId="62E54D0D">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0.6</w:t>
                  </w:r>
                </w:p>
              </w:tc>
              <w:tc>
                <w:tcPr>
                  <w:tcW w:w="933" w:type="dxa"/>
                  <w:vAlign w:val="center"/>
                </w:tcPr>
                <w:p w14:paraId="6F7887E8">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0.112</w:t>
                  </w:r>
                </w:p>
              </w:tc>
            </w:tr>
            <w:tr w14:paraId="50762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2950E62D">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年7月</w:t>
                  </w:r>
                </w:p>
              </w:tc>
              <w:tc>
                <w:tcPr>
                  <w:tcW w:w="1201" w:type="dxa"/>
                  <w:vAlign w:val="center"/>
                </w:tcPr>
                <w:p w14:paraId="1A8C7637">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0.002</w:t>
                  </w:r>
                </w:p>
              </w:tc>
              <w:tc>
                <w:tcPr>
                  <w:tcW w:w="1186" w:type="dxa"/>
                  <w:vAlign w:val="center"/>
                </w:tcPr>
                <w:p w14:paraId="18241E9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0.008</w:t>
                  </w:r>
                </w:p>
              </w:tc>
              <w:tc>
                <w:tcPr>
                  <w:tcW w:w="1088" w:type="dxa"/>
                  <w:vAlign w:val="center"/>
                </w:tcPr>
                <w:p w14:paraId="28AC0CE7">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0.020</w:t>
                  </w:r>
                </w:p>
              </w:tc>
              <w:tc>
                <w:tcPr>
                  <w:tcW w:w="1213" w:type="dxa"/>
                  <w:vAlign w:val="center"/>
                </w:tcPr>
                <w:p w14:paraId="509E314F">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0.009</w:t>
                  </w:r>
                </w:p>
              </w:tc>
              <w:tc>
                <w:tcPr>
                  <w:tcW w:w="1209" w:type="dxa"/>
                  <w:vAlign w:val="center"/>
                </w:tcPr>
                <w:p w14:paraId="4571D217">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0.4</w:t>
                  </w:r>
                </w:p>
              </w:tc>
              <w:tc>
                <w:tcPr>
                  <w:tcW w:w="933" w:type="dxa"/>
                  <w:vAlign w:val="center"/>
                </w:tcPr>
                <w:p w14:paraId="6D485B73">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0.108</w:t>
                  </w:r>
                </w:p>
              </w:tc>
            </w:tr>
            <w:tr w14:paraId="76054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4C54D0DE">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年8月</w:t>
                  </w:r>
                </w:p>
              </w:tc>
              <w:tc>
                <w:tcPr>
                  <w:tcW w:w="1201" w:type="dxa"/>
                  <w:vAlign w:val="center"/>
                </w:tcPr>
                <w:p w14:paraId="03DA03ED">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0.004</w:t>
                  </w:r>
                </w:p>
              </w:tc>
              <w:tc>
                <w:tcPr>
                  <w:tcW w:w="1186" w:type="dxa"/>
                  <w:vAlign w:val="center"/>
                </w:tcPr>
                <w:p w14:paraId="62887BD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0.009</w:t>
                  </w:r>
                </w:p>
              </w:tc>
              <w:tc>
                <w:tcPr>
                  <w:tcW w:w="1088" w:type="dxa"/>
                  <w:vAlign w:val="center"/>
                </w:tcPr>
                <w:p w14:paraId="66BAAA36">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0.032</w:t>
                  </w:r>
                </w:p>
              </w:tc>
              <w:tc>
                <w:tcPr>
                  <w:tcW w:w="1213" w:type="dxa"/>
                  <w:vAlign w:val="center"/>
                </w:tcPr>
                <w:p w14:paraId="39E2F02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0.017</w:t>
                  </w:r>
                </w:p>
              </w:tc>
              <w:tc>
                <w:tcPr>
                  <w:tcW w:w="1209" w:type="dxa"/>
                  <w:vAlign w:val="center"/>
                </w:tcPr>
                <w:p w14:paraId="4A66A025">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0.5</w:t>
                  </w:r>
                </w:p>
              </w:tc>
              <w:tc>
                <w:tcPr>
                  <w:tcW w:w="933" w:type="dxa"/>
                  <w:vAlign w:val="center"/>
                </w:tcPr>
                <w:p w14:paraId="2EFFDCB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0.144</w:t>
                  </w:r>
                </w:p>
              </w:tc>
            </w:tr>
            <w:tr w14:paraId="417F4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3A37E0F6">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年9月</w:t>
                  </w:r>
                </w:p>
              </w:tc>
              <w:tc>
                <w:tcPr>
                  <w:tcW w:w="1201" w:type="dxa"/>
                  <w:vAlign w:val="center"/>
                </w:tcPr>
                <w:p w14:paraId="5B0B6A0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0.002</w:t>
                  </w:r>
                </w:p>
              </w:tc>
              <w:tc>
                <w:tcPr>
                  <w:tcW w:w="1186" w:type="dxa"/>
                  <w:vAlign w:val="center"/>
                </w:tcPr>
                <w:p w14:paraId="59D2AD99">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0.007</w:t>
                  </w:r>
                </w:p>
              </w:tc>
              <w:tc>
                <w:tcPr>
                  <w:tcW w:w="1088" w:type="dxa"/>
                  <w:vAlign w:val="center"/>
                </w:tcPr>
                <w:p w14:paraId="0E4B9801">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0.020</w:t>
                  </w:r>
                </w:p>
              </w:tc>
              <w:tc>
                <w:tcPr>
                  <w:tcW w:w="1213" w:type="dxa"/>
                  <w:vAlign w:val="center"/>
                </w:tcPr>
                <w:p w14:paraId="34EBB923">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0.010</w:t>
                  </w:r>
                </w:p>
              </w:tc>
              <w:tc>
                <w:tcPr>
                  <w:tcW w:w="1209" w:type="dxa"/>
                  <w:vAlign w:val="center"/>
                </w:tcPr>
                <w:p w14:paraId="1D8C901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0.4</w:t>
                  </w:r>
                </w:p>
              </w:tc>
              <w:tc>
                <w:tcPr>
                  <w:tcW w:w="933" w:type="dxa"/>
                  <w:vAlign w:val="center"/>
                </w:tcPr>
                <w:p w14:paraId="58D33CFE">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0.090</w:t>
                  </w:r>
                </w:p>
              </w:tc>
            </w:tr>
            <w:tr w14:paraId="4AA49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3C8F1F40">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年10月</w:t>
                  </w:r>
                </w:p>
              </w:tc>
              <w:tc>
                <w:tcPr>
                  <w:tcW w:w="1201" w:type="dxa"/>
                  <w:vAlign w:val="center"/>
                </w:tcPr>
                <w:p w14:paraId="7E683CA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0.002</w:t>
                  </w:r>
                </w:p>
              </w:tc>
              <w:tc>
                <w:tcPr>
                  <w:tcW w:w="1186" w:type="dxa"/>
                  <w:vAlign w:val="center"/>
                </w:tcPr>
                <w:p w14:paraId="22518225">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0.005</w:t>
                  </w:r>
                </w:p>
              </w:tc>
              <w:tc>
                <w:tcPr>
                  <w:tcW w:w="1088" w:type="dxa"/>
                  <w:vAlign w:val="center"/>
                </w:tcPr>
                <w:p w14:paraId="40D762C3">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0.022</w:t>
                  </w:r>
                </w:p>
              </w:tc>
              <w:tc>
                <w:tcPr>
                  <w:tcW w:w="1213" w:type="dxa"/>
                  <w:vAlign w:val="center"/>
                </w:tcPr>
                <w:p w14:paraId="52DD9DC8">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0.013</w:t>
                  </w:r>
                </w:p>
              </w:tc>
              <w:tc>
                <w:tcPr>
                  <w:tcW w:w="1209" w:type="dxa"/>
                  <w:vAlign w:val="center"/>
                </w:tcPr>
                <w:p w14:paraId="47495F02">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0.4</w:t>
                  </w:r>
                </w:p>
              </w:tc>
              <w:tc>
                <w:tcPr>
                  <w:tcW w:w="933" w:type="dxa"/>
                  <w:vAlign w:val="center"/>
                </w:tcPr>
                <w:p w14:paraId="06A03DAE">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0.106</w:t>
                  </w:r>
                </w:p>
              </w:tc>
            </w:tr>
            <w:tr w14:paraId="48E0D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2B9C48F5">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年11月</w:t>
                  </w:r>
                </w:p>
              </w:tc>
              <w:tc>
                <w:tcPr>
                  <w:tcW w:w="1201" w:type="dxa"/>
                  <w:vAlign w:val="center"/>
                </w:tcPr>
                <w:p w14:paraId="1DE75871">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0.002</w:t>
                  </w:r>
                </w:p>
              </w:tc>
              <w:tc>
                <w:tcPr>
                  <w:tcW w:w="1186" w:type="dxa"/>
                  <w:vAlign w:val="center"/>
                </w:tcPr>
                <w:p w14:paraId="6425671F">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0.008</w:t>
                  </w:r>
                </w:p>
              </w:tc>
              <w:tc>
                <w:tcPr>
                  <w:tcW w:w="1088" w:type="dxa"/>
                  <w:vAlign w:val="center"/>
                </w:tcPr>
                <w:p w14:paraId="6C4FBED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0.023</w:t>
                  </w:r>
                </w:p>
              </w:tc>
              <w:tc>
                <w:tcPr>
                  <w:tcW w:w="1213" w:type="dxa"/>
                  <w:vAlign w:val="center"/>
                </w:tcPr>
                <w:p w14:paraId="51A72752">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0.012</w:t>
                  </w:r>
                </w:p>
              </w:tc>
              <w:tc>
                <w:tcPr>
                  <w:tcW w:w="1209" w:type="dxa"/>
                  <w:vAlign w:val="center"/>
                </w:tcPr>
                <w:p w14:paraId="6FE3CB5C">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0.4</w:t>
                  </w:r>
                </w:p>
              </w:tc>
              <w:tc>
                <w:tcPr>
                  <w:tcW w:w="933" w:type="dxa"/>
                  <w:vAlign w:val="center"/>
                </w:tcPr>
                <w:p w14:paraId="7183733E">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t>0.100</w:t>
                  </w:r>
                </w:p>
              </w:tc>
            </w:tr>
            <w:tr w14:paraId="782CF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102F2943">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202</w:t>
                  </w:r>
                  <w:r>
                    <w:rPr>
                      <w:rFonts w:hint="default" w:ascii="Times New Roman" w:hAnsi="Times New Roman" w:cs="Times New Roman" w:eastAsiaTheme="minorEastAsia"/>
                      <w:color w:val="000000" w:themeColor="text1"/>
                      <w:lang w:val="en-US" w:eastAsia="zh-CN"/>
                      <w14:textFill>
                        <w14:solidFill>
                          <w14:schemeClr w14:val="tx1"/>
                        </w14:solidFill>
                      </w14:textFill>
                    </w:rPr>
                    <w:t>4</w:t>
                  </w:r>
                  <w:r>
                    <w:rPr>
                      <w:rFonts w:hint="default" w:ascii="Times New Roman" w:hAnsi="Times New Roman" w:cs="Times New Roman" w:eastAsiaTheme="minorEastAsia"/>
                      <w:color w:val="000000" w:themeColor="text1"/>
                      <w14:textFill>
                        <w14:solidFill>
                          <w14:schemeClr w14:val="tx1"/>
                        </w14:solidFill>
                      </w14:textFill>
                    </w:rPr>
                    <w:t>年12月</w:t>
                  </w:r>
                </w:p>
              </w:tc>
              <w:tc>
                <w:tcPr>
                  <w:tcW w:w="1201" w:type="dxa"/>
                  <w:vAlign w:val="center"/>
                </w:tcPr>
                <w:p w14:paraId="0135117B">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0.00</w:t>
                  </w:r>
                  <w:r>
                    <w:rPr>
                      <w:rFonts w:hint="default" w:ascii="Times New Roman" w:hAnsi="Times New Roman" w:cs="Times New Roman" w:eastAsiaTheme="minorEastAsia"/>
                      <w:color w:val="000000" w:themeColor="text1"/>
                      <w:lang w:val="en-US" w:eastAsia="zh-CN"/>
                      <w14:textFill>
                        <w14:solidFill>
                          <w14:schemeClr w14:val="tx1"/>
                        </w14:solidFill>
                      </w14:textFill>
                    </w:rPr>
                    <w:t>3</w:t>
                  </w:r>
                </w:p>
              </w:tc>
              <w:tc>
                <w:tcPr>
                  <w:tcW w:w="1186" w:type="dxa"/>
                  <w:vAlign w:val="center"/>
                </w:tcPr>
                <w:p w14:paraId="049C6264">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w:t>
                  </w:r>
                  <w:r>
                    <w:rPr>
                      <w:rFonts w:hint="default" w:ascii="Times New Roman" w:hAnsi="Times New Roman" w:cs="Times New Roman" w:eastAsiaTheme="minorEastAsia"/>
                      <w:color w:val="000000" w:themeColor="text1"/>
                      <w:lang w:val="en-US" w:eastAsia="zh-CN"/>
                      <w14:textFill>
                        <w14:solidFill>
                          <w14:schemeClr w14:val="tx1"/>
                        </w14:solidFill>
                      </w14:textFill>
                    </w:rPr>
                    <w:t>13</w:t>
                  </w:r>
                </w:p>
              </w:tc>
              <w:tc>
                <w:tcPr>
                  <w:tcW w:w="1088" w:type="dxa"/>
                  <w:vAlign w:val="center"/>
                </w:tcPr>
                <w:p w14:paraId="2DA3D1F4">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w:t>
                  </w:r>
                  <w:r>
                    <w:rPr>
                      <w:rFonts w:hint="default" w:ascii="Times New Roman" w:hAnsi="Times New Roman" w:cs="Times New Roman" w:eastAsiaTheme="minorEastAsia"/>
                      <w:color w:val="000000" w:themeColor="text1"/>
                      <w:lang w:val="en-US" w:eastAsia="zh-CN"/>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7</w:t>
                  </w:r>
                </w:p>
              </w:tc>
              <w:tc>
                <w:tcPr>
                  <w:tcW w:w="1213" w:type="dxa"/>
                  <w:vAlign w:val="center"/>
                </w:tcPr>
                <w:p w14:paraId="7C9EE3AC">
                  <w:pPr>
                    <w:autoSpaceDE w:val="0"/>
                    <w:autoSpaceDN w:val="0"/>
                    <w:spacing w:line="240" w:lineRule="auto"/>
                    <w:jc w:val="center"/>
                    <w:rPr>
                      <w:rFonts w:hint="default" w:ascii="Times New Roman" w:hAnsi="Times New Roman" w:cs="Times New Roman" w:eastAsiaTheme="minorEastAsia"/>
                      <w:color w:val="000000" w:themeColor="text1"/>
                      <w:kern w:val="0"/>
                      <w:szCs w:val="20"/>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0.01</w:t>
                  </w:r>
                  <w:r>
                    <w:rPr>
                      <w:rFonts w:hint="default" w:ascii="Times New Roman" w:hAnsi="Times New Roman" w:cs="Times New Roman" w:eastAsiaTheme="minorEastAsia"/>
                      <w:color w:val="000000" w:themeColor="text1"/>
                      <w:lang w:val="en-US" w:eastAsia="zh-CN"/>
                      <w14:textFill>
                        <w14:solidFill>
                          <w14:schemeClr w14:val="tx1"/>
                        </w14:solidFill>
                      </w14:textFill>
                    </w:rPr>
                    <w:t>3</w:t>
                  </w:r>
                </w:p>
              </w:tc>
              <w:tc>
                <w:tcPr>
                  <w:tcW w:w="1209" w:type="dxa"/>
                  <w:vAlign w:val="center"/>
                </w:tcPr>
                <w:p w14:paraId="45AC8DDD">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r>
                    <w:rPr>
                      <w:rFonts w:hint="default" w:ascii="Times New Roman" w:hAnsi="Times New Roman" w:cs="Times New Roman" w:eastAsiaTheme="minorEastAsia"/>
                      <w:color w:val="000000" w:themeColor="text1"/>
                      <w:lang w:val="en-US" w:eastAsia="zh-CN"/>
                      <w14:textFill>
                        <w14:solidFill>
                          <w14:schemeClr w14:val="tx1"/>
                        </w14:solidFill>
                      </w14:textFill>
                    </w:rPr>
                    <w:t>6</w:t>
                  </w:r>
                </w:p>
              </w:tc>
              <w:tc>
                <w:tcPr>
                  <w:tcW w:w="933" w:type="dxa"/>
                  <w:vAlign w:val="center"/>
                </w:tcPr>
                <w:p w14:paraId="5C0EA71E">
                  <w:pPr>
                    <w:autoSpaceDE w:val="0"/>
                    <w:autoSpaceDN w:val="0"/>
                    <w:spacing w:line="240" w:lineRule="auto"/>
                    <w:jc w:val="center"/>
                    <w:rPr>
                      <w:rFonts w:hint="default" w:ascii="Times New Roman" w:hAnsi="Times New Roman" w:cs="Times New Roman" w:eastAsiaTheme="minorEastAsia"/>
                      <w:color w:val="000000" w:themeColor="text1"/>
                      <w:kern w:val="0"/>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0.0</w:t>
                  </w:r>
                  <w:r>
                    <w:rPr>
                      <w:rFonts w:hint="default" w:ascii="Times New Roman" w:hAnsi="Times New Roman" w:cs="Times New Roman" w:eastAsiaTheme="minorEastAsia"/>
                      <w:color w:val="000000" w:themeColor="text1"/>
                      <w:lang w:val="en-US" w:eastAsia="zh-CN"/>
                      <w14:textFill>
                        <w14:solidFill>
                          <w14:schemeClr w14:val="tx1"/>
                        </w14:solidFill>
                      </w14:textFill>
                    </w:rPr>
                    <w:t>9</w:t>
                  </w:r>
                </w:p>
              </w:tc>
            </w:tr>
            <w:tr w14:paraId="0182A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55955179">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2024年均值</w:t>
                  </w:r>
                </w:p>
              </w:tc>
              <w:tc>
                <w:tcPr>
                  <w:tcW w:w="1201" w:type="dxa"/>
                  <w:vAlign w:val="center"/>
                </w:tcPr>
                <w:p w14:paraId="0E28190C">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0.003</w:t>
                  </w:r>
                </w:p>
              </w:tc>
              <w:tc>
                <w:tcPr>
                  <w:tcW w:w="1186" w:type="dxa"/>
                  <w:vAlign w:val="center"/>
                </w:tcPr>
                <w:p w14:paraId="7F60ECF1">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0.011</w:t>
                  </w:r>
                </w:p>
              </w:tc>
              <w:tc>
                <w:tcPr>
                  <w:tcW w:w="1088" w:type="dxa"/>
                  <w:vAlign w:val="center"/>
                </w:tcPr>
                <w:p w14:paraId="5EA05A36">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0.030</w:t>
                  </w:r>
                </w:p>
              </w:tc>
              <w:tc>
                <w:tcPr>
                  <w:tcW w:w="1213" w:type="dxa"/>
                  <w:vAlign w:val="center"/>
                </w:tcPr>
                <w:p w14:paraId="2B7EA44D">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0.016</w:t>
                  </w:r>
                </w:p>
              </w:tc>
              <w:tc>
                <w:tcPr>
                  <w:tcW w:w="1209" w:type="dxa"/>
                  <w:vAlign w:val="center"/>
                </w:tcPr>
                <w:p w14:paraId="60DBFD11">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0.6</w:t>
                  </w:r>
                </w:p>
              </w:tc>
              <w:tc>
                <w:tcPr>
                  <w:tcW w:w="933" w:type="dxa"/>
                  <w:vAlign w:val="center"/>
                </w:tcPr>
                <w:p w14:paraId="4D88543F">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0.112</w:t>
                  </w:r>
                </w:p>
              </w:tc>
            </w:tr>
            <w:tr w14:paraId="67935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212D64FF">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标准值（mg/m</w:t>
                  </w:r>
                  <w:r>
                    <w:rPr>
                      <w:rFonts w:hint="default" w:ascii="Times New Roman" w:hAnsi="Times New Roman" w:cs="Times New Roman" w:eastAsiaTheme="minorEastAsia"/>
                      <w:color w:val="000000" w:themeColor="text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lang w:val="en-US" w:eastAsia="zh-CN"/>
                      <w14:textFill>
                        <w14:solidFill>
                          <w14:schemeClr w14:val="tx1"/>
                        </w14:solidFill>
                      </w14:textFill>
                    </w:rPr>
                    <w:t>）</w:t>
                  </w:r>
                </w:p>
              </w:tc>
              <w:tc>
                <w:tcPr>
                  <w:tcW w:w="1201" w:type="dxa"/>
                  <w:vAlign w:val="center"/>
                </w:tcPr>
                <w:p w14:paraId="12AB37D2">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0.06</w:t>
                  </w:r>
                </w:p>
              </w:tc>
              <w:tc>
                <w:tcPr>
                  <w:tcW w:w="1186" w:type="dxa"/>
                  <w:vAlign w:val="center"/>
                </w:tcPr>
                <w:p w14:paraId="78FEC42F">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0.04</w:t>
                  </w:r>
                </w:p>
              </w:tc>
              <w:tc>
                <w:tcPr>
                  <w:tcW w:w="1088" w:type="dxa"/>
                  <w:vAlign w:val="center"/>
                </w:tcPr>
                <w:p w14:paraId="13A6EEAF">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0.07</w:t>
                  </w:r>
                </w:p>
              </w:tc>
              <w:tc>
                <w:tcPr>
                  <w:tcW w:w="1213" w:type="dxa"/>
                  <w:vAlign w:val="center"/>
                </w:tcPr>
                <w:p w14:paraId="4A6C74EE">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0.035</w:t>
                  </w:r>
                </w:p>
              </w:tc>
              <w:tc>
                <w:tcPr>
                  <w:tcW w:w="1209" w:type="dxa"/>
                  <w:vAlign w:val="center"/>
                </w:tcPr>
                <w:p w14:paraId="11F295F7">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4</w:t>
                  </w:r>
                </w:p>
              </w:tc>
              <w:tc>
                <w:tcPr>
                  <w:tcW w:w="933" w:type="dxa"/>
                  <w:vAlign w:val="center"/>
                </w:tcPr>
                <w:p w14:paraId="40D04898">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0.16</w:t>
                  </w:r>
                </w:p>
              </w:tc>
            </w:tr>
            <w:tr w14:paraId="471F5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45E1E17F">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占标率（%）</w:t>
                  </w:r>
                </w:p>
              </w:tc>
              <w:tc>
                <w:tcPr>
                  <w:tcW w:w="1201" w:type="dxa"/>
                  <w:vAlign w:val="center"/>
                </w:tcPr>
                <w:p w14:paraId="1D64F0CE">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5</w:t>
                  </w:r>
                </w:p>
              </w:tc>
              <w:tc>
                <w:tcPr>
                  <w:tcW w:w="1186" w:type="dxa"/>
                  <w:vAlign w:val="center"/>
                </w:tcPr>
                <w:p w14:paraId="715A6C7E">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27.5</w:t>
                  </w:r>
                </w:p>
              </w:tc>
              <w:tc>
                <w:tcPr>
                  <w:tcW w:w="1088" w:type="dxa"/>
                  <w:vAlign w:val="center"/>
                </w:tcPr>
                <w:p w14:paraId="4D399633">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42.8</w:t>
                  </w:r>
                </w:p>
              </w:tc>
              <w:tc>
                <w:tcPr>
                  <w:tcW w:w="1213" w:type="dxa"/>
                  <w:vAlign w:val="center"/>
                </w:tcPr>
                <w:p w14:paraId="2BC33209">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45.7</w:t>
                  </w:r>
                </w:p>
              </w:tc>
              <w:tc>
                <w:tcPr>
                  <w:tcW w:w="1209" w:type="dxa"/>
                  <w:vAlign w:val="center"/>
                </w:tcPr>
                <w:p w14:paraId="44F6047C">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15</w:t>
                  </w:r>
                </w:p>
              </w:tc>
              <w:tc>
                <w:tcPr>
                  <w:tcW w:w="933" w:type="dxa"/>
                  <w:vAlign w:val="center"/>
                </w:tcPr>
                <w:p w14:paraId="5FC5B1E3">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70</w:t>
                  </w:r>
                </w:p>
              </w:tc>
            </w:tr>
            <w:tr w14:paraId="45861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6BA15CD8">
                  <w:pPr>
                    <w:autoSpaceDE w:val="0"/>
                    <w:autoSpaceDN w:val="0"/>
                    <w:spacing w:line="240" w:lineRule="auto"/>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达标情况</w:t>
                  </w:r>
                </w:p>
              </w:tc>
              <w:tc>
                <w:tcPr>
                  <w:tcW w:w="1201" w:type="dxa"/>
                  <w:vAlign w:val="center"/>
                </w:tcPr>
                <w:p w14:paraId="558089AD">
                  <w:pPr>
                    <w:autoSpaceDE w:val="0"/>
                    <w:autoSpaceDN w:val="0"/>
                    <w:spacing w:line="240" w:lineRule="auto"/>
                    <w:jc w:val="center"/>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达标</w:t>
                  </w:r>
                </w:p>
              </w:tc>
              <w:tc>
                <w:tcPr>
                  <w:tcW w:w="1186" w:type="dxa"/>
                  <w:vAlign w:val="center"/>
                </w:tcPr>
                <w:p w14:paraId="7FFD3B9D">
                  <w:pPr>
                    <w:autoSpaceDE w:val="0"/>
                    <w:autoSpaceDN w:val="0"/>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达标</w:t>
                  </w:r>
                </w:p>
              </w:tc>
              <w:tc>
                <w:tcPr>
                  <w:tcW w:w="1088" w:type="dxa"/>
                  <w:vAlign w:val="center"/>
                </w:tcPr>
                <w:p w14:paraId="4931C7D1">
                  <w:pPr>
                    <w:autoSpaceDE w:val="0"/>
                    <w:autoSpaceDN w:val="0"/>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达标</w:t>
                  </w:r>
                </w:p>
              </w:tc>
              <w:tc>
                <w:tcPr>
                  <w:tcW w:w="1213" w:type="dxa"/>
                  <w:vAlign w:val="center"/>
                </w:tcPr>
                <w:p w14:paraId="1764F5C3">
                  <w:pPr>
                    <w:autoSpaceDE w:val="0"/>
                    <w:autoSpaceDN w:val="0"/>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达标</w:t>
                  </w:r>
                </w:p>
              </w:tc>
              <w:tc>
                <w:tcPr>
                  <w:tcW w:w="1209" w:type="dxa"/>
                  <w:vAlign w:val="center"/>
                </w:tcPr>
                <w:p w14:paraId="014A863C">
                  <w:pPr>
                    <w:autoSpaceDE w:val="0"/>
                    <w:autoSpaceDN w:val="0"/>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达标</w:t>
                  </w:r>
                </w:p>
              </w:tc>
              <w:tc>
                <w:tcPr>
                  <w:tcW w:w="933" w:type="dxa"/>
                  <w:vAlign w:val="center"/>
                </w:tcPr>
                <w:p w14:paraId="2B029C8C">
                  <w:pPr>
                    <w:autoSpaceDE w:val="0"/>
                    <w:autoSpaceDN w:val="0"/>
                    <w:spacing w:line="240" w:lineRule="auto"/>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达标</w:t>
                  </w:r>
                </w:p>
              </w:tc>
            </w:tr>
            <w:tr w14:paraId="63750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74" w:type="dxa"/>
                  <w:vAlign w:val="center"/>
                </w:tcPr>
                <w:p w14:paraId="5F0F85AC">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备注</w:t>
                  </w:r>
                </w:p>
              </w:tc>
              <w:tc>
                <w:tcPr>
                  <w:tcW w:w="6830" w:type="dxa"/>
                  <w:gridSpan w:val="6"/>
                  <w:vAlign w:val="center"/>
                </w:tcPr>
                <w:p w14:paraId="2B7E450E">
                  <w:pPr>
                    <w:autoSpaceDE w:val="0"/>
                    <w:autoSpaceDN w:val="0"/>
                    <w:spacing w:line="240" w:lineRule="auto"/>
                    <w:jc w:val="center"/>
                    <w:rPr>
                      <w:rFonts w:hint="default" w:ascii="Times New Roman" w:hAnsi="Times New Roman" w:cs="Times New Roman" w:eastAsiaTheme="minorEastAsia"/>
                      <w:color w:val="000000" w:themeColor="text1"/>
                      <w:kern w:val="0"/>
                      <w:szCs w:val="20"/>
                      <w14:textFill>
                        <w14:solidFill>
                          <w14:schemeClr w14:val="tx1"/>
                        </w14:solidFill>
                      </w14:textFill>
                    </w:rPr>
                  </w:pPr>
                  <w:r>
                    <w:rPr>
                      <w:rFonts w:hint="default" w:ascii="Times New Roman" w:hAnsi="Times New Roman" w:cs="Times New Roman" w:eastAsiaTheme="minorEastAsia"/>
                      <w:color w:val="000000" w:themeColor="text1"/>
                      <w:kern w:val="0"/>
                      <w:szCs w:val="20"/>
                      <w14:textFill>
                        <w14:solidFill>
                          <w14:schemeClr w14:val="tx1"/>
                        </w14:solidFill>
                      </w14:textFill>
                    </w:rPr>
                    <w:t>*CO为日均值第95百分位数，O</w:t>
                  </w:r>
                  <w:r>
                    <w:rPr>
                      <w:rFonts w:hint="default" w:ascii="Times New Roman" w:hAnsi="Times New Roman" w:cs="Times New Roman" w:eastAsiaTheme="minorEastAsia"/>
                      <w:color w:val="000000" w:themeColor="text1"/>
                      <w:kern w:val="0"/>
                      <w:szCs w:val="20"/>
                      <w:vertAlign w:val="subscript"/>
                      <w14:textFill>
                        <w14:solidFill>
                          <w14:schemeClr w14:val="tx1"/>
                        </w14:solidFill>
                      </w14:textFill>
                    </w:rPr>
                    <w:t>3</w:t>
                  </w:r>
                  <w:r>
                    <w:rPr>
                      <w:rFonts w:hint="default" w:ascii="Times New Roman" w:hAnsi="Times New Roman" w:cs="Times New Roman" w:eastAsiaTheme="minorEastAsia"/>
                      <w:color w:val="000000" w:themeColor="text1"/>
                      <w:kern w:val="0"/>
                      <w:szCs w:val="20"/>
                      <w14:textFill>
                        <w14:solidFill>
                          <w14:schemeClr w14:val="tx1"/>
                        </w14:solidFill>
                      </w14:textFill>
                    </w:rPr>
                    <w:t>为日最大8小时值第90百分位数。</w:t>
                  </w:r>
                </w:p>
              </w:tc>
            </w:tr>
            <w:bookmarkEnd w:id="15"/>
          </w:tbl>
          <w:p w14:paraId="07B582D7">
            <w:pPr>
              <w:spacing w:line="360" w:lineRule="auto"/>
              <w:ind w:firstLine="480" w:firstLineChars="200"/>
              <w:contextualSpacing/>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根据《环境影响评价技术导则 大气环境》(HJ2.2-2018)的6.2.1.2要求：“大气环境质量现状调查可采用评价范围内国家或地方环境空气质量监测网中评价基准年连续1年的监测数据，或采用生态环境主管部门发布的环境空气质量现状数据”，本评价选福州福清市人民政府</w:t>
            </w:r>
            <w:r>
              <w:rPr>
                <w:rFonts w:hint="eastAsia" w:ascii="Times New Roman" w:hAnsi="Times New Roman" w:cs="Times New Roman" w:eastAsiaTheme="minorEastAsia"/>
                <w:color w:val="000000" w:themeColor="text1"/>
                <w:sz w:val="24"/>
                <w:szCs w:val="22"/>
                <w:lang w:val="en-US" w:eastAsia="zh-CN"/>
                <w14:textFill>
                  <w14:solidFill>
                    <w14:schemeClr w14:val="tx1"/>
                  </w14:solidFill>
                </w14:textFill>
              </w:rPr>
              <w:t>网站</w:t>
            </w:r>
            <w:r>
              <w:rPr>
                <w:rFonts w:hint="default" w:ascii="Times New Roman" w:hAnsi="Times New Roman" w:cs="Times New Roman" w:eastAsiaTheme="minorEastAsia"/>
                <w:color w:val="000000" w:themeColor="text1"/>
                <w:sz w:val="24"/>
                <w:szCs w:val="22"/>
                <w14:textFill>
                  <w14:solidFill>
                    <w14:schemeClr w14:val="tx1"/>
                  </w14:solidFill>
                </w14:textFill>
              </w:rPr>
              <w:t>发布环境空气质量环境状况信息，符合《环境影响评价技术导则 大气环境》(HJ2.2-2018)要求，环境现状监测数据可行。</w:t>
            </w:r>
          </w:p>
          <w:p w14:paraId="7CBE20B0">
            <w:pPr>
              <w:spacing w:line="360" w:lineRule="auto"/>
              <w:ind w:firstLine="480" w:firstLineChars="200"/>
              <w:contextualSpacing/>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特征污染物</w:t>
            </w:r>
          </w:p>
          <w:p w14:paraId="048A9F85">
            <w:pPr>
              <w:adjustRightInd w:val="0"/>
              <w:spacing w:line="360" w:lineRule="auto"/>
              <w:ind w:firstLine="480" w:firstLineChars="200"/>
              <w:contextualSpacing/>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评价区域环境情况，结合本</w:t>
            </w:r>
            <w:r>
              <w:rPr>
                <w:rFonts w:hint="default" w:ascii="Times New Roman" w:hAnsi="Times New Roman" w:cs="Times New Roman" w:eastAsiaTheme="minorEastAsia"/>
                <w:color w:val="000000" w:themeColor="text1"/>
                <w:sz w:val="24"/>
                <w:szCs w:val="24"/>
                <w14:textFill>
                  <w14:solidFill>
                    <w14:schemeClr w14:val="tx1"/>
                  </w14:solidFill>
                </w14:textFill>
              </w:rPr>
              <w:t>项目的特征，确定项目</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大气环境现状调查</w:t>
            </w:r>
            <w:r>
              <w:rPr>
                <w:rFonts w:hint="default" w:ascii="Times New Roman" w:hAnsi="Times New Roman" w:cs="Times New Roman" w:eastAsiaTheme="minorEastAsia"/>
                <w:color w:val="000000" w:themeColor="text1"/>
                <w:sz w:val="24"/>
                <w:szCs w:val="24"/>
                <w14:textFill>
                  <w14:solidFill>
                    <w14:schemeClr w14:val="tx1"/>
                  </w14:solidFill>
                </w14:textFill>
              </w:rPr>
              <w:t>特征因子为非甲烷总烃</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TSP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Cs/>
                <w:color w:val="000000" w:themeColor="text1"/>
                <w:sz w:val="24"/>
                <w14:textFill>
                  <w14:solidFill>
                    <w14:schemeClr w14:val="tx1"/>
                  </w14:solidFill>
                </w14:textFill>
              </w:rPr>
              <w:t>非甲烷总烃不属于《环境空气质量标准》(GB3095-2012)和地方的环境空气质量中有标准限值要求的污染物，因此不进行特征污染物现状检测评价</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本项目特征污染物</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TSP</w:t>
            </w:r>
            <w:r>
              <w:rPr>
                <w:rFonts w:hint="default" w:ascii="Times New Roman" w:hAnsi="Times New Roman" w:cs="Times New Roman" w:eastAsiaTheme="minorEastAsia"/>
                <w:color w:val="000000" w:themeColor="text1"/>
                <w:sz w:val="24"/>
                <w:szCs w:val="24"/>
                <w14:textFill>
                  <w14:solidFill>
                    <w14:schemeClr w14:val="tx1"/>
                  </w14:solidFill>
                </w14:textFill>
              </w:rPr>
              <w:t>引用</w:t>
            </w:r>
            <w:r>
              <w:rPr>
                <w:rFonts w:hint="default" w:ascii="Times New Roman" w:hAnsi="Times New Roman" w:cs="Times New Roman" w:eastAsiaTheme="minorEastAsia"/>
                <w:color w:val="000000" w:themeColor="text1"/>
                <w:sz w:val="24"/>
                <w:szCs w:val="22"/>
                <w14:textFill>
                  <w14:solidFill>
                    <w14:schemeClr w14:val="tx1"/>
                  </w14:solidFill>
                </w14:textFill>
              </w:rPr>
              <w:t>福州新信制动系统有限公司于20</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2"/>
                <w14:textFill>
                  <w14:solidFill>
                    <w14:schemeClr w14:val="tx1"/>
                  </w14:solidFill>
                </w14:textFill>
              </w:rPr>
              <w:t>年</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2"/>
                <w14:textFill>
                  <w14:solidFill>
                    <w14:schemeClr w14:val="tx1"/>
                  </w14:solidFill>
                </w14:textFill>
              </w:rPr>
              <w:t>月</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17</w:t>
            </w:r>
            <w:r>
              <w:rPr>
                <w:rFonts w:hint="default" w:ascii="Times New Roman" w:hAnsi="Times New Roman" w:cs="Times New Roman" w:eastAsiaTheme="minorEastAsia"/>
                <w:color w:val="000000" w:themeColor="text1"/>
                <w:sz w:val="24"/>
                <w:szCs w:val="22"/>
                <w14:textFill>
                  <w14:solidFill>
                    <w14:schemeClr w14:val="tx1"/>
                  </w14:solidFill>
                </w14:textFill>
              </w:rPr>
              <w:t>日~202</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年</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2"/>
                <w14:textFill>
                  <w14:solidFill>
                    <w14:schemeClr w14:val="tx1"/>
                  </w14:solidFill>
                </w14:textFill>
              </w:rPr>
              <w:t>月</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3日(七天)委托福建</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创投环境</w:t>
            </w:r>
            <w:r>
              <w:rPr>
                <w:rFonts w:hint="default" w:ascii="Times New Roman" w:hAnsi="Times New Roman" w:cs="Times New Roman" w:eastAsiaTheme="minorEastAsia"/>
                <w:color w:val="000000" w:themeColor="text1"/>
                <w:sz w:val="24"/>
                <w:szCs w:val="22"/>
                <w14:textFill>
                  <w14:solidFill>
                    <w14:schemeClr w14:val="tx1"/>
                  </w14:solidFill>
                </w14:textFill>
              </w:rPr>
              <w:t>检测有限公司对</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溪西</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村监测点</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TSP</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的监测数据，监测点</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溪西</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村为本项目西</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北</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侧</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2630m处，</w:t>
            </w:r>
            <w:r>
              <w:rPr>
                <w:rFonts w:hint="default" w:ascii="Times New Roman" w:hAnsi="Times New Roman" w:cs="Times New Roman" w:eastAsiaTheme="minorEastAsia"/>
                <w:color w:val="000000" w:themeColor="text1"/>
                <w:sz w:val="24"/>
                <w:szCs w:val="24"/>
                <w14:textFill>
                  <w14:solidFill>
                    <w14:schemeClr w14:val="tx1"/>
                  </w14:solidFill>
                </w14:textFill>
              </w:rPr>
              <w:t>引用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监测评价</w:t>
            </w:r>
            <w:r>
              <w:rPr>
                <w:rFonts w:hint="default" w:ascii="Times New Roman" w:hAnsi="Times New Roman" w:cs="Times New Roman" w:eastAsiaTheme="minorEastAsia"/>
                <w:color w:val="000000" w:themeColor="text1"/>
                <w:sz w:val="24"/>
                <w:szCs w:val="24"/>
                <w14:textFill>
                  <w14:solidFill>
                    <w14:schemeClr w14:val="tx1"/>
                  </w14:solidFill>
                </w14:textFill>
              </w:rPr>
              <w:t>结果见表3.1-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，监测点位与本项目位置关系图3.1-1。</w:t>
            </w:r>
          </w:p>
          <w:p w14:paraId="3EABD41E">
            <w:pPr>
              <w:spacing w:line="240" w:lineRule="auto"/>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表3.1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大气环境质量监测评价结果表</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88"/>
              <w:gridCol w:w="1712"/>
              <w:gridCol w:w="2605"/>
              <w:gridCol w:w="1394"/>
              <w:gridCol w:w="1205"/>
            </w:tblGrid>
            <w:tr w14:paraId="62C5F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3" w:type="pct"/>
                  <w:tcBorders>
                    <w:tl2br w:val="nil"/>
                    <w:tr2bl w:val="nil"/>
                  </w:tcBorders>
                  <w:vAlign w:val="center"/>
                </w:tcPr>
                <w:p w14:paraId="45C8727E">
                  <w:pPr>
                    <w:widowControl/>
                    <w:spacing w:before="30" w:after="30"/>
                    <w:jc w:val="center"/>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lang w:eastAsia="zh-CN"/>
                      <w14:textFill>
                        <w14:solidFill>
                          <w14:schemeClr w14:val="tx1"/>
                        </w14:solidFill>
                      </w14:textFill>
                    </w:rPr>
                    <w:t>采样</w:t>
                  </w:r>
                  <w:r>
                    <w:rPr>
                      <w:rFonts w:hint="default" w:ascii="Times New Roman" w:hAnsi="Times New Roman" w:cs="Times New Roman" w:eastAsiaTheme="minorEastAsia"/>
                      <w:color w:val="000000" w:themeColor="text1"/>
                      <w:szCs w:val="22"/>
                      <w14:textFill>
                        <w14:solidFill>
                          <w14:schemeClr w14:val="tx1"/>
                        </w14:solidFill>
                      </w14:textFill>
                    </w:rPr>
                    <w:t>监测点位</w:t>
                  </w:r>
                </w:p>
              </w:tc>
              <w:tc>
                <w:tcPr>
                  <w:tcW w:w="1006" w:type="pct"/>
                  <w:tcBorders>
                    <w:tl2br w:val="nil"/>
                    <w:tr2bl w:val="nil"/>
                  </w:tcBorders>
                  <w:vAlign w:val="center"/>
                </w:tcPr>
                <w:p w14:paraId="21FF3871">
                  <w:pPr>
                    <w:widowControl/>
                    <w:spacing w:before="30" w:after="30"/>
                    <w:jc w:val="center"/>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14:textFill>
                        <w14:solidFill>
                          <w14:schemeClr w14:val="tx1"/>
                        </w14:solidFill>
                      </w14:textFill>
                    </w:rPr>
                    <w:t>监测项目</w:t>
                  </w:r>
                </w:p>
              </w:tc>
              <w:tc>
                <w:tcPr>
                  <w:tcW w:w="1531" w:type="pct"/>
                  <w:tcBorders>
                    <w:tl2br w:val="nil"/>
                    <w:tr2bl w:val="nil"/>
                  </w:tcBorders>
                  <w:vAlign w:val="center"/>
                </w:tcPr>
                <w:p w14:paraId="0A8EE87B">
                  <w:pPr>
                    <w:widowControl/>
                    <w:spacing w:before="30" w:after="30"/>
                    <w:jc w:val="center"/>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14:textFill>
                        <w14:solidFill>
                          <w14:schemeClr w14:val="tx1"/>
                        </w14:solidFill>
                      </w14:textFill>
                    </w:rPr>
                    <w:t>1小时值浓度范围(mg/m</w:t>
                  </w:r>
                  <w:r>
                    <w:rPr>
                      <w:rFonts w:hint="default" w:ascii="Times New Roman" w:hAnsi="Times New Roman" w:cs="Times New Roman" w:eastAsiaTheme="minorEastAsia"/>
                      <w:color w:val="000000" w:themeColor="text1"/>
                      <w:szCs w:val="22"/>
                      <w:vertAlign w:val="superscript"/>
                      <w14:textFill>
                        <w14:solidFill>
                          <w14:schemeClr w14:val="tx1"/>
                        </w14:solidFill>
                      </w14:textFill>
                    </w:rPr>
                    <w:t>3</w:t>
                  </w:r>
                  <w:r>
                    <w:rPr>
                      <w:rFonts w:hint="default" w:ascii="Times New Roman" w:hAnsi="Times New Roman" w:cs="Times New Roman" w:eastAsiaTheme="minorEastAsia"/>
                      <w:color w:val="000000" w:themeColor="text1"/>
                      <w:szCs w:val="22"/>
                      <w14:textFill>
                        <w14:solidFill>
                          <w14:schemeClr w14:val="tx1"/>
                        </w14:solidFill>
                      </w14:textFill>
                    </w:rPr>
                    <w:t>)</w:t>
                  </w:r>
                </w:p>
              </w:tc>
              <w:tc>
                <w:tcPr>
                  <w:tcW w:w="819" w:type="pct"/>
                  <w:tcBorders>
                    <w:tl2br w:val="nil"/>
                    <w:tr2bl w:val="nil"/>
                  </w:tcBorders>
                  <w:vAlign w:val="center"/>
                </w:tcPr>
                <w:p w14:paraId="096C4167">
                  <w:pPr>
                    <w:widowControl/>
                    <w:spacing w:before="30" w:after="30"/>
                    <w:jc w:val="center"/>
                    <w:rPr>
                      <w:rFonts w:hint="default" w:ascii="Times New Roman" w:hAnsi="Times New Roman" w:cs="Times New Roman" w:eastAsiaTheme="minorEastAsia"/>
                      <w:color w:val="000000" w:themeColor="text1"/>
                      <w:szCs w:val="22"/>
                      <w:lang w:eastAsia="zh-CN"/>
                      <w14:textFill>
                        <w14:solidFill>
                          <w14:schemeClr w14:val="tx1"/>
                        </w14:solidFill>
                      </w14:textFill>
                    </w:rPr>
                  </w:pPr>
                  <w:r>
                    <w:rPr>
                      <w:rFonts w:hint="default" w:ascii="Times New Roman" w:hAnsi="Times New Roman" w:cs="Times New Roman" w:eastAsiaTheme="minorEastAsia"/>
                      <w:color w:val="000000" w:themeColor="text1"/>
                      <w:szCs w:val="22"/>
                      <w:lang w:eastAsia="zh-CN"/>
                      <w14:textFill>
                        <w14:solidFill>
                          <w14:schemeClr w14:val="tx1"/>
                        </w14:solidFill>
                      </w14:textFill>
                    </w:rPr>
                    <w:t>质量标准</w:t>
                  </w:r>
                </w:p>
              </w:tc>
              <w:tc>
                <w:tcPr>
                  <w:tcW w:w="708" w:type="pct"/>
                  <w:tcBorders>
                    <w:tl2br w:val="nil"/>
                    <w:tr2bl w:val="nil"/>
                  </w:tcBorders>
                  <w:vAlign w:val="center"/>
                </w:tcPr>
                <w:p w14:paraId="28E32BBF">
                  <w:pPr>
                    <w:widowControl/>
                    <w:spacing w:before="30" w:after="30"/>
                    <w:jc w:val="center"/>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14:textFill>
                        <w14:solidFill>
                          <w14:schemeClr w14:val="tx1"/>
                        </w14:solidFill>
                      </w14:textFill>
                    </w:rPr>
                    <w:t>达标情况</w:t>
                  </w:r>
                </w:p>
              </w:tc>
            </w:tr>
            <w:tr w14:paraId="6DF7F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33" w:type="pct"/>
                  <w:tcBorders>
                    <w:tl2br w:val="nil"/>
                    <w:tr2bl w:val="nil"/>
                  </w:tcBorders>
                  <w:vAlign w:val="center"/>
                </w:tcPr>
                <w:p w14:paraId="07B31A01">
                  <w:pPr>
                    <w:widowControl/>
                    <w:spacing w:before="30" w:after="30"/>
                    <w:jc w:val="center"/>
                    <w:rPr>
                      <w:rFonts w:hint="default" w:ascii="Times New Roman" w:hAnsi="Times New Roman" w:cs="Times New Roman" w:eastAsiaTheme="minorEastAsia"/>
                      <w:color w:val="000000" w:themeColor="text1"/>
                      <w:szCs w:val="22"/>
                      <w:lang w:eastAsia="zh-CN"/>
                      <w14:textFill>
                        <w14:solidFill>
                          <w14:schemeClr w14:val="tx1"/>
                        </w14:solidFill>
                      </w14:textFill>
                    </w:rPr>
                  </w:pPr>
                  <w:r>
                    <w:rPr>
                      <w:rFonts w:hint="default" w:ascii="Times New Roman" w:hAnsi="Times New Roman" w:cs="Times New Roman" w:eastAsiaTheme="minorEastAsia"/>
                      <w:color w:val="000000" w:themeColor="text1"/>
                      <w:szCs w:val="22"/>
                      <w:lang w:val="en-US" w:eastAsia="zh-CN"/>
                      <w14:textFill>
                        <w14:solidFill>
                          <w14:schemeClr w14:val="tx1"/>
                        </w14:solidFill>
                      </w14:textFill>
                    </w:rPr>
                    <w:t>溪西</w:t>
                  </w:r>
                  <w:r>
                    <w:rPr>
                      <w:rFonts w:hint="default" w:ascii="Times New Roman" w:hAnsi="Times New Roman" w:cs="Times New Roman" w:eastAsiaTheme="minorEastAsia"/>
                      <w:color w:val="000000" w:themeColor="text1"/>
                      <w:szCs w:val="22"/>
                      <w:lang w:eastAsia="zh-CN"/>
                      <w14:textFill>
                        <w14:solidFill>
                          <w14:schemeClr w14:val="tx1"/>
                        </w14:solidFill>
                      </w14:textFill>
                    </w:rPr>
                    <w:t>村（</w:t>
                  </w:r>
                  <w:r>
                    <w:rPr>
                      <w:rFonts w:hint="default" w:ascii="Times New Roman" w:hAnsi="Times New Roman" w:cs="Times New Roman" w:eastAsiaTheme="minorEastAsia"/>
                      <w:color w:val="000000" w:themeColor="text1"/>
                      <w:szCs w:val="22"/>
                      <w:lang w:val="en-US" w:eastAsia="zh-CN"/>
                      <w14:textFill>
                        <w14:solidFill>
                          <w14:schemeClr w14:val="tx1"/>
                        </w14:solidFill>
                      </w14:textFill>
                    </w:rPr>
                    <w:t>G1</w:t>
                  </w:r>
                  <w:r>
                    <w:rPr>
                      <w:rFonts w:hint="default" w:ascii="Times New Roman" w:hAnsi="Times New Roman" w:cs="Times New Roman" w:eastAsiaTheme="minorEastAsia"/>
                      <w:color w:val="000000" w:themeColor="text1"/>
                      <w:szCs w:val="22"/>
                      <w:lang w:eastAsia="zh-CN"/>
                      <w14:textFill>
                        <w14:solidFill>
                          <w14:schemeClr w14:val="tx1"/>
                        </w14:solidFill>
                      </w14:textFill>
                    </w:rPr>
                    <w:t>）</w:t>
                  </w:r>
                </w:p>
              </w:tc>
              <w:tc>
                <w:tcPr>
                  <w:tcW w:w="1006" w:type="pct"/>
                  <w:tcBorders>
                    <w:tl2br w:val="nil"/>
                    <w:tr2bl w:val="nil"/>
                  </w:tcBorders>
                  <w:vAlign w:val="center"/>
                </w:tcPr>
                <w:p w14:paraId="5A710627">
                  <w:pPr>
                    <w:widowControl/>
                    <w:spacing w:before="30" w:after="30"/>
                    <w:jc w:val="center"/>
                    <w:rPr>
                      <w:rFonts w:hint="default" w:ascii="Times New Roman" w:hAnsi="Times New Roman" w:cs="Times New Roman" w:eastAsiaTheme="minorEastAsia"/>
                      <w:color w:val="000000" w:themeColor="text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Cs w:val="22"/>
                      <w:lang w:val="en-US" w:eastAsia="zh-CN"/>
                      <w14:textFill>
                        <w14:solidFill>
                          <w14:schemeClr w14:val="tx1"/>
                        </w14:solidFill>
                      </w14:textFill>
                    </w:rPr>
                    <w:t>总悬浮颗粒</w:t>
                  </w:r>
                </w:p>
              </w:tc>
              <w:tc>
                <w:tcPr>
                  <w:tcW w:w="1531" w:type="pct"/>
                  <w:tcBorders>
                    <w:tl2br w:val="nil"/>
                    <w:tr2bl w:val="nil"/>
                  </w:tcBorders>
                  <w:vAlign w:val="center"/>
                </w:tcPr>
                <w:p w14:paraId="5CA480F1">
                  <w:pPr>
                    <w:widowControl/>
                    <w:spacing w:before="30" w:after="30"/>
                    <w:jc w:val="center"/>
                    <w:rPr>
                      <w:rFonts w:hint="default" w:ascii="Times New Roman" w:hAnsi="Times New Roman" w:cs="Times New Roman" w:eastAsiaTheme="minorEastAsia"/>
                      <w:color w:val="000000" w:themeColor="text1"/>
                      <w:szCs w:val="22"/>
                      <w:lang w:val="en-US" w:eastAsia="zh-CN"/>
                      <w14:textFill>
                        <w14:solidFill>
                          <w14:schemeClr w14:val="tx1"/>
                        </w14:solidFill>
                      </w14:textFill>
                    </w:rPr>
                  </w:pPr>
                  <w:r>
                    <w:rPr>
                      <w:rFonts w:hint="default" w:ascii="Times New Roman" w:hAnsi="Times New Roman" w:cs="Times New Roman" w:eastAsiaTheme="minorEastAsia"/>
                      <w:color w:val="000000" w:themeColor="text1"/>
                      <w:szCs w:val="22"/>
                      <w:lang w:val="en-US" w:eastAsia="zh-CN"/>
                      <w14:textFill>
                        <w14:solidFill>
                          <w14:schemeClr w14:val="tx1"/>
                        </w14:solidFill>
                      </w14:textFill>
                    </w:rPr>
                    <w:t>0.075~0.082</w:t>
                  </w:r>
                </w:p>
              </w:tc>
              <w:tc>
                <w:tcPr>
                  <w:tcW w:w="819" w:type="pct"/>
                  <w:tcBorders>
                    <w:tl2br w:val="nil"/>
                    <w:tr2bl w:val="nil"/>
                  </w:tcBorders>
                  <w:vAlign w:val="center"/>
                </w:tcPr>
                <w:p w14:paraId="609B25DB">
                  <w:pPr>
                    <w:widowControl/>
                    <w:spacing w:before="30" w:after="30"/>
                    <w:jc w:val="center"/>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lang w:val="en-US" w:eastAsia="zh-CN"/>
                      <w14:textFill>
                        <w14:solidFill>
                          <w14:schemeClr w14:val="tx1"/>
                        </w14:solidFill>
                      </w14:textFill>
                    </w:rPr>
                    <w:t>2.0</w:t>
                  </w:r>
                </w:p>
              </w:tc>
              <w:tc>
                <w:tcPr>
                  <w:tcW w:w="708" w:type="pct"/>
                  <w:tcBorders>
                    <w:tl2br w:val="nil"/>
                    <w:tr2bl w:val="nil"/>
                  </w:tcBorders>
                  <w:vAlign w:val="center"/>
                </w:tcPr>
                <w:p w14:paraId="4CA0C4EA">
                  <w:pPr>
                    <w:widowControl/>
                    <w:spacing w:before="30" w:after="30"/>
                    <w:jc w:val="center"/>
                    <w:rPr>
                      <w:rFonts w:hint="default" w:ascii="Times New Roman" w:hAnsi="Times New Roman" w:cs="Times New Roman" w:eastAsiaTheme="minorEastAsia"/>
                      <w:color w:val="000000" w:themeColor="text1"/>
                      <w:szCs w:val="22"/>
                      <w14:textFill>
                        <w14:solidFill>
                          <w14:schemeClr w14:val="tx1"/>
                        </w14:solidFill>
                      </w14:textFill>
                    </w:rPr>
                  </w:pPr>
                  <w:r>
                    <w:rPr>
                      <w:rFonts w:hint="default" w:ascii="Times New Roman" w:hAnsi="Times New Roman" w:cs="Times New Roman" w:eastAsiaTheme="minorEastAsia"/>
                      <w:color w:val="000000" w:themeColor="text1"/>
                      <w:szCs w:val="22"/>
                      <w14:textFill>
                        <w14:solidFill>
                          <w14:schemeClr w14:val="tx1"/>
                        </w14:solidFill>
                      </w14:textFill>
                    </w:rPr>
                    <w:t>达标</w:t>
                  </w:r>
                </w:p>
              </w:tc>
            </w:tr>
          </w:tbl>
          <w:p w14:paraId="1210DC0F">
            <w:pPr>
              <w:spacing w:beforeLines="50" w:line="360" w:lineRule="auto"/>
              <w:ind w:firstLine="480" w:firstLineChars="200"/>
              <w:rPr>
                <w:rFonts w:hint="default" w:ascii="Times New Roman" w:hAnsi="Times New Roman" w:cs="Times New Roman" w:eastAsiaTheme="minorEastAsia"/>
                <w:color w:val="000000" w:themeColor="text1"/>
                <w:sz w:val="24"/>
                <w:szCs w:val="22"/>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根据</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表</w:t>
            </w:r>
            <w:r>
              <w:rPr>
                <w:rFonts w:hint="default" w:ascii="Times New Roman" w:hAnsi="Times New Roman" w:cs="Times New Roman" w:eastAsiaTheme="minorEastAsia"/>
                <w:color w:val="000000" w:themeColor="text1"/>
                <w:sz w:val="24"/>
                <w:szCs w:val="22"/>
                <w14:textFill>
                  <w14:solidFill>
                    <w14:schemeClr w14:val="tx1"/>
                  </w14:solidFill>
                </w14:textFill>
              </w:rPr>
              <w:t>3.1</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2"/>
                <w14:textFill>
                  <w14:solidFill>
                    <w14:schemeClr w14:val="tx1"/>
                  </w14:solidFill>
                </w14:textFill>
              </w:rPr>
              <w:t>2可知，项目所在区内特征污染因子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TSP</w:t>
            </w:r>
            <w:r>
              <w:rPr>
                <w:rFonts w:hint="default" w:ascii="Times New Roman" w:hAnsi="Times New Roman" w:cs="Times New Roman" w:eastAsiaTheme="minorEastAsia"/>
                <w:color w:val="000000" w:themeColor="text1"/>
                <w:sz w:val="24"/>
                <w:szCs w:val="22"/>
                <w14:textFill>
                  <w14:solidFill>
                    <w14:schemeClr w14:val="tx1"/>
                  </w14:solidFill>
                </w14:textFill>
              </w:rPr>
              <w:t>的浓度值可符合本评价选用的标准要求（</w:t>
            </w:r>
            <w:r>
              <w:rPr>
                <w:rFonts w:hint="default" w:ascii="Times New Roman" w:hAnsi="Times New Roman" w:cs="Times New Roman" w:eastAsiaTheme="minorEastAsia"/>
                <w:color w:val="000000" w:themeColor="text1"/>
                <w:sz w:val="24"/>
                <w14:textFill>
                  <w14:solidFill>
                    <w14:schemeClr w14:val="tx1"/>
                  </w14:solidFill>
                </w14:textFill>
              </w:rPr>
              <w:t>≤2.0mg/m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，参照执行《大气污染物综合排放标准详解》（国家环境保护局科技标准司）的解释</w:t>
            </w:r>
            <w:r>
              <w:rPr>
                <w:rFonts w:hint="default" w:ascii="Times New Roman" w:hAnsi="Times New Roman" w:cs="Times New Roman" w:eastAsiaTheme="minorEastAsia"/>
                <w:color w:val="000000" w:themeColor="text1"/>
                <w:sz w:val="24"/>
                <w:szCs w:val="22"/>
                <w14:textFill>
                  <w14:solidFill>
                    <w14:schemeClr w14:val="tx1"/>
                  </w14:solidFill>
                </w14:textFill>
              </w:rPr>
              <w:t>）。</w:t>
            </w:r>
          </w:p>
          <w:p w14:paraId="757A4CD8">
            <w:pPr>
              <w:pStyle w:val="2"/>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114300" distR="114300">
                  <wp:extent cx="5227955" cy="2897505"/>
                  <wp:effectExtent l="0" t="0" r="10795" b="1714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11"/>
                          <a:stretch>
                            <a:fillRect/>
                          </a:stretch>
                        </pic:blipFill>
                        <pic:spPr>
                          <a:xfrm>
                            <a:off x="0" y="0"/>
                            <a:ext cx="5227955" cy="2897505"/>
                          </a:xfrm>
                          <a:prstGeom prst="rect">
                            <a:avLst/>
                          </a:prstGeom>
                          <a:noFill/>
                          <a:ln>
                            <a:noFill/>
                          </a:ln>
                        </pic:spPr>
                      </pic:pic>
                    </a:graphicData>
                  </a:graphic>
                </wp:inline>
              </w:drawing>
            </w:r>
          </w:p>
          <w:p w14:paraId="4FA9390E">
            <w:pPr>
              <w:spacing w:line="360" w:lineRule="auto"/>
              <w:contextualSpacing/>
              <w:jc w:val="center"/>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图</w:t>
            </w:r>
            <w:r>
              <w:rPr>
                <w:rFonts w:hint="default" w:ascii="Times New Roman" w:hAnsi="Times New Roman" w:cs="Times New Roman" w:eastAsiaTheme="minorEastAsia"/>
                <w:b/>
                <w:bCs/>
                <w:color w:val="000000" w:themeColor="text1"/>
                <w:sz w:val="24"/>
                <w:szCs w:val="24"/>
                <w14:textFill>
                  <w14:solidFill>
                    <w14:schemeClr w14:val="tx1"/>
                  </w14:solidFill>
                </w14:textFill>
              </w:rPr>
              <w:t>3.1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  引用的大气监测点位与本项目位置关系图</w:t>
            </w:r>
          </w:p>
          <w:p w14:paraId="6A44A36F">
            <w:pPr>
              <w:pStyle w:val="116"/>
              <w:ind w:firstLine="480"/>
              <w:jc w:val="both"/>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根据《建设项目环境影响报告表编制技术指南（污染影响类）</w:t>
            </w:r>
            <w: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t>（试行）》</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的要求，排放国家、地方环境空气质量标准中有标准限值要求的特征污染物时，引用建设项目周边5千米范围内近3年的现有监测数据，无相关数据的选择当季主导风向下风向1个点位补充不少于3天的监测数据。本次评价引用</w:t>
            </w:r>
            <w:r>
              <w:rPr>
                <w:rFonts w:hint="default" w:ascii="Times New Roman" w:hAnsi="Times New Roman" w:cs="Times New Roman" w:eastAsiaTheme="minorEastAsia"/>
                <w:color w:val="000000" w:themeColor="text1"/>
                <w:sz w:val="24"/>
                <w:szCs w:val="22"/>
                <w14:textFill>
                  <w14:solidFill>
                    <w14:schemeClr w14:val="tx1"/>
                  </w14:solidFill>
                </w14:textFill>
              </w:rPr>
              <w:t>福州新信制动系统有限公司于20</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2"/>
                <w14:textFill>
                  <w14:solidFill>
                    <w14:schemeClr w14:val="tx1"/>
                  </w14:solidFill>
                </w14:textFill>
              </w:rPr>
              <w:t>年</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2"/>
                <w14:textFill>
                  <w14:solidFill>
                    <w14:schemeClr w14:val="tx1"/>
                  </w14:solidFill>
                </w14:textFill>
              </w:rPr>
              <w:t>月</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17</w:t>
            </w:r>
            <w:r>
              <w:rPr>
                <w:rFonts w:hint="default" w:ascii="Times New Roman" w:hAnsi="Times New Roman" w:cs="Times New Roman" w:eastAsiaTheme="minorEastAsia"/>
                <w:color w:val="000000" w:themeColor="text1"/>
                <w:sz w:val="24"/>
                <w:szCs w:val="22"/>
                <w14:textFill>
                  <w14:solidFill>
                    <w14:schemeClr w14:val="tx1"/>
                  </w14:solidFill>
                </w14:textFill>
              </w:rPr>
              <w:t>日~202</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2"/>
                <w14:textFill>
                  <w14:solidFill>
                    <w14:schemeClr w14:val="tx1"/>
                  </w14:solidFill>
                </w14:textFill>
              </w:rPr>
              <w:t>年</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2"/>
                <w14:textFill>
                  <w14:solidFill>
                    <w14:schemeClr w14:val="tx1"/>
                  </w14:solidFill>
                </w14:textFill>
              </w:rPr>
              <w:t>月</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2"/>
                <w14:textFill>
                  <w14:solidFill>
                    <w14:schemeClr w14:val="tx1"/>
                  </w14:solidFill>
                </w14:textFill>
              </w:rPr>
              <w:t>3日(七天)委托福建</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创投环境</w:t>
            </w:r>
            <w:r>
              <w:rPr>
                <w:rFonts w:hint="default" w:ascii="Times New Roman" w:hAnsi="Times New Roman" w:cs="Times New Roman" w:eastAsiaTheme="minorEastAsia"/>
                <w:color w:val="000000" w:themeColor="text1"/>
                <w:sz w:val="24"/>
                <w:szCs w:val="22"/>
                <w14:textFill>
                  <w14:solidFill>
                    <w14:schemeClr w14:val="tx1"/>
                  </w14:solidFill>
                </w14:textFill>
              </w:rPr>
              <w:t>检测有限公司对</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溪西</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村监测点</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TSP</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的监测数据</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监测点</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溪西</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村为本项目西</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北</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侧</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约2630m处，</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符合《建设项目环境影响报告表编制技术指南（污染影响类）（试行）》要求。</w:t>
            </w:r>
          </w:p>
          <w:p w14:paraId="1D0FD7AB">
            <w:pPr>
              <w:numPr>
                <w:ilvl w:val="0"/>
                <w:numId w:val="0"/>
              </w:numPr>
              <w:spacing w:line="360" w:lineRule="auto"/>
              <w:ind w:firstLine="480" w:firstLineChars="200"/>
              <w:contextualSpacing/>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地表水环境质量</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现状</w:t>
            </w:r>
          </w:p>
          <w:p w14:paraId="09BC6CC5">
            <w:pPr>
              <w:numPr>
                <w:ilvl w:val="0"/>
                <w:numId w:val="0"/>
              </w:numPr>
              <w:spacing w:line="360" w:lineRule="auto"/>
              <w:ind w:firstLine="480" w:firstLineChars="200"/>
              <w:contextualSpacing/>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本项目生活污水</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经化粪池</w:t>
            </w:r>
            <w:r>
              <w:rPr>
                <w:rFonts w:hint="default" w:ascii="Times New Roman" w:hAnsi="Times New Roman" w:cs="Times New Roman" w:eastAsiaTheme="minorEastAsia"/>
                <w:color w:val="000000" w:themeColor="text1"/>
                <w:sz w:val="24"/>
                <w:szCs w:val="24"/>
                <w14:textFill>
                  <w14:solidFill>
                    <w14:schemeClr w14:val="tx1"/>
                  </w14:solidFill>
                </w14:textFill>
              </w:rPr>
              <w:t>处理后排入市政污水管网</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排至</w:t>
            </w:r>
            <w:r>
              <w:rPr>
                <w:rFonts w:hint="default" w:ascii="Times New Roman" w:hAnsi="Times New Roman" w:cs="Times New Roman" w:eastAsiaTheme="minorEastAsia"/>
                <w:color w:val="000000" w:themeColor="text1"/>
                <w:sz w:val="24"/>
                <w:szCs w:val="24"/>
                <w14:textFill>
                  <w14:solidFill>
                    <w14:schemeClr w14:val="tx1"/>
                  </w14:solidFill>
                </w14:textFill>
              </w:rPr>
              <w:t>福清市融元污水处理厂进行处理，</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污水处理厂</w:t>
            </w:r>
            <w:r>
              <w:rPr>
                <w:rFonts w:hint="default" w:ascii="Times New Roman" w:hAnsi="Times New Roman" w:cs="Times New Roman" w:eastAsiaTheme="minorEastAsia"/>
                <w:color w:val="000000" w:themeColor="text1"/>
                <w:sz w:val="24"/>
                <w:szCs w:val="24"/>
                <w14:textFill>
                  <w14:solidFill>
                    <w14:schemeClr w14:val="tx1"/>
                  </w14:solidFill>
                </w14:textFill>
              </w:rPr>
              <w:t>尾水排入</w:t>
            </w:r>
            <w:r>
              <w:rPr>
                <w:rFonts w:hint="eastAsia" w:cs="Times New Roman" w:eastAsiaTheme="minorEastAsia"/>
                <w:color w:val="000000" w:themeColor="text1"/>
                <w:sz w:val="24"/>
                <w:szCs w:val="24"/>
                <w:lang w:val="en-US" w:eastAsia="zh-CN"/>
                <w14:textFill>
                  <w14:solidFill>
                    <w14:schemeClr w14:val="tx1"/>
                  </w14:solidFill>
                </w14:textFill>
              </w:rPr>
              <w:t>九</w:t>
            </w:r>
            <w:r>
              <w:rPr>
                <w:rFonts w:hint="default" w:ascii="Times New Roman" w:hAnsi="Times New Roman" w:cs="Times New Roman" w:eastAsiaTheme="minorEastAsia"/>
                <w:color w:val="000000" w:themeColor="text1"/>
                <w:sz w:val="24"/>
                <w:szCs w:val="24"/>
                <w14:textFill>
                  <w14:solidFill>
                    <w14:schemeClr w14:val="tx1"/>
                  </w14:solidFill>
                </w14:textFill>
              </w:rPr>
              <w:t>龙江，所处</w:t>
            </w:r>
            <w:r>
              <w:rPr>
                <w:rFonts w:hint="eastAsia" w:cs="Times New Roman" w:eastAsiaTheme="minorEastAsia"/>
                <w:color w:val="000000" w:themeColor="text1"/>
                <w:sz w:val="24"/>
                <w:szCs w:val="24"/>
                <w:lang w:val="en-US" w:eastAsia="zh-CN"/>
                <w14:textFill>
                  <w14:solidFill>
                    <w14:schemeClr w14:val="tx1"/>
                  </w14:solidFill>
                </w14:textFill>
              </w:rPr>
              <w:t>九</w:t>
            </w:r>
            <w:r>
              <w:rPr>
                <w:rFonts w:hint="default" w:ascii="Times New Roman" w:hAnsi="Times New Roman" w:cs="Times New Roman" w:eastAsiaTheme="minorEastAsia"/>
                <w:color w:val="000000" w:themeColor="text1"/>
                <w:sz w:val="24"/>
                <w:szCs w:val="24"/>
                <w14:textFill>
                  <w14:solidFill>
                    <w14:schemeClr w14:val="tx1"/>
                  </w14:solidFill>
                </w14:textFill>
              </w:rPr>
              <w:t>龙江“南门桥水闸至龙江入海口”断面</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根据福州市水功能区划批复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榕政综[2019]316号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批准的《福州市水功能区划》，该断面水体主要功能为该断面水体主要功能为农业、工业、景观用水，环境功能类别为Ⅴ类，水质执行《地表水环境质量标准》(GB3838-2002)中Ⅴ类水质标准；项目周边水域</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大北溪</w:t>
            </w:r>
            <w:r>
              <w:rPr>
                <w:rFonts w:hint="default" w:ascii="Times New Roman" w:hAnsi="Times New Roman" w:cs="Times New Roman" w:eastAsiaTheme="minorEastAsia"/>
                <w:color w:val="000000" w:themeColor="text1"/>
                <w:sz w:val="24"/>
                <w14:textFill>
                  <w14:solidFill>
                    <w14:schemeClr w14:val="tx1"/>
                  </w14:solidFill>
                </w14:textFill>
              </w:rPr>
              <w:t>所在“铁路桥至大北溪口”断面水体主要功能为景观、工业用水，环境功能类别为Ⅳ类，水质执行《地表水环境质量标准》(GB3838-2002)中Ⅳ类水质标准Ⅳ</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14:paraId="7139C392">
            <w:pPr>
              <w:adjustRightInd w:val="0"/>
              <w:spacing w:line="360" w:lineRule="auto"/>
              <w:ind w:firstLine="480" w:firstLineChars="200"/>
              <w:contextualSpacing/>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为了解工程所在地表水水质情况，评价引用福建省地表水水质状况公告，2023年1―12月，全省主要流域总体水质为优，国控断面Ⅰ～Ⅲ类水质比例99.0％,Ⅰ～Ⅱ类水质比例68.6％；国控及省控断面Ⅰ～Ⅲ类水质比例99.5％，其中Ⅰ～Ⅱ类水质比例65.3％，各类水质比例如下：Ⅰ类占1.9%，Ⅱ类占63.5%，Ⅲ类占34.1%，Ⅳ类占0.5%，无Ⅴ类和劣Ⅴ类水。2023年1-12月，全省主要流域总体水质从相对较好开始排名，具体为：闽江、交溪、霍童溪、萩芦溪、汀江（韩江）、九龙江、晋江、木兰溪、敖江、东西溪、诏安东溪、龙江、漳江、鹿溪。由此可知龙江水质可达到《地表水环境质量标准》(GB3838-2002)Ⅴ类水标准</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p>
          <w:p w14:paraId="66853950">
            <w:pPr>
              <w:adjustRightInd w:val="0"/>
              <w:spacing w:line="360" w:lineRule="auto"/>
              <w:contextualSpacing/>
              <w:jc w:val="center"/>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738370" cy="4384040"/>
                  <wp:effectExtent l="0" t="0" r="5080" b="1651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2"/>
                          <a:stretch>
                            <a:fillRect/>
                          </a:stretch>
                        </pic:blipFill>
                        <pic:spPr>
                          <a:xfrm>
                            <a:off x="0" y="0"/>
                            <a:ext cx="4738370" cy="438404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283710" cy="3771900"/>
                  <wp:effectExtent l="0" t="0" r="254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3"/>
                          <a:stretch>
                            <a:fillRect/>
                          </a:stretch>
                        </pic:blipFill>
                        <pic:spPr>
                          <a:xfrm>
                            <a:off x="0" y="0"/>
                            <a:ext cx="4283710" cy="3771900"/>
                          </a:xfrm>
                          <a:prstGeom prst="rect">
                            <a:avLst/>
                          </a:prstGeom>
                          <a:noFill/>
                          <a:ln>
                            <a:noFill/>
                          </a:ln>
                        </pic:spPr>
                      </pic:pic>
                    </a:graphicData>
                  </a:graphic>
                </wp:inline>
              </w:drawing>
            </w:r>
          </w:p>
          <w:p w14:paraId="48A2F792">
            <w:pPr>
              <w:autoSpaceDE w:val="0"/>
              <w:autoSpaceDN w:val="0"/>
              <w:spacing w:line="360" w:lineRule="auto"/>
              <w:jc w:val="center"/>
              <w:textAlignment w:val="bottom"/>
              <w:rPr>
                <w:rFonts w:hint="default" w:ascii="Times New Roman" w:hAnsi="Times New Roman" w:cs="Times New Roman"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258310" cy="3977640"/>
                  <wp:effectExtent l="0" t="0" r="8890" b="381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4"/>
                          <a:stretch>
                            <a:fillRect/>
                          </a:stretch>
                        </pic:blipFill>
                        <pic:spPr>
                          <a:xfrm>
                            <a:off x="0" y="0"/>
                            <a:ext cx="4258310" cy="3977640"/>
                          </a:xfrm>
                          <a:prstGeom prst="rect">
                            <a:avLst/>
                          </a:prstGeom>
                          <a:noFill/>
                          <a:ln>
                            <a:noFill/>
                          </a:ln>
                        </pic:spPr>
                      </pic:pic>
                    </a:graphicData>
                  </a:graphic>
                </wp:inline>
              </w:drawing>
            </w:r>
          </w:p>
          <w:p w14:paraId="7ABED605">
            <w:pPr>
              <w:spacing w:line="360" w:lineRule="auto"/>
              <w:contextualSpacing/>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图3.</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2  </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《2023 年福建省生态环境状况公报》</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摘录</w:t>
            </w:r>
          </w:p>
          <w:p w14:paraId="099ADB7B">
            <w:pPr>
              <w:autoSpaceDE w:val="0"/>
              <w:autoSpaceDN w:val="0"/>
              <w:spacing w:line="360" w:lineRule="auto"/>
              <w:ind w:firstLine="240" w:firstLineChars="100"/>
              <w:textAlignment w:val="bottom"/>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根据《建设项目环境影响报告表编制技术指南(污染影响类)(试行)》(环办环评</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2020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cs="Times New Roman" w:eastAsiaTheme="minorEastAsia"/>
                <w:color w:val="000000" w:themeColor="text1"/>
                <w:sz w:val="24"/>
                <w:lang w:eastAsia="zh-CN"/>
                <w14:textFill>
                  <w14:solidFill>
                    <w14:schemeClr w14:val="tx1"/>
                  </w14:solidFill>
                </w14:textFill>
              </w:rPr>
              <w:t>本次</w:t>
            </w:r>
            <w:r>
              <w:rPr>
                <w:rFonts w:hint="default" w:ascii="Times New Roman" w:hAnsi="Times New Roman" w:cs="Times New Roman" w:eastAsiaTheme="minorEastAsia"/>
                <w:color w:val="000000" w:themeColor="text1"/>
                <w:sz w:val="24"/>
                <w14:textFill>
                  <w14:solidFill>
                    <w14:schemeClr w14:val="tx1"/>
                  </w14:solidFill>
                </w14:textFill>
              </w:rPr>
              <w:t>评价选取福建省生态环境厅网站发</w:t>
            </w:r>
            <w:r>
              <w:rPr>
                <w:rFonts w:hint="eastAsia" w:ascii="Times New Roman" w:hAnsi="Times New Roman" w:cs="Times New Roman" w:eastAsiaTheme="minorEastAsia"/>
                <w:color w:val="000000" w:themeColor="text1"/>
                <w:sz w:val="24"/>
                <w:lang w:eastAsia="zh-CN"/>
                <w14:textFill>
                  <w14:solidFill>
                    <w14:schemeClr w14:val="tx1"/>
                  </w14:solidFill>
                </w14:textFill>
              </w:rPr>
              <w:t>布的</w:t>
            </w:r>
            <w:r>
              <w:rPr>
                <w:rFonts w:hint="default" w:ascii="Times New Roman" w:hAnsi="Times New Roman" w:cs="Times New Roman" w:eastAsiaTheme="minorEastAsia"/>
                <w:color w:val="000000" w:themeColor="text1"/>
                <w:sz w:val="24"/>
                <w14:textFill>
                  <w14:solidFill>
                    <w14:schemeClr w14:val="tx1"/>
                  </w14:solidFill>
                </w14:textFill>
              </w:rPr>
              <w:t>水环境状况信息，符合《建设项目环境影响报告表编制技术指南(污染影响类)(试行)》(环办环评〔2020〕33号)的要求。</w:t>
            </w:r>
          </w:p>
          <w:p w14:paraId="4AD4DE7D">
            <w:pPr>
              <w:spacing w:line="360" w:lineRule="auto"/>
              <w:ind w:firstLine="480" w:firstLineChars="200"/>
              <w:contextualSpacing/>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声环境</w:t>
            </w:r>
            <w:r>
              <w:rPr>
                <w:rFonts w:hint="eastAsia" w:ascii="Times New Roman" w:hAnsi="Times New Roman" w:cs="Times New Roman" w:eastAsiaTheme="minorEastAsia"/>
                <w:color w:val="000000" w:themeColor="text1"/>
                <w:sz w:val="24"/>
                <w:lang w:eastAsia="zh-CN"/>
                <w14:textFill>
                  <w14:solidFill>
                    <w14:schemeClr w14:val="tx1"/>
                  </w14:solidFill>
                </w14:textFill>
              </w:rPr>
              <w:t>质量</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现状</w:t>
            </w:r>
          </w:p>
          <w:p w14:paraId="43A13926">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本项目位于</w:t>
            </w:r>
            <w:r>
              <w:rPr>
                <w:rFonts w:hint="default" w:ascii="Times New Roman" w:hAnsi="Times New Roman" w:cs="Times New Roman"/>
                <w:color w:val="000000" w:themeColor="text1"/>
                <w:kern w:val="0"/>
                <w:sz w:val="24"/>
                <w:lang w:bidi="ar"/>
                <w14:textFill>
                  <w14:solidFill>
                    <w14:schemeClr w14:val="tx1"/>
                  </w14:solidFill>
                </w14:textFill>
              </w:rPr>
              <w:t>福建省福州市福清市阳下街道洪宽工业区（租赁福清洪添科技有限公司车间1第1、2层）</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项目周边以工业生产、仓储物流为主要功能的区域，项目所在区域声环境为3类功能区，声环境功能执行《声环境质量标准》(GB3096-2008)表1中3类标准</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p w14:paraId="0F101792">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本项目声环境评价范围厂界外周边50米范围内无声环境保护目标，依据《建设项目环境影响报告表编制技术指南（污染影响类）（试行）》，故本项目不需要开展声环境现状监测。</w:t>
            </w:r>
          </w:p>
          <w:p w14:paraId="366FDEF5">
            <w:pPr>
              <w:spacing w:line="360" w:lineRule="auto"/>
              <w:ind w:firstLine="480" w:firstLineChars="200"/>
              <w:contextualSpacing/>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(4)生态环境质量现状</w:t>
            </w:r>
          </w:p>
          <w:p w14:paraId="0860ED5C">
            <w:pPr>
              <w:adjustRightInd w:val="0"/>
              <w:snapToGrid w:val="0"/>
              <w:spacing w:line="360" w:lineRule="auto"/>
              <w:ind w:firstLine="480"/>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根据现场勘查，目前厂房已经建设完成，项目用地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1E56E53E">
            <w:pPr>
              <w:spacing w:line="360" w:lineRule="auto"/>
              <w:ind w:firstLine="480" w:firstLineChars="200"/>
              <w:contextualSpacing/>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(5)地下水、土壤环境质量现状</w:t>
            </w:r>
          </w:p>
          <w:p w14:paraId="12A86271">
            <w:pPr>
              <w:adjustRightInd w:val="0"/>
              <w:snapToGrid w:val="0"/>
              <w:spacing w:line="360" w:lineRule="auto"/>
              <w:ind w:firstLine="480" w:firstLineChars="200"/>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20207F91">
            <w:pPr>
              <w:spacing w:line="360" w:lineRule="auto"/>
              <w:ind w:firstLine="480" w:firstLineChars="200"/>
              <w:rPr>
                <w:rFonts w:hint="default" w:ascii="Times New Roman" w:hAnsi="Times New Roman" w:cs="Times New Roman" w:eastAsiaTheme="minorEastAsia"/>
                <w:color w:val="000000" w:themeColor="text1"/>
                <w:kern w:val="2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项目位于</w:t>
            </w:r>
            <w:r>
              <w:rPr>
                <w:rFonts w:hint="default" w:ascii="Times New Roman" w:hAnsi="Times New Roman" w:cs="Times New Roman"/>
                <w:color w:val="000000" w:themeColor="text1"/>
                <w:kern w:val="0"/>
                <w:sz w:val="24"/>
                <w:lang w:bidi="ar"/>
                <w14:textFill>
                  <w14:solidFill>
                    <w14:schemeClr w14:val="tx1"/>
                  </w14:solidFill>
                </w14:textFill>
              </w:rPr>
              <w:t>福建省福州市福清市阳下街道洪宽工业区（租赁福清洪添科技有限公司车间1第1、2层）</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利用现有已建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闲置</w:t>
            </w:r>
            <w:r>
              <w:rPr>
                <w:rFonts w:hint="default" w:ascii="Times New Roman" w:hAnsi="Times New Roman" w:cs="Times New Roman" w:eastAsiaTheme="minorEastAsia"/>
                <w:color w:val="000000" w:themeColor="text1"/>
                <w:sz w:val="24"/>
                <w14:textFill>
                  <w14:solidFill>
                    <w14:schemeClr w14:val="tx1"/>
                  </w14:solidFill>
                </w14:textFill>
              </w:rPr>
              <w:t>厂房作为生产经营场所，根据调查，项目厂区车间地面全部硬化，生产过程不排放重金属或持久性有机污染物，严格按照要求进行分区防渗防控，采取有效的防渗措施后，几乎不存在地下水、土壤环境污染途径；根据调查，项目周边地下水、土壤环境相对不敏感，项目对地下水、土壤环境影响很小，因此，本评价不对项目地下水、土壤环境质量进行补充监测。</w:t>
            </w:r>
          </w:p>
        </w:tc>
      </w:tr>
      <w:tr w14:paraId="1CE50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6D7D50E5">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环境</w:t>
            </w:r>
          </w:p>
          <w:p w14:paraId="5F2C08D9">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保护</w:t>
            </w:r>
          </w:p>
          <w:p w14:paraId="2F81C8A7">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目标</w:t>
            </w:r>
          </w:p>
        </w:tc>
        <w:tc>
          <w:tcPr>
            <w:tcW w:w="7803" w:type="dxa"/>
            <w:vAlign w:val="center"/>
          </w:tcPr>
          <w:p w14:paraId="3FABB666">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3.2环境保护目标</w:t>
            </w:r>
          </w:p>
          <w:p w14:paraId="3652F363">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根据《建设项目环境影响报告表编制技术指南(污染影响类)(试行)》(环办环评</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2020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33号)要求以及对项目周边环境的调查，本项目大气环境(厂界外500m范围内)、地表水环境、</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地下水环境</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(500m范围内)</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声环境(厂界外50m范围内)</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的环境</w:t>
            </w:r>
            <w:r>
              <w:rPr>
                <w:rFonts w:hint="default" w:ascii="Times New Roman" w:hAnsi="Times New Roman" w:cs="Times New Roman" w:eastAsiaTheme="minorEastAsia"/>
                <w:color w:val="000000" w:themeColor="text1"/>
                <w:kern w:val="0"/>
                <w:sz w:val="24"/>
                <w14:textFill>
                  <w14:solidFill>
                    <w14:schemeClr w14:val="tx1"/>
                  </w14:solidFill>
                </w14:textFill>
              </w:rPr>
              <w:t>保护目标见表3.</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14:textFill>
                  <w14:solidFill>
                    <w14:schemeClr w14:val="tx1"/>
                  </w14:solidFill>
                </w14:textFill>
              </w:rPr>
              <w:t>-1</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和附图</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p>
          <w:p w14:paraId="313B5585">
            <w:pPr>
              <w:pStyle w:val="68"/>
              <w:ind w:firstLine="482"/>
              <w:rPr>
                <w:rFonts w:hint="default" w:ascii="Times New Roman" w:hAnsi="Times New Roman" w:cs="Times New Roman" w:eastAsiaTheme="minorEastAsia"/>
                <w:color w:val="000000" w:themeColor="text1"/>
                <w:sz w:val="24"/>
                <w:szCs w:val="24"/>
                <w14:textFill>
                  <w14:solidFill>
                    <w14:schemeClr w14:val="tx1"/>
                  </w14:solidFill>
                </w14:textFill>
              </w:rPr>
            </w:pPr>
            <w:bookmarkStart w:id="16" w:name="_Toc17865_WPSOffice_Level2"/>
            <w:r>
              <w:rPr>
                <w:rFonts w:hint="default" w:ascii="Times New Roman" w:hAnsi="Times New Roman" w:cs="Times New Roman" w:eastAsiaTheme="minorEastAsia"/>
                <w:color w:val="000000" w:themeColor="text1"/>
                <w:sz w:val="24"/>
                <w:szCs w:val="24"/>
                <w14:textFill>
                  <w14:solidFill>
                    <w14:schemeClr w14:val="tx1"/>
                  </w14:solidFill>
                </w14:textFill>
              </w:rPr>
              <w:t>表3.2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项目主要环境敏感保护目标一览表</w:t>
            </w:r>
            <w:bookmarkEnd w:id="16"/>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87"/>
              <w:gridCol w:w="1533"/>
              <w:gridCol w:w="1380"/>
              <w:gridCol w:w="1169"/>
              <w:gridCol w:w="2469"/>
            </w:tblGrid>
            <w:tr w14:paraId="5325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12" w:space="0"/>
                    <w:left w:val="nil"/>
                  </w:tcBorders>
                  <w:vAlign w:val="center"/>
                </w:tcPr>
                <w:p w14:paraId="7A8C4BE7">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序号</w:t>
                  </w:r>
                </w:p>
              </w:tc>
              <w:tc>
                <w:tcPr>
                  <w:tcW w:w="1287" w:type="dxa"/>
                  <w:tcBorders>
                    <w:top w:val="single" w:color="auto" w:sz="12" w:space="0"/>
                  </w:tcBorders>
                  <w:vAlign w:val="center"/>
                </w:tcPr>
                <w:p w14:paraId="67044554">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环境要素</w:t>
                  </w:r>
                </w:p>
              </w:tc>
              <w:tc>
                <w:tcPr>
                  <w:tcW w:w="1533" w:type="dxa"/>
                  <w:tcBorders>
                    <w:top w:val="single" w:color="auto" w:sz="12" w:space="0"/>
                  </w:tcBorders>
                  <w:vAlign w:val="center"/>
                </w:tcPr>
                <w:p w14:paraId="2EC62986">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敏感目标</w:t>
                  </w:r>
                </w:p>
              </w:tc>
              <w:tc>
                <w:tcPr>
                  <w:tcW w:w="1380" w:type="dxa"/>
                  <w:tcBorders>
                    <w:top w:val="single" w:color="auto" w:sz="12" w:space="0"/>
                  </w:tcBorders>
                  <w:vAlign w:val="center"/>
                </w:tcPr>
                <w:p w14:paraId="5059F8BB">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方位、距离</w:t>
                  </w:r>
                </w:p>
              </w:tc>
              <w:tc>
                <w:tcPr>
                  <w:tcW w:w="1169" w:type="dxa"/>
                  <w:tcBorders>
                    <w:top w:val="single" w:color="auto" w:sz="12" w:space="0"/>
                  </w:tcBorders>
                  <w:vAlign w:val="center"/>
                </w:tcPr>
                <w:p w14:paraId="56312534">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规模</w:t>
                  </w:r>
                </w:p>
              </w:tc>
              <w:tc>
                <w:tcPr>
                  <w:tcW w:w="2469" w:type="dxa"/>
                  <w:tcBorders>
                    <w:top w:val="single" w:color="auto" w:sz="12" w:space="0"/>
                    <w:right w:val="nil"/>
                  </w:tcBorders>
                  <w:vAlign w:val="center"/>
                </w:tcPr>
                <w:p w14:paraId="74DD75FD">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环境保护要求</w:t>
                  </w:r>
                </w:p>
              </w:tc>
            </w:tr>
            <w:tr w14:paraId="0C63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tcBorders>
                    <w:left w:val="nil"/>
                  </w:tcBorders>
                  <w:vAlign w:val="center"/>
                </w:tcPr>
                <w:p w14:paraId="5AACC027">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1</w:t>
                  </w:r>
                </w:p>
              </w:tc>
              <w:tc>
                <w:tcPr>
                  <w:tcW w:w="1287" w:type="dxa"/>
                  <w:vMerge w:val="restart"/>
                  <w:vAlign w:val="center"/>
                </w:tcPr>
                <w:p w14:paraId="377A51B0">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环境</w:t>
                  </w:r>
                  <w:r>
                    <w:rPr>
                      <w:rFonts w:hint="default" w:ascii="Times New Roman" w:hAnsi="Times New Roman" w:cs="Times New Roman" w:eastAsiaTheme="minorEastAsia"/>
                      <w:color w:val="000000" w:themeColor="text1"/>
                      <w:szCs w:val="21"/>
                      <w:lang w:eastAsia="zh-CN"/>
                      <w14:textFill>
                        <w14:solidFill>
                          <w14:schemeClr w14:val="tx1"/>
                        </w14:solidFill>
                      </w14:textFill>
                    </w:rPr>
                    <w:t>空气</w:t>
                  </w:r>
                </w:p>
              </w:tc>
              <w:tc>
                <w:tcPr>
                  <w:tcW w:w="1533" w:type="dxa"/>
                  <w:vAlign w:val="center"/>
                </w:tcPr>
                <w:p w14:paraId="1C62E448">
                  <w:pPr>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潘厝后村</w:t>
                  </w:r>
                </w:p>
              </w:tc>
              <w:tc>
                <w:tcPr>
                  <w:tcW w:w="1380" w:type="dxa"/>
                  <w:vAlign w:val="center"/>
                </w:tcPr>
                <w:p w14:paraId="62DBC3CF">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东南</w:t>
                  </w:r>
                  <w:r>
                    <w:rPr>
                      <w:rFonts w:hint="default" w:ascii="Times New Roman" w:hAnsi="Times New Roman" w:cs="Times New Roman" w:eastAsiaTheme="minorEastAsia"/>
                      <w:color w:val="000000" w:themeColor="text1"/>
                      <w:szCs w:val="21"/>
                      <w:lang w:eastAsia="zh-CN"/>
                      <w14:textFill>
                        <w14:solidFill>
                          <w14:schemeClr w14:val="tx1"/>
                        </w14:solidFill>
                      </w14:textFill>
                    </w:rPr>
                    <w:t>侧</w:t>
                  </w:r>
                  <w:r>
                    <w:rPr>
                      <w:rFonts w:hint="default" w:ascii="Times New Roman" w:hAnsi="Times New Roman" w:cs="Times New Roman" w:eastAsiaTheme="minorEastAsia"/>
                      <w:color w:val="000000" w:themeColor="text1"/>
                      <w:szCs w:val="21"/>
                      <w:lang w:val="en-US" w:eastAsia="zh-CN"/>
                      <w14:textFill>
                        <w14:solidFill>
                          <w14:schemeClr w14:val="tx1"/>
                        </w14:solidFill>
                      </w14:textFill>
                    </w:rPr>
                    <w:t>230m</w:t>
                  </w:r>
                </w:p>
              </w:tc>
              <w:tc>
                <w:tcPr>
                  <w:tcW w:w="1169" w:type="dxa"/>
                  <w:vAlign w:val="center"/>
                </w:tcPr>
                <w:p w14:paraId="077A22BB">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约300</w:t>
                  </w:r>
                  <w:r>
                    <w:rPr>
                      <w:rFonts w:hint="default" w:ascii="Times New Roman" w:hAnsi="Times New Roman" w:cs="Times New Roman" w:eastAsiaTheme="minorEastAsia"/>
                      <w:color w:val="000000" w:themeColor="text1"/>
                      <w:highlight w:val="none"/>
                      <w14:textFill>
                        <w14:solidFill>
                          <w14:schemeClr w14:val="tx1"/>
                        </w14:solidFill>
                      </w14:textFill>
                    </w:rPr>
                    <w:t>人</w:t>
                  </w:r>
                </w:p>
              </w:tc>
              <w:tc>
                <w:tcPr>
                  <w:tcW w:w="2469" w:type="dxa"/>
                  <w:vMerge w:val="restart"/>
                  <w:tcBorders>
                    <w:right w:val="nil"/>
                  </w:tcBorders>
                  <w:vAlign w:val="center"/>
                </w:tcPr>
                <w:p w14:paraId="07F0D7CD">
                  <w:pPr>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《环境空气质量标准》（GB3095-2012）</w:t>
                  </w:r>
                  <w:r>
                    <w:rPr>
                      <w:rFonts w:hint="default" w:ascii="Times New Roman" w:hAnsi="Times New Roman" w:cs="Times New Roman" w:eastAsiaTheme="minorEastAsia"/>
                      <w:color w:val="000000" w:themeColor="text1"/>
                      <w:szCs w:val="21"/>
                      <w:lang w:eastAsia="zh-CN"/>
                      <w14:textFill>
                        <w14:solidFill>
                          <w14:schemeClr w14:val="tx1"/>
                        </w14:solidFill>
                      </w14:textFill>
                    </w:rPr>
                    <w:t>及其修改单</w:t>
                  </w:r>
                  <w:r>
                    <w:rPr>
                      <w:rFonts w:hint="default" w:ascii="Times New Roman" w:hAnsi="Times New Roman" w:cs="Times New Roman" w:eastAsiaTheme="minorEastAsia"/>
                      <w:color w:val="000000" w:themeColor="text1"/>
                      <w:szCs w:val="21"/>
                      <w14:textFill>
                        <w14:solidFill>
                          <w14:schemeClr w14:val="tx1"/>
                        </w14:solidFill>
                      </w14:textFill>
                    </w:rPr>
                    <w:t>中的二级标准</w:t>
                  </w:r>
                </w:p>
              </w:tc>
            </w:tr>
            <w:tr w14:paraId="1C4E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tcBorders>
                    <w:left w:val="nil"/>
                  </w:tcBorders>
                  <w:vAlign w:val="center"/>
                </w:tcPr>
                <w:p w14:paraId="4E1896CB">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p>
              </w:tc>
              <w:tc>
                <w:tcPr>
                  <w:tcW w:w="1287" w:type="dxa"/>
                  <w:vMerge w:val="continue"/>
                  <w:vAlign w:val="center"/>
                </w:tcPr>
                <w:p w14:paraId="410B7A1E">
                  <w:pPr>
                    <w:jc w:val="center"/>
                    <w:rPr>
                      <w:rFonts w:hint="default" w:ascii="Times New Roman" w:hAnsi="Times New Roman" w:cs="Times New Roman" w:eastAsiaTheme="minorEastAsia"/>
                      <w:color w:val="000000" w:themeColor="text1"/>
                      <w:szCs w:val="21"/>
                      <w14:textFill>
                        <w14:solidFill>
                          <w14:schemeClr w14:val="tx1"/>
                        </w14:solidFill>
                      </w14:textFill>
                    </w:rPr>
                  </w:pPr>
                </w:p>
              </w:tc>
              <w:tc>
                <w:tcPr>
                  <w:tcW w:w="1533" w:type="dxa"/>
                  <w:vAlign w:val="center"/>
                </w:tcPr>
                <w:p w14:paraId="7F30195B">
                  <w:pPr>
                    <w:jc w:val="center"/>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玉岭</w:t>
                  </w:r>
                  <w:r>
                    <w:rPr>
                      <w:rFonts w:hint="default" w:ascii="Times New Roman" w:hAnsi="Times New Roman" w:cs="Times New Roman" w:eastAsiaTheme="minorEastAsia"/>
                      <w:color w:val="000000" w:themeColor="text1"/>
                      <w:lang w:eastAsia="zh-CN"/>
                      <w14:textFill>
                        <w14:solidFill>
                          <w14:schemeClr w14:val="tx1"/>
                        </w14:solidFill>
                      </w14:textFill>
                    </w:rPr>
                    <w:t>村</w:t>
                  </w:r>
                </w:p>
              </w:tc>
              <w:tc>
                <w:tcPr>
                  <w:tcW w:w="1380" w:type="dxa"/>
                  <w:vAlign w:val="center"/>
                </w:tcPr>
                <w:p w14:paraId="0A18A5C8">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南侧280m</w:t>
                  </w:r>
                </w:p>
              </w:tc>
              <w:tc>
                <w:tcPr>
                  <w:tcW w:w="1169" w:type="dxa"/>
                  <w:vAlign w:val="center"/>
                </w:tcPr>
                <w:p w14:paraId="1A74F933">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约1125</w:t>
                  </w:r>
                  <w:r>
                    <w:rPr>
                      <w:rFonts w:hint="default" w:ascii="Times New Roman" w:hAnsi="Times New Roman" w:cs="Times New Roman" w:eastAsiaTheme="minorEastAsia"/>
                      <w:color w:val="000000" w:themeColor="text1"/>
                      <w:highlight w:val="none"/>
                      <w14:textFill>
                        <w14:solidFill>
                          <w14:schemeClr w14:val="tx1"/>
                        </w14:solidFill>
                      </w14:textFill>
                    </w:rPr>
                    <w:t>人</w:t>
                  </w:r>
                </w:p>
              </w:tc>
              <w:tc>
                <w:tcPr>
                  <w:tcW w:w="2469" w:type="dxa"/>
                  <w:vMerge w:val="continue"/>
                  <w:tcBorders>
                    <w:right w:val="nil"/>
                  </w:tcBorders>
                  <w:vAlign w:val="center"/>
                </w:tcPr>
                <w:p w14:paraId="1FBF875D">
                  <w:pPr>
                    <w:jc w:val="center"/>
                    <w:rPr>
                      <w:rFonts w:hint="default" w:ascii="Times New Roman" w:hAnsi="Times New Roman" w:cs="Times New Roman" w:eastAsiaTheme="minorEastAsia"/>
                      <w:color w:val="000000" w:themeColor="text1"/>
                      <w:szCs w:val="21"/>
                      <w14:textFill>
                        <w14:solidFill>
                          <w14:schemeClr w14:val="tx1"/>
                        </w14:solidFill>
                      </w14:textFill>
                    </w:rPr>
                  </w:pPr>
                </w:p>
              </w:tc>
            </w:tr>
            <w:tr w14:paraId="4AA8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tcBorders>
                    <w:left w:val="nil"/>
                  </w:tcBorders>
                  <w:vAlign w:val="center"/>
                </w:tcPr>
                <w:p w14:paraId="39FE7A34">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p>
              </w:tc>
              <w:tc>
                <w:tcPr>
                  <w:tcW w:w="1287" w:type="dxa"/>
                  <w:vMerge w:val="continue"/>
                  <w:vAlign w:val="center"/>
                </w:tcPr>
                <w:p w14:paraId="175822B0">
                  <w:pPr>
                    <w:jc w:val="center"/>
                    <w:rPr>
                      <w:rFonts w:hint="default" w:ascii="Times New Roman" w:hAnsi="Times New Roman" w:cs="Times New Roman" w:eastAsiaTheme="minorEastAsia"/>
                      <w:color w:val="000000" w:themeColor="text1"/>
                      <w:szCs w:val="21"/>
                      <w14:textFill>
                        <w14:solidFill>
                          <w14:schemeClr w14:val="tx1"/>
                        </w14:solidFill>
                      </w14:textFill>
                    </w:rPr>
                  </w:pPr>
                </w:p>
              </w:tc>
              <w:tc>
                <w:tcPr>
                  <w:tcW w:w="1533" w:type="dxa"/>
                  <w:vAlign w:val="center"/>
                </w:tcPr>
                <w:p w14:paraId="6E29498B">
                  <w:pPr>
                    <w:jc w:val="center"/>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洪宽</w:t>
                  </w:r>
                  <w:r>
                    <w:rPr>
                      <w:rFonts w:hint="default" w:ascii="Times New Roman" w:hAnsi="Times New Roman" w:cs="Times New Roman" w:eastAsiaTheme="minorEastAsia"/>
                      <w:color w:val="000000" w:themeColor="text1"/>
                      <w:lang w:eastAsia="zh-CN"/>
                      <w14:textFill>
                        <w14:solidFill>
                          <w14:schemeClr w14:val="tx1"/>
                        </w14:solidFill>
                      </w14:textFill>
                    </w:rPr>
                    <w:t>村</w:t>
                  </w:r>
                </w:p>
              </w:tc>
              <w:tc>
                <w:tcPr>
                  <w:tcW w:w="1380" w:type="dxa"/>
                  <w:vAlign w:val="center"/>
                </w:tcPr>
                <w:p w14:paraId="773C8739">
                  <w:pPr>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t>西北侧470m</w:t>
                  </w:r>
                </w:p>
              </w:tc>
              <w:tc>
                <w:tcPr>
                  <w:tcW w:w="1169" w:type="dxa"/>
                  <w:vAlign w:val="center"/>
                </w:tcPr>
                <w:p w14:paraId="1281C611">
                  <w:pPr>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约50</w:t>
                  </w:r>
                  <w:r>
                    <w:rPr>
                      <w:rFonts w:hint="default" w:ascii="Times New Roman" w:hAnsi="Times New Roman" w:cs="Times New Roman" w:eastAsiaTheme="minorEastAsia"/>
                      <w:color w:val="000000" w:themeColor="text1"/>
                      <w:highlight w:val="none"/>
                      <w14:textFill>
                        <w14:solidFill>
                          <w14:schemeClr w14:val="tx1"/>
                        </w14:solidFill>
                      </w14:textFill>
                    </w:rPr>
                    <w:t>0人</w:t>
                  </w:r>
                </w:p>
              </w:tc>
              <w:tc>
                <w:tcPr>
                  <w:tcW w:w="2469" w:type="dxa"/>
                  <w:vMerge w:val="continue"/>
                  <w:tcBorders>
                    <w:right w:val="nil"/>
                  </w:tcBorders>
                  <w:vAlign w:val="center"/>
                </w:tcPr>
                <w:p w14:paraId="4B09DC25">
                  <w:pPr>
                    <w:jc w:val="center"/>
                    <w:rPr>
                      <w:rFonts w:hint="default" w:ascii="Times New Roman" w:hAnsi="Times New Roman" w:cs="Times New Roman" w:eastAsiaTheme="minorEastAsia"/>
                      <w:color w:val="000000" w:themeColor="text1"/>
                      <w:szCs w:val="21"/>
                      <w14:textFill>
                        <w14:solidFill>
                          <w14:schemeClr w14:val="tx1"/>
                        </w14:solidFill>
                      </w14:textFill>
                    </w:rPr>
                  </w:pPr>
                </w:p>
              </w:tc>
            </w:tr>
            <w:tr w14:paraId="5689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left w:val="nil"/>
                  </w:tcBorders>
                  <w:vAlign w:val="center"/>
                </w:tcPr>
                <w:p w14:paraId="4ECA6F3C">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2</w:t>
                  </w:r>
                </w:p>
              </w:tc>
              <w:tc>
                <w:tcPr>
                  <w:tcW w:w="1287" w:type="dxa"/>
                  <w:vAlign w:val="center"/>
                </w:tcPr>
                <w:p w14:paraId="19CC94D0">
                  <w:pPr>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地表水</w:t>
                  </w:r>
                  <w:r>
                    <w:rPr>
                      <w:rFonts w:hint="default" w:ascii="Times New Roman" w:hAnsi="Times New Roman" w:cs="Times New Roman" w:eastAsiaTheme="minorEastAsia"/>
                      <w:color w:val="000000" w:themeColor="text1"/>
                      <w:szCs w:val="21"/>
                      <w14:textFill>
                        <w14:solidFill>
                          <w14:schemeClr w14:val="tx1"/>
                        </w14:solidFill>
                      </w14:textFill>
                    </w:rPr>
                    <w:t>环境</w:t>
                  </w:r>
                </w:p>
              </w:tc>
              <w:tc>
                <w:tcPr>
                  <w:tcW w:w="1533" w:type="dxa"/>
                  <w:vAlign w:val="center"/>
                </w:tcPr>
                <w:p w14:paraId="24E4900D">
                  <w:pPr>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大北溪</w:t>
                  </w:r>
                </w:p>
              </w:tc>
              <w:tc>
                <w:tcPr>
                  <w:tcW w:w="1380" w:type="dxa"/>
                  <w:vAlign w:val="center"/>
                </w:tcPr>
                <w:p w14:paraId="2F0C5BF9">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北侧170m</w:t>
                  </w:r>
                </w:p>
              </w:tc>
              <w:tc>
                <w:tcPr>
                  <w:tcW w:w="1169" w:type="dxa"/>
                  <w:vAlign w:val="center"/>
                </w:tcPr>
                <w:p w14:paraId="08B63AC3">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小型河流</w:t>
                  </w:r>
                </w:p>
              </w:tc>
              <w:tc>
                <w:tcPr>
                  <w:tcW w:w="2469" w:type="dxa"/>
                  <w:tcBorders>
                    <w:right w:val="nil"/>
                  </w:tcBorders>
                  <w:vAlign w:val="center"/>
                </w:tcPr>
                <w:p w14:paraId="6D969229">
                  <w:pPr>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《地表水环境质量标准》（GB3838-2002）中Ⅳ类标准</w:t>
                  </w:r>
                </w:p>
              </w:tc>
            </w:tr>
            <w:tr w14:paraId="650E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left w:val="nil"/>
                  </w:tcBorders>
                  <w:vAlign w:val="center"/>
                </w:tcPr>
                <w:p w14:paraId="6063B4B0">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3</w:t>
                  </w:r>
                </w:p>
              </w:tc>
              <w:tc>
                <w:tcPr>
                  <w:tcW w:w="1287" w:type="dxa"/>
                  <w:vAlign w:val="center"/>
                </w:tcPr>
                <w:p w14:paraId="3CC1155D">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噪声</w:t>
                  </w:r>
                  <w:r>
                    <w:rPr>
                      <w:rFonts w:hint="default" w:ascii="Times New Roman" w:hAnsi="Times New Roman" w:cs="Times New Roman" w:eastAsiaTheme="minorEastAsia"/>
                      <w:color w:val="000000" w:themeColor="text1"/>
                      <w:szCs w:val="21"/>
                      <w:lang w:eastAsia="zh-CN"/>
                      <w14:textFill>
                        <w14:solidFill>
                          <w14:schemeClr w14:val="tx1"/>
                        </w14:solidFill>
                      </w14:textFill>
                    </w:rPr>
                    <w:t>环境</w:t>
                  </w:r>
                </w:p>
              </w:tc>
              <w:tc>
                <w:tcPr>
                  <w:tcW w:w="6551" w:type="dxa"/>
                  <w:gridSpan w:val="4"/>
                  <w:tcBorders>
                    <w:right w:val="nil"/>
                  </w:tcBorders>
                  <w:vAlign w:val="center"/>
                </w:tcPr>
                <w:p w14:paraId="0FAECF0C">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项目厂界外50m无声环境保护目标</w:t>
                  </w:r>
                </w:p>
              </w:tc>
            </w:tr>
            <w:tr w14:paraId="0796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left w:val="nil"/>
                    <w:bottom w:val="single" w:color="auto" w:sz="12" w:space="0"/>
                  </w:tcBorders>
                  <w:vAlign w:val="center"/>
                </w:tcPr>
                <w:p w14:paraId="236CE5F4">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4</w:t>
                  </w:r>
                </w:p>
              </w:tc>
              <w:tc>
                <w:tcPr>
                  <w:tcW w:w="1287" w:type="dxa"/>
                  <w:tcBorders>
                    <w:bottom w:val="single" w:color="auto" w:sz="12" w:space="0"/>
                  </w:tcBorders>
                  <w:vAlign w:val="center"/>
                </w:tcPr>
                <w:p w14:paraId="193E3136">
                  <w:pPr>
                    <w:jc w:val="center"/>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lang w:eastAsia="zh-CN"/>
                      <w14:textFill>
                        <w14:solidFill>
                          <w14:schemeClr w14:val="tx1"/>
                        </w14:solidFill>
                      </w14:textFill>
                    </w:rPr>
                    <w:t>地下水环境</w:t>
                  </w:r>
                </w:p>
              </w:tc>
              <w:tc>
                <w:tcPr>
                  <w:tcW w:w="6551" w:type="dxa"/>
                  <w:gridSpan w:val="4"/>
                  <w:tcBorders>
                    <w:bottom w:val="single" w:color="auto" w:sz="12" w:space="0"/>
                    <w:right w:val="nil"/>
                  </w:tcBorders>
                  <w:vAlign w:val="center"/>
                </w:tcPr>
                <w:p w14:paraId="5FFE5805">
                  <w:pPr>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项目厂界外500米范围内的地下水集中式饮用水水源和热水、矿泉水、温泉等特殊地下水资源</w:t>
                  </w:r>
                </w:p>
              </w:tc>
            </w:tr>
          </w:tbl>
          <w:p w14:paraId="6225F4A8">
            <w:pPr>
              <w:ind w:firstLine="420" w:firstLineChars="200"/>
              <w:rPr>
                <w:rFonts w:hint="default" w:ascii="Times New Roman" w:hAnsi="Times New Roman" w:cs="Times New Roman" w:eastAsiaTheme="minorEastAsia"/>
                <w:color w:val="000000" w:themeColor="text1"/>
                <w:kern w:val="21"/>
                <w:szCs w:val="21"/>
                <w14:textFill>
                  <w14:solidFill>
                    <w14:schemeClr w14:val="tx1"/>
                  </w14:solidFill>
                </w14:textFill>
              </w:rPr>
            </w:pPr>
          </w:p>
        </w:tc>
      </w:tr>
      <w:tr w14:paraId="37189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tcMar>
              <w:left w:w="28" w:type="dxa"/>
              <w:right w:w="28" w:type="dxa"/>
            </w:tcMar>
            <w:vAlign w:val="center"/>
          </w:tcPr>
          <w:p w14:paraId="5EF732E7">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污染</w:t>
            </w:r>
          </w:p>
          <w:p w14:paraId="0F67532A">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物排</w:t>
            </w:r>
          </w:p>
          <w:p w14:paraId="68708BD6">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放控</w:t>
            </w:r>
          </w:p>
          <w:p w14:paraId="6D17C9E4">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制标</w:t>
            </w:r>
          </w:p>
          <w:p w14:paraId="12D74ECB">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准</w:t>
            </w:r>
          </w:p>
        </w:tc>
        <w:tc>
          <w:tcPr>
            <w:tcW w:w="7803" w:type="dxa"/>
            <w:vAlign w:val="center"/>
          </w:tcPr>
          <w:p w14:paraId="3DB694F6">
            <w:pPr>
              <w:pStyle w:val="60"/>
              <w:ind w:firstLine="0" w:firstLineChars="0"/>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3.3</w:t>
            </w: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污染物排放标准</w:t>
            </w:r>
          </w:p>
          <w:p w14:paraId="2B14E6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(1)水污染物排放标准</w:t>
            </w:r>
          </w:p>
          <w:p w14:paraId="4B5C7F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14:textFill>
                  <w14:solidFill>
                    <w14:schemeClr w14:val="tx1"/>
                  </w14:solidFill>
                </w14:textFill>
              </w:rPr>
              <w:t>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项目水污染物排放标准</w:t>
            </w:r>
          </w:p>
          <w:p w14:paraId="2D2A7908">
            <w:pPr>
              <w:snapToGrid w:val="0"/>
              <w:spacing w:line="360" w:lineRule="auto"/>
              <w:ind w:firstLine="480" w:firstLineChars="200"/>
              <w:rPr>
                <w:rFonts w:hint="default" w:ascii="Times New Roman" w:hAnsi="Times New Roman" w:cs="Times New Roman" w:eastAsiaTheme="minorEastAsia"/>
                <w:color w:val="000000" w:themeColor="text1"/>
                <w:sz w:val="24"/>
                <w:szCs w:val="22"/>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2"/>
                <w:highlight w:val="none"/>
                <w:lang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攻牙</w:t>
            </w:r>
            <w:r>
              <w:rPr>
                <w:rFonts w:hint="eastAsia"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用水，冷却塔用水</w:t>
            </w:r>
            <w:r>
              <w:rPr>
                <w:rFonts w:hint="default" w:ascii="Times New Roman" w:hAnsi="Times New Roman" w:cs="Times New Roman" w:eastAsiaTheme="minorEastAsia"/>
                <w:color w:val="000000" w:themeColor="text1"/>
                <w:sz w:val="24"/>
                <w:szCs w:val="22"/>
                <w:highlight w:val="none"/>
                <w:lang w:eastAsia="zh-CN"/>
                <w14:textFill>
                  <w14:solidFill>
                    <w14:schemeClr w14:val="tx1"/>
                  </w14:solidFill>
                </w14:textFill>
              </w:rPr>
              <w:t>循环使用，不外排；项目无其他生产废水，只有少量的职工生活污水；参照</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生态环境部部长信箱2019年3月21日</w:t>
            </w:r>
            <w:r>
              <w:rPr>
                <w:rFonts w:hint="default" w:ascii="Times New Roman" w:hAnsi="Times New Roman" w:cs="Times New Roman" w:eastAsiaTheme="minorEastAsia"/>
                <w:color w:val="000000" w:themeColor="text1"/>
                <w:sz w:val="24"/>
                <w:szCs w:val="22"/>
                <w:highlight w:val="none"/>
                <w:lang w:eastAsia="zh-CN"/>
                <w14:textFill>
                  <w14:solidFill>
                    <w14:schemeClr w14:val="tx1"/>
                  </w14:solidFill>
                </w14:textFill>
              </w:rPr>
              <w:t>关于行业标准中生活污水执行问题的回复：若项目生活与生产废水完全隔绝</w:t>
            </w:r>
            <w:r>
              <w:rPr>
                <w:rFonts w:hint="eastAsia" w:cs="Times New Roman" w:eastAsiaTheme="minorEastAsia"/>
                <w:color w:val="000000" w:themeColor="text1"/>
                <w:sz w:val="24"/>
                <w:szCs w:val="22"/>
                <w:highlight w:val="none"/>
                <w:lang w:eastAsia="zh-CN"/>
                <w14:textFill>
                  <w14:solidFill>
                    <w14:schemeClr w14:val="tx1"/>
                  </w14:solidFill>
                </w14:textFill>
              </w:rPr>
              <w:t>且</w:t>
            </w:r>
            <w:r>
              <w:rPr>
                <w:rFonts w:hint="default" w:ascii="Times New Roman" w:hAnsi="Times New Roman" w:cs="Times New Roman" w:eastAsiaTheme="minorEastAsia"/>
                <w:color w:val="000000" w:themeColor="text1"/>
                <w:sz w:val="24"/>
                <w:szCs w:val="22"/>
                <w:highlight w:val="none"/>
                <w:lang w:eastAsia="zh-CN"/>
                <w14:textFill>
                  <w14:solidFill>
                    <w14:schemeClr w14:val="tx1"/>
                  </w14:solidFill>
                </w14:textFill>
              </w:rPr>
              <w:t>采取了有效措施防止二者混排等风险，这类生活污水可按一般生活污水管理”，本项目无生产废水排放，因此，可不执行行业水污染物排放标准。</w:t>
            </w:r>
          </w:p>
          <w:p w14:paraId="0B0F25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2"/>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2"/>
                <w14:textFill>
                  <w14:solidFill>
                    <w14:schemeClr w14:val="tx1"/>
                  </w14:solidFill>
                </w14:textFill>
              </w:rPr>
              <w:t>本项目产生的生活</w:t>
            </w:r>
            <w:r>
              <w:rPr>
                <w:rFonts w:hint="default" w:ascii="Times New Roman" w:hAnsi="Times New Roman" w:cs="Times New Roman" w:eastAsiaTheme="minorEastAsia"/>
                <w:color w:val="000000" w:themeColor="text1"/>
                <w:sz w:val="24"/>
                <w:szCs w:val="22"/>
                <w:lang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2"/>
                <w14:textFill>
                  <w14:solidFill>
                    <w14:schemeClr w14:val="tx1"/>
                  </w14:solidFill>
                </w14:textFill>
              </w:rPr>
              <w:t>经</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化粪池</w:t>
            </w:r>
            <w:r>
              <w:rPr>
                <w:rFonts w:hint="default" w:ascii="Times New Roman" w:hAnsi="Times New Roman" w:cs="Times New Roman" w:eastAsiaTheme="minorEastAsia"/>
                <w:color w:val="000000" w:themeColor="text1"/>
                <w:sz w:val="24"/>
                <w:szCs w:val="22"/>
                <w14:textFill>
                  <w14:solidFill>
                    <w14:schemeClr w14:val="tx1"/>
                  </w14:solidFill>
                </w14:textFill>
              </w:rPr>
              <w:t>处理后</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排入市政污水管网</w:t>
            </w:r>
            <w:r>
              <w:rPr>
                <w:rFonts w:hint="default" w:ascii="Times New Roman" w:hAnsi="Times New Roman" w:cs="Times New Roman" w:eastAsiaTheme="minorEastAsia"/>
                <w:color w:val="000000" w:themeColor="text1"/>
                <w:sz w:val="24"/>
                <w:szCs w:val="22"/>
                <w14:textFill>
                  <w14:solidFill>
                    <w14:schemeClr w14:val="tx1"/>
                  </w14:solidFill>
                </w14:textFill>
              </w:rPr>
              <w:t>接</w:t>
            </w:r>
            <w:r>
              <w:rPr>
                <w:rFonts w:hint="default" w:ascii="Times New Roman" w:hAnsi="Times New Roman" w:cs="Times New Roman" w:eastAsiaTheme="minorEastAsia"/>
                <w:color w:val="000000" w:themeColor="text1"/>
                <w:sz w:val="24"/>
                <w:szCs w:val="22"/>
                <w:lang w:val="en-US" w:eastAsia="zh-CN"/>
                <w14:textFill>
                  <w14:solidFill>
                    <w14:schemeClr w14:val="tx1"/>
                  </w14:solidFill>
                </w14:textFill>
              </w:rPr>
              <w:t>福清市</w:t>
            </w:r>
            <w:r>
              <w:rPr>
                <w:rFonts w:hint="default" w:ascii="Times New Roman" w:hAnsi="Times New Roman" w:cs="Times New Roman" w:eastAsiaTheme="minorEastAsia"/>
                <w:color w:val="000000" w:themeColor="text1"/>
                <w:sz w:val="24"/>
                <w:szCs w:val="22"/>
                <w14:textFill>
                  <w14:solidFill>
                    <w14:schemeClr w14:val="tx1"/>
                  </w14:solidFill>
                </w14:textFill>
              </w:rPr>
              <w:t>融元污水处理厂统一处理</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，引至融元污水处理厂集中处理后，</w:t>
            </w:r>
            <w:r>
              <w:rPr>
                <w:rFonts w:hint="eastAsia"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污水处理厂</w:t>
            </w:r>
            <w:r>
              <w:rPr>
                <w:rFonts w:hint="default" w:ascii="Times New Roman" w:hAnsi="Times New Roman" w:cs="Times New Roman" w:eastAsiaTheme="minorEastAsia"/>
                <w:color w:val="000000" w:themeColor="text1"/>
                <w:kern w:val="2"/>
                <w:sz w:val="24"/>
                <w:szCs w:val="20"/>
                <w:highlight w:val="none"/>
                <w:lang w:val="en-US" w:eastAsia="zh-CN" w:bidi="ar-SA"/>
                <w14:textFill>
                  <w14:solidFill>
                    <w14:schemeClr w14:val="tx1"/>
                  </w14:solidFill>
                </w14:textFill>
              </w:rPr>
              <w:t>尾水最终排入龙江。</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项目生活污水排放执行《污水综合排放标准》(GB8978-1996)表4三级标准(其中氨氮参照执行《污水排入城镇下水道水质标准》(GB/T31962-2015)表1中B级标准限值)，</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具体详见表</w:t>
            </w:r>
            <w:r>
              <w:rPr>
                <w:rFonts w:hint="default" w:ascii="Times New Roman" w:hAnsi="Times New Roman" w:cs="Times New Roman" w:eastAsiaTheme="minorEastAsia"/>
                <w:color w:val="000000" w:themeColor="text1"/>
                <w:sz w:val="24"/>
                <w:szCs w:val="22"/>
                <w:highlight w:val="none"/>
                <w:lang w:val="en-US" w:eastAsia="zh-CN"/>
                <w14:textFill>
                  <w14:solidFill>
                    <w14:schemeClr w14:val="tx1"/>
                  </w14:solidFill>
                </w14:textFill>
              </w:rPr>
              <w:t>3.3-1</w:t>
            </w:r>
            <w:r>
              <w:rPr>
                <w:rFonts w:hint="default" w:ascii="Times New Roman" w:hAnsi="Times New Roman" w:cs="Times New Roman" w:eastAsiaTheme="minorEastAsia"/>
                <w:color w:val="000000" w:themeColor="text1"/>
                <w:sz w:val="24"/>
                <w:szCs w:val="22"/>
                <w:highlight w:val="none"/>
                <w14:textFill>
                  <w14:solidFill>
                    <w14:schemeClr w14:val="tx1"/>
                  </w14:solidFill>
                </w14:textFill>
              </w:rPr>
              <w:t>。</w:t>
            </w:r>
          </w:p>
          <w:p w14:paraId="05CEFD81">
            <w:pPr>
              <w:spacing w:beforeLines="50"/>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表3.3</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1  项目</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生活污水</w:t>
            </w:r>
            <w:r>
              <w:rPr>
                <w:rFonts w:hint="default" w:ascii="Times New Roman" w:hAnsi="Times New Roman" w:cs="Times New Roman" w:eastAsiaTheme="minorEastAsia"/>
                <w:b/>
                <w:bCs/>
                <w:color w:val="000000" w:themeColor="text1"/>
                <w:sz w:val="24"/>
                <w:szCs w:val="24"/>
                <w14:textFill>
                  <w14:solidFill>
                    <w14:schemeClr w14:val="tx1"/>
                  </w14:solidFill>
                </w14:textFill>
              </w:rPr>
              <w:t>执行的污水排放标准</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2278"/>
              <w:gridCol w:w="3948"/>
            </w:tblGrid>
            <w:tr w14:paraId="2C98C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7A6DF728">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污染物名称</w:t>
                  </w:r>
                </w:p>
              </w:tc>
              <w:tc>
                <w:tcPr>
                  <w:tcW w:w="1339" w:type="pct"/>
                  <w:vAlign w:val="center"/>
                </w:tcPr>
                <w:p w14:paraId="0365254A">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标准值</w:t>
                  </w:r>
                </w:p>
              </w:tc>
              <w:tc>
                <w:tcPr>
                  <w:tcW w:w="2321" w:type="pct"/>
                  <w:vAlign w:val="center"/>
                </w:tcPr>
                <w:p w14:paraId="401BC156">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标准来源</w:t>
                  </w:r>
                </w:p>
              </w:tc>
            </w:tr>
            <w:tr w14:paraId="243A5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52B8638F">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pH</w:t>
                  </w:r>
                </w:p>
              </w:tc>
              <w:tc>
                <w:tcPr>
                  <w:tcW w:w="1339" w:type="pct"/>
                  <w:vAlign w:val="center"/>
                </w:tcPr>
                <w:p w14:paraId="0232BB9C">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6～9(无量纲)</w:t>
                  </w:r>
                </w:p>
              </w:tc>
              <w:tc>
                <w:tcPr>
                  <w:tcW w:w="2321" w:type="pct"/>
                  <w:vMerge w:val="restart"/>
                  <w:vAlign w:val="center"/>
                </w:tcPr>
                <w:p w14:paraId="5CC73FD4">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《污水综合排放标准》(GB8978-1996)</w:t>
                  </w:r>
                </w:p>
                <w:p w14:paraId="67564AC3">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中表4三级标准</w:t>
                  </w:r>
                </w:p>
              </w:tc>
            </w:tr>
            <w:tr w14:paraId="1BE58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0A58AE69">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COD</w:t>
                  </w:r>
                </w:p>
              </w:tc>
              <w:tc>
                <w:tcPr>
                  <w:tcW w:w="1339" w:type="pct"/>
                  <w:vAlign w:val="center"/>
                </w:tcPr>
                <w:p w14:paraId="36BDBDE0">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500mg/L</w:t>
                  </w:r>
                </w:p>
              </w:tc>
              <w:tc>
                <w:tcPr>
                  <w:tcW w:w="2321" w:type="pct"/>
                  <w:vMerge w:val="continue"/>
                  <w:vAlign w:val="center"/>
                </w:tcPr>
                <w:p w14:paraId="1298056F">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p>
              </w:tc>
            </w:tr>
            <w:tr w14:paraId="2FE63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1CAA0D74">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BOD</w:t>
                  </w:r>
                  <w:r>
                    <w:rPr>
                      <w:rFonts w:hint="default" w:ascii="Times New Roman" w:hAnsi="Times New Roman" w:cs="Times New Roman" w:eastAsiaTheme="minorEastAsia"/>
                      <w:b w:val="0"/>
                      <w:bCs w:val="0"/>
                      <w:snapToGrid w:val="0"/>
                      <w:color w:val="000000" w:themeColor="text1"/>
                      <w:kern w:val="18"/>
                      <w:szCs w:val="21"/>
                      <w:vertAlign w:val="subscript"/>
                      <w14:textFill>
                        <w14:solidFill>
                          <w14:schemeClr w14:val="tx1"/>
                        </w14:solidFill>
                      </w14:textFill>
                    </w:rPr>
                    <w:t>5</w:t>
                  </w:r>
                </w:p>
              </w:tc>
              <w:tc>
                <w:tcPr>
                  <w:tcW w:w="1339" w:type="pct"/>
                  <w:vAlign w:val="center"/>
                </w:tcPr>
                <w:p w14:paraId="59A1F31D">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300mg/L</w:t>
                  </w:r>
                </w:p>
              </w:tc>
              <w:tc>
                <w:tcPr>
                  <w:tcW w:w="2321" w:type="pct"/>
                  <w:vMerge w:val="continue"/>
                  <w:vAlign w:val="center"/>
                </w:tcPr>
                <w:p w14:paraId="47ED919B">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p>
              </w:tc>
            </w:tr>
            <w:tr w14:paraId="24DC2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045A0069">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SS</w:t>
                  </w:r>
                </w:p>
              </w:tc>
              <w:tc>
                <w:tcPr>
                  <w:tcW w:w="1339" w:type="pct"/>
                  <w:vAlign w:val="center"/>
                </w:tcPr>
                <w:p w14:paraId="2F2858B8">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400mg/L</w:t>
                  </w:r>
                </w:p>
              </w:tc>
              <w:tc>
                <w:tcPr>
                  <w:tcW w:w="2321" w:type="pct"/>
                  <w:vMerge w:val="continue"/>
                  <w:vAlign w:val="center"/>
                </w:tcPr>
                <w:p w14:paraId="3528A320">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p>
              </w:tc>
            </w:tr>
            <w:tr w14:paraId="19CA1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14:paraId="64DE6CAB">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NH</w:t>
                  </w:r>
                  <w:r>
                    <w:rPr>
                      <w:rFonts w:hint="default" w:ascii="Times New Roman" w:hAnsi="Times New Roman" w:cs="Times New Roman" w:eastAsiaTheme="minorEastAsia"/>
                      <w:b w:val="0"/>
                      <w:bCs w:val="0"/>
                      <w:snapToGrid w:val="0"/>
                      <w:color w:val="000000" w:themeColor="text1"/>
                      <w:kern w:val="18"/>
                      <w:szCs w:val="21"/>
                      <w:vertAlign w:val="subscript"/>
                      <w14:textFill>
                        <w14:solidFill>
                          <w14:schemeClr w14:val="tx1"/>
                        </w14:solidFill>
                      </w14:textFill>
                    </w:rPr>
                    <w:t>3</w:t>
                  </w: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-N</w:t>
                  </w:r>
                </w:p>
              </w:tc>
              <w:tc>
                <w:tcPr>
                  <w:tcW w:w="1339" w:type="pct"/>
                  <w:vAlign w:val="center"/>
                </w:tcPr>
                <w:p w14:paraId="579F2F93">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45mg/L</w:t>
                  </w:r>
                </w:p>
              </w:tc>
              <w:tc>
                <w:tcPr>
                  <w:tcW w:w="2321" w:type="pct"/>
                  <w:vAlign w:val="center"/>
                </w:tcPr>
                <w:p w14:paraId="394E99D6">
                  <w:pPr>
                    <w:pStyle w:val="78"/>
                    <w:spacing w:line="340" w:lineRule="exact"/>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Cs w:val="21"/>
                      <w14:textFill>
                        <w14:solidFill>
                          <w14:schemeClr w14:val="tx1"/>
                        </w14:solidFill>
                      </w14:textFill>
                    </w:rPr>
                    <w:t>参照执行《污水排入城镇下水道水质标准》(GB/T31962-2015)表1中B级标准</w:t>
                  </w:r>
                </w:p>
              </w:tc>
            </w:tr>
          </w:tbl>
          <w:p w14:paraId="780EBE49">
            <w:pPr>
              <w:numPr>
                <w:ins w:id="0" w:author="fu qiang" w:date="2018-03-27T11:06:00Z"/>
              </w:numPr>
              <w:spacing w:before="156" w:beforeLines="50" w:line="360" w:lineRule="auto"/>
              <w:ind w:firstLine="480" w:firstLineChars="200"/>
              <w:rPr>
                <w:rFonts w:hint="default" w:ascii="Times New Roman" w:hAnsi="Times New Roman" w:cs="Times New Roman" w:eastAsiaTheme="minorEastAsia"/>
                <w:color w:val="000000" w:themeColor="text1"/>
                <w:sz w:val="24"/>
                <w:szCs w:val="24"/>
                <w:shd w:val="clear" w:color="auto" w:fill="FFFFFF"/>
                <w14:textFill>
                  <w14:solidFill>
                    <w14:schemeClr w14:val="tx1"/>
                  </w14:solidFill>
                </w14:textFill>
              </w:rPr>
            </w:pPr>
            <w:bookmarkStart w:id="17" w:name="_Toc490031198"/>
            <w:bookmarkStart w:id="18" w:name="_Toc492278611"/>
            <w:bookmarkStart w:id="19" w:name="_Toc7698"/>
            <w:bookmarkStart w:id="20" w:name="_Toc461002554"/>
            <w:bookmarkStart w:id="21" w:name="_Toc31355_WPSOffice_Level2"/>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instrText xml:space="preserve"> = 2 \* GB3 \* MERGEFORMAT </w:instrTex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14:textFill>
                  <w14:solidFill>
                    <w14:schemeClr w14:val="tx1"/>
                  </w14:solidFill>
                </w14:textFill>
              </w:rPr>
              <w:t>②</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shd w:val="clear" w:color="auto" w:fill="FFFFFF"/>
                <w14:textFill>
                  <w14:solidFill>
                    <w14:schemeClr w14:val="tx1"/>
                  </w14:solidFill>
                </w14:textFill>
              </w:rPr>
              <w:t>排放标准</w:t>
            </w:r>
          </w:p>
          <w:bookmarkEnd w:id="17"/>
          <w:bookmarkEnd w:id="18"/>
          <w:bookmarkEnd w:id="19"/>
          <w:bookmarkEnd w:id="20"/>
          <w:p w14:paraId="52E1C409">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根据调查，福清市融元污水处理厂尾水排放执行《城镇污水处理厂污染物排放标准》(GB18918-2002)及其修改单表1的一级标准A标准，</w:t>
            </w:r>
            <w:r>
              <w:rPr>
                <w:rFonts w:hint="default" w:ascii="Times New Roman" w:hAnsi="Times New Roman" w:cs="Times New Roman" w:eastAsiaTheme="minorEastAsia"/>
                <w:color w:val="000000" w:themeColor="text1"/>
                <w:sz w:val="24"/>
                <w:lang w:eastAsia="zh-CN"/>
                <w14:textFill>
                  <w14:solidFill>
                    <w14:schemeClr w14:val="tx1"/>
                  </w14:solidFill>
                </w14:textFill>
              </w:rPr>
              <w:t>尾水达标后排入龙江。</w:t>
            </w:r>
            <w:r>
              <w:rPr>
                <w:rFonts w:hint="default" w:ascii="Times New Roman" w:hAnsi="Times New Roman" w:cs="Times New Roman" w:eastAsiaTheme="minorEastAsia"/>
                <w:color w:val="000000" w:themeColor="text1"/>
                <w:sz w:val="24"/>
                <w14:textFill>
                  <w14:solidFill>
                    <w14:schemeClr w14:val="tx1"/>
                  </w14:solidFill>
                </w14:textFill>
              </w:rPr>
              <w:t>具体详见表</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3.3-2</w:t>
            </w:r>
            <w:r>
              <w:rPr>
                <w:rFonts w:hint="default" w:ascii="Times New Roman" w:hAnsi="Times New Roman" w:cs="Times New Roman" w:eastAsiaTheme="minorEastAsia"/>
                <w:color w:val="000000" w:themeColor="text1"/>
                <w:sz w:val="24"/>
                <w14:textFill>
                  <w14:solidFill>
                    <w14:schemeClr w14:val="tx1"/>
                  </w14:solidFill>
                </w14:textFill>
              </w:rPr>
              <w:t>。</w:t>
            </w:r>
          </w:p>
          <w:p w14:paraId="42FBA2A4">
            <w:pPr>
              <w:spacing w:beforeLines="50"/>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表3.3-</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 xml:space="preserve">2  </w:t>
            </w:r>
            <w:r>
              <w:rPr>
                <w:rFonts w:hint="default" w:ascii="Times New Roman" w:hAnsi="Times New Roman" w:cs="Times New Roman" w:eastAsiaTheme="minorEastAsia"/>
                <w:b/>
                <w:bCs/>
                <w:color w:val="000000" w:themeColor="text1"/>
                <w:sz w:val="24"/>
                <w:szCs w:val="24"/>
                <w14:textFill>
                  <w14:solidFill>
                    <w14:schemeClr w14:val="tx1"/>
                  </w14:solidFill>
                </w14:textFill>
              </w:rPr>
              <w:t>污水处理厂污水排放标准</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2695"/>
              <w:gridCol w:w="3962"/>
            </w:tblGrid>
            <w:tr w14:paraId="1B783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153ADED9">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污染物名称</w:t>
                  </w:r>
                </w:p>
              </w:tc>
              <w:tc>
                <w:tcPr>
                  <w:tcW w:w="2596" w:type="dxa"/>
                  <w:noWrap w:val="0"/>
                  <w:vAlign w:val="center"/>
                </w:tcPr>
                <w:p w14:paraId="51E84609">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一级标准A标准限值</w:t>
                  </w:r>
                </w:p>
              </w:tc>
              <w:tc>
                <w:tcPr>
                  <w:tcW w:w="3816" w:type="dxa"/>
                  <w:noWrap w:val="0"/>
                  <w:vAlign w:val="center"/>
                </w:tcPr>
                <w:p w14:paraId="3F2B3216">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标准来源</w:t>
                  </w:r>
                </w:p>
              </w:tc>
            </w:tr>
            <w:tr w14:paraId="23687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634E4211">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pH</w:t>
                  </w:r>
                </w:p>
              </w:tc>
              <w:tc>
                <w:tcPr>
                  <w:tcW w:w="2596" w:type="dxa"/>
                  <w:noWrap w:val="0"/>
                  <w:vAlign w:val="center"/>
                </w:tcPr>
                <w:p w14:paraId="4197EEB1">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6～9 (无量纲)</w:t>
                  </w:r>
                </w:p>
              </w:tc>
              <w:tc>
                <w:tcPr>
                  <w:tcW w:w="3816" w:type="dxa"/>
                  <w:vMerge w:val="restart"/>
                  <w:noWrap w:val="0"/>
                  <w:vAlign w:val="center"/>
                </w:tcPr>
                <w:p w14:paraId="4E1D74A2">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《城镇污水处理厂污染物排放标准》(GB18918-2002)及其修改单表1的一级标准A标准</w:t>
                  </w:r>
                </w:p>
              </w:tc>
            </w:tr>
            <w:tr w14:paraId="46F61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68E082D9">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COD</w:t>
                  </w:r>
                </w:p>
              </w:tc>
              <w:tc>
                <w:tcPr>
                  <w:tcW w:w="2596" w:type="dxa"/>
                  <w:noWrap w:val="0"/>
                  <w:vAlign w:val="center"/>
                </w:tcPr>
                <w:p w14:paraId="03477F6A">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50mg/L</w:t>
                  </w:r>
                </w:p>
              </w:tc>
              <w:tc>
                <w:tcPr>
                  <w:tcW w:w="3816" w:type="dxa"/>
                  <w:vMerge w:val="continue"/>
                  <w:noWrap w:val="0"/>
                  <w:vAlign w:val="center"/>
                </w:tcPr>
                <w:p w14:paraId="50DA5F28">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p>
              </w:tc>
            </w:tr>
            <w:tr w14:paraId="199E5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7C1D631E">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BOD</w:t>
                  </w:r>
                  <w:r>
                    <w:rPr>
                      <w:rFonts w:hint="default" w:ascii="Times New Roman" w:hAnsi="Times New Roman" w:cs="Times New Roman" w:eastAsiaTheme="minorEastAsia"/>
                      <w:snapToGrid w:val="0"/>
                      <w:color w:val="000000" w:themeColor="text1"/>
                      <w:kern w:val="18"/>
                      <w:vertAlign w:val="subscript"/>
                      <w14:textFill>
                        <w14:solidFill>
                          <w14:schemeClr w14:val="tx1"/>
                        </w14:solidFill>
                      </w14:textFill>
                    </w:rPr>
                    <w:t>5</w:t>
                  </w:r>
                </w:p>
              </w:tc>
              <w:tc>
                <w:tcPr>
                  <w:tcW w:w="2596" w:type="dxa"/>
                  <w:noWrap w:val="0"/>
                  <w:vAlign w:val="center"/>
                </w:tcPr>
                <w:p w14:paraId="69EEEC0D">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10mg/L</w:t>
                  </w:r>
                </w:p>
              </w:tc>
              <w:tc>
                <w:tcPr>
                  <w:tcW w:w="3816" w:type="dxa"/>
                  <w:vMerge w:val="continue"/>
                  <w:noWrap w:val="0"/>
                  <w:vAlign w:val="center"/>
                </w:tcPr>
                <w:p w14:paraId="42945BCD">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p>
              </w:tc>
            </w:tr>
            <w:tr w14:paraId="0D4D2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56F31A60">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SS</w:t>
                  </w:r>
                </w:p>
              </w:tc>
              <w:tc>
                <w:tcPr>
                  <w:tcW w:w="2596" w:type="dxa"/>
                  <w:noWrap w:val="0"/>
                  <w:vAlign w:val="center"/>
                </w:tcPr>
                <w:p w14:paraId="29B5C82C">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10mg/L</w:t>
                  </w:r>
                </w:p>
              </w:tc>
              <w:tc>
                <w:tcPr>
                  <w:tcW w:w="3816" w:type="dxa"/>
                  <w:vMerge w:val="continue"/>
                  <w:noWrap w:val="0"/>
                  <w:vAlign w:val="center"/>
                </w:tcPr>
                <w:p w14:paraId="3DBC604A">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p>
              </w:tc>
            </w:tr>
            <w:tr w14:paraId="36A66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79" w:type="dxa"/>
                  <w:noWrap w:val="0"/>
                  <w:vAlign w:val="center"/>
                </w:tcPr>
                <w:p w14:paraId="517BBE53">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NH</w:t>
                  </w:r>
                  <w:r>
                    <w:rPr>
                      <w:rFonts w:hint="default" w:ascii="Times New Roman" w:hAnsi="Times New Roman" w:cs="Times New Roman" w:eastAsiaTheme="minorEastAsia"/>
                      <w:snapToGrid w:val="0"/>
                      <w:color w:val="000000" w:themeColor="text1"/>
                      <w:kern w:val="18"/>
                      <w:vertAlign w:val="subscript"/>
                      <w14:textFill>
                        <w14:solidFill>
                          <w14:schemeClr w14:val="tx1"/>
                        </w14:solidFill>
                      </w14:textFill>
                    </w:rPr>
                    <w:t>3</w:t>
                  </w:r>
                  <w:r>
                    <w:rPr>
                      <w:rFonts w:hint="default" w:ascii="Times New Roman" w:hAnsi="Times New Roman" w:cs="Times New Roman" w:eastAsiaTheme="minorEastAsia"/>
                      <w:snapToGrid w:val="0"/>
                      <w:color w:val="000000" w:themeColor="text1"/>
                      <w:kern w:val="18"/>
                      <w14:textFill>
                        <w14:solidFill>
                          <w14:schemeClr w14:val="tx1"/>
                        </w14:solidFill>
                      </w14:textFill>
                    </w:rPr>
                    <w:t>-N</w:t>
                  </w:r>
                </w:p>
              </w:tc>
              <w:tc>
                <w:tcPr>
                  <w:tcW w:w="2596" w:type="dxa"/>
                  <w:noWrap w:val="0"/>
                  <w:vAlign w:val="center"/>
                </w:tcPr>
                <w:p w14:paraId="4809E66A">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14:textFill>
                        <w14:solidFill>
                          <w14:schemeClr w14:val="tx1"/>
                        </w14:solidFill>
                      </w14:textFill>
                    </w:rPr>
                    <w:t>5mg/L</w:t>
                  </w:r>
                </w:p>
              </w:tc>
              <w:tc>
                <w:tcPr>
                  <w:tcW w:w="3816" w:type="dxa"/>
                  <w:vMerge w:val="continue"/>
                  <w:noWrap w:val="0"/>
                  <w:vAlign w:val="center"/>
                </w:tcPr>
                <w:p w14:paraId="74718A98">
                  <w:pPr>
                    <w:pStyle w:val="78"/>
                    <w:spacing w:line="340" w:lineRule="exact"/>
                    <w:rPr>
                      <w:rFonts w:hint="default" w:ascii="Times New Roman" w:hAnsi="Times New Roman" w:cs="Times New Roman" w:eastAsiaTheme="minorEastAsia"/>
                      <w:snapToGrid w:val="0"/>
                      <w:color w:val="000000" w:themeColor="text1"/>
                      <w:kern w:val="18"/>
                      <w14:textFill>
                        <w14:solidFill>
                          <w14:schemeClr w14:val="tx1"/>
                        </w14:solidFill>
                      </w14:textFill>
                    </w:rPr>
                  </w:pPr>
                </w:p>
              </w:tc>
            </w:tr>
          </w:tbl>
          <w:p w14:paraId="4EE3CE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(2)废气污染物排放标准</w:t>
            </w:r>
          </w:p>
          <w:p w14:paraId="0A20E113">
            <w:pPr>
              <w:snapToGrid w:val="0"/>
              <w:spacing w:line="360" w:lineRule="auto"/>
              <w:ind w:firstLine="480" w:firstLineChars="200"/>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项目废气主要来自于感应电炉熔化废气、压铸脱模废气。</w:t>
            </w:r>
          </w:p>
          <w:p w14:paraId="270EF272">
            <w:pPr>
              <w:autoSpaceDE w:val="0"/>
              <w:autoSpaceDN w:val="0"/>
              <w:spacing w:line="360" w:lineRule="auto"/>
              <w:ind w:firstLine="480" w:firstLineChars="200"/>
              <w:textAlignment w:val="bottom"/>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电炉熔化废气主要为</w:t>
            </w:r>
            <w:r>
              <w:rPr>
                <w:rFonts w:hint="default" w:ascii="Times New Roman" w:hAnsi="Times New Roman" w:cs="Times New Roman" w:eastAsiaTheme="minorEastAsia"/>
                <w:color w:val="000000" w:themeColor="text1"/>
                <w:sz w:val="24"/>
                <w:shd w:val="clear" w:color="auto" w:fill="FFFFFF"/>
                <w14:textFill>
                  <w14:solidFill>
                    <w14:schemeClr w14:val="tx1"/>
                  </w14:solidFill>
                </w14:textFill>
              </w:rPr>
              <w:t>颗粒物</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，有组织</w:t>
            </w:r>
            <w:r>
              <w:rPr>
                <w:rFonts w:hint="default" w:ascii="Times New Roman" w:hAnsi="Times New Roman" w:cs="Times New Roman" w:eastAsiaTheme="minorEastAsia"/>
                <w:color w:val="000000" w:themeColor="text1"/>
                <w:sz w:val="24"/>
                <w:shd w:val="clear" w:color="auto" w:fill="FFFFFF"/>
                <w14:textFill>
                  <w14:solidFill>
                    <w14:schemeClr w14:val="tx1"/>
                  </w14:solidFill>
                </w14:textFill>
              </w:rPr>
              <w:t>排放执行</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）表</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1中的“感应电炉”的限值要求。</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压铸脱模废气</w:t>
            </w: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主要为</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非甲烷总烃有组织排放执行《工业企业挥发性有机物排放标准》(DB35/1782-2018)表1中的其他行业挥发性有机物排放限值。</w:t>
            </w:r>
          </w:p>
          <w:p w14:paraId="4BB93700">
            <w:pPr>
              <w:autoSpaceDE w:val="0"/>
              <w:autoSpaceDN w:val="0"/>
              <w:spacing w:line="360" w:lineRule="auto"/>
              <w:ind w:firstLine="480" w:firstLineChars="200"/>
              <w:textAlignment w:val="bottom"/>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厂区内无组织排放的颗粒物、非甲烷总烃执行</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）附录</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A.1中的</w:t>
            </w: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限值要求。根据《福建省生态环境厅关于国家和地方相关大气污染物排放标准执行有关事项的通知》文中要求，非甲烷总烃厂区内监控点处排放浓度应符合《挥发性有机物无组织排放控制标准》（GB37822-2019）中表A.1特别排放限值要求。非甲烷总烃按上述两个标准中较严的进行取值。</w:t>
            </w:r>
          </w:p>
          <w:p w14:paraId="78933EB7">
            <w:pPr>
              <w:autoSpaceDE w:val="0"/>
              <w:autoSpaceDN w:val="0"/>
              <w:spacing w:line="360" w:lineRule="auto"/>
              <w:ind w:firstLine="480" w:firstLineChars="200"/>
              <w:textAlignment w:val="bottom"/>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厂界无组织排放的颗粒物执行《大气污染物综合排放标准》（GB16297-1996）表2标准限值要求</w:t>
            </w:r>
            <w:r>
              <w:rPr>
                <w:rFonts w:hint="eastAsia"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，厂界非甲烷总烃执行</w:t>
            </w: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《工业企业挥发性有机物排放标准》(DB35/1782-2018)表</w:t>
            </w:r>
            <w:r>
              <w:rPr>
                <w:rFonts w:hint="eastAsia"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u w:val="none"/>
                <w:shd w:val="clear" w:color="auto" w:fill="FFFFFF"/>
                <w:lang w:val="en-US" w:eastAsia="zh-CN"/>
                <w14:textFill>
                  <w14:solidFill>
                    <w14:schemeClr w14:val="tx1"/>
                  </w14:solidFill>
                </w14:textFill>
              </w:rPr>
              <w:t>中的其他行业挥发性有机物排放限值。</w:t>
            </w:r>
          </w:p>
          <w:p w14:paraId="2AEA4589">
            <w:pPr>
              <w:autoSpaceDE w:val="0"/>
              <w:autoSpaceDN w:val="0"/>
              <w:spacing w:line="360" w:lineRule="auto"/>
              <w:ind w:firstLine="480" w:firstLineChars="200"/>
              <w:textAlignment w:val="bottom"/>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大气污染物排放标准具体详见表</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3.3-3。</w:t>
            </w:r>
          </w:p>
          <w:p w14:paraId="6596C678">
            <w:pPr>
              <w:pStyle w:val="71"/>
              <w:spacing w:line="240" w:lineRule="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表3.3-3  大气污染物排放标准及污染控制</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3345"/>
              <w:gridCol w:w="1365"/>
              <w:gridCol w:w="2731"/>
            </w:tblGrid>
            <w:tr w14:paraId="0A206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tcBorders>
                    <w:tl2br w:val="nil"/>
                    <w:tr2bl w:val="nil"/>
                  </w:tcBorders>
                  <w:noWrap w:val="0"/>
                  <w:vAlign w:val="center"/>
                </w:tcPr>
                <w:p w14:paraId="63FCED1C">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污染项目</w:t>
                  </w:r>
                </w:p>
              </w:tc>
              <w:tc>
                <w:tcPr>
                  <w:tcW w:w="3345" w:type="dxa"/>
                  <w:tcBorders>
                    <w:tl2br w:val="nil"/>
                    <w:tr2bl w:val="nil"/>
                  </w:tcBorders>
                  <w:noWrap w:val="0"/>
                  <w:vAlign w:val="center"/>
                </w:tcPr>
                <w:p w14:paraId="516DCD08">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标准名称</w:t>
                  </w:r>
                </w:p>
              </w:tc>
              <w:tc>
                <w:tcPr>
                  <w:tcW w:w="1365" w:type="dxa"/>
                  <w:tcBorders>
                    <w:tl2br w:val="nil"/>
                    <w:tr2bl w:val="nil"/>
                  </w:tcBorders>
                  <w:noWrap w:val="0"/>
                  <w:vAlign w:val="center"/>
                </w:tcPr>
                <w:p w14:paraId="5ADB9D56">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污染因子</w:t>
                  </w:r>
                </w:p>
              </w:tc>
              <w:tc>
                <w:tcPr>
                  <w:tcW w:w="2731" w:type="dxa"/>
                  <w:tcBorders>
                    <w:tl2br w:val="nil"/>
                    <w:tr2bl w:val="nil"/>
                  </w:tcBorders>
                  <w:noWrap w:val="0"/>
                  <w:vAlign w:val="center"/>
                </w:tcPr>
                <w:p w14:paraId="4253505F">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标准限值</w:t>
                  </w:r>
                </w:p>
              </w:tc>
            </w:tr>
            <w:tr w14:paraId="21DB5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tcBorders>
                    <w:tl2br w:val="nil"/>
                    <w:tr2bl w:val="nil"/>
                  </w:tcBorders>
                  <w:noWrap w:val="0"/>
                  <w:vAlign w:val="center"/>
                </w:tcPr>
                <w:p w14:paraId="4E2A6A63">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感应电炉熔化废气</w:t>
                  </w:r>
                </w:p>
              </w:tc>
              <w:tc>
                <w:tcPr>
                  <w:tcW w:w="3345" w:type="dxa"/>
                  <w:tcBorders>
                    <w:tl2br w:val="nil"/>
                    <w:tr2bl w:val="nil"/>
                  </w:tcBorders>
                  <w:noWrap w:val="0"/>
                  <w:vAlign w:val="center"/>
                </w:tcPr>
                <w:p w14:paraId="3A5D4BEC">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《铸造工业大气污染物排放标准》（GB39726-2020）表1中的“感应电炉”的限值要求</w:t>
                  </w:r>
                </w:p>
              </w:tc>
              <w:tc>
                <w:tcPr>
                  <w:tcW w:w="1365" w:type="dxa"/>
                  <w:tcBorders>
                    <w:tl2br w:val="nil"/>
                    <w:tr2bl w:val="nil"/>
                  </w:tcBorders>
                  <w:noWrap w:val="0"/>
                  <w:vAlign w:val="center"/>
                </w:tcPr>
                <w:p w14:paraId="4F2A272E">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颗粒物</w:t>
                  </w:r>
                </w:p>
                <w:p w14:paraId="1697F4B5">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(有组织)</w:t>
                  </w:r>
                </w:p>
              </w:tc>
              <w:tc>
                <w:tcPr>
                  <w:tcW w:w="2731" w:type="dxa"/>
                  <w:tcBorders>
                    <w:tl2br w:val="nil"/>
                    <w:tr2bl w:val="nil"/>
                  </w:tcBorders>
                  <w:noWrap w:val="0"/>
                  <w:vAlign w:val="center"/>
                </w:tcPr>
                <w:p w14:paraId="57BD5EC2">
                  <w:pPr>
                    <w:pStyle w:val="29"/>
                    <w:spacing w:line="240" w:lineRule="auto"/>
                    <w:jc w:val="cente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30mg/m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p w14:paraId="6D28C4F7">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（排气筒15m）</w:t>
                  </w:r>
                </w:p>
              </w:tc>
            </w:tr>
            <w:tr w14:paraId="02FBD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tcBorders>
                    <w:tl2br w:val="nil"/>
                    <w:tr2bl w:val="nil"/>
                  </w:tcBorders>
                  <w:noWrap w:val="0"/>
                  <w:vAlign w:val="center"/>
                </w:tcPr>
                <w:p w14:paraId="56049255">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压铸脱模</w:t>
                  </w:r>
                </w:p>
                <w:p w14:paraId="63509005">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废气</w:t>
                  </w:r>
                </w:p>
              </w:tc>
              <w:tc>
                <w:tcPr>
                  <w:tcW w:w="3345" w:type="dxa"/>
                  <w:vMerge w:val="restart"/>
                  <w:tcBorders>
                    <w:tl2br w:val="nil"/>
                    <w:tr2bl w:val="nil"/>
                  </w:tcBorders>
                  <w:noWrap w:val="0"/>
                  <w:vAlign w:val="center"/>
                </w:tcPr>
                <w:p w14:paraId="68BB41E9">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《工业企业挥发性有机物排放标准》（DB35/1782-2018）表1中限值要求</w:t>
                  </w:r>
                </w:p>
              </w:tc>
              <w:tc>
                <w:tcPr>
                  <w:tcW w:w="1365" w:type="dxa"/>
                  <w:vMerge w:val="restart"/>
                  <w:tcBorders>
                    <w:tl2br w:val="nil"/>
                    <w:tr2bl w:val="nil"/>
                  </w:tcBorders>
                  <w:noWrap w:val="0"/>
                  <w:vAlign w:val="center"/>
                </w:tcPr>
                <w:p w14:paraId="7E9AC7C0">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非甲烷总烃</w:t>
                  </w:r>
                </w:p>
                <w:p w14:paraId="59996BE3">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(有组织)</w:t>
                  </w:r>
                </w:p>
              </w:tc>
              <w:tc>
                <w:tcPr>
                  <w:tcW w:w="2731" w:type="dxa"/>
                  <w:tcBorders>
                    <w:tl2br w:val="nil"/>
                    <w:tr2bl w:val="nil"/>
                  </w:tcBorders>
                  <w:noWrap w:val="0"/>
                  <w:vAlign w:val="center"/>
                </w:tcPr>
                <w:p w14:paraId="17E39209">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100mg/m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5CFD0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14:paraId="6577C2AE">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3345" w:type="dxa"/>
                  <w:vMerge w:val="continue"/>
                  <w:tcBorders>
                    <w:tl2br w:val="nil"/>
                    <w:tr2bl w:val="nil"/>
                  </w:tcBorders>
                  <w:noWrap w:val="0"/>
                  <w:vAlign w:val="center"/>
                </w:tcPr>
                <w:p w14:paraId="663A801F">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1365" w:type="dxa"/>
                  <w:vMerge w:val="continue"/>
                  <w:tcBorders>
                    <w:tl2br w:val="nil"/>
                    <w:tr2bl w:val="nil"/>
                  </w:tcBorders>
                  <w:noWrap w:val="0"/>
                  <w:vAlign w:val="center"/>
                </w:tcPr>
                <w:p w14:paraId="29E7C667">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2731" w:type="dxa"/>
                  <w:tcBorders>
                    <w:tl2br w:val="nil"/>
                    <w:tr2bl w:val="nil"/>
                  </w:tcBorders>
                  <w:noWrap w:val="0"/>
                  <w:vAlign w:val="center"/>
                </w:tcPr>
                <w:p w14:paraId="5B1891C7">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1.8kg/h（排气筒15m）</w:t>
                  </w:r>
                </w:p>
              </w:tc>
            </w:tr>
            <w:tr w14:paraId="6B994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14:paraId="06AF846D">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3345" w:type="dxa"/>
                  <w:tcBorders>
                    <w:tl2br w:val="nil"/>
                    <w:tr2bl w:val="nil"/>
                  </w:tcBorders>
                  <w:noWrap w:val="0"/>
                  <w:vAlign w:val="center"/>
                </w:tcPr>
                <w:p w14:paraId="180D2F0B">
                  <w:pPr>
                    <w:pStyle w:val="29"/>
                    <w:spacing w:line="240" w:lineRule="auto"/>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《挥发性有机物无组织排放控制标准》（GB37822-2019）中表A.1特别排放限值</w:t>
                  </w:r>
                </w:p>
              </w:tc>
              <w:tc>
                <w:tcPr>
                  <w:tcW w:w="1365" w:type="dxa"/>
                  <w:tcBorders>
                    <w:tl2br w:val="nil"/>
                    <w:tr2bl w:val="nil"/>
                  </w:tcBorders>
                  <w:noWrap w:val="0"/>
                  <w:vAlign w:val="center"/>
                </w:tcPr>
                <w:p w14:paraId="557AA794">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非甲烷总烃</w:t>
                  </w:r>
                </w:p>
                <w:p w14:paraId="62FD9692">
                  <w:pPr>
                    <w:pStyle w:val="29"/>
                    <w:spacing w:line="240" w:lineRule="auto"/>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（厂房外设置监控点）</w:t>
                  </w:r>
                </w:p>
              </w:tc>
              <w:tc>
                <w:tcPr>
                  <w:tcW w:w="2731" w:type="dxa"/>
                  <w:tcBorders>
                    <w:tl2br w:val="nil"/>
                    <w:tr2bl w:val="nil"/>
                  </w:tcBorders>
                  <w:noWrap w:val="0"/>
                  <w:vAlign w:val="center"/>
                </w:tcPr>
                <w:p w14:paraId="171BA92F">
                  <w:pPr>
                    <w:pStyle w:val="29"/>
                    <w:spacing w:line="240" w:lineRule="auto"/>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6mg/m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（监控点处1h平均浓度值） 20mg/m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（监控点处任意一次浓度值）</w:t>
                  </w:r>
                </w:p>
              </w:tc>
            </w:tr>
            <w:tr w14:paraId="18545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14:paraId="179A939F">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3345" w:type="dxa"/>
                  <w:tcBorders>
                    <w:tl2br w:val="nil"/>
                    <w:tr2bl w:val="nil"/>
                  </w:tcBorders>
                  <w:noWrap w:val="0"/>
                  <w:vAlign w:val="center"/>
                </w:tcPr>
                <w:p w14:paraId="37043752">
                  <w:pPr>
                    <w:pStyle w:val="29"/>
                    <w:spacing w:line="240" w:lineRule="auto"/>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《工业企业挥发性有机物排放标准》（DB35/1782-2018）表</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中限值要求</w:t>
                  </w:r>
                </w:p>
              </w:tc>
              <w:tc>
                <w:tcPr>
                  <w:tcW w:w="1365" w:type="dxa"/>
                  <w:tcBorders>
                    <w:tl2br w:val="nil"/>
                    <w:tr2bl w:val="nil"/>
                  </w:tcBorders>
                  <w:noWrap w:val="0"/>
                  <w:vAlign w:val="center"/>
                </w:tcPr>
                <w:p w14:paraId="297E3981">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非甲烷总烃</w:t>
                  </w:r>
                </w:p>
                <w:p w14:paraId="7CD4EE3F">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厂界无组织</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c>
                <w:tcPr>
                  <w:tcW w:w="2731" w:type="dxa"/>
                  <w:tcBorders>
                    <w:tl2br w:val="nil"/>
                    <w:tr2bl w:val="nil"/>
                  </w:tcBorders>
                  <w:noWrap w:val="0"/>
                  <w:vAlign w:val="center"/>
                </w:tcPr>
                <w:p w14:paraId="75E56283">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46125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restart"/>
                  <w:tcBorders>
                    <w:tl2br w:val="nil"/>
                    <w:tr2bl w:val="nil"/>
                  </w:tcBorders>
                  <w:noWrap w:val="0"/>
                  <w:vAlign w:val="center"/>
                </w:tcPr>
                <w:p w14:paraId="0D0F5147">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感应电炉熔化废气、压铸脱模废气</w:t>
                  </w:r>
                </w:p>
              </w:tc>
              <w:tc>
                <w:tcPr>
                  <w:tcW w:w="3345" w:type="dxa"/>
                  <w:tcBorders>
                    <w:tl2br w:val="nil"/>
                    <w:tr2bl w:val="nil"/>
                  </w:tcBorders>
                  <w:noWrap w:val="0"/>
                  <w:vAlign w:val="center"/>
                </w:tcPr>
                <w:p w14:paraId="004F7AC0">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《铸造工业大气污染物排放标准》（GB39726-2020）附录A.1中的限值要求</w:t>
                  </w:r>
                </w:p>
              </w:tc>
              <w:tc>
                <w:tcPr>
                  <w:tcW w:w="1365" w:type="dxa"/>
                  <w:tcBorders>
                    <w:tl2br w:val="nil"/>
                    <w:tr2bl w:val="nil"/>
                  </w:tcBorders>
                  <w:noWrap w:val="0"/>
                  <w:vAlign w:val="center"/>
                </w:tcPr>
                <w:p w14:paraId="4A138A84">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颗粒物</w:t>
                  </w:r>
                </w:p>
                <w:p w14:paraId="04ED95B7">
                  <w:pPr>
                    <w:pStyle w:val="29"/>
                    <w:spacing w:line="240" w:lineRule="auto"/>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（厂房外设置监控点）</w:t>
                  </w:r>
                </w:p>
              </w:tc>
              <w:tc>
                <w:tcPr>
                  <w:tcW w:w="2731" w:type="dxa"/>
                  <w:tcBorders>
                    <w:tl2br w:val="nil"/>
                    <w:tr2bl w:val="nil"/>
                  </w:tcBorders>
                  <w:noWrap w:val="0"/>
                  <w:vAlign w:val="center"/>
                </w:tcPr>
                <w:p w14:paraId="5BF5A74F">
                  <w:pPr>
                    <w:pStyle w:val="29"/>
                    <w:spacing w:line="240" w:lineRule="auto"/>
                    <w:jc w:val="cente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5.0mg/m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（监控点处1h平均浓度值）</w:t>
                  </w:r>
                </w:p>
              </w:tc>
            </w:tr>
            <w:tr w14:paraId="0D09F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3" w:type="dxa"/>
                  <w:vMerge w:val="continue"/>
                  <w:tcBorders>
                    <w:tl2br w:val="nil"/>
                    <w:tr2bl w:val="nil"/>
                  </w:tcBorders>
                  <w:noWrap w:val="0"/>
                  <w:vAlign w:val="center"/>
                </w:tcPr>
                <w:p w14:paraId="1AA35AC1">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p>
              </w:tc>
              <w:tc>
                <w:tcPr>
                  <w:tcW w:w="3345" w:type="dxa"/>
                  <w:tcBorders>
                    <w:tl2br w:val="nil"/>
                    <w:tr2bl w:val="nil"/>
                  </w:tcBorders>
                  <w:noWrap w:val="0"/>
                  <w:vAlign w:val="center"/>
                </w:tcPr>
                <w:p w14:paraId="14557935">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《大气污染物综合排放标准》（GB16297-1996）表2</w:t>
                  </w: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的限值要求</w:t>
                  </w:r>
                </w:p>
              </w:tc>
              <w:tc>
                <w:tcPr>
                  <w:tcW w:w="1365" w:type="dxa"/>
                  <w:tcBorders>
                    <w:tl2br w:val="nil"/>
                    <w:tr2bl w:val="nil"/>
                  </w:tcBorders>
                  <w:noWrap w:val="0"/>
                  <w:vAlign w:val="center"/>
                </w:tcPr>
                <w:p w14:paraId="3055A5E3">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颗粒物</w:t>
                  </w:r>
                </w:p>
                <w:p w14:paraId="61473E65">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（厂界无组织）</w:t>
                  </w:r>
                </w:p>
              </w:tc>
              <w:tc>
                <w:tcPr>
                  <w:tcW w:w="2731" w:type="dxa"/>
                  <w:tcBorders>
                    <w:tl2br w:val="nil"/>
                    <w:tr2bl w:val="nil"/>
                  </w:tcBorders>
                  <w:noWrap w:val="0"/>
                  <w:vAlign w:val="center"/>
                </w:tcPr>
                <w:p w14:paraId="09555453">
                  <w:pPr>
                    <w:pStyle w:val="29"/>
                    <w:spacing w:line="240" w:lineRule="auto"/>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1.0mg/m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2EF23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4"/>
                  <w:tcBorders>
                    <w:tl2br w:val="nil"/>
                    <w:tr2bl w:val="nil"/>
                  </w:tcBorders>
                  <w:noWrap w:val="0"/>
                  <w:vAlign w:val="center"/>
                </w:tcPr>
                <w:p w14:paraId="444524D8">
                  <w:pPr>
                    <w:pStyle w:val="29"/>
                    <w:spacing w:line="240" w:lineRule="auto"/>
                    <w:jc w:val="left"/>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注：车间或生产设施排气中非甲烷总烃初始排放速率≥3kg/h的，VOCs处理设施的处理效率不应低于80%。对于重点地区，车间或生产设施排气中NMHC初始排放速率≥2kg/h的，VOCs处理设施的处理效率不应低于80%；采用的原辅材料符合国家有关低VOCs含量产品规定的除外。</w:t>
                  </w:r>
                </w:p>
              </w:tc>
            </w:tr>
            <w:bookmarkEnd w:id="21"/>
          </w:tbl>
          <w:p w14:paraId="1B037B49">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(3)噪声污染物排放标准</w:t>
            </w:r>
          </w:p>
          <w:p w14:paraId="5965A012">
            <w:pPr>
              <w:pStyle w:val="6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项目</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运营期</w:t>
            </w:r>
            <w:r>
              <w:rPr>
                <w:rFonts w:hint="default" w:ascii="Times New Roman" w:hAnsi="Times New Roman" w:cs="Times New Roman" w:eastAsiaTheme="minorEastAsia"/>
                <w:color w:val="000000" w:themeColor="text1"/>
                <w:kern w:val="2"/>
                <w:sz w:val="24"/>
                <w:szCs w:val="24"/>
                <w14:textFill>
                  <w14:solidFill>
                    <w14:schemeClr w14:val="tx1"/>
                  </w14:solidFill>
                </w14:textFill>
              </w:rPr>
              <w:t>厂界噪声排放执行《工业企业厂界环境噪声排放标准》（GB12348-2008）</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14:textFill>
                  <w14:solidFill>
                    <w14:schemeClr w14:val="tx1"/>
                  </w14:solidFill>
                </w14:textFill>
              </w:rPr>
              <w:t>类标准，即：昼间≤</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65</w:t>
            </w:r>
            <w:r>
              <w:rPr>
                <w:rFonts w:hint="default" w:ascii="Times New Roman" w:hAnsi="Times New Roman" w:cs="Times New Roman" w:eastAsiaTheme="minorEastAsia"/>
                <w:color w:val="000000" w:themeColor="text1"/>
                <w:kern w:val="2"/>
                <w:sz w:val="24"/>
                <w:szCs w:val="24"/>
                <w14:textFill>
                  <w14:solidFill>
                    <w14:schemeClr w14:val="tx1"/>
                  </w14:solidFill>
                </w14:textFill>
              </w:rPr>
              <w:t>dB(A)、夜间≤55dB(A)</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1A9C8135">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(4)固废执行标准</w:t>
            </w:r>
          </w:p>
          <w:p w14:paraId="3EAB800A">
            <w:pPr>
              <w:pStyle w:val="60"/>
              <w:ind w:firstLine="480"/>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一般工业固体废物执行《一般工业固体废物贮存和填埋污染控制标准》（GB18599-2020）中的相关要求。危险废物处置执行《危险废物贮存污染控制标准》（GB18597-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2023</w:t>
            </w:r>
            <w:r>
              <w:rPr>
                <w:rFonts w:hint="default" w:ascii="Times New Roman" w:hAnsi="Times New Roman" w:cs="Times New Roman" w:eastAsiaTheme="minorEastAsia"/>
                <w:color w:val="000000" w:themeColor="text1"/>
                <w:sz w:val="24"/>
                <w:szCs w:val="24"/>
                <w14:textFill>
                  <w14:solidFill>
                    <w14:schemeClr w14:val="tx1"/>
                  </w14:solidFill>
                </w14:textFill>
              </w:rPr>
              <w:t>）中相关要求</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危险废物外运处置执行《危险废物转移联单管理办法》。</w:t>
            </w:r>
          </w:p>
        </w:tc>
      </w:tr>
      <w:tr w14:paraId="3370D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Align w:val="center"/>
          </w:tcPr>
          <w:p w14:paraId="005F33BF">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总量</w:t>
            </w:r>
          </w:p>
          <w:p w14:paraId="55122130">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控制</w:t>
            </w:r>
          </w:p>
          <w:p w14:paraId="3EA70C8D">
            <w:pPr>
              <w:jc w:val="center"/>
              <w:rPr>
                <w:rFonts w:hint="default" w:ascii="Times New Roman" w:hAnsi="Times New Roman" w:cs="Times New Roman" w:eastAsiaTheme="minorEastAsia"/>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指标</w:t>
            </w:r>
          </w:p>
        </w:tc>
        <w:tc>
          <w:tcPr>
            <w:tcW w:w="7803" w:type="dxa"/>
            <w:vAlign w:val="center"/>
          </w:tcPr>
          <w:p w14:paraId="094B8692">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3.</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总量控制指标</w:t>
            </w:r>
          </w:p>
          <w:p w14:paraId="26FE53D0">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无生产废水的排放，根据《福建省环保厅关于进一步明确排污权工作有关问题的通知》(闽环保财[2017]22号)，现有工业排污单位的水污染物的初始排污权只核定工业废水部分，项目生活污水排放暂不需要购买相应的排污权指标，因此，无需申请总量控制指标。</w:t>
            </w:r>
          </w:p>
          <w:p w14:paraId="5F924D13">
            <w:pPr>
              <w:pStyle w:val="123"/>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项目废气不涉及SO</w:t>
            </w:r>
            <w:r>
              <w:rPr>
                <w:rFonts w:hint="default" w:ascii="Times New Roman" w:hAnsi="Times New Roman" w:cs="Times New Roman" w:eastAsiaTheme="minorEastAsia"/>
                <w:color w:val="000000" w:themeColor="text1"/>
                <w:kern w:val="2"/>
                <w:sz w:val="24"/>
                <w:szCs w:val="24"/>
                <w:highlight w:val="none"/>
                <w:u w:val="none"/>
                <w:shd w:val="clear" w:color="auto" w:fill="FFFFFF"/>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、NO</w:t>
            </w:r>
            <w:r>
              <w:rPr>
                <w:rFonts w:hint="default" w:ascii="Times New Roman" w:hAnsi="Times New Roman" w:cs="Times New Roman" w:eastAsiaTheme="minorEastAsia"/>
                <w:color w:val="000000" w:themeColor="text1"/>
                <w:kern w:val="2"/>
                <w:sz w:val="24"/>
                <w:szCs w:val="24"/>
                <w:highlight w:val="none"/>
                <w:u w:val="none"/>
                <w:shd w:val="clear" w:color="auto" w:fill="FFFFFF"/>
                <w:vertAlign w:val="subscript"/>
                <w:lang w:val="en-US" w:eastAsia="zh-CN" w:bidi="ar-SA"/>
                <w14:textFill>
                  <w14:solidFill>
                    <w14:schemeClr w14:val="tx1"/>
                  </w14:solidFill>
                </w14:textFill>
              </w:rPr>
              <w:t>x</w:t>
            </w:r>
            <w:r>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等属于国家和地方有偿使用和交易的排污权总量指标；项目废气污染物排放总量指标详见表3.4-1。</w:t>
            </w:r>
          </w:p>
          <w:p w14:paraId="5FEA6191">
            <w:pPr>
              <w:pStyle w:val="30"/>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表3.4-1  项目废气污染物排放总量指标一览表</w:t>
            </w:r>
          </w:p>
          <w:tbl>
            <w:tblPr>
              <w:tblStyle w:val="35"/>
              <w:tblW w:w="506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54"/>
              <w:gridCol w:w="2715"/>
              <w:gridCol w:w="1492"/>
              <w:gridCol w:w="2642"/>
            </w:tblGrid>
            <w:tr w14:paraId="72BC05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noWrap w:val="0"/>
                  <w:vAlign w:val="center"/>
                </w:tcPr>
                <w:p w14:paraId="2596BD25">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t>污染源</w:t>
                  </w:r>
                </w:p>
              </w:tc>
              <w:tc>
                <w:tcPr>
                  <w:tcW w:w="1596" w:type="pct"/>
                  <w:noWrap w:val="0"/>
                  <w:vAlign w:val="center"/>
                </w:tcPr>
                <w:p w14:paraId="7C9916DB">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t>污染物</w:t>
                  </w:r>
                </w:p>
              </w:tc>
              <w:tc>
                <w:tcPr>
                  <w:tcW w:w="877" w:type="pct"/>
                  <w:noWrap w:val="0"/>
                  <w:vAlign w:val="center"/>
                </w:tcPr>
                <w:p w14:paraId="451D2671">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t>排放量</w:t>
                  </w:r>
                </w:p>
              </w:tc>
              <w:tc>
                <w:tcPr>
                  <w:tcW w:w="1553" w:type="pct"/>
                  <w:noWrap w:val="0"/>
                  <w:vAlign w:val="center"/>
                </w:tcPr>
                <w:p w14:paraId="03E0B922">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14:textFill>
                        <w14:solidFill>
                          <w14:schemeClr w14:val="tx1"/>
                        </w14:solidFill>
                      </w14:textFill>
                    </w:rPr>
                    <w:t>总量控制指标</w:t>
                  </w:r>
                </w:p>
              </w:tc>
            </w:tr>
            <w:tr w14:paraId="63F129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restart"/>
                  <w:noWrap w:val="0"/>
                  <w:vAlign w:val="center"/>
                </w:tcPr>
                <w:p w14:paraId="0A599C94">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排气筒DA001</w:t>
                  </w:r>
                </w:p>
              </w:tc>
              <w:tc>
                <w:tcPr>
                  <w:tcW w:w="1596" w:type="pct"/>
                  <w:noWrap w:val="0"/>
                  <w:vAlign w:val="center"/>
                </w:tcPr>
                <w:p w14:paraId="3006D5C8">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颗粒物</w:t>
                  </w:r>
                </w:p>
              </w:tc>
              <w:tc>
                <w:tcPr>
                  <w:tcW w:w="877" w:type="pct"/>
                  <w:noWrap w:val="0"/>
                  <w:vAlign w:val="center"/>
                </w:tcPr>
                <w:p w14:paraId="3367758C">
                  <w:pPr>
                    <w:pStyle w:val="114"/>
                    <w:bidi w:val="0"/>
                    <w:ind w:firstLine="0" w:firstLineChars="0"/>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w:t>
                  </w: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85</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c>
                <w:tcPr>
                  <w:tcW w:w="1553" w:type="pct"/>
                  <w:noWrap w:val="0"/>
                  <w:vAlign w:val="center"/>
                </w:tcPr>
                <w:p w14:paraId="7A430ED3">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w:t>
                  </w:r>
                </w:p>
              </w:tc>
            </w:tr>
            <w:tr w14:paraId="44B6A6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continue"/>
                  <w:noWrap w:val="0"/>
                  <w:vAlign w:val="center"/>
                </w:tcPr>
                <w:p w14:paraId="5F479F42">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p>
              </w:tc>
              <w:tc>
                <w:tcPr>
                  <w:tcW w:w="1596" w:type="pct"/>
                  <w:noWrap w:val="0"/>
                  <w:vAlign w:val="center"/>
                </w:tcPr>
                <w:p w14:paraId="4ED0BDAC">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VOCs（以非甲烷总烃计）</w:t>
                  </w:r>
                </w:p>
              </w:tc>
              <w:tc>
                <w:tcPr>
                  <w:tcW w:w="877" w:type="pct"/>
                  <w:noWrap w:val="0"/>
                  <w:vAlign w:val="center"/>
                </w:tcPr>
                <w:p w14:paraId="07746374">
                  <w:pPr>
                    <w:pStyle w:val="114"/>
                    <w:bidi w:val="0"/>
                    <w:ind w:firstLine="0" w:firstLineChars="0"/>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0.466</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c>
                <w:tcPr>
                  <w:tcW w:w="1553" w:type="pct"/>
                  <w:noWrap w:val="0"/>
                  <w:vAlign w:val="center"/>
                </w:tcPr>
                <w:p w14:paraId="02FF438D">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0.466</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r>
            <w:tr w14:paraId="653399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restart"/>
                  <w:noWrap w:val="0"/>
                  <w:vAlign w:val="center"/>
                </w:tcPr>
                <w:p w14:paraId="0FC68106">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eastAsia"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无组织</w:t>
                  </w:r>
                </w:p>
              </w:tc>
              <w:tc>
                <w:tcPr>
                  <w:tcW w:w="1596" w:type="pct"/>
                  <w:shd w:val="clear" w:color="auto" w:fill="auto"/>
                  <w:noWrap w:val="0"/>
                  <w:vAlign w:val="center"/>
                </w:tcPr>
                <w:p w14:paraId="469A6582">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颗粒物</w:t>
                  </w:r>
                </w:p>
              </w:tc>
              <w:tc>
                <w:tcPr>
                  <w:tcW w:w="877" w:type="pct"/>
                  <w:noWrap w:val="0"/>
                  <w:vAlign w:val="center"/>
                </w:tcPr>
                <w:p w14:paraId="0AF3E681">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0.063</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c>
                <w:tcPr>
                  <w:tcW w:w="1553" w:type="pct"/>
                  <w:noWrap w:val="0"/>
                  <w:vAlign w:val="center"/>
                </w:tcPr>
                <w:p w14:paraId="1777C10C">
                  <w:pPr>
                    <w:snapToGrid w:val="0"/>
                    <w:spacing w:line="240" w:lineRule="auto"/>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w:t>
                  </w:r>
                </w:p>
              </w:tc>
            </w:tr>
            <w:tr w14:paraId="285EBD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continue"/>
                  <w:noWrap w:val="0"/>
                  <w:vAlign w:val="center"/>
                </w:tcPr>
                <w:p w14:paraId="4B408020">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p>
              </w:tc>
              <w:tc>
                <w:tcPr>
                  <w:tcW w:w="1596" w:type="pct"/>
                  <w:shd w:val="clear" w:color="auto" w:fill="auto"/>
                  <w:noWrap w:val="0"/>
                  <w:vAlign w:val="center"/>
                </w:tcPr>
                <w:p w14:paraId="6CCE93FD">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VOCs（以非甲烷总烃计）</w:t>
                  </w:r>
                </w:p>
              </w:tc>
              <w:tc>
                <w:tcPr>
                  <w:tcW w:w="877" w:type="pct"/>
                  <w:noWrap w:val="0"/>
                  <w:vAlign w:val="center"/>
                </w:tcPr>
                <w:p w14:paraId="1F75D794">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0.225</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c>
                <w:tcPr>
                  <w:tcW w:w="1553" w:type="pct"/>
                  <w:noWrap w:val="0"/>
                  <w:vAlign w:val="center"/>
                </w:tcPr>
                <w:p w14:paraId="51331166">
                  <w:pPr>
                    <w:snapToGrid w:val="0"/>
                    <w:spacing w:line="240" w:lineRule="auto"/>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0.225</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r>
            <w:tr w14:paraId="5315E5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restart"/>
                  <w:noWrap w:val="0"/>
                  <w:vAlign w:val="center"/>
                </w:tcPr>
                <w:p w14:paraId="37E8F8A3">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小计</w:t>
                  </w:r>
                </w:p>
              </w:tc>
              <w:tc>
                <w:tcPr>
                  <w:tcW w:w="1596" w:type="pct"/>
                  <w:noWrap w:val="0"/>
                  <w:vAlign w:val="center"/>
                </w:tcPr>
                <w:p w14:paraId="7DBF3C8A">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颗粒物</w:t>
                  </w:r>
                </w:p>
              </w:tc>
              <w:tc>
                <w:tcPr>
                  <w:tcW w:w="877" w:type="pct"/>
                  <w:noWrap w:val="0"/>
                  <w:vAlign w:val="center"/>
                </w:tcPr>
                <w:p w14:paraId="30FA7CC3">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0.</w:t>
                  </w:r>
                  <w:r>
                    <w:rPr>
                      <w:rFonts w:hint="eastAsia"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148</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c>
                <w:tcPr>
                  <w:tcW w:w="1553" w:type="pct"/>
                  <w:noWrap w:val="0"/>
                  <w:vAlign w:val="center"/>
                </w:tcPr>
                <w:p w14:paraId="5522C61B">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w:t>
                  </w:r>
                </w:p>
              </w:tc>
            </w:tr>
            <w:tr w14:paraId="7C271C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72" w:type="pct"/>
                  <w:vMerge w:val="continue"/>
                  <w:noWrap w:val="0"/>
                  <w:vAlign w:val="center"/>
                </w:tcPr>
                <w:p w14:paraId="077A8CE2">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pPr>
                </w:p>
              </w:tc>
              <w:tc>
                <w:tcPr>
                  <w:tcW w:w="1596" w:type="pct"/>
                  <w:noWrap w:val="0"/>
                  <w:vAlign w:val="center"/>
                </w:tcPr>
                <w:p w14:paraId="5278EC0A">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VOCs（以非甲烷总烃计）</w:t>
                  </w:r>
                </w:p>
              </w:tc>
              <w:tc>
                <w:tcPr>
                  <w:tcW w:w="877" w:type="pct"/>
                  <w:noWrap w:val="0"/>
                  <w:vAlign w:val="center"/>
                </w:tcPr>
                <w:p w14:paraId="027B156F">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w:t>
                  </w: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691</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c>
                <w:tcPr>
                  <w:tcW w:w="1553" w:type="pct"/>
                  <w:noWrap w:val="0"/>
                  <w:vAlign w:val="center"/>
                </w:tcPr>
                <w:p w14:paraId="42A92FFB">
                  <w:pPr>
                    <w:snapToGrid w:val="0"/>
                    <w:spacing w:line="240" w:lineRule="auto"/>
                    <w:jc w:val="center"/>
                    <w:rPr>
                      <w:rFonts w:hint="default" w:ascii="Times New Roman" w:hAnsi="Times New Roman" w:cs="Times New Roman" w:eastAsiaTheme="minorEastAsia"/>
                      <w:b w:val="0"/>
                      <w:bCs w:val="0"/>
                      <w:snapToGrid w:val="0"/>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w:t>
                  </w: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691</w:t>
                  </w:r>
                  <w:r>
                    <w:rPr>
                      <w:rFonts w:hint="default" w:ascii="Times New Roman" w:hAnsi="Times New Roman" w:cs="Times New Roman" w:eastAsiaTheme="minorEastAsia"/>
                      <w:b w:val="0"/>
                      <w:bCs w:val="0"/>
                      <w:snapToGrid w:val="0"/>
                      <w:color w:val="000000" w:themeColor="text1"/>
                      <w:kern w:val="18"/>
                      <w:sz w:val="21"/>
                      <w:szCs w:val="21"/>
                      <w:highlight w:val="none"/>
                      <w:lang w:val="en-US" w:eastAsia="zh-CN"/>
                      <w14:textFill>
                        <w14:solidFill>
                          <w14:schemeClr w14:val="tx1"/>
                        </w14:solidFill>
                      </w14:textFill>
                    </w:rPr>
                    <w:t>t/a</w:t>
                  </w:r>
                </w:p>
              </w:tc>
            </w:tr>
          </w:tbl>
          <w:p w14:paraId="360FEBDA">
            <w:pPr>
              <w:adjustRightInd w:val="0"/>
              <w:snapToGrid w:val="0"/>
              <w:spacing w:before="156" w:beforeLines="50" w:line="360" w:lineRule="auto"/>
              <w:ind w:firstLine="480" w:firstLineChars="200"/>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项目排放的非甲烷总烃属于挥发性有机物，根据《福州市环境保护局关于印发福州市大气污染联防控联治工作方案的通知》榕环保综[2018]386号：VOCs排放实行区域内倍量替代。根据工程分析可知，本项目VOCs(以非甲烷总烃计)的排放量为：0.</w:t>
            </w:r>
            <w:r>
              <w:rPr>
                <w:rFonts w:hint="eastAsia"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691</w:t>
            </w:r>
            <w:r>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t/a，由建设单位向生态环境主管部门（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福州市福清生态环境局</w:t>
            </w:r>
            <w:r>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t>）申请区域内倍量替代。</w:t>
            </w:r>
          </w:p>
          <w:p w14:paraId="541FBEE5">
            <w:pPr>
              <w:adjustRightInd w:val="0"/>
              <w:snapToGrid w:val="0"/>
              <w:spacing w:before="156" w:beforeLines="50" w:line="360" w:lineRule="auto"/>
              <w:ind w:firstLine="480" w:firstLineChars="200"/>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pPr>
          </w:p>
          <w:p w14:paraId="527693F2">
            <w:pPr>
              <w:adjustRightInd w:val="0"/>
              <w:snapToGrid w:val="0"/>
              <w:spacing w:before="156" w:beforeLines="50" w:line="360" w:lineRule="auto"/>
              <w:rPr>
                <w:rFonts w:hint="default" w:ascii="Times New Roman" w:hAnsi="Times New Roman" w:cs="Times New Roman" w:eastAsiaTheme="minorEastAsia"/>
                <w:color w:val="000000" w:themeColor="text1"/>
                <w:kern w:val="2"/>
                <w:sz w:val="24"/>
                <w:szCs w:val="24"/>
                <w:highlight w:val="none"/>
                <w:u w:val="none"/>
                <w:shd w:val="clear" w:color="auto" w:fill="FFFFFF"/>
                <w:lang w:val="en-US" w:eastAsia="zh-CN" w:bidi="ar-SA"/>
                <w14:textFill>
                  <w14:solidFill>
                    <w14:schemeClr w14:val="tx1"/>
                  </w14:solidFill>
                </w14:textFill>
              </w:rPr>
            </w:pPr>
          </w:p>
        </w:tc>
      </w:tr>
    </w:tbl>
    <w:p w14:paraId="1F3EE14C">
      <w:pPr>
        <w:pStyle w:val="30"/>
        <w:jc w:val="center"/>
        <w:outlineLvl w:val="0"/>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pPr>
      <w:r>
        <w:rPr>
          <w:rFonts w:hint="default" w:ascii="Times New Roman" w:hAnsi="Times New Roman" w:cs="Times New Roman" w:eastAsiaTheme="minorEastAsia"/>
          <w:snapToGrid w:val="0"/>
          <w:color w:val="000000" w:themeColor="text1"/>
          <w:kern w:val="21"/>
          <w:sz w:val="36"/>
          <w:szCs w:val="36"/>
          <w14:textFill>
            <w14:solidFill>
              <w14:schemeClr w14:val="tx1"/>
            </w14:solidFill>
          </w14:textFill>
        </w:rPr>
        <w:br w:type="page"/>
      </w:r>
      <w:r>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t>四、主要环境影响和保护措施</w:t>
      </w: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5"/>
        <w:gridCol w:w="8606"/>
      </w:tblGrid>
      <w:tr w14:paraId="56AED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372CA685">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施工</w:t>
            </w:r>
          </w:p>
          <w:p w14:paraId="6BAAD47B">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期环</w:t>
            </w:r>
          </w:p>
          <w:p w14:paraId="604564AA">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境保</w:t>
            </w:r>
          </w:p>
          <w:p w14:paraId="5D300E6C">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护措</w:t>
            </w:r>
          </w:p>
          <w:p w14:paraId="7E4D8FE5">
            <w:pPr>
              <w:pStyle w:val="30"/>
              <w:spacing w:before="0" w:beforeAutospacing="0" w:after="0" w:afterAutospacing="0"/>
              <w:jc w:val="center"/>
              <w:rPr>
                <w:rFonts w:hint="default" w:ascii="Times New Roman" w:hAnsi="Times New Roman" w:cs="Times New Roman" w:eastAsiaTheme="minorEastAsia"/>
                <w:bCs/>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施</w:t>
            </w:r>
          </w:p>
        </w:tc>
        <w:tc>
          <w:tcPr>
            <w:tcW w:w="8606" w:type="dxa"/>
            <w:vAlign w:val="center"/>
          </w:tcPr>
          <w:p w14:paraId="635B606B">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1施工期环境</w:t>
            </w: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保护</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措施</w:t>
            </w:r>
          </w:p>
          <w:p w14:paraId="1D77C8AF">
            <w:pPr>
              <w:autoSpaceDE w:val="0"/>
              <w:autoSpaceDN w:val="0"/>
              <w:spacing w:line="360" w:lineRule="auto"/>
              <w:ind w:firstLine="480" w:firstLineChars="20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项目厂址位于</w:t>
            </w:r>
            <w:r>
              <w:rPr>
                <w:rFonts w:hint="default" w:ascii="Times New Roman" w:hAnsi="Times New Roman" w:cs="Times New Roman"/>
                <w:color w:val="000000" w:themeColor="text1"/>
                <w:kern w:val="0"/>
                <w:sz w:val="24"/>
                <w:lang w:bidi="ar"/>
                <w14:textFill>
                  <w14:solidFill>
                    <w14:schemeClr w14:val="tx1"/>
                  </w14:solidFill>
                </w14:textFill>
              </w:rPr>
              <w:t>福建省福州市福清市阳下街道洪宽工业区（租赁福清洪添科技有限公司车间1第1、2层）</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厂房</w:t>
            </w:r>
            <w:r>
              <w:rPr>
                <w:rFonts w:hint="default" w:ascii="Times New Roman" w:hAnsi="Times New Roman" w:cs="Times New Roman" w:eastAsiaTheme="minorEastAsia"/>
                <w:color w:val="000000" w:themeColor="text1"/>
                <w:sz w:val="24"/>
                <w:lang w:eastAsia="zh-CN"/>
                <w14:textFill>
                  <w14:solidFill>
                    <w14:schemeClr w14:val="tx1"/>
                  </w14:solidFill>
                </w14:textFill>
              </w:rPr>
              <w:t>为已</w:t>
            </w:r>
            <w:r>
              <w:rPr>
                <w:rFonts w:hint="default" w:ascii="Times New Roman" w:hAnsi="Times New Roman" w:cs="Times New Roman" w:eastAsiaTheme="minorEastAsia"/>
                <w:color w:val="000000" w:themeColor="text1"/>
                <w:sz w:val="24"/>
                <w14:textFill>
                  <w14:solidFill>
                    <w14:schemeClr w14:val="tx1"/>
                  </w14:solidFill>
                </w14:textFill>
              </w:rPr>
              <w:t>建成</w:t>
            </w:r>
            <w:r>
              <w:rPr>
                <w:rFonts w:hint="default" w:ascii="Times New Roman" w:hAnsi="Times New Roman" w:cs="Times New Roman" w:eastAsiaTheme="minorEastAsia"/>
                <w:color w:val="000000" w:themeColor="text1"/>
                <w:sz w:val="24"/>
                <w:lang w:eastAsia="zh-CN"/>
                <w14:textFill>
                  <w14:solidFill>
                    <w14:schemeClr w14:val="tx1"/>
                  </w14:solidFill>
                </w14:textFill>
              </w:rPr>
              <w:t>状态</w:t>
            </w:r>
            <w:r>
              <w:rPr>
                <w:rFonts w:hint="default" w:ascii="Times New Roman" w:hAnsi="Times New Roman" w:cs="Times New Roman" w:eastAsiaTheme="minorEastAsia"/>
                <w:color w:val="000000" w:themeColor="text1"/>
                <w:sz w:val="24"/>
                <w14:textFill>
                  <w14:solidFill>
                    <w14:schemeClr w14:val="tx1"/>
                  </w14:solidFill>
                </w14:textFill>
              </w:rPr>
              <w:t>。项目施工期主要为设备安装、调试产生的环境问题，本项目设备安装、调试简单</w:t>
            </w:r>
            <w:r>
              <w:rPr>
                <w:rFonts w:hint="eastAsia" w:cs="Times New Roman" w:eastAsiaTheme="minorEastAsia"/>
                <w:color w:val="000000" w:themeColor="text1"/>
                <w:sz w:val="24"/>
                <w:lang w:eastAsia="zh-CN"/>
                <w14:textFill>
                  <w14:solidFill>
                    <w14:schemeClr w14:val="tx1"/>
                  </w14:solidFill>
                </w14:textFill>
              </w:rPr>
              <w:t>且</w:t>
            </w:r>
            <w:r>
              <w:rPr>
                <w:rFonts w:hint="default" w:ascii="Times New Roman" w:hAnsi="Times New Roman" w:cs="Times New Roman" w:eastAsiaTheme="minorEastAsia"/>
                <w:color w:val="000000" w:themeColor="text1"/>
                <w:sz w:val="24"/>
                <w14:textFill>
                  <w14:solidFill>
                    <w14:schemeClr w14:val="tx1"/>
                  </w14:solidFill>
                </w14:textFill>
              </w:rPr>
              <w:t>时间较短，因此，随着设备安装、调试完毕后，项目施工期也将结束，施工期环境影响也随着消失，不会对周边环境噪声影响。</w:t>
            </w:r>
          </w:p>
        </w:tc>
      </w:tr>
      <w:tr w14:paraId="3734E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57B841C4">
            <w:pPr>
              <w:jc w:val="center"/>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Cs/>
                <w:color w:val="000000" w:themeColor="text1"/>
                <w:kern w:val="21"/>
                <w:sz w:val="24"/>
                <w:szCs w:val="24"/>
                <w14:textFill>
                  <w14:solidFill>
                    <w14:schemeClr w14:val="tx1"/>
                  </w14:solidFill>
                </w14:textFill>
              </w:rPr>
              <w:t>运营</w:t>
            </w:r>
          </w:p>
          <w:p w14:paraId="054CE6F3">
            <w:pPr>
              <w:jc w:val="center"/>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Cs/>
                <w:color w:val="000000" w:themeColor="text1"/>
                <w:kern w:val="21"/>
                <w:sz w:val="24"/>
                <w:szCs w:val="24"/>
                <w14:textFill>
                  <w14:solidFill>
                    <w14:schemeClr w14:val="tx1"/>
                  </w14:solidFill>
                </w14:textFill>
              </w:rPr>
              <w:t>期环</w:t>
            </w:r>
          </w:p>
          <w:p w14:paraId="0A072A2E">
            <w:pPr>
              <w:jc w:val="center"/>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Cs/>
                <w:color w:val="000000" w:themeColor="text1"/>
                <w:kern w:val="21"/>
                <w:sz w:val="24"/>
                <w:szCs w:val="24"/>
                <w14:textFill>
                  <w14:solidFill>
                    <w14:schemeClr w14:val="tx1"/>
                  </w14:solidFill>
                </w14:textFill>
              </w:rPr>
              <w:t>境影</w:t>
            </w:r>
          </w:p>
          <w:p w14:paraId="0CEA6854">
            <w:pPr>
              <w:jc w:val="center"/>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Cs/>
                <w:color w:val="000000" w:themeColor="text1"/>
                <w:kern w:val="21"/>
                <w:sz w:val="24"/>
                <w:szCs w:val="24"/>
                <w14:textFill>
                  <w14:solidFill>
                    <w14:schemeClr w14:val="tx1"/>
                  </w14:solidFill>
                </w14:textFill>
              </w:rPr>
              <w:t>响和</w:t>
            </w:r>
          </w:p>
          <w:p w14:paraId="35E35762">
            <w:pPr>
              <w:jc w:val="center"/>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bCs/>
                <w:color w:val="000000" w:themeColor="text1"/>
                <w:kern w:val="21"/>
                <w:sz w:val="24"/>
                <w:szCs w:val="24"/>
                <w14:textFill>
                  <w14:solidFill>
                    <w14:schemeClr w14:val="tx1"/>
                  </w14:solidFill>
                </w14:textFill>
              </w:rPr>
              <w:t>保护</w:t>
            </w:r>
          </w:p>
          <w:p w14:paraId="517DEFAE">
            <w:pPr>
              <w:jc w:val="center"/>
              <w:rPr>
                <w:rFonts w:hint="default" w:ascii="Times New Roman" w:hAnsi="Times New Roman" w:cs="Times New Roman" w:eastAsiaTheme="minorEastAsia"/>
                <w:bCs/>
                <w:color w:val="000000" w:themeColor="text1"/>
                <w:kern w:val="21"/>
                <w:szCs w:val="21"/>
                <w14:textFill>
                  <w14:solidFill>
                    <w14:schemeClr w14:val="tx1"/>
                  </w14:solidFill>
                </w14:textFill>
              </w:rPr>
            </w:pPr>
            <w:r>
              <w:rPr>
                <w:rFonts w:hint="default" w:ascii="Times New Roman" w:hAnsi="Times New Roman" w:cs="Times New Roman" w:eastAsiaTheme="minorEastAsia"/>
                <w:bCs/>
                <w:color w:val="000000" w:themeColor="text1"/>
                <w:kern w:val="21"/>
                <w:sz w:val="24"/>
                <w:szCs w:val="24"/>
                <w14:textFill>
                  <w14:solidFill>
                    <w14:schemeClr w14:val="tx1"/>
                  </w14:solidFill>
                </w14:textFill>
              </w:rPr>
              <w:t>措施</w:t>
            </w:r>
          </w:p>
        </w:tc>
        <w:tc>
          <w:tcPr>
            <w:tcW w:w="8606" w:type="dxa"/>
            <w:vAlign w:val="center"/>
          </w:tcPr>
          <w:p w14:paraId="73F35A11">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2运营期废气</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污染源核算及环保措施</w:t>
            </w:r>
          </w:p>
          <w:p w14:paraId="1F7FF441">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废气污源核算</w:t>
            </w:r>
          </w:p>
          <w:p w14:paraId="58336013">
            <w:p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由于研磨机在密闭空间进行，产生的金属粉尘由于比重大，沉降设备周围，定期清扫作为一般固废外售物资回收单位。因此，</w:t>
            </w:r>
            <w:r>
              <w:rPr>
                <w:rFonts w:hint="default" w:ascii="Times New Roman" w:hAnsi="Times New Roman" w:cs="Times New Roman" w:eastAsiaTheme="minorEastAsia"/>
                <w:color w:val="000000" w:themeColor="text1"/>
                <w:sz w:val="24"/>
                <w:szCs w:val="24"/>
                <w14:textFill>
                  <w14:solidFill>
                    <w14:schemeClr w14:val="tx1"/>
                  </w14:solidFill>
                </w14:textFill>
              </w:rPr>
              <w:t>项目运营期产生的大气污染物主要为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感应电炉熔化废气、</w:t>
            </w:r>
            <w:r>
              <w:rPr>
                <w:rFonts w:hint="default" w:ascii="Times New Roman" w:hAnsi="Times New Roman" w:cs="Times New Roman" w:eastAsiaTheme="minorEastAsia"/>
                <w:color w:val="000000" w:themeColor="text1"/>
                <w:sz w:val="24"/>
                <w:szCs w:val="24"/>
                <w14:textFill>
                  <w14:solidFill>
                    <w14:schemeClr w14:val="tx1"/>
                  </w14:solidFill>
                </w14:textFill>
              </w:rPr>
              <w:t>压铸脱模废气</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7AF5BA3E">
            <w:pPr>
              <w:autoSpaceDE w:val="0"/>
              <w:autoSpaceDN w:val="0"/>
              <w:spacing w:line="360" w:lineRule="auto"/>
              <w:ind w:firstLine="480" w:firstLineChars="200"/>
              <w:textAlignment w:val="bottom"/>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t>(1)熔化烟尘</w:t>
            </w:r>
          </w:p>
          <w:p w14:paraId="0CABB3DF">
            <w:pPr>
              <w:autoSpaceDE w:val="0"/>
              <w:autoSpaceDN w:val="0"/>
              <w:spacing w:line="360" w:lineRule="auto"/>
              <w:ind w:firstLine="480" w:firstLineChars="200"/>
              <w:textAlignment w:val="bottom"/>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t>项目使用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感应电炉</w:t>
            </w:r>
            <w:r>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t>对铝合金锭、锌合金锭进行熔化，熔化过程中会排放一定的热烟废气，该废气的主要成分包括烟尘和少量的CO、CO</w:t>
            </w:r>
            <w:r>
              <w:rPr>
                <w:rFonts w:hint="default" w:ascii="Times New Roman" w:hAnsi="Times New Roman" w:cs="Times New Roman" w:eastAsiaTheme="minorEastAsia"/>
                <w:b w:val="0"/>
                <w:bCs w:val="0"/>
                <w:color w:val="000000" w:themeColor="text1"/>
                <w:kern w:val="0"/>
                <w:sz w:val="24"/>
                <w:szCs w:val="20"/>
                <w:vertAlign w:val="subscript"/>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t>等。参照《第二次全国污染源普查工业污染源产排污系数手册》中“33-37,431-434机械行业系数手册”—01铸造，原料铝合金锭、锌</w:t>
            </w:r>
            <w:r>
              <w:rPr>
                <w:rFonts w:hint="default" w:ascii="Times New Roman" w:hAnsi="Times New Roman" w:cs="Times New Roman" w:eastAsiaTheme="minorEastAsia"/>
                <w:b w:val="0"/>
                <w:bCs w:val="0"/>
                <w:color w:val="000000" w:themeColor="text1"/>
                <w:kern w:val="0"/>
                <w:sz w:val="24"/>
                <w:szCs w:val="20"/>
                <w:highlight w:val="none"/>
                <w:lang w:val="en-US" w:eastAsia="zh-CN" w:bidi="ar-SA"/>
                <w14:textFill>
                  <w14:solidFill>
                    <w14:schemeClr w14:val="tx1"/>
                  </w14:solidFill>
                </w14:textFill>
              </w:rPr>
              <w:t>合金锭采用感应电炉进行熔化，感应电炉熔化产生的烟尘（颗粒物）为0.525kg/t-产品，由于原料损耗量极少，因此产品量按原料量计，根据业主提供资料可知，本项目使用铝合金锭与锌合金锭1200t/a，则熔化过程的烟尘（颗粒物）产生量为0.63t/a。</w:t>
            </w:r>
          </w:p>
          <w:p w14:paraId="737F1768">
            <w:p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(2)脱模废气</w:t>
            </w:r>
          </w:p>
          <w:p w14:paraId="3BD1EE9B">
            <w:pPr>
              <w:autoSpaceDE w:val="0"/>
              <w:autoSpaceDN w:val="0"/>
              <w:spacing w:line="360" w:lineRule="auto"/>
              <w:ind w:firstLine="480" w:firstLineChars="200"/>
              <w:textAlignment w:val="bottom"/>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t>项目使用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压铸机</w:t>
            </w:r>
            <w:r>
              <w:rPr>
                <w:rFonts w:hint="default" w:ascii="Times New Roman" w:hAnsi="Times New Roman" w:cs="Times New Roman" w:eastAsiaTheme="minorEastAsia"/>
                <w:b w:val="0"/>
                <w:bCs w:val="0"/>
                <w:color w:val="000000" w:themeColor="text1"/>
                <w:kern w:val="0"/>
                <w:sz w:val="24"/>
                <w:szCs w:val="20"/>
                <w:lang w:val="en-US" w:eastAsia="zh-CN" w:bidi="ar-SA"/>
                <w14:textFill>
                  <w14:solidFill>
                    <w14:schemeClr w14:val="tx1"/>
                  </w14:solidFill>
                </w14:textFill>
              </w:rPr>
              <w:t>对熔化的铝合金锭、锌合金锭液体进行压铸成型，并使用脱模剂进行脱模，该过程会产生脱模废气，主要为挥发性有机物，以非甲烷总烃计。</w:t>
            </w:r>
          </w:p>
          <w:p w14:paraId="09CB6193">
            <w:pPr>
              <w:autoSpaceDE w:val="0"/>
              <w:autoSpaceDN w:val="0"/>
              <w:spacing w:line="360" w:lineRule="auto"/>
              <w:textAlignment w:val="bottom"/>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t>项目脱模剂</w:t>
            </w:r>
            <w:r>
              <w:rPr>
                <w:rFonts w:hint="default" w:ascii="Times New Roman" w:hAnsi="Times New Roman" w:cs="Times New Roman" w:eastAsiaTheme="minorEastAsia"/>
                <w:color w:val="000000" w:themeColor="text1"/>
                <w:kern w:val="0"/>
                <w:sz w:val="24"/>
                <w:szCs w:val="20"/>
                <w14:textFill>
                  <w14:solidFill>
                    <w14:schemeClr w14:val="tx1"/>
                  </w14:solidFill>
                </w14:textFill>
              </w:rPr>
              <w:t>主要成分为硅酮58%、石蜡油32%、水10%。</w:t>
            </w:r>
            <w:r>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t>主要挥发为硅酮、石蜡油，本评价</w:t>
            </w:r>
            <w:r>
              <w:rPr>
                <w:rFonts w:hint="eastAsia" w:ascii="Times New Roman" w:hAnsi="Times New Roman" w:cs="Times New Roman" w:eastAsiaTheme="minorEastAsia"/>
                <w:color w:val="000000" w:themeColor="text1"/>
                <w:kern w:val="0"/>
                <w:sz w:val="24"/>
                <w:szCs w:val="20"/>
                <w:lang w:val="en-US" w:eastAsia="zh-CN"/>
                <w14:textFill>
                  <w14:solidFill>
                    <w14:schemeClr w14:val="tx1"/>
                  </w14:solidFill>
                </w14:textFill>
              </w:rPr>
              <w:t>以</w:t>
            </w:r>
            <w:r>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t>最不利影响分析，硅酮、石蜡油全部挥发。则项目使用脱模剂为2.5t/a，非甲烷总烃产生量为2.25t/a。</w:t>
            </w:r>
          </w:p>
          <w:p w14:paraId="31F74C10">
            <w:pPr>
              <w:autoSpaceDE w:val="0"/>
              <w:autoSpaceDN w:val="0"/>
              <w:spacing w:line="360" w:lineRule="auto"/>
              <w:ind w:firstLine="480" w:firstLineChars="200"/>
              <w:textAlignment w:val="bottom"/>
              <w:rPr>
                <w:rFonts w:hint="default" w:ascii="Times New Roman" w:hAnsi="Times New Roman" w:cs="Times New Roman" w:eastAsiaTheme="minorEastAsia"/>
                <w:color w:val="000000" w:themeColor="text1"/>
                <w:kern w:val="0"/>
                <w:sz w:val="24"/>
                <w:szCs w:val="20"/>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建设单位拟在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感应电炉</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和压铸机上各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设置集气罩收集，收集的废气汇总至一根总管，然后采用1套“喷淋</w:t>
            </w:r>
            <w:r>
              <w:rPr>
                <w:rFonts w:hint="eastAsia" w:cs="Times New Roman" w:eastAsiaTheme="minorEastAsia"/>
                <w:color w:val="000000" w:themeColor="text1"/>
                <w:sz w:val="24"/>
                <w:szCs w:val="24"/>
                <w:highlight w:val="none"/>
                <w:lang w:val="en-US" w:eastAsia="zh-CN"/>
                <w14:textFill>
                  <w14:solidFill>
                    <w14:schemeClr w14:val="tx1"/>
                  </w14:solidFill>
                </w14:textFill>
              </w:rPr>
              <w:t>塔</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+干式过滤</w:t>
            </w:r>
            <w:r>
              <w:rPr>
                <w:rFonts w:hint="eastAsia" w:cs="Times New Roman" w:eastAsiaTheme="minorEastAsia"/>
                <w:color w:val="000000" w:themeColor="text1"/>
                <w:sz w:val="24"/>
                <w:szCs w:val="24"/>
                <w:highlight w:val="none"/>
                <w:lang w:val="en-US" w:eastAsia="zh-CN"/>
                <w14:textFill>
                  <w14:solidFill>
                    <w14:schemeClr w14:val="tx1"/>
                  </w14:solidFill>
                </w14:textFill>
              </w:rPr>
              <w:t>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+活性炭吸附装置”进行处理后通过1根15m高的排气筒(DA001)排放，熔化废气中颗粒物产生总量为0.63t/a，非甲烷总烃产生量为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2.25t/a。</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收集效率按90%计，</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根据</w:t>
            </w:r>
            <w:r>
              <w:rPr>
                <w:rFonts w:hint="default" w:ascii="Times New Roman" w:hAnsi="Times New Roman" w:cs="Times New Roman" w:eastAsiaTheme="minorEastAsia"/>
                <w:b w:val="0"/>
                <w:bCs w:val="0"/>
                <w:color w:val="000000" w:themeColor="text1"/>
                <w:kern w:val="0"/>
                <w:sz w:val="24"/>
                <w:szCs w:val="24"/>
                <w:lang w:val="en-US" w:eastAsia="zh-CN" w:bidi="ar-SA"/>
                <w14:textFill>
                  <w14:solidFill>
                    <w14:schemeClr w14:val="tx1"/>
                  </w14:solidFill>
                </w14:textFill>
              </w:rPr>
              <w:t>《第二次全国污染源普查工业污染源产排污系数手册》中“33-37，431-434机械行业系数手册”—01铸造</w:t>
            </w:r>
            <w:r>
              <w:rPr>
                <w:rFonts w:hint="default" w:ascii="Times New Roman" w:hAnsi="Times New Roman" w:cs="Times New Roman" w:eastAsiaTheme="minorEastAsia"/>
                <w:b w:val="0"/>
                <w:bCs w:val="0"/>
                <w:color w:val="000000" w:themeColor="text1"/>
                <w:kern w:val="0"/>
                <w:sz w:val="24"/>
                <w:szCs w:val="24"/>
                <w:highlight w:val="none"/>
                <w:lang w:val="en-US" w:eastAsia="zh-CN" w:bidi="ar-SA"/>
                <w14:textFill>
                  <w14:solidFill>
                    <w14:schemeClr w14:val="tx1"/>
                  </w14:solidFill>
                </w14:textFill>
              </w:rPr>
              <w:t>熔化烟尘（颗粒物）采用</w:t>
            </w:r>
            <w:r>
              <w:rPr>
                <w:rFonts w:hint="eastAsia" w:cs="Times New Roman" w:eastAsiaTheme="minorEastAsia"/>
                <w:b w:val="0"/>
                <w:bCs w:val="0"/>
                <w:color w:val="000000" w:themeColor="text1"/>
                <w:kern w:val="0"/>
                <w:sz w:val="24"/>
                <w:szCs w:val="24"/>
                <w:highlight w:val="none"/>
                <w:lang w:val="en-US" w:eastAsia="zh-CN" w:bidi="ar-SA"/>
                <w14:textFill>
                  <w14:solidFill>
                    <w14:schemeClr w14:val="tx1"/>
                  </w14:solidFill>
                </w14:textFill>
              </w:rPr>
              <w:t>喷淋塔</w:t>
            </w:r>
            <w:r>
              <w:rPr>
                <w:rFonts w:hint="default" w:ascii="Times New Roman" w:hAnsi="Times New Roman" w:cs="Times New Roman" w:eastAsiaTheme="minorEastAsia"/>
                <w:b w:val="0"/>
                <w:bCs w:val="0"/>
                <w:color w:val="000000" w:themeColor="text1"/>
                <w:kern w:val="0"/>
                <w:sz w:val="24"/>
                <w:szCs w:val="24"/>
                <w:highlight w:val="none"/>
                <w:lang w:val="en-US" w:eastAsia="zh-CN" w:bidi="ar-SA"/>
                <w14:textFill>
                  <w14:solidFill>
                    <w14:schemeClr w14:val="tx1"/>
                  </w14:solidFill>
                </w14:textFill>
              </w:rPr>
              <w:t>的处理效率可以达到</w:t>
            </w:r>
            <w:r>
              <w:rPr>
                <w:rFonts w:hint="eastAsia" w:cs="Times New Roman" w:eastAsiaTheme="minorEastAsia"/>
                <w:b w:val="0"/>
                <w:bCs w:val="0"/>
                <w:color w:val="000000" w:themeColor="text1"/>
                <w:kern w:val="0"/>
                <w:sz w:val="24"/>
                <w:szCs w:val="24"/>
                <w:highlight w:val="none"/>
                <w:lang w:val="en-US" w:eastAsia="zh-CN" w:bidi="ar-SA"/>
                <w14:textFill>
                  <w14:solidFill>
                    <w14:schemeClr w14:val="tx1"/>
                  </w14:solidFill>
                </w14:textFill>
              </w:rPr>
              <w:t>8</w:t>
            </w:r>
            <w:r>
              <w:rPr>
                <w:rFonts w:hint="default" w:ascii="Times New Roman" w:hAnsi="Times New Roman" w:cs="Times New Roman" w:eastAsiaTheme="minorEastAsia"/>
                <w:b w:val="0"/>
                <w:bCs w:val="0"/>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0"/>
                <w:sz w:val="24"/>
                <w:szCs w:val="24"/>
                <w:lang w:val="en-US" w:eastAsia="zh-CN" w:bidi="ar-SA"/>
                <w14:textFill>
                  <w14:solidFill>
                    <w14:schemeClr w14:val="tx1"/>
                  </w14:solidFill>
                </w14:textFill>
              </w:rPr>
              <w:t>，产生的压铸脱模废气中非甲烷总烃采用</w:t>
            </w:r>
            <w:r>
              <w:rPr>
                <w:rFonts w:hint="eastAsia" w:cs="Times New Roman" w:eastAsiaTheme="minorEastAsia"/>
                <w:b w:val="0"/>
                <w:bCs w:val="0"/>
                <w:color w:val="000000" w:themeColor="text1"/>
                <w:kern w:val="0"/>
                <w:sz w:val="24"/>
                <w:szCs w:val="24"/>
                <w:lang w:val="en-US" w:eastAsia="zh-CN" w:bidi="ar-SA"/>
                <w14:textFill>
                  <w14:solidFill>
                    <w14:schemeClr w14:val="tx1"/>
                  </w14:solidFill>
                </w14:textFill>
              </w:rPr>
              <w:t>干式过滤+</w:t>
            </w:r>
            <w:r>
              <w:rPr>
                <w:rFonts w:hint="default" w:ascii="Times New Roman" w:hAnsi="Times New Roman" w:cs="Times New Roman" w:eastAsiaTheme="minorEastAsia"/>
                <w:b w:val="0"/>
                <w:bCs w:val="0"/>
                <w:color w:val="000000" w:themeColor="text1"/>
                <w:kern w:val="0"/>
                <w:sz w:val="24"/>
                <w:szCs w:val="24"/>
                <w:lang w:val="en-US" w:eastAsia="zh-CN" w:bidi="ar-SA"/>
                <w14:textFill>
                  <w14:solidFill>
                    <w14:schemeClr w14:val="tx1"/>
                  </w14:solidFill>
                </w14:textFill>
              </w:rPr>
              <w:t>活性炭吸附装置的处理效率可以达到77%，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设计风机风量为5000m</w:t>
            </w:r>
            <w:r>
              <w:rPr>
                <w:rFonts w:hint="default" w:ascii="Times New Roman" w:hAnsi="Times New Roman" w:cs="Times New Roman" w:eastAsiaTheme="minorEastAsia"/>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/h，年运行时间2400h</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项目废气产排情况见表4.2-1。</w:t>
            </w:r>
          </w:p>
          <w:p w14:paraId="3990F0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eastAsiaTheme="minorEastAsia"/>
                <w:color w:val="000000" w:themeColor="text1"/>
                <w:lang w:val="en-US"/>
                <w14:textFill>
                  <w14:solidFill>
                    <w14:schemeClr w14:val="tx1"/>
                  </w14:solidFill>
                </w14:textFill>
              </w:rPr>
            </w:pPr>
          </w:p>
          <w:p w14:paraId="62EFCA02">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77312F07">
            <w:pPr>
              <w:rPr>
                <w:rFonts w:hint="default" w:ascii="Times New Roman" w:hAnsi="Times New Roman" w:cs="Times New Roman" w:eastAsiaTheme="minorEastAsia"/>
                <w:color w:val="000000" w:themeColor="text1"/>
                <w:lang w:val="en-US"/>
                <w14:textFill>
                  <w14:solidFill>
                    <w14:schemeClr w14:val="tx1"/>
                  </w14:solidFill>
                </w14:textFill>
              </w:rPr>
            </w:pPr>
          </w:p>
          <w:p w14:paraId="72FAEABC">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128D2759">
            <w:pPr>
              <w:rPr>
                <w:rFonts w:hint="default" w:ascii="Times New Roman" w:hAnsi="Times New Roman" w:cs="Times New Roman" w:eastAsiaTheme="minorEastAsia"/>
                <w:color w:val="000000" w:themeColor="text1"/>
                <w:lang w:val="en-US"/>
                <w14:textFill>
                  <w14:solidFill>
                    <w14:schemeClr w14:val="tx1"/>
                  </w14:solidFill>
                </w14:textFill>
              </w:rPr>
            </w:pPr>
          </w:p>
          <w:p w14:paraId="1121D09C">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392A57D5">
            <w:pPr>
              <w:rPr>
                <w:rFonts w:hint="default" w:ascii="Times New Roman" w:hAnsi="Times New Roman" w:cs="Times New Roman" w:eastAsiaTheme="minorEastAsia"/>
                <w:color w:val="000000" w:themeColor="text1"/>
                <w:lang w:val="en-US"/>
                <w14:textFill>
                  <w14:solidFill>
                    <w14:schemeClr w14:val="tx1"/>
                  </w14:solidFill>
                </w14:textFill>
              </w:rPr>
            </w:pPr>
          </w:p>
          <w:p w14:paraId="3C2151E9">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1BEC9356">
            <w:pPr>
              <w:rPr>
                <w:rFonts w:hint="default" w:ascii="Times New Roman" w:hAnsi="Times New Roman" w:cs="Times New Roman" w:eastAsiaTheme="minorEastAsia"/>
                <w:color w:val="000000" w:themeColor="text1"/>
                <w:lang w:val="en-US"/>
                <w14:textFill>
                  <w14:solidFill>
                    <w14:schemeClr w14:val="tx1"/>
                  </w14:solidFill>
                </w14:textFill>
              </w:rPr>
            </w:pPr>
          </w:p>
          <w:p w14:paraId="064A3C9C">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302EA951">
            <w:pPr>
              <w:rPr>
                <w:rFonts w:hint="default" w:ascii="Times New Roman" w:hAnsi="Times New Roman" w:cs="Times New Roman" w:eastAsiaTheme="minorEastAsia"/>
                <w:color w:val="000000" w:themeColor="text1"/>
                <w:lang w:val="en-US"/>
                <w14:textFill>
                  <w14:solidFill>
                    <w14:schemeClr w14:val="tx1"/>
                  </w14:solidFill>
                </w14:textFill>
              </w:rPr>
            </w:pPr>
          </w:p>
          <w:p w14:paraId="0C56D934">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317106B0">
            <w:pPr>
              <w:rPr>
                <w:rFonts w:hint="default" w:ascii="Times New Roman" w:hAnsi="Times New Roman" w:cs="Times New Roman" w:eastAsiaTheme="minorEastAsia"/>
                <w:color w:val="000000" w:themeColor="text1"/>
                <w:lang w:val="en-US"/>
                <w14:textFill>
                  <w14:solidFill>
                    <w14:schemeClr w14:val="tx1"/>
                  </w14:solidFill>
                </w14:textFill>
              </w:rPr>
            </w:pPr>
          </w:p>
          <w:p w14:paraId="13A27A0C">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2A473446">
            <w:pPr>
              <w:rPr>
                <w:rFonts w:hint="default" w:ascii="Times New Roman" w:hAnsi="Times New Roman" w:cs="Times New Roman" w:eastAsiaTheme="minorEastAsia"/>
                <w:color w:val="000000" w:themeColor="text1"/>
                <w:lang w:val="en-US"/>
                <w14:textFill>
                  <w14:solidFill>
                    <w14:schemeClr w14:val="tx1"/>
                  </w14:solidFill>
                </w14:textFill>
              </w:rPr>
            </w:pPr>
          </w:p>
          <w:p w14:paraId="4D93F8AA">
            <w:pPr>
              <w:pStyle w:val="2"/>
              <w:rPr>
                <w:rFonts w:hint="default" w:ascii="Times New Roman" w:hAnsi="Times New Roman" w:cs="Times New Roman" w:eastAsiaTheme="minorEastAsia"/>
                <w:color w:val="000000" w:themeColor="text1"/>
                <w:lang w:val="en-US"/>
                <w14:textFill>
                  <w14:solidFill>
                    <w14:schemeClr w14:val="tx1"/>
                  </w14:solidFill>
                </w14:textFill>
              </w:rPr>
            </w:pPr>
          </w:p>
          <w:p w14:paraId="3B24C34B">
            <w:pPr>
              <w:rPr>
                <w:rFonts w:hint="default" w:ascii="Times New Roman" w:hAnsi="Times New Roman" w:cs="Times New Roman" w:eastAsiaTheme="minorEastAsia"/>
                <w:color w:val="000000" w:themeColor="text1"/>
                <w:lang w:val="en-US"/>
                <w14:textFill>
                  <w14:solidFill>
                    <w14:schemeClr w14:val="tx1"/>
                  </w14:solidFill>
                </w14:textFill>
              </w:rPr>
            </w:pPr>
          </w:p>
          <w:p w14:paraId="101059FC">
            <w:pPr>
              <w:pStyle w:val="2"/>
              <w:rPr>
                <w:rFonts w:hint="default" w:ascii="Times New Roman" w:hAnsi="Times New Roman" w:cs="Times New Roman" w:eastAsiaTheme="minorEastAsia"/>
                <w:color w:val="000000" w:themeColor="text1"/>
                <w:lang w:val="en-US"/>
                <w14:textFill>
                  <w14:solidFill>
                    <w14:schemeClr w14:val="tx1"/>
                  </w14:solidFill>
                </w14:textFill>
              </w:rPr>
            </w:pPr>
          </w:p>
        </w:tc>
      </w:tr>
    </w:tbl>
    <w:p w14:paraId="73C448E7">
      <w:pPr>
        <w:rPr>
          <w:rFonts w:hint="default" w:ascii="Times New Roman" w:hAnsi="Times New Roman" w:cs="Times New Roman" w:eastAsiaTheme="minorEastAsia"/>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6"/>
        <w:tblW w:w="14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4048"/>
      </w:tblGrid>
      <w:tr w14:paraId="5EB6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48" w:type="dxa"/>
            <w:vAlign w:val="top"/>
          </w:tcPr>
          <w:p w14:paraId="1D2D512E">
            <w:pPr>
              <w:pStyle w:val="4"/>
              <w:spacing w:before="120" w:line="240" w:lineRule="auto"/>
              <w:ind w:firstLine="482" w:firstLineChars="200"/>
              <w:jc w:val="cente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表4.2-1  废气污染源源强核算结果及相关参数一览表</w:t>
            </w:r>
          </w:p>
          <w:tbl>
            <w:tblPr>
              <w:tblStyle w:val="35"/>
              <w:tblW w:w="138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4"/>
              <w:gridCol w:w="794"/>
              <w:gridCol w:w="875"/>
              <w:gridCol w:w="827"/>
              <w:gridCol w:w="812"/>
              <w:gridCol w:w="735"/>
              <w:gridCol w:w="781"/>
              <w:gridCol w:w="735"/>
              <w:gridCol w:w="769"/>
              <w:gridCol w:w="1084"/>
              <w:gridCol w:w="735"/>
              <w:gridCol w:w="1041"/>
              <w:gridCol w:w="934"/>
              <w:gridCol w:w="873"/>
              <w:gridCol w:w="597"/>
              <w:gridCol w:w="811"/>
              <w:gridCol w:w="553"/>
            </w:tblGrid>
            <w:tr w14:paraId="6768F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934" w:type="dxa"/>
                  <w:vMerge w:val="restart"/>
                  <w:tcBorders>
                    <w:tl2br w:val="nil"/>
                    <w:tr2bl w:val="nil"/>
                  </w:tcBorders>
                  <w:shd w:val="clear" w:color="auto" w:fill="auto"/>
                  <w:vAlign w:val="center"/>
                </w:tcPr>
                <w:p w14:paraId="72B1F423">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产排污环节</w:t>
                  </w:r>
                </w:p>
              </w:tc>
              <w:tc>
                <w:tcPr>
                  <w:tcW w:w="794" w:type="dxa"/>
                  <w:vMerge w:val="restart"/>
                  <w:tcBorders>
                    <w:tl2br w:val="nil"/>
                    <w:tr2bl w:val="nil"/>
                  </w:tcBorders>
                  <w:shd w:val="clear" w:color="auto" w:fill="auto"/>
                  <w:vAlign w:val="center"/>
                </w:tcPr>
                <w:p w14:paraId="4783D993">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污染物种类</w:t>
                  </w:r>
                </w:p>
              </w:tc>
              <w:tc>
                <w:tcPr>
                  <w:tcW w:w="2514" w:type="dxa"/>
                  <w:gridSpan w:val="3"/>
                  <w:tcBorders>
                    <w:tl2br w:val="nil"/>
                    <w:tr2bl w:val="nil"/>
                  </w:tcBorders>
                  <w:shd w:val="clear" w:color="auto" w:fill="auto"/>
                  <w:vAlign w:val="center"/>
                </w:tcPr>
                <w:p w14:paraId="602BC1CF">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污染物产生</w:t>
                  </w:r>
                </w:p>
              </w:tc>
              <w:tc>
                <w:tcPr>
                  <w:tcW w:w="735" w:type="dxa"/>
                  <w:vMerge w:val="restart"/>
                  <w:tcBorders>
                    <w:tl2br w:val="nil"/>
                    <w:tr2bl w:val="nil"/>
                  </w:tcBorders>
                  <w:shd w:val="clear" w:color="auto" w:fill="auto"/>
                  <w:vAlign w:val="center"/>
                </w:tcPr>
                <w:p w14:paraId="1F40D4F7">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排放形式</w:t>
                  </w:r>
                </w:p>
              </w:tc>
              <w:tc>
                <w:tcPr>
                  <w:tcW w:w="4104" w:type="dxa"/>
                  <w:gridSpan w:val="5"/>
                  <w:tcBorders>
                    <w:tl2br w:val="nil"/>
                    <w:tr2bl w:val="nil"/>
                  </w:tcBorders>
                  <w:shd w:val="clear" w:color="auto" w:fill="auto"/>
                  <w:vAlign w:val="center"/>
                </w:tcPr>
                <w:p w14:paraId="0CA773E5">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治理措施</w:t>
                  </w:r>
                </w:p>
              </w:tc>
              <w:tc>
                <w:tcPr>
                  <w:tcW w:w="2848" w:type="dxa"/>
                  <w:gridSpan w:val="3"/>
                  <w:tcBorders>
                    <w:tl2br w:val="nil"/>
                    <w:tr2bl w:val="nil"/>
                  </w:tcBorders>
                  <w:shd w:val="clear" w:color="auto" w:fill="auto"/>
                  <w:vAlign w:val="center"/>
                </w:tcPr>
                <w:p w14:paraId="441B9089">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污染物排放</w:t>
                  </w:r>
                </w:p>
              </w:tc>
              <w:tc>
                <w:tcPr>
                  <w:tcW w:w="1408" w:type="dxa"/>
                  <w:gridSpan w:val="2"/>
                  <w:tcBorders>
                    <w:tl2br w:val="nil"/>
                    <w:tr2bl w:val="nil"/>
                  </w:tcBorders>
                  <w:shd w:val="clear" w:color="auto" w:fill="auto"/>
                  <w:vAlign w:val="center"/>
                </w:tcPr>
                <w:p w14:paraId="7C13CD1D">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排放标准</w:t>
                  </w:r>
                </w:p>
              </w:tc>
              <w:tc>
                <w:tcPr>
                  <w:tcW w:w="553" w:type="dxa"/>
                  <w:vMerge w:val="restart"/>
                  <w:tcBorders>
                    <w:tl2br w:val="nil"/>
                    <w:tr2bl w:val="nil"/>
                  </w:tcBorders>
                  <w:shd w:val="clear" w:color="auto" w:fill="auto"/>
                  <w:vAlign w:val="center"/>
                </w:tcPr>
                <w:p w14:paraId="70CA6E1D">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是否达标</w:t>
                  </w:r>
                </w:p>
              </w:tc>
            </w:tr>
            <w:tr w14:paraId="32BF3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34" w:type="dxa"/>
                  <w:vMerge w:val="continue"/>
                  <w:tcBorders>
                    <w:tl2br w:val="nil"/>
                    <w:tr2bl w:val="nil"/>
                  </w:tcBorders>
                  <w:shd w:val="clear" w:color="auto" w:fill="auto"/>
                  <w:vAlign w:val="center"/>
                </w:tcPr>
                <w:p w14:paraId="13884472">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c>
                <w:tcPr>
                  <w:tcW w:w="794" w:type="dxa"/>
                  <w:vMerge w:val="continue"/>
                  <w:tcBorders>
                    <w:tl2br w:val="nil"/>
                    <w:tr2bl w:val="nil"/>
                  </w:tcBorders>
                  <w:shd w:val="clear" w:color="auto" w:fill="auto"/>
                  <w:vAlign w:val="center"/>
                </w:tcPr>
                <w:p w14:paraId="1C8368DD">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c>
                <w:tcPr>
                  <w:tcW w:w="875" w:type="dxa"/>
                  <w:tcBorders>
                    <w:tl2br w:val="nil"/>
                    <w:tr2bl w:val="nil"/>
                  </w:tcBorders>
                  <w:shd w:val="clear" w:color="auto" w:fill="auto"/>
                  <w:vAlign w:val="center"/>
                </w:tcPr>
                <w:p w14:paraId="3271D1A7">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产生量t/a</w:t>
                  </w:r>
                </w:p>
              </w:tc>
              <w:tc>
                <w:tcPr>
                  <w:tcW w:w="827" w:type="dxa"/>
                  <w:tcBorders>
                    <w:tl2br w:val="nil"/>
                    <w:tr2bl w:val="nil"/>
                  </w:tcBorders>
                  <w:shd w:val="clear" w:color="auto" w:fill="auto"/>
                  <w:vAlign w:val="center"/>
                </w:tcPr>
                <w:p w14:paraId="593F299A">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产生速率kg/h</w:t>
                  </w:r>
                </w:p>
              </w:tc>
              <w:tc>
                <w:tcPr>
                  <w:tcW w:w="812" w:type="dxa"/>
                  <w:tcBorders>
                    <w:tl2br w:val="nil"/>
                    <w:tr2bl w:val="nil"/>
                  </w:tcBorders>
                  <w:shd w:val="clear" w:color="auto" w:fill="auto"/>
                  <w:vAlign w:val="center"/>
                </w:tcPr>
                <w:p w14:paraId="04076E01">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产生浓度mg/m</w:t>
                  </w:r>
                  <w:r>
                    <w:rPr>
                      <w:rFonts w:hint="default" w:ascii="Times New Roman" w:hAnsi="Times New Roman" w:cs="Times New Roman" w:eastAsiaTheme="minorEastAsia"/>
                      <w:b w:val="0"/>
                      <w:bCs w:val="0"/>
                      <w:color w:val="000000" w:themeColor="text1"/>
                      <w:sz w:val="21"/>
                      <w:szCs w:val="21"/>
                      <w:highlight w:val="none"/>
                      <w:vertAlign w:val="superscript"/>
                      <w:lang w:val="en-US" w:eastAsia="zh-CN"/>
                      <w14:textFill>
                        <w14:solidFill>
                          <w14:schemeClr w14:val="tx1"/>
                        </w14:solidFill>
                      </w14:textFill>
                    </w:rPr>
                    <w:t>3</w:t>
                  </w:r>
                </w:p>
              </w:tc>
              <w:tc>
                <w:tcPr>
                  <w:tcW w:w="735" w:type="dxa"/>
                  <w:vMerge w:val="continue"/>
                  <w:tcBorders>
                    <w:tl2br w:val="nil"/>
                    <w:tr2bl w:val="nil"/>
                  </w:tcBorders>
                  <w:shd w:val="clear" w:color="auto" w:fill="auto"/>
                  <w:vAlign w:val="center"/>
                </w:tcPr>
                <w:p w14:paraId="55065865">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c>
                <w:tcPr>
                  <w:tcW w:w="781" w:type="dxa"/>
                  <w:tcBorders>
                    <w:tl2br w:val="nil"/>
                    <w:tr2bl w:val="nil"/>
                  </w:tcBorders>
                  <w:shd w:val="clear" w:color="auto" w:fill="auto"/>
                  <w:vAlign w:val="center"/>
                </w:tcPr>
                <w:p w14:paraId="503A737D">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处理能力m</w:t>
                  </w:r>
                  <w:r>
                    <w:rPr>
                      <w:rFonts w:hint="default" w:ascii="Times New Roman" w:hAnsi="Times New Roman" w:cs="Times New Roman" w:eastAsiaTheme="minorEastAsia"/>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/h</w:t>
                  </w:r>
                </w:p>
              </w:tc>
              <w:tc>
                <w:tcPr>
                  <w:tcW w:w="735" w:type="dxa"/>
                  <w:tcBorders>
                    <w:tl2br w:val="nil"/>
                    <w:tr2bl w:val="nil"/>
                  </w:tcBorders>
                  <w:shd w:val="clear" w:color="auto" w:fill="auto"/>
                  <w:vAlign w:val="center"/>
                </w:tcPr>
                <w:p w14:paraId="19B9D819">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收集效率</w:t>
                  </w:r>
                </w:p>
              </w:tc>
              <w:tc>
                <w:tcPr>
                  <w:tcW w:w="769" w:type="dxa"/>
                  <w:tcBorders>
                    <w:tl2br w:val="nil"/>
                    <w:tr2bl w:val="nil"/>
                  </w:tcBorders>
                  <w:shd w:val="clear" w:color="auto" w:fill="auto"/>
                  <w:vAlign w:val="center"/>
                </w:tcPr>
                <w:p w14:paraId="4FC582AF">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治理工艺</w:t>
                  </w:r>
                </w:p>
              </w:tc>
              <w:tc>
                <w:tcPr>
                  <w:tcW w:w="1084" w:type="dxa"/>
                  <w:tcBorders>
                    <w:tl2br w:val="nil"/>
                    <w:tr2bl w:val="nil"/>
                  </w:tcBorders>
                  <w:shd w:val="clear" w:color="auto" w:fill="auto"/>
                  <w:vAlign w:val="center"/>
                </w:tcPr>
                <w:p w14:paraId="7E72B76A">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去除率</w:t>
                  </w:r>
                </w:p>
              </w:tc>
              <w:tc>
                <w:tcPr>
                  <w:tcW w:w="735" w:type="dxa"/>
                  <w:tcBorders>
                    <w:tl2br w:val="nil"/>
                    <w:tr2bl w:val="nil"/>
                  </w:tcBorders>
                  <w:shd w:val="clear" w:color="auto" w:fill="auto"/>
                  <w:vAlign w:val="center"/>
                </w:tcPr>
                <w:p w14:paraId="30D9B70F">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是否为可行技术</w:t>
                  </w:r>
                </w:p>
              </w:tc>
              <w:tc>
                <w:tcPr>
                  <w:tcW w:w="1041" w:type="dxa"/>
                  <w:tcBorders>
                    <w:tl2br w:val="nil"/>
                    <w:tr2bl w:val="nil"/>
                  </w:tcBorders>
                  <w:shd w:val="clear" w:color="auto" w:fill="auto"/>
                  <w:vAlign w:val="center"/>
                </w:tcPr>
                <w:p w14:paraId="4F19DE99">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排放量t/a</w:t>
                  </w:r>
                </w:p>
              </w:tc>
              <w:tc>
                <w:tcPr>
                  <w:tcW w:w="934" w:type="dxa"/>
                  <w:tcBorders>
                    <w:tl2br w:val="nil"/>
                    <w:tr2bl w:val="nil"/>
                  </w:tcBorders>
                  <w:shd w:val="clear" w:color="auto" w:fill="auto"/>
                  <w:vAlign w:val="center"/>
                </w:tcPr>
                <w:p w14:paraId="68A718CA">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排放速率kg/h</w:t>
                  </w:r>
                </w:p>
              </w:tc>
              <w:tc>
                <w:tcPr>
                  <w:tcW w:w="873" w:type="dxa"/>
                  <w:tcBorders>
                    <w:tl2br w:val="nil"/>
                    <w:tr2bl w:val="nil"/>
                  </w:tcBorders>
                  <w:shd w:val="clear" w:color="auto" w:fill="auto"/>
                  <w:vAlign w:val="center"/>
                </w:tcPr>
                <w:p w14:paraId="36E7CC5E">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排放</w:t>
                  </w:r>
                </w:p>
                <w:p w14:paraId="0D6B08E4">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cs="Times New Roman" w:eastAsiaTheme="minorEastAsia"/>
                      <w:b w:val="0"/>
                      <w:bCs w:val="0"/>
                      <w:color w:val="000000" w:themeColor="text1"/>
                      <w:sz w:val="21"/>
                      <w:szCs w:val="21"/>
                      <w:highlight w:val="none"/>
                      <w:vertAlign w:val="superscript"/>
                      <w:lang w:val="en-US" w:eastAsia="zh-CN"/>
                      <w14:textFill>
                        <w14:solidFill>
                          <w14:schemeClr w14:val="tx1"/>
                        </w14:solidFill>
                      </w14:textFill>
                    </w:rPr>
                    <w:t>3</w:t>
                  </w:r>
                </w:p>
              </w:tc>
              <w:tc>
                <w:tcPr>
                  <w:tcW w:w="597" w:type="dxa"/>
                  <w:tcBorders>
                    <w:tl2br w:val="nil"/>
                    <w:tr2bl w:val="nil"/>
                  </w:tcBorders>
                  <w:shd w:val="clear" w:color="auto" w:fill="auto"/>
                  <w:vAlign w:val="center"/>
                </w:tcPr>
                <w:p w14:paraId="7B95131C">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速率kg/h</w:t>
                  </w:r>
                </w:p>
              </w:tc>
              <w:tc>
                <w:tcPr>
                  <w:tcW w:w="811" w:type="dxa"/>
                  <w:tcBorders>
                    <w:tl2br w:val="nil"/>
                    <w:tr2bl w:val="nil"/>
                  </w:tcBorders>
                  <w:shd w:val="clear" w:color="auto" w:fill="auto"/>
                  <w:vAlign w:val="center"/>
                </w:tcPr>
                <w:p w14:paraId="4BB10EEF">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cs="Times New Roman" w:eastAsiaTheme="minorEastAsia"/>
                      <w:b w:val="0"/>
                      <w:bCs w:val="0"/>
                      <w:color w:val="000000" w:themeColor="text1"/>
                      <w:sz w:val="21"/>
                      <w:szCs w:val="21"/>
                      <w:highlight w:val="none"/>
                      <w:vertAlign w:val="superscript"/>
                      <w:lang w:val="en-US" w:eastAsia="zh-CN"/>
                      <w14:textFill>
                        <w14:solidFill>
                          <w14:schemeClr w14:val="tx1"/>
                        </w14:solidFill>
                      </w14:textFill>
                    </w:rPr>
                    <w:t>3</w:t>
                  </w:r>
                </w:p>
              </w:tc>
              <w:tc>
                <w:tcPr>
                  <w:tcW w:w="553" w:type="dxa"/>
                  <w:vMerge w:val="continue"/>
                  <w:tcBorders>
                    <w:tl2br w:val="nil"/>
                    <w:tr2bl w:val="nil"/>
                  </w:tcBorders>
                  <w:shd w:val="clear" w:color="auto" w:fill="auto"/>
                  <w:vAlign w:val="center"/>
                </w:tcPr>
                <w:p w14:paraId="517A8EB5">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r>
            <w:tr w14:paraId="2FCE7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jc w:val="center"/>
              </w:trPr>
              <w:tc>
                <w:tcPr>
                  <w:tcW w:w="934" w:type="dxa"/>
                  <w:vMerge w:val="restart"/>
                  <w:tcBorders>
                    <w:tl2br w:val="nil"/>
                    <w:tr2bl w:val="nil"/>
                  </w:tcBorders>
                  <w:shd w:val="clear" w:color="auto" w:fill="auto"/>
                  <w:vAlign w:val="center"/>
                </w:tcPr>
                <w:p w14:paraId="6859F979">
                  <w:pPr>
                    <w:pStyle w:val="114"/>
                    <w:bidi w:val="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熔化废气</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和</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压铸脱模废气</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DA001</w:t>
                  </w:r>
                </w:p>
              </w:tc>
              <w:tc>
                <w:tcPr>
                  <w:tcW w:w="794" w:type="dxa"/>
                  <w:tcBorders>
                    <w:tl2br w:val="nil"/>
                    <w:tr2bl w:val="nil"/>
                  </w:tcBorders>
                  <w:shd w:val="clear" w:color="auto" w:fill="auto"/>
                  <w:vAlign w:val="center"/>
                </w:tcPr>
                <w:p w14:paraId="7830CEE0">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颗粒物</w:t>
                  </w:r>
                </w:p>
              </w:tc>
              <w:tc>
                <w:tcPr>
                  <w:tcW w:w="875" w:type="dxa"/>
                  <w:tcBorders>
                    <w:tl2br w:val="nil"/>
                    <w:tr2bl w:val="nil"/>
                  </w:tcBorders>
                  <w:shd w:val="clear" w:color="auto" w:fill="auto"/>
                  <w:vAlign w:val="center"/>
                </w:tcPr>
                <w:p w14:paraId="1739A355">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0.63</w:t>
                  </w:r>
                </w:p>
              </w:tc>
              <w:tc>
                <w:tcPr>
                  <w:tcW w:w="827" w:type="dxa"/>
                  <w:tcBorders>
                    <w:tl2br w:val="nil"/>
                    <w:tr2bl w:val="nil"/>
                  </w:tcBorders>
                  <w:shd w:val="clear" w:color="auto" w:fill="auto"/>
                  <w:vAlign w:val="center"/>
                </w:tcPr>
                <w:p w14:paraId="0F997695">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0.263</w:t>
                  </w:r>
                </w:p>
              </w:tc>
              <w:tc>
                <w:tcPr>
                  <w:tcW w:w="812" w:type="dxa"/>
                  <w:tcBorders>
                    <w:tl2br w:val="nil"/>
                    <w:tr2bl w:val="nil"/>
                  </w:tcBorders>
                  <w:shd w:val="clear" w:color="auto" w:fill="auto"/>
                  <w:vAlign w:val="center"/>
                </w:tcPr>
                <w:p w14:paraId="2AB04BF6">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52.5</w:t>
                  </w:r>
                </w:p>
              </w:tc>
              <w:tc>
                <w:tcPr>
                  <w:tcW w:w="735" w:type="dxa"/>
                  <w:vMerge w:val="restart"/>
                  <w:tcBorders>
                    <w:tl2br w:val="nil"/>
                    <w:tr2bl w:val="nil"/>
                  </w:tcBorders>
                  <w:shd w:val="clear" w:color="auto" w:fill="auto"/>
                  <w:vAlign w:val="center"/>
                </w:tcPr>
                <w:p w14:paraId="215C84B5">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有组织</w:t>
                  </w:r>
                </w:p>
              </w:tc>
              <w:tc>
                <w:tcPr>
                  <w:tcW w:w="781" w:type="dxa"/>
                  <w:vMerge w:val="restart"/>
                  <w:tcBorders>
                    <w:tl2br w:val="nil"/>
                    <w:tr2bl w:val="nil"/>
                  </w:tcBorders>
                  <w:shd w:val="clear" w:color="auto" w:fill="auto"/>
                  <w:vAlign w:val="center"/>
                </w:tcPr>
                <w:p w14:paraId="5C39A649">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5000</w:t>
                  </w:r>
                </w:p>
              </w:tc>
              <w:tc>
                <w:tcPr>
                  <w:tcW w:w="735" w:type="dxa"/>
                  <w:vMerge w:val="restart"/>
                  <w:tcBorders>
                    <w:tl2br w:val="nil"/>
                    <w:tr2bl w:val="nil"/>
                  </w:tcBorders>
                  <w:shd w:val="clear" w:color="auto" w:fill="auto"/>
                  <w:vAlign w:val="center"/>
                </w:tcPr>
                <w:p w14:paraId="73E41DE1">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90%</w:t>
                  </w:r>
                </w:p>
              </w:tc>
              <w:tc>
                <w:tcPr>
                  <w:tcW w:w="769" w:type="dxa"/>
                  <w:tcBorders>
                    <w:tl2br w:val="nil"/>
                    <w:tr2bl w:val="nil"/>
                  </w:tcBorders>
                  <w:shd w:val="clear" w:color="auto" w:fill="auto"/>
                  <w:vAlign w:val="center"/>
                </w:tcPr>
                <w:p w14:paraId="1F1205C3">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喷淋塔+干式过滤器</w:t>
                  </w:r>
                </w:p>
              </w:tc>
              <w:tc>
                <w:tcPr>
                  <w:tcW w:w="1084" w:type="dxa"/>
                  <w:tcBorders>
                    <w:tl2br w:val="nil"/>
                    <w:tr2bl w:val="nil"/>
                  </w:tcBorders>
                  <w:shd w:val="clear" w:color="auto" w:fill="auto"/>
                  <w:vAlign w:val="center"/>
                </w:tcPr>
                <w:p w14:paraId="70287FD7">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5%</w:t>
                  </w:r>
                </w:p>
              </w:tc>
              <w:tc>
                <w:tcPr>
                  <w:tcW w:w="735" w:type="dxa"/>
                  <w:tcBorders>
                    <w:tl2br w:val="nil"/>
                    <w:tr2bl w:val="nil"/>
                  </w:tcBorders>
                  <w:shd w:val="clear" w:color="auto" w:fill="auto"/>
                  <w:vAlign w:val="center"/>
                </w:tcPr>
                <w:p w14:paraId="6B66675C">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w:t>
                  </w:r>
                </w:p>
              </w:tc>
              <w:tc>
                <w:tcPr>
                  <w:tcW w:w="1041" w:type="dxa"/>
                  <w:tcBorders>
                    <w:tl2br w:val="nil"/>
                    <w:tr2bl w:val="nil"/>
                  </w:tcBorders>
                  <w:shd w:val="clear" w:color="auto" w:fill="auto"/>
                  <w:vAlign w:val="center"/>
                </w:tcPr>
                <w:p w14:paraId="7026AD5E">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w:t>
                  </w: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85</w:t>
                  </w:r>
                </w:p>
              </w:tc>
              <w:tc>
                <w:tcPr>
                  <w:tcW w:w="934" w:type="dxa"/>
                  <w:tcBorders>
                    <w:tl2br w:val="nil"/>
                    <w:tr2bl w:val="nil"/>
                  </w:tcBorders>
                  <w:shd w:val="clear" w:color="auto" w:fill="auto"/>
                  <w:vAlign w:val="center"/>
                </w:tcPr>
                <w:p w14:paraId="53EA0F55">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w:t>
                  </w: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35</w:t>
                  </w:r>
                </w:p>
              </w:tc>
              <w:tc>
                <w:tcPr>
                  <w:tcW w:w="873" w:type="dxa"/>
                  <w:tcBorders>
                    <w:tl2br w:val="nil"/>
                    <w:tr2bl w:val="nil"/>
                  </w:tcBorders>
                  <w:shd w:val="clear" w:color="auto" w:fill="auto"/>
                  <w:vAlign w:val="center"/>
                </w:tcPr>
                <w:p w14:paraId="639C804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highlight w:val="none"/>
                      <w:lang w:val="en-US" w:eastAsia="zh-CN" w:bidi="ar-SA"/>
                      <w14:textFill>
                        <w14:solidFill>
                          <w14:schemeClr w14:val="tx1"/>
                        </w14:solidFill>
                      </w14:textFill>
                    </w:rPr>
                    <w:t>7</w:t>
                  </w:r>
                </w:p>
              </w:tc>
              <w:tc>
                <w:tcPr>
                  <w:tcW w:w="597" w:type="dxa"/>
                  <w:tcBorders>
                    <w:tl2br w:val="nil"/>
                    <w:tr2bl w:val="nil"/>
                  </w:tcBorders>
                  <w:shd w:val="clear" w:color="auto" w:fill="auto"/>
                  <w:vAlign w:val="center"/>
                </w:tcPr>
                <w:p w14:paraId="5960DB3F">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w:t>
                  </w:r>
                </w:p>
              </w:tc>
              <w:tc>
                <w:tcPr>
                  <w:tcW w:w="811" w:type="dxa"/>
                  <w:tcBorders>
                    <w:tl2br w:val="nil"/>
                    <w:tr2bl w:val="nil"/>
                  </w:tcBorders>
                  <w:shd w:val="clear" w:color="auto" w:fill="auto"/>
                  <w:vAlign w:val="center"/>
                </w:tcPr>
                <w:p w14:paraId="38D1DBBD">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30</w:t>
                  </w:r>
                </w:p>
              </w:tc>
              <w:tc>
                <w:tcPr>
                  <w:tcW w:w="553" w:type="dxa"/>
                  <w:tcBorders>
                    <w:tl2br w:val="nil"/>
                    <w:tr2bl w:val="nil"/>
                  </w:tcBorders>
                  <w:shd w:val="clear" w:color="auto" w:fill="auto"/>
                  <w:vAlign w:val="center"/>
                </w:tcPr>
                <w:p w14:paraId="1C288D46">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w:t>
                  </w:r>
                </w:p>
              </w:tc>
            </w:tr>
            <w:tr w14:paraId="6E099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34" w:type="dxa"/>
                  <w:vMerge w:val="continue"/>
                  <w:tcBorders>
                    <w:tl2br w:val="nil"/>
                    <w:tr2bl w:val="nil"/>
                  </w:tcBorders>
                  <w:shd w:val="clear" w:color="auto" w:fill="auto"/>
                  <w:vAlign w:val="center"/>
                </w:tcPr>
                <w:p w14:paraId="4513BCEB">
                  <w:pPr>
                    <w:pStyle w:val="114"/>
                    <w:bidi w:val="0"/>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pPr>
                </w:p>
              </w:tc>
              <w:tc>
                <w:tcPr>
                  <w:tcW w:w="794" w:type="dxa"/>
                  <w:tcBorders>
                    <w:tl2br w:val="nil"/>
                    <w:tr2bl w:val="nil"/>
                  </w:tcBorders>
                  <w:shd w:val="clear" w:color="auto" w:fill="auto"/>
                  <w:vAlign w:val="center"/>
                </w:tcPr>
                <w:p w14:paraId="0D021F72">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非甲烷总烃</w:t>
                  </w:r>
                </w:p>
              </w:tc>
              <w:tc>
                <w:tcPr>
                  <w:tcW w:w="875" w:type="dxa"/>
                  <w:tcBorders>
                    <w:tl2br w:val="nil"/>
                    <w:tr2bl w:val="nil"/>
                  </w:tcBorders>
                  <w:shd w:val="clear" w:color="auto" w:fill="auto"/>
                  <w:vAlign w:val="center"/>
                </w:tcPr>
                <w:p w14:paraId="684BC9B2">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2.25</w:t>
                  </w:r>
                </w:p>
              </w:tc>
              <w:tc>
                <w:tcPr>
                  <w:tcW w:w="827" w:type="dxa"/>
                  <w:tcBorders>
                    <w:tl2br w:val="nil"/>
                    <w:tr2bl w:val="nil"/>
                  </w:tcBorders>
                  <w:shd w:val="clear" w:color="auto" w:fill="auto"/>
                  <w:vAlign w:val="center"/>
                </w:tcPr>
                <w:p w14:paraId="320FCCA2">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0.938</w:t>
                  </w:r>
                </w:p>
              </w:tc>
              <w:tc>
                <w:tcPr>
                  <w:tcW w:w="812" w:type="dxa"/>
                  <w:tcBorders>
                    <w:tl2br w:val="nil"/>
                    <w:tr2bl w:val="nil"/>
                  </w:tcBorders>
                  <w:shd w:val="clear" w:color="auto" w:fill="auto"/>
                  <w:vAlign w:val="center"/>
                </w:tcPr>
                <w:p w14:paraId="0695BBD5">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187.5</w:t>
                  </w:r>
                </w:p>
              </w:tc>
              <w:tc>
                <w:tcPr>
                  <w:tcW w:w="735" w:type="dxa"/>
                  <w:vMerge w:val="continue"/>
                  <w:tcBorders>
                    <w:tl2br w:val="nil"/>
                    <w:tr2bl w:val="nil"/>
                  </w:tcBorders>
                  <w:shd w:val="clear" w:color="auto" w:fill="auto"/>
                  <w:vAlign w:val="center"/>
                </w:tcPr>
                <w:p w14:paraId="5A49ECB6">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p>
              </w:tc>
              <w:tc>
                <w:tcPr>
                  <w:tcW w:w="781" w:type="dxa"/>
                  <w:vMerge w:val="continue"/>
                  <w:tcBorders>
                    <w:tl2br w:val="nil"/>
                    <w:tr2bl w:val="nil"/>
                  </w:tcBorders>
                  <w:shd w:val="clear" w:color="auto" w:fill="auto"/>
                  <w:vAlign w:val="center"/>
                </w:tcPr>
                <w:p w14:paraId="2C788BF0">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p>
              </w:tc>
              <w:tc>
                <w:tcPr>
                  <w:tcW w:w="735" w:type="dxa"/>
                  <w:vMerge w:val="continue"/>
                  <w:tcBorders>
                    <w:tl2br w:val="nil"/>
                    <w:tr2bl w:val="nil"/>
                  </w:tcBorders>
                  <w:shd w:val="clear" w:color="auto" w:fill="auto"/>
                  <w:vAlign w:val="center"/>
                </w:tcPr>
                <w:p w14:paraId="27BCCB93">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p>
              </w:tc>
              <w:tc>
                <w:tcPr>
                  <w:tcW w:w="769" w:type="dxa"/>
                  <w:tcBorders>
                    <w:tl2br w:val="nil"/>
                    <w:tr2bl w:val="nil"/>
                  </w:tcBorders>
                  <w:shd w:val="clear" w:color="auto" w:fill="auto"/>
                  <w:vAlign w:val="center"/>
                </w:tcPr>
                <w:p w14:paraId="3401E51E">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活性炭吸附</w:t>
                  </w:r>
                </w:p>
              </w:tc>
              <w:tc>
                <w:tcPr>
                  <w:tcW w:w="1084" w:type="dxa"/>
                  <w:tcBorders>
                    <w:tl2br w:val="nil"/>
                    <w:tr2bl w:val="nil"/>
                  </w:tcBorders>
                  <w:shd w:val="clear" w:color="auto" w:fill="auto"/>
                  <w:vAlign w:val="center"/>
                </w:tcPr>
                <w:p w14:paraId="708E1B31">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77%</w:t>
                  </w:r>
                </w:p>
              </w:tc>
              <w:tc>
                <w:tcPr>
                  <w:tcW w:w="735" w:type="dxa"/>
                  <w:tcBorders>
                    <w:tl2br w:val="nil"/>
                    <w:tr2bl w:val="nil"/>
                  </w:tcBorders>
                  <w:shd w:val="clear" w:color="auto" w:fill="auto"/>
                  <w:vAlign w:val="center"/>
                </w:tcPr>
                <w:p w14:paraId="2667BD0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w:t>
                  </w:r>
                </w:p>
              </w:tc>
              <w:tc>
                <w:tcPr>
                  <w:tcW w:w="1041" w:type="dxa"/>
                  <w:tcBorders>
                    <w:tl2br w:val="nil"/>
                    <w:tr2bl w:val="nil"/>
                  </w:tcBorders>
                  <w:shd w:val="clear" w:color="auto" w:fill="auto"/>
                  <w:vAlign w:val="center"/>
                </w:tcPr>
                <w:p w14:paraId="2CEAE1B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0.466</w:t>
                  </w:r>
                </w:p>
              </w:tc>
              <w:tc>
                <w:tcPr>
                  <w:tcW w:w="934" w:type="dxa"/>
                  <w:tcBorders>
                    <w:tl2br w:val="nil"/>
                    <w:tr2bl w:val="nil"/>
                  </w:tcBorders>
                  <w:shd w:val="clear" w:color="auto" w:fill="auto"/>
                  <w:vAlign w:val="center"/>
                </w:tcPr>
                <w:p w14:paraId="03783542">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0.194</w:t>
                  </w:r>
                </w:p>
              </w:tc>
              <w:tc>
                <w:tcPr>
                  <w:tcW w:w="873" w:type="dxa"/>
                  <w:tcBorders>
                    <w:tl2br w:val="nil"/>
                    <w:tr2bl w:val="nil"/>
                  </w:tcBorders>
                  <w:shd w:val="clear" w:color="auto" w:fill="auto"/>
                  <w:vAlign w:val="center"/>
                </w:tcPr>
                <w:p w14:paraId="5FED7B6B">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38.81</w:t>
                  </w:r>
                </w:p>
              </w:tc>
              <w:tc>
                <w:tcPr>
                  <w:tcW w:w="597" w:type="dxa"/>
                  <w:tcBorders>
                    <w:tl2br w:val="nil"/>
                    <w:tr2bl w:val="nil"/>
                  </w:tcBorders>
                  <w:shd w:val="clear" w:color="auto" w:fill="auto"/>
                  <w:vAlign w:val="center"/>
                </w:tcPr>
                <w:p w14:paraId="17F73689">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1.8</w:t>
                  </w:r>
                </w:p>
              </w:tc>
              <w:tc>
                <w:tcPr>
                  <w:tcW w:w="811" w:type="dxa"/>
                  <w:tcBorders>
                    <w:tl2br w:val="nil"/>
                    <w:tr2bl w:val="nil"/>
                  </w:tcBorders>
                  <w:shd w:val="clear" w:color="auto" w:fill="auto"/>
                  <w:vAlign w:val="center"/>
                </w:tcPr>
                <w:p w14:paraId="7A954363">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100</w:t>
                  </w:r>
                </w:p>
              </w:tc>
              <w:tc>
                <w:tcPr>
                  <w:tcW w:w="553" w:type="dxa"/>
                  <w:tcBorders>
                    <w:tl2br w:val="nil"/>
                    <w:tr2bl w:val="nil"/>
                  </w:tcBorders>
                  <w:shd w:val="clear" w:color="auto" w:fill="auto"/>
                  <w:vAlign w:val="center"/>
                </w:tcPr>
                <w:p w14:paraId="6A9546C8">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w:t>
                  </w:r>
                </w:p>
              </w:tc>
            </w:tr>
            <w:tr w14:paraId="55C44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34" w:type="dxa"/>
                  <w:vMerge w:val="restart"/>
                  <w:tcBorders>
                    <w:tl2br w:val="nil"/>
                    <w:tr2bl w:val="nil"/>
                  </w:tcBorders>
                  <w:shd w:val="clear" w:color="auto" w:fill="auto"/>
                  <w:vAlign w:val="center"/>
                </w:tcPr>
                <w:p w14:paraId="6DA9BA41">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无组织废气总计</w:t>
                  </w:r>
                </w:p>
              </w:tc>
              <w:tc>
                <w:tcPr>
                  <w:tcW w:w="794" w:type="dxa"/>
                  <w:tcBorders>
                    <w:tl2br w:val="nil"/>
                    <w:tr2bl w:val="nil"/>
                  </w:tcBorders>
                  <w:shd w:val="clear" w:color="auto" w:fill="auto"/>
                  <w:vAlign w:val="center"/>
                </w:tcPr>
                <w:p w14:paraId="59FC4CA9">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颗粒物</w:t>
                  </w:r>
                </w:p>
              </w:tc>
              <w:tc>
                <w:tcPr>
                  <w:tcW w:w="875" w:type="dxa"/>
                  <w:tcBorders>
                    <w:tl2br w:val="nil"/>
                    <w:tr2bl w:val="nil"/>
                  </w:tcBorders>
                  <w:shd w:val="clear" w:color="auto" w:fill="auto"/>
                  <w:vAlign w:val="center"/>
                </w:tcPr>
                <w:p w14:paraId="3A53B1F8">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0.063</w:t>
                  </w:r>
                </w:p>
              </w:tc>
              <w:tc>
                <w:tcPr>
                  <w:tcW w:w="827" w:type="dxa"/>
                  <w:tcBorders>
                    <w:tl2br w:val="nil"/>
                    <w:tr2bl w:val="nil"/>
                  </w:tcBorders>
                  <w:shd w:val="clear" w:color="auto" w:fill="auto"/>
                  <w:vAlign w:val="center"/>
                </w:tcPr>
                <w:p w14:paraId="0682F5C0">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0.026</w:t>
                  </w:r>
                </w:p>
              </w:tc>
              <w:tc>
                <w:tcPr>
                  <w:tcW w:w="812" w:type="dxa"/>
                  <w:tcBorders>
                    <w:tl2br w:val="nil"/>
                    <w:tr2bl w:val="nil"/>
                  </w:tcBorders>
                  <w:shd w:val="clear" w:color="auto" w:fill="auto"/>
                  <w:vAlign w:val="center"/>
                </w:tcPr>
                <w:p w14:paraId="5AD7B370">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35" w:type="dxa"/>
                  <w:vMerge w:val="restart"/>
                  <w:tcBorders>
                    <w:tl2br w:val="nil"/>
                    <w:tr2bl w:val="nil"/>
                  </w:tcBorders>
                  <w:shd w:val="clear" w:color="auto" w:fill="auto"/>
                  <w:vAlign w:val="center"/>
                </w:tcPr>
                <w:p w14:paraId="1CF2E25C">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无组织</w:t>
                  </w:r>
                </w:p>
              </w:tc>
              <w:tc>
                <w:tcPr>
                  <w:tcW w:w="781" w:type="dxa"/>
                  <w:tcBorders>
                    <w:tl2br w:val="nil"/>
                    <w:tr2bl w:val="nil"/>
                  </w:tcBorders>
                  <w:shd w:val="clear" w:color="auto" w:fill="auto"/>
                  <w:vAlign w:val="center"/>
                </w:tcPr>
                <w:p w14:paraId="4A255AFB">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35" w:type="dxa"/>
                  <w:tcBorders>
                    <w:tl2br w:val="nil"/>
                    <w:tr2bl w:val="nil"/>
                  </w:tcBorders>
                  <w:shd w:val="clear" w:color="auto" w:fill="auto"/>
                  <w:vAlign w:val="center"/>
                </w:tcPr>
                <w:p w14:paraId="27BB8790">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69" w:type="dxa"/>
                  <w:vMerge w:val="restart"/>
                  <w:tcBorders>
                    <w:tl2br w:val="nil"/>
                    <w:tr2bl w:val="nil"/>
                  </w:tcBorders>
                  <w:shd w:val="clear" w:color="auto" w:fill="auto"/>
                  <w:vAlign w:val="center"/>
                </w:tcPr>
                <w:p w14:paraId="2EE4891C">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加强密闭</w:t>
                  </w:r>
                </w:p>
              </w:tc>
              <w:tc>
                <w:tcPr>
                  <w:tcW w:w="1084" w:type="dxa"/>
                  <w:tcBorders>
                    <w:tl2br w:val="nil"/>
                    <w:tr2bl w:val="nil"/>
                  </w:tcBorders>
                  <w:shd w:val="clear" w:color="auto" w:fill="auto"/>
                  <w:vAlign w:val="center"/>
                </w:tcPr>
                <w:p w14:paraId="67C10B38">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35" w:type="dxa"/>
                  <w:tcBorders>
                    <w:tl2br w:val="nil"/>
                    <w:tr2bl w:val="nil"/>
                  </w:tcBorders>
                  <w:shd w:val="clear" w:color="auto" w:fill="auto"/>
                  <w:vAlign w:val="center"/>
                </w:tcPr>
                <w:p w14:paraId="21F970DF">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1041" w:type="dxa"/>
                  <w:tcBorders>
                    <w:tl2br w:val="nil"/>
                    <w:tr2bl w:val="nil"/>
                  </w:tcBorders>
                  <w:shd w:val="clear" w:color="auto" w:fill="auto"/>
                  <w:vAlign w:val="center"/>
                </w:tcPr>
                <w:p w14:paraId="0BAD6867">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0.063</w:t>
                  </w:r>
                </w:p>
              </w:tc>
              <w:tc>
                <w:tcPr>
                  <w:tcW w:w="934" w:type="dxa"/>
                  <w:tcBorders>
                    <w:tl2br w:val="nil"/>
                    <w:tr2bl w:val="nil"/>
                  </w:tcBorders>
                  <w:shd w:val="clear" w:color="auto" w:fill="auto"/>
                  <w:vAlign w:val="center"/>
                </w:tcPr>
                <w:p w14:paraId="3E580DF4">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0.026</w:t>
                  </w:r>
                </w:p>
              </w:tc>
              <w:tc>
                <w:tcPr>
                  <w:tcW w:w="873" w:type="dxa"/>
                  <w:tcBorders>
                    <w:tl2br w:val="nil"/>
                    <w:tr2bl w:val="nil"/>
                  </w:tcBorders>
                  <w:shd w:val="clear" w:color="auto" w:fill="auto"/>
                  <w:vAlign w:val="center"/>
                </w:tcPr>
                <w:p w14:paraId="56A1095B">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597" w:type="dxa"/>
                  <w:tcBorders>
                    <w:tl2br w:val="nil"/>
                    <w:tr2bl w:val="nil"/>
                  </w:tcBorders>
                  <w:shd w:val="clear" w:color="auto" w:fill="auto"/>
                  <w:vAlign w:val="center"/>
                </w:tcPr>
                <w:p w14:paraId="4E4D78E8">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811" w:type="dxa"/>
                  <w:tcBorders>
                    <w:tl2br w:val="nil"/>
                    <w:tr2bl w:val="nil"/>
                  </w:tcBorders>
                  <w:shd w:val="clear" w:color="auto" w:fill="auto"/>
                  <w:vAlign w:val="center"/>
                </w:tcPr>
                <w:p w14:paraId="3299BEC1">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553" w:type="dxa"/>
                  <w:tcBorders>
                    <w:tl2br w:val="nil"/>
                    <w:tr2bl w:val="nil"/>
                  </w:tcBorders>
                  <w:shd w:val="clear" w:color="auto" w:fill="auto"/>
                  <w:vAlign w:val="center"/>
                </w:tcPr>
                <w:p w14:paraId="141CF41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r>
            <w:tr w14:paraId="68E90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34" w:type="dxa"/>
                  <w:vMerge w:val="continue"/>
                  <w:tcBorders>
                    <w:tl2br w:val="nil"/>
                    <w:tr2bl w:val="nil"/>
                  </w:tcBorders>
                  <w:shd w:val="clear" w:color="auto" w:fill="auto"/>
                  <w:vAlign w:val="center"/>
                </w:tcPr>
                <w:p w14:paraId="77254C5E">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p>
              </w:tc>
              <w:tc>
                <w:tcPr>
                  <w:tcW w:w="794" w:type="dxa"/>
                  <w:tcBorders>
                    <w:tl2br w:val="nil"/>
                    <w:tr2bl w:val="nil"/>
                  </w:tcBorders>
                  <w:shd w:val="clear" w:color="auto" w:fill="auto"/>
                  <w:vAlign w:val="center"/>
                </w:tcPr>
                <w:p w14:paraId="0011E1F1">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非甲烷总烃</w:t>
                  </w:r>
                </w:p>
              </w:tc>
              <w:tc>
                <w:tcPr>
                  <w:tcW w:w="875" w:type="dxa"/>
                  <w:tcBorders>
                    <w:tl2br w:val="nil"/>
                    <w:tr2bl w:val="nil"/>
                  </w:tcBorders>
                  <w:shd w:val="clear" w:color="auto" w:fill="auto"/>
                  <w:vAlign w:val="center"/>
                </w:tcPr>
                <w:p w14:paraId="7B24CCC8">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0.225</w:t>
                  </w:r>
                </w:p>
              </w:tc>
              <w:tc>
                <w:tcPr>
                  <w:tcW w:w="827" w:type="dxa"/>
                  <w:tcBorders>
                    <w:tl2br w:val="nil"/>
                    <w:tr2bl w:val="nil"/>
                  </w:tcBorders>
                  <w:shd w:val="clear" w:color="auto" w:fill="auto"/>
                  <w:vAlign w:val="center"/>
                </w:tcPr>
                <w:p w14:paraId="691BFA82">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0.094</w:t>
                  </w:r>
                </w:p>
              </w:tc>
              <w:tc>
                <w:tcPr>
                  <w:tcW w:w="812" w:type="dxa"/>
                  <w:tcBorders>
                    <w:tl2br w:val="nil"/>
                    <w:tr2bl w:val="nil"/>
                  </w:tcBorders>
                  <w:shd w:val="clear" w:color="auto" w:fill="auto"/>
                  <w:vAlign w:val="center"/>
                </w:tcPr>
                <w:p w14:paraId="1AC6BFDE">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35" w:type="dxa"/>
                  <w:vMerge w:val="continue"/>
                  <w:tcBorders>
                    <w:tl2br w:val="nil"/>
                    <w:tr2bl w:val="nil"/>
                  </w:tcBorders>
                  <w:shd w:val="clear" w:color="auto" w:fill="auto"/>
                  <w:vAlign w:val="center"/>
                </w:tcPr>
                <w:p w14:paraId="2D0008FD">
                  <w:pPr>
                    <w:pStyle w:val="114"/>
                    <w:bidi w:val="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p>
              </w:tc>
              <w:tc>
                <w:tcPr>
                  <w:tcW w:w="781" w:type="dxa"/>
                  <w:tcBorders>
                    <w:tl2br w:val="nil"/>
                    <w:tr2bl w:val="nil"/>
                  </w:tcBorders>
                  <w:shd w:val="clear" w:color="auto" w:fill="auto"/>
                  <w:vAlign w:val="center"/>
                </w:tcPr>
                <w:p w14:paraId="1F866208">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35" w:type="dxa"/>
                  <w:tcBorders>
                    <w:tl2br w:val="nil"/>
                    <w:tr2bl w:val="nil"/>
                  </w:tcBorders>
                  <w:shd w:val="clear" w:color="auto" w:fill="auto"/>
                  <w:vAlign w:val="center"/>
                </w:tcPr>
                <w:p w14:paraId="249BE92A">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69" w:type="dxa"/>
                  <w:vMerge w:val="continue"/>
                  <w:tcBorders>
                    <w:tl2br w:val="nil"/>
                    <w:tr2bl w:val="nil"/>
                  </w:tcBorders>
                  <w:shd w:val="clear" w:color="auto" w:fill="auto"/>
                  <w:vAlign w:val="center"/>
                </w:tcPr>
                <w:p w14:paraId="79FB9901">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pPr>
                </w:p>
              </w:tc>
              <w:tc>
                <w:tcPr>
                  <w:tcW w:w="1084" w:type="dxa"/>
                  <w:tcBorders>
                    <w:tl2br w:val="nil"/>
                    <w:tr2bl w:val="nil"/>
                  </w:tcBorders>
                  <w:shd w:val="clear" w:color="auto" w:fill="auto"/>
                  <w:vAlign w:val="center"/>
                </w:tcPr>
                <w:p w14:paraId="6E0659DF">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735" w:type="dxa"/>
                  <w:tcBorders>
                    <w:tl2br w:val="nil"/>
                    <w:tr2bl w:val="nil"/>
                  </w:tcBorders>
                  <w:shd w:val="clear" w:color="auto" w:fill="auto"/>
                  <w:vAlign w:val="center"/>
                </w:tcPr>
                <w:p w14:paraId="09D815CE">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1041" w:type="dxa"/>
                  <w:tcBorders>
                    <w:tl2br w:val="nil"/>
                    <w:tr2bl w:val="nil"/>
                  </w:tcBorders>
                  <w:shd w:val="clear" w:color="auto" w:fill="auto"/>
                  <w:vAlign w:val="center"/>
                </w:tcPr>
                <w:p w14:paraId="46B390D5">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0.225</w:t>
                  </w:r>
                </w:p>
              </w:tc>
              <w:tc>
                <w:tcPr>
                  <w:tcW w:w="934" w:type="dxa"/>
                  <w:tcBorders>
                    <w:tl2br w:val="nil"/>
                    <w:tr2bl w:val="nil"/>
                  </w:tcBorders>
                  <w:shd w:val="clear" w:color="auto" w:fill="auto"/>
                  <w:vAlign w:val="center"/>
                </w:tcPr>
                <w:p w14:paraId="33794F09">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0.094</w:t>
                  </w:r>
                </w:p>
              </w:tc>
              <w:tc>
                <w:tcPr>
                  <w:tcW w:w="873" w:type="dxa"/>
                  <w:tcBorders>
                    <w:tl2br w:val="nil"/>
                    <w:tr2bl w:val="nil"/>
                  </w:tcBorders>
                  <w:shd w:val="clear" w:color="auto" w:fill="auto"/>
                  <w:vAlign w:val="center"/>
                </w:tcPr>
                <w:p w14:paraId="1B65C128">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597" w:type="dxa"/>
                  <w:tcBorders>
                    <w:tl2br w:val="nil"/>
                    <w:tr2bl w:val="nil"/>
                  </w:tcBorders>
                  <w:shd w:val="clear" w:color="auto" w:fill="auto"/>
                  <w:vAlign w:val="center"/>
                </w:tcPr>
                <w:p w14:paraId="1D052F63">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811" w:type="dxa"/>
                  <w:tcBorders>
                    <w:tl2br w:val="nil"/>
                    <w:tr2bl w:val="nil"/>
                  </w:tcBorders>
                  <w:shd w:val="clear" w:color="auto" w:fill="auto"/>
                  <w:vAlign w:val="center"/>
                </w:tcPr>
                <w:p w14:paraId="623185E0">
                  <w:pPr>
                    <w:pStyle w:val="114"/>
                    <w:bidi w:val="0"/>
                    <w:ind w:firstLine="0" w:firstLineChars="0"/>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c>
                <w:tcPr>
                  <w:tcW w:w="553" w:type="dxa"/>
                  <w:tcBorders>
                    <w:tl2br w:val="nil"/>
                    <w:tr2bl w:val="nil"/>
                  </w:tcBorders>
                  <w:shd w:val="clear" w:color="auto" w:fill="auto"/>
                  <w:vAlign w:val="center"/>
                </w:tcPr>
                <w:p w14:paraId="5D4BF62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w:t>
                  </w:r>
                </w:p>
              </w:tc>
            </w:tr>
          </w:tbl>
          <w:p w14:paraId="4172D36E">
            <w:pPr>
              <w:pStyle w:val="118"/>
              <w:bidi w:val="0"/>
              <w:spacing w:line="240" w:lineRule="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2"/>
                <w:sz w:val="24"/>
                <w:szCs w:val="24"/>
                <w:highlight w:val="none"/>
                <w:lang w:val="en-US" w:eastAsia="zh-CN" w:bidi="ar-SA"/>
                <w14:textFill>
                  <w14:solidFill>
                    <w14:schemeClr w14:val="tx1"/>
                  </w14:solidFill>
                </w14:textFill>
              </w:rPr>
              <w:t>表4.2-2  大气排放口基本情况</w:t>
            </w:r>
          </w:p>
          <w:tbl>
            <w:tblPr>
              <w:tblStyle w:val="36"/>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550"/>
              <w:gridCol w:w="1321"/>
              <w:gridCol w:w="1321"/>
              <w:gridCol w:w="1321"/>
              <w:gridCol w:w="1322"/>
              <w:gridCol w:w="3793"/>
            </w:tblGrid>
            <w:tr w14:paraId="18C5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2" w:type="dxa"/>
                  <w:tcBorders>
                    <w:top w:val="single" w:color="auto" w:sz="12" w:space="0"/>
                    <w:left w:val="nil"/>
                  </w:tcBorders>
                  <w:vAlign w:val="center"/>
                </w:tcPr>
                <w:p w14:paraId="37E12D8F">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产排污环节</w:t>
                  </w:r>
                </w:p>
              </w:tc>
              <w:tc>
                <w:tcPr>
                  <w:tcW w:w="1550" w:type="dxa"/>
                  <w:tcBorders>
                    <w:top w:val="single" w:color="auto" w:sz="12" w:space="0"/>
                  </w:tcBorders>
                  <w:vAlign w:val="center"/>
                </w:tcPr>
                <w:p w14:paraId="2A3A3750">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编号及名称</w:t>
                  </w:r>
                </w:p>
              </w:tc>
              <w:tc>
                <w:tcPr>
                  <w:tcW w:w="1321" w:type="dxa"/>
                  <w:tcBorders>
                    <w:top w:val="single" w:color="auto" w:sz="12" w:space="0"/>
                  </w:tcBorders>
                  <w:vAlign w:val="center"/>
                </w:tcPr>
                <w:p w14:paraId="39D361BF">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高度/m</w:t>
                  </w:r>
                </w:p>
              </w:tc>
              <w:tc>
                <w:tcPr>
                  <w:tcW w:w="1321" w:type="dxa"/>
                  <w:tcBorders>
                    <w:top w:val="single" w:color="auto" w:sz="12" w:space="0"/>
                  </w:tcBorders>
                  <w:vAlign w:val="center"/>
                </w:tcPr>
                <w:p w14:paraId="6572B47C">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内径/m</w:t>
                  </w:r>
                </w:p>
              </w:tc>
              <w:tc>
                <w:tcPr>
                  <w:tcW w:w="1321" w:type="dxa"/>
                  <w:tcBorders>
                    <w:top w:val="single" w:color="auto" w:sz="12" w:space="0"/>
                  </w:tcBorders>
                  <w:vAlign w:val="center"/>
                </w:tcPr>
                <w:p w14:paraId="0AFF8A38">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温度/℃</w:t>
                  </w:r>
                </w:p>
              </w:tc>
              <w:tc>
                <w:tcPr>
                  <w:tcW w:w="1322" w:type="dxa"/>
                  <w:tcBorders>
                    <w:top w:val="single" w:color="auto" w:sz="12" w:space="0"/>
                  </w:tcBorders>
                  <w:vAlign w:val="center"/>
                </w:tcPr>
                <w:p w14:paraId="034EB72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类型</w:t>
                  </w:r>
                </w:p>
              </w:tc>
              <w:tc>
                <w:tcPr>
                  <w:tcW w:w="3793" w:type="dxa"/>
                  <w:tcBorders>
                    <w:top w:val="single" w:color="auto" w:sz="12" w:space="0"/>
                    <w:right w:val="nil"/>
                  </w:tcBorders>
                  <w:vAlign w:val="center"/>
                </w:tcPr>
                <w:p w14:paraId="393C627A">
                  <w:pPr>
                    <w:pStyle w:val="114"/>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地理坐标</w:t>
                  </w:r>
                </w:p>
              </w:tc>
            </w:tr>
            <w:tr w14:paraId="3F66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2" w:type="dxa"/>
                  <w:tcBorders>
                    <w:left w:val="nil"/>
                  </w:tcBorders>
                  <w:vAlign w:val="center"/>
                </w:tcPr>
                <w:p w14:paraId="39BA1632">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熔化和</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脱模</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废气</w:t>
                  </w:r>
                </w:p>
              </w:tc>
              <w:tc>
                <w:tcPr>
                  <w:tcW w:w="1550" w:type="dxa"/>
                  <w:vAlign w:val="center"/>
                </w:tcPr>
                <w:p w14:paraId="139A7477">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DA001</w:t>
                  </w:r>
                </w:p>
              </w:tc>
              <w:tc>
                <w:tcPr>
                  <w:tcW w:w="1321" w:type="dxa"/>
                  <w:vAlign w:val="center"/>
                </w:tcPr>
                <w:p w14:paraId="58A4965C">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15</w:t>
                  </w:r>
                </w:p>
              </w:tc>
              <w:tc>
                <w:tcPr>
                  <w:tcW w:w="1321" w:type="dxa"/>
                  <w:vAlign w:val="center"/>
                </w:tcPr>
                <w:p w14:paraId="64572615">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0.4</w:t>
                  </w:r>
                </w:p>
              </w:tc>
              <w:tc>
                <w:tcPr>
                  <w:tcW w:w="1321" w:type="dxa"/>
                  <w:vAlign w:val="center"/>
                </w:tcPr>
                <w:p w14:paraId="620FFF0C">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80</w:t>
                  </w:r>
                </w:p>
              </w:tc>
              <w:tc>
                <w:tcPr>
                  <w:tcW w:w="1322" w:type="dxa"/>
                  <w:vAlign w:val="center"/>
                </w:tcPr>
                <w:p w14:paraId="1A4202BC">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一般排放口</w:t>
                  </w:r>
                </w:p>
              </w:tc>
              <w:tc>
                <w:tcPr>
                  <w:tcW w:w="3793" w:type="dxa"/>
                  <w:tcBorders>
                    <w:right w:val="nil"/>
                  </w:tcBorders>
                  <w:vAlign w:val="center"/>
                </w:tcPr>
                <w:p w14:paraId="6600ADAC">
                  <w:pPr>
                    <w:pStyle w:val="114"/>
                    <w:bidi w:val="0"/>
                    <w:ind w:firstLine="0" w:firstLine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E119°</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5′</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15.376</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″E，N25°45′5</w:t>
                  </w: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4.823</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″N</w:t>
                  </w:r>
                </w:p>
              </w:tc>
            </w:tr>
          </w:tbl>
          <w:p w14:paraId="6879421B">
            <w:pPr>
              <w:bidi w:val="0"/>
              <w:rPr>
                <w:rFonts w:hint="default" w:ascii="Times New Roman" w:hAnsi="Times New Roman" w:cs="Times New Roman" w:eastAsiaTheme="minorEastAsia"/>
                <w:color w:val="000000" w:themeColor="text1"/>
                <w:highlight w:val="none"/>
                <w14:textFill>
                  <w14:solidFill>
                    <w14:schemeClr w14:val="tx1"/>
                  </w14:solidFill>
                </w14:textFill>
              </w:rPr>
            </w:pPr>
          </w:p>
        </w:tc>
      </w:tr>
    </w:tbl>
    <w:p w14:paraId="55B28AF1">
      <w:pPr>
        <w:pStyle w:val="29"/>
        <w:rPr>
          <w:rFonts w:hint="default" w:ascii="Times New Roman" w:hAnsi="Times New Roman" w:cs="Times New Roman" w:eastAsiaTheme="minorEastAsia"/>
          <w:color w:val="000000" w:themeColor="text1"/>
          <w14:textFill>
            <w14:solidFill>
              <w14:schemeClr w14:val="tx1"/>
            </w14:solidFill>
          </w14:textFill>
        </w:rPr>
        <w:sectPr>
          <w:pgSz w:w="16838" w:h="23811"/>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2EDC3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673D5645">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lang w:eastAsia="zh-CN"/>
                <w14:textFill>
                  <w14:solidFill>
                    <w14:schemeClr w14:val="tx1"/>
                  </w14:solidFill>
                </w14:textFill>
              </w:rPr>
              <w:t>运营期</w:t>
            </w:r>
            <w:r>
              <w:rPr>
                <w:rFonts w:hint="default" w:ascii="Times New Roman" w:hAnsi="Times New Roman" w:cs="Times New Roman" w:eastAsiaTheme="minorEastAsia"/>
                <w:color w:val="000000" w:themeColor="text1"/>
                <w:kern w:val="21"/>
                <w:sz w:val="24"/>
                <w:szCs w:val="24"/>
                <w14:textFill>
                  <w14:solidFill>
                    <w14:schemeClr w14:val="tx1"/>
                  </w14:solidFill>
                </w14:textFill>
              </w:rPr>
              <w:t>环</w:t>
            </w:r>
          </w:p>
          <w:p w14:paraId="12EA3384">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境保</w:t>
            </w:r>
          </w:p>
          <w:p w14:paraId="3BC65205">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护措</w:t>
            </w:r>
          </w:p>
          <w:p w14:paraId="5BC72E7A">
            <w:pPr>
              <w:jc w:val="center"/>
              <w:rPr>
                <w:rFonts w:hint="default" w:ascii="Times New Roman" w:hAnsi="Times New Roman" w:cs="Times New Roman" w:eastAsiaTheme="minorEastAsia"/>
                <w:bCs/>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施</w:t>
            </w:r>
          </w:p>
        </w:tc>
        <w:tc>
          <w:tcPr>
            <w:tcW w:w="8606" w:type="dxa"/>
            <w:vAlign w:val="center"/>
          </w:tcPr>
          <w:p w14:paraId="43B9D7C1">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bookmarkStart w:id="22" w:name="_Toc2741_WPSOffice_Level2"/>
            <w:bookmarkStart w:id="23" w:name="_Toc11435_WPSOffice_Level3"/>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2、大气环境的影响与预测分析</w:t>
            </w:r>
            <w:bookmarkEnd w:id="22"/>
            <w:bookmarkEnd w:id="23"/>
          </w:p>
          <w:p w14:paraId="631BA4EE">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(1)有组织废气达标分析</w:t>
            </w:r>
          </w:p>
          <w:p w14:paraId="2983E270">
            <w:pPr>
              <w:pStyle w:val="99"/>
              <w:ind w:firstLine="480"/>
              <w:rPr>
                <w:rFonts w:hint="default" w:ascii="Times New Roman" w:hAnsi="Times New Roman" w:cs="Times New Roman" w:eastAsiaTheme="minorEastAsia"/>
                <w:color w:val="000000" w:themeColor="text1"/>
                <w:lang w:bidi="ar"/>
                <w14:textFill>
                  <w14:solidFill>
                    <w14:schemeClr w14:val="tx1"/>
                  </w14:solidFill>
                </w14:textFill>
              </w:rPr>
            </w:pPr>
            <w:r>
              <w:rPr>
                <w:rFonts w:hint="default" w:ascii="Times New Roman" w:hAnsi="Times New Roman" w:cs="Times New Roman" w:eastAsiaTheme="minorEastAsia"/>
                <w:color w:val="000000" w:themeColor="text1"/>
                <w:lang w:bidi="ar"/>
                <w14:textFill>
                  <w14:solidFill>
                    <w14:schemeClr w14:val="tx1"/>
                  </w14:solidFill>
                </w14:textFill>
              </w:rPr>
              <w:t>根据</w:t>
            </w:r>
            <w:r>
              <w:rPr>
                <w:rFonts w:hint="default" w:ascii="Times New Roman" w:hAnsi="Times New Roman" w:cs="Times New Roman" w:eastAsiaTheme="minorEastAsia"/>
                <w:color w:val="000000" w:themeColor="text1"/>
                <w:lang w:eastAsia="zh-CN" w:bidi="ar"/>
                <w14:textFill>
                  <w14:solidFill>
                    <w14:schemeClr w14:val="tx1"/>
                  </w14:solidFill>
                </w14:textFill>
              </w:rPr>
              <w:t>工程</w:t>
            </w:r>
            <w:r>
              <w:rPr>
                <w:rFonts w:hint="default" w:ascii="Times New Roman" w:hAnsi="Times New Roman" w:cs="Times New Roman" w:eastAsiaTheme="minorEastAsia"/>
                <w:color w:val="000000" w:themeColor="text1"/>
                <w:lang w:bidi="ar"/>
                <w14:textFill>
                  <w14:solidFill>
                    <w14:schemeClr w14:val="tx1"/>
                  </w14:solidFill>
                </w14:textFill>
              </w:rPr>
              <w:t>分析，</w:t>
            </w:r>
            <w:r>
              <w:rPr>
                <w:rFonts w:hint="default" w:ascii="Times New Roman" w:hAnsi="Times New Roman" w:cs="Times New Roman" w:eastAsiaTheme="minorEastAsia"/>
                <w:color w:val="000000" w:themeColor="text1"/>
                <w:lang w:eastAsia="zh-CN" w:bidi="ar"/>
                <w14:textFill>
                  <w14:solidFill>
                    <w14:schemeClr w14:val="tx1"/>
                  </w14:solidFill>
                </w14:textFill>
              </w:rPr>
              <w:t>感应电炉</w:t>
            </w:r>
            <w:r>
              <w:rPr>
                <w:rFonts w:hint="default" w:ascii="Times New Roman" w:hAnsi="Times New Roman" w:cs="Times New Roman" w:eastAsiaTheme="minorEastAsia"/>
                <w:color w:val="000000" w:themeColor="text1"/>
                <w:lang w:val="en-US" w:eastAsia="zh-CN" w:bidi="ar"/>
                <w14:textFill>
                  <w14:solidFill>
                    <w14:schemeClr w14:val="tx1"/>
                  </w14:solidFill>
                </w14:textFill>
              </w:rPr>
              <w:t>熔化</w:t>
            </w:r>
            <w:r>
              <w:rPr>
                <w:rFonts w:hint="default" w:ascii="Times New Roman" w:hAnsi="Times New Roman" w:cs="Times New Roman" w:eastAsiaTheme="minorEastAsia"/>
                <w:color w:val="000000" w:themeColor="text1"/>
                <w:lang w:bidi="ar"/>
                <w14:textFill>
                  <w14:solidFill>
                    <w14:schemeClr w14:val="tx1"/>
                  </w14:solidFill>
                </w14:textFill>
              </w:rPr>
              <w:t>废气</w:t>
            </w:r>
            <w:r>
              <w:rPr>
                <w:rFonts w:hint="default" w:ascii="Times New Roman" w:hAnsi="Times New Roman" w:cs="Times New Roman" w:eastAsiaTheme="minorEastAsia"/>
                <w:color w:val="000000" w:themeColor="text1"/>
                <w:lang w:val="en-US" w:eastAsia="zh-CN" w:bidi="ar"/>
                <w14:textFill>
                  <w14:solidFill>
                    <w14:schemeClr w14:val="tx1"/>
                  </w14:solidFill>
                </w14:textFill>
              </w:rPr>
              <w:t>和压铸脱模废气</w:t>
            </w:r>
            <w:r>
              <w:rPr>
                <w:rFonts w:hint="default" w:ascii="Times New Roman" w:hAnsi="Times New Roman" w:cs="Times New Roman" w:eastAsiaTheme="minorEastAsia"/>
                <w:color w:val="000000" w:themeColor="text1"/>
                <w:lang w:bidi="ar"/>
                <w14:textFill>
                  <w14:solidFill>
                    <w14:schemeClr w14:val="tx1"/>
                  </w14:solidFill>
                </w14:textFill>
              </w:rPr>
              <w:t>经</w:t>
            </w:r>
            <w:r>
              <w:rPr>
                <w:rFonts w:hint="default" w:ascii="Times New Roman" w:hAnsi="Times New Roman" w:cs="Times New Roman" w:eastAsiaTheme="minorEastAsia"/>
                <w:color w:val="000000" w:themeColor="text1"/>
                <w:lang w:val="en-US" w:eastAsia="zh-CN" w:bidi="ar"/>
                <w14:textFill>
                  <w14:solidFill>
                    <w14:schemeClr w14:val="tx1"/>
                  </w14:solidFill>
                </w14:textFill>
              </w:rPr>
              <w:t>各自</w:t>
            </w:r>
            <w:r>
              <w:rPr>
                <w:rFonts w:hint="default" w:ascii="Times New Roman" w:hAnsi="Times New Roman" w:cs="Times New Roman" w:eastAsiaTheme="minorEastAsia"/>
                <w:color w:val="000000" w:themeColor="text1"/>
                <w:lang w:eastAsia="zh-CN" w:bidi="ar"/>
                <w14:textFill>
                  <w14:solidFill>
                    <w14:schemeClr w14:val="tx1"/>
                  </w14:solidFill>
                </w14:textFill>
              </w:rPr>
              <w:t>集气罩</w:t>
            </w:r>
            <w:r>
              <w:rPr>
                <w:rFonts w:hint="default" w:ascii="Times New Roman" w:hAnsi="Times New Roman" w:cs="Times New Roman" w:eastAsiaTheme="minorEastAsia"/>
                <w:color w:val="000000" w:themeColor="text1"/>
                <w:lang w:bidi="ar"/>
                <w14:textFill>
                  <w14:solidFill>
                    <w14:schemeClr w14:val="tx1"/>
                  </w14:solidFill>
                </w14:textFill>
              </w:rPr>
              <w:t>收集</w:t>
            </w:r>
            <w:r>
              <w:rPr>
                <w:rFonts w:hint="default" w:ascii="Times New Roman" w:hAnsi="Times New Roman" w:cs="Times New Roman" w:eastAsiaTheme="minorEastAsia"/>
                <w:color w:val="000000" w:themeColor="text1"/>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收集的废气汇总至一根总管，</w:t>
            </w:r>
            <w:r>
              <w:rPr>
                <w:rFonts w:hint="default" w:ascii="Times New Roman" w:hAnsi="Times New Roman" w:cs="Times New Roman" w:eastAsiaTheme="minorEastAsia"/>
                <w:color w:val="000000" w:themeColor="text1"/>
                <w:lang w:eastAsia="zh-CN" w:bidi="ar"/>
                <w14:textFill>
                  <w14:solidFill>
                    <w14:schemeClr w14:val="tx1"/>
                  </w14:solidFill>
                </w14:textFill>
              </w:rPr>
              <w:t>采</w:t>
            </w:r>
            <w:r>
              <w:rPr>
                <w:rFonts w:hint="default" w:ascii="Times New Roman" w:hAnsi="Times New Roman" w:cs="Times New Roman" w:eastAsiaTheme="minorEastAsia"/>
                <w:color w:val="000000" w:themeColor="text1"/>
                <w:highlight w:val="none"/>
                <w:lang w:eastAsia="zh-CN" w:bidi="ar"/>
                <w14:textFill>
                  <w14:solidFill>
                    <w14:schemeClr w14:val="tx1"/>
                  </w14:solidFill>
                </w14:textFill>
              </w:rPr>
              <w:t>用</w:t>
            </w:r>
            <w:r>
              <w:rPr>
                <w:rFonts w:hint="eastAsia" w:cs="Times New Roman" w:eastAsiaTheme="minorEastAsia"/>
                <w:color w:val="000000" w:themeColor="text1"/>
                <w:highlight w:val="none"/>
                <w:lang w:eastAsia="zh-CN" w:bidi="ar"/>
                <w14:textFill>
                  <w14:solidFill>
                    <w14:schemeClr w14:val="tx1"/>
                  </w14:solidFill>
                </w14:textFill>
              </w:rPr>
              <w:t>“</w:t>
            </w:r>
            <w:r>
              <w:rPr>
                <w:rFonts w:hint="eastAsia" w:cs="Times New Roman" w:eastAsiaTheme="minorEastAsia"/>
                <w:b w:val="0"/>
                <w:bCs w:val="0"/>
                <w:color w:val="000000" w:themeColor="text1"/>
                <w:szCs w:val="21"/>
                <w:highlight w:val="none"/>
                <w:lang w:val="en-US" w:eastAsia="zh-CN"/>
                <w14:textFill>
                  <w14:solidFill>
                    <w14:schemeClr w14:val="tx1"/>
                  </w14:solidFill>
                </w14:textFill>
              </w:rPr>
              <w:t>喷淋+干式过滤</w:t>
            </w:r>
            <w: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t>+活性炭吸附装置</w:t>
            </w:r>
            <w:r>
              <w:rPr>
                <w:rFonts w:hint="eastAsia" w:cs="Times New Roman" w:eastAsiaTheme="minorEastAsia"/>
                <w:color w:val="000000" w:themeColor="text1"/>
                <w:highlight w:val="none"/>
                <w:lang w:eastAsia="zh-CN" w:bidi="ar"/>
                <w14:textFill>
                  <w14:solidFill>
                    <w14:schemeClr w14:val="tx1"/>
                  </w14:solidFill>
                </w14:textFill>
              </w:rPr>
              <w:t>”</w:t>
            </w:r>
            <w:r>
              <w:rPr>
                <w:rFonts w:hint="default" w:ascii="Times New Roman" w:hAnsi="Times New Roman" w:cs="Times New Roman" w:eastAsiaTheme="minorEastAsia"/>
                <w:color w:val="000000" w:themeColor="text1"/>
                <w:highlight w:val="none"/>
                <w:lang w:bidi="ar"/>
                <w14:textFill>
                  <w14:solidFill>
                    <w14:schemeClr w14:val="tx1"/>
                  </w14:solidFill>
                </w14:textFill>
              </w:rPr>
              <w:t>处理后</w:t>
            </w:r>
            <w:r>
              <w:rPr>
                <w:rFonts w:hint="default" w:ascii="Times New Roman" w:hAnsi="Times New Roman" w:cs="Times New Roman" w:eastAsiaTheme="minorEastAsia"/>
                <w:color w:val="000000" w:themeColor="text1"/>
                <w:highlight w:val="none"/>
                <w:lang w:eastAsia="zh-CN" w:bidi="ar"/>
                <w14:textFill>
                  <w14:solidFill>
                    <w14:schemeClr w14:val="tx1"/>
                  </w14:solidFill>
                </w14:textFill>
              </w:rPr>
              <w:t>通过</w:t>
            </w:r>
            <w:r>
              <w:rPr>
                <w:rFonts w:hint="default" w:ascii="Times New Roman" w:hAnsi="Times New Roman" w:cs="Times New Roman" w:eastAsiaTheme="minorEastAsia"/>
                <w:color w:val="000000" w:themeColor="text1"/>
                <w:highlight w:val="none"/>
                <w:lang w:val="en-US" w:eastAsia="zh-CN" w:bidi="ar"/>
                <w14:textFill>
                  <w14:solidFill>
                    <w14:schemeClr w14:val="tx1"/>
                  </w14:solidFill>
                </w14:textFill>
              </w:rPr>
              <w:t>1根15m</w:t>
            </w:r>
            <w:r>
              <w:rPr>
                <w:rFonts w:hint="default" w:ascii="Times New Roman" w:hAnsi="Times New Roman" w:cs="Times New Roman" w:eastAsiaTheme="minorEastAsia"/>
                <w:color w:val="000000" w:themeColor="text1"/>
                <w:highlight w:val="none"/>
                <w:lang w:bidi="ar"/>
                <w14:textFill>
                  <w14:solidFill>
                    <w14:schemeClr w14:val="tx1"/>
                  </w14:solidFill>
                </w14:textFill>
              </w:rPr>
              <w:t>排气筒</w:t>
            </w:r>
            <w:r>
              <w:rPr>
                <w:rFonts w:hint="default" w:ascii="Times New Roman" w:hAnsi="Times New Roman" w:cs="Times New Roman" w:eastAsiaTheme="minorEastAsia"/>
                <w:color w:val="000000" w:themeColor="text1"/>
                <w:highlight w:val="none"/>
                <w:lang w:val="en-US" w:eastAsia="zh-CN" w:bidi="ar"/>
                <w14:textFill>
                  <w14:solidFill>
                    <w14:schemeClr w14:val="tx1"/>
                  </w14:solidFill>
                </w14:textFill>
              </w:rPr>
              <w:t>DA001</w:t>
            </w:r>
            <w:r>
              <w:rPr>
                <w:rFonts w:hint="default" w:ascii="Times New Roman" w:hAnsi="Times New Roman" w:cs="Times New Roman" w:eastAsiaTheme="minorEastAsia"/>
                <w:color w:val="000000" w:themeColor="text1"/>
                <w:highlight w:val="none"/>
                <w:lang w:bidi="ar"/>
                <w14:textFill>
                  <w14:solidFill>
                    <w14:schemeClr w14:val="tx1"/>
                  </w14:solidFill>
                </w14:textFill>
              </w:rPr>
              <w:t>高空排放，</w:t>
            </w:r>
            <w:r>
              <w:rPr>
                <w:rFonts w:hint="default" w:ascii="Times New Roman" w:hAnsi="Times New Roman" w:cs="Times New Roman" w:eastAsiaTheme="minorEastAsia"/>
                <w:color w:val="000000" w:themeColor="text1"/>
                <w:highlight w:val="none"/>
                <w:lang w:eastAsia="zh-CN" w:bidi="ar"/>
                <w14:textFill>
                  <w14:solidFill>
                    <w14:schemeClr w14:val="tx1"/>
                  </w14:solidFill>
                </w14:textFill>
              </w:rPr>
              <w:t>颗粒物</w:t>
            </w:r>
            <w:r>
              <w:rPr>
                <w:rFonts w:hint="default" w:ascii="Times New Roman" w:hAnsi="Times New Roman" w:cs="Times New Roman" w:eastAsiaTheme="minorEastAsia"/>
                <w:color w:val="000000" w:themeColor="text1"/>
                <w:highlight w:val="none"/>
                <w:lang w:bidi="ar"/>
                <w14:textFill>
                  <w14:solidFill>
                    <w14:schemeClr w14:val="tx1"/>
                  </w14:solidFill>
                </w14:textFill>
              </w:rPr>
              <w:t>排放浓度</w:t>
            </w:r>
            <w:r>
              <w:rPr>
                <w:rFonts w:hint="eastAsia" w:cs="Times New Roman" w:eastAsiaTheme="minorEastAsia"/>
                <w:color w:val="000000" w:themeColor="text1"/>
                <w:highlight w:val="none"/>
                <w:lang w:val="en-US" w:eastAsia="zh-CN" w:bidi="ar"/>
                <w14:textFill>
                  <w14:solidFill>
                    <w14:schemeClr w14:val="tx1"/>
                  </w14:solidFill>
                </w14:textFill>
              </w:rPr>
              <w:t>7</w:t>
            </w:r>
            <w:r>
              <w:rPr>
                <w:rFonts w:hint="default" w:ascii="Times New Roman" w:hAnsi="Times New Roman" w:cs="Times New Roman" w:eastAsiaTheme="minorEastAsia"/>
                <w:color w:val="000000" w:themeColor="text1"/>
                <w:highlight w:val="none"/>
                <w:lang w:bidi="ar"/>
                <w14:textFill>
                  <w14:solidFill>
                    <w14:schemeClr w14:val="tx1"/>
                  </w14:solidFill>
                </w14:textFill>
              </w:rPr>
              <w:t>mg/m</w:t>
            </w:r>
            <w:r>
              <w:rPr>
                <w:rFonts w:hint="default" w:ascii="Times New Roman" w:hAnsi="Times New Roman" w:cs="Times New Roman" w:eastAsiaTheme="minorEastAsia"/>
                <w:color w:val="000000" w:themeColor="text1"/>
                <w:highlight w:val="none"/>
                <w:vertAlign w:val="superscript"/>
                <w:lang w:bidi="ar"/>
                <w14:textFill>
                  <w14:solidFill>
                    <w14:schemeClr w14:val="tx1"/>
                  </w14:solidFill>
                </w14:textFill>
              </w:rPr>
              <w:t>3</w:t>
            </w:r>
            <w:r>
              <w:rPr>
                <w:rFonts w:hint="default" w:ascii="Times New Roman" w:hAnsi="Times New Roman" w:cs="Times New Roman" w:eastAsiaTheme="minorEastAsia"/>
                <w:color w:val="000000" w:themeColor="text1"/>
                <w:highlight w:val="none"/>
                <w:lang w:bidi="ar"/>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bidi="ar"/>
                <w14:textFill>
                  <w14:solidFill>
                    <w14:schemeClr w14:val="tx1"/>
                  </w14:solidFill>
                </w14:textFill>
              </w:rPr>
              <w:t>可</w:t>
            </w:r>
            <w:r>
              <w:rPr>
                <w:rFonts w:hint="default" w:ascii="Times New Roman" w:hAnsi="Times New Roman" w:cs="Times New Roman" w:eastAsiaTheme="minorEastAsia"/>
                <w:color w:val="000000" w:themeColor="text1"/>
                <w:lang w:val="en-US" w:eastAsia="zh-CN" w:bidi="ar"/>
                <w14:textFill>
                  <w14:solidFill>
                    <w14:schemeClr w14:val="tx1"/>
                  </w14:solidFill>
                </w14:textFill>
              </w:rPr>
              <w:t>符合</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hd w:val="clear" w:color="auto" w:fill="FFFFFF"/>
                <w:lang w:eastAsia="zh-CN"/>
                <w14:textFill>
                  <w14:solidFill>
                    <w14:schemeClr w14:val="tx1"/>
                  </w14:solidFill>
                </w14:textFill>
              </w:rPr>
              <w:t>）表</w:t>
            </w:r>
            <w:r>
              <w:rPr>
                <w:rFonts w:hint="default" w:ascii="Times New Roman" w:hAnsi="Times New Roman" w:cs="Times New Roman" w:eastAsiaTheme="minorEastAsia"/>
                <w:color w:val="000000" w:themeColor="text1"/>
                <w:sz w:val="24"/>
                <w:shd w:val="clear" w:color="auto" w:fill="FFFFFF"/>
                <w:lang w:val="en-US" w:eastAsia="zh-CN"/>
                <w14:textFill>
                  <w14:solidFill>
                    <w14:schemeClr w14:val="tx1"/>
                  </w14:solidFill>
                </w14:textFill>
              </w:rPr>
              <w:t>1中的“感应电炉”的限值要求</w:t>
            </w:r>
            <w:r>
              <w:rPr>
                <w:rFonts w:hint="default" w:ascii="Times New Roman" w:hAnsi="Times New Roman" w:cs="Times New Roman" w:eastAsiaTheme="minorEastAsia"/>
                <w:color w:val="000000" w:themeColor="text1"/>
                <w:lang w:eastAsia="zh-CN" w:bidi="ar"/>
                <w14:textFill>
                  <w14:solidFill>
                    <w14:schemeClr w14:val="tx1"/>
                  </w14:solidFill>
                </w14:textFill>
              </w:rPr>
              <w:t>（</w:t>
            </w:r>
            <w:r>
              <w:rPr>
                <w:rFonts w:hint="default" w:ascii="Times New Roman" w:hAnsi="Times New Roman" w:cs="Times New Roman" w:eastAsiaTheme="minorEastAsia"/>
                <w:color w:val="000000" w:themeColor="text1"/>
                <w:lang w:val="en-US" w:eastAsia="zh-CN" w:bidi="ar"/>
                <w14:textFill>
                  <w14:solidFill>
                    <w14:schemeClr w14:val="tx1"/>
                  </w14:solidFill>
                </w14:textFill>
              </w:rPr>
              <w:t>颗粒物≤30</w:t>
            </w:r>
            <w:r>
              <w:rPr>
                <w:rFonts w:hint="default" w:ascii="Times New Roman" w:hAnsi="Times New Roman" w:cs="Times New Roman" w:eastAsiaTheme="minorEastAsia"/>
                <w:color w:val="000000" w:themeColor="text1"/>
                <w:lang w:bidi="ar"/>
                <w14:textFill>
                  <w14:solidFill>
                    <w14:schemeClr w14:val="tx1"/>
                  </w14:solidFill>
                </w14:textFill>
              </w:rPr>
              <w:t>mg/m</w:t>
            </w:r>
            <w:r>
              <w:rPr>
                <w:rFonts w:hint="default" w:ascii="Times New Roman" w:hAnsi="Times New Roman" w:cs="Times New Roman" w:eastAsiaTheme="minorEastAsia"/>
                <w:color w:val="000000" w:themeColor="text1"/>
                <w:vertAlign w:val="superscript"/>
                <w:lang w:bidi="ar"/>
                <w14:textFill>
                  <w14:solidFill>
                    <w14:schemeClr w14:val="tx1"/>
                  </w14:solidFill>
                </w14:textFill>
              </w:rPr>
              <w:t>3</w:t>
            </w:r>
            <w:r>
              <w:rPr>
                <w:rFonts w:hint="default" w:ascii="Times New Roman" w:hAnsi="Times New Roman" w:cs="Times New Roman" w:eastAsiaTheme="minorEastAsia"/>
                <w:color w:val="000000" w:themeColor="text1"/>
                <w:lang w:eastAsia="zh-CN" w:bidi="ar"/>
                <w14:textFill>
                  <w14:solidFill>
                    <w14:schemeClr w14:val="tx1"/>
                  </w14:solidFill>
                </w14:textFill>
              </w:rPr>
              <w:t>）；</w:t>
            </w:r>
            <w:r>
              <w:rPr>
                <w:rFonts w:hint="default" w:ascii="Times New Roman" w:hAnsi="Times New Roman" w:cs="Times New Roman" w:eastAsiaTheme="minorEastAsia"/>
                <w:color w:val="000000" w:themeColor="text1"/>
                <w:lang w:bidi="ar"/>
                <w14:textFill>
                  <w14:solidFill>
                    <w14:schemeClr w14:val="tx1"/>
                  </w14:solidFill>
                </w14:textFill>
              </w:rPr>
              <w:t>非甲烷总烃排放浓度为</w:t>
            </w:r>
            <w:r>
              <w:rPr>
                <w:rFonts w:hint="default" w:ascii="Times New Roman" w:hAnsi="Times New Roman" w:cs="Times New Roman" w:eastAsiaTheme="minorEastAsia"/>
                <w:color w:val="000000" w:themeColor="text1"/>
                <w:lang w:val="en-US" w:eastAsia="zh-CN" w:bidi="ar"/>
                <w14:textFill>
                  <w14:solidFill>
                    <w14:schemeClr w14:val="tx1"/>
                  </w14:solidFill>
                </w14:textFill>
              </w:rPr>
              <w:t>38.81</w:t>
            </w:r>
            <w:r>
              <w:rPr>
                <w:rFonts w:hint="default" w:ascii="Times New Roman" w:hAnsi="Times New Roman" w:cs="Times New Roman" w:eastAsiaTheme="minorEastAsia"/>
                <w:color w:val="000000" w:themeColor="text1"/>
                <w:lang w:bidi="ar"/>
                <w14:textFill>
                  <w14:solidFill>
                    <w14:schemeClr w14:val="tx1"/>
                  </w14:solidFill>
                </w14:textFill>
              </w:rPr>
              <w:t>mg/m</w:t>
            </w:r>
            <w:r>
              <w:rPr>
                <w:rFonts w:hint="default" w:ascii="Times New Roman" w:hAnsi="Times New Roman" w:cs="Times New Roman" w:eastAsiaTheme="minorEastAsia"/>
                <w:color w:val="000000" w:themeColor="text1"/>
                <w:vertAlign w:val="superscript"/>
                <w:lang w:bidi="ar"/>
                <w14:textFill>
                  <w14:solidFill>
                    <w14:schemeClr w14:val="tx1"/>
                  </w14:solidFill>
                </w14:textFill>
              </w:rPr>
              <w:t>3</w:t>
            </w:r>
            <w:r>
              <w:rPr>
                <w:rFonts w:hint="default" w:ascii="Times New Roman" w:hAnsi="Times New Roman" w:cs="Times New Roman" w:eastAsiaTheme="minorEastAsia"/>
                <w:color w:val="000000" w:themeColor="text1"/>
                <w:lang w:eastAsia="zh-CN" w:bidi="ar"/>
                <w14:textFill>
                  <w14:solidFill>
                    <w14:schemeClr w14:val="tx1"/>
                  </w14:solidFill>
                </w14:textFill>
              </w:rPr>
              <w:t>、排放速率为</w:t>
            </w:r>
            <w:r>
              <w:rPr>
                <w:rFonts w:hint="default" w:ascii="Times New Roman" w:hAnsi="Times New Roman" w:cs="Times New Roman" w:eastAsiaTheme="minorEastAsia"/>
                <w:color w:val="000000" w:themeColor="text1"/>
                <w:lang w:val="en-US" w:eastAsia="zh-CN" w:bidi="ar"/>
                <w14:textFill>
                  <w14:solidFill>
                    <w14:schemeClr w14:val="tx1"/>
                  </w14:solidFill>
                </w14:textFill>
              </w:rPr>
              <w:t>0.194kg/h，</w:t>
            </w:r>
            <w:r>
              <w:rPr>
                <w:rFonts w:hint="default" w:ascii="Times New Roman" w:hAnsi="Times New Roman" w:cs="Times New Roman" w:eastAsiaTheme="minorEastAsia"/>
                <w:color w:val="000000" w:themeColor="text1"/>
                <w:lang w:eastAsia="zh-CN" w:bidi="ar"/>
                <w14:textFill>
                  <w14:solidFill>
                    <w14:schemeClr w14:val="tx1"/>
                  </w14:solidFill>
                </w14:textFill>
              </w:rPr>
              <w:t>可</w:t>
            </w:r>
            <w:r>
              <w:rPr>
                <w:rFonts w:hint="default" w:ascii="Times New Roman" w:hAnsi="Times New Roman" w:cs="Times New Roman" w:eastAsiaTheme="minorEastAsia"/>
                <w:color w:val="000000" w:themeColor="text1"/>
                <w:lang w:bidi="ar"/>
                <w14:textFill>
                  <w14:solidFill>
                    <w14:schemeClr w14:val="tx1"/>
                  </w14:solidFill>
                </w14:textFill>
              </w:rPr>
              <w:t>符合《工业企业挥发性有机物排放标准》(DB35/1782</w:t>
            </w:r>
            <w:r>
              <w:rPr>
                <w:rFonts w:hint="default" w:ascii="Times New Roman" w:hAnsi="Times New Roman" w:cs="Times New Roman" w:eastAsiaTheme="minorEastAsia"/>
                <w:color w:val="000000" w:themeColor="text1"/>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lang w:bidi="ar"/>
                <w14:textFill>
                  <w14:solidFill>
                    <w14:schemeClr w14:val="tx1"/>
                  </w14:solidFill>
                </w14:textFill>
              </w:rPr>
              <w:t>2018)表1中的其他行业挥发性有机物排放限值</w:t>
            </w:r>
            <w:r>
              <w:rPr>
                <w:rFonts w:hint="default" w:ascii="Times New Roman" w:hAnsi="Times New Roman" w:cs="Times New Roman" w:eastAsiaTheme="minorEastAsia"/>
                <w:color w:val="000000" w:themeColor="text1"/>
                <w:lang w:eastAsia="zh-CN" w:bidi="ar"/>
                <w14:textFill>
                  <w14:solidFill>
                    <w14:schemeClr w14:val="tx1"/>
                  </w14:solidFill>
                </w14:textFill>
              </w:rPr>
              <w:t>（</w:t>
            </w:r>
            <w:r>
              <w:rPr>
                <w:rFonts w:hint="default" w:ascii="Times New Roman" w:hAnsi="Times New Roman" w:cs="Times New Roman" w:eastAsiaTheme="minorEastAsia"/>
                <w:color w:val="000000" w:themeColor="text1"/>
                <w:lang w:val="en-US" w:eastAsia="zh-CN" w:bidi="ar"/>
                <w14:textFill>
                  <w14:solidFill>
                    <w14:schemeClr w14:val="tx1"/>
                  </w14:solidFill>
                </w14:textFill>
              </w:rPr>
              <w:t>非甲烷总烃排放浓度≤100</w:t>
            </w:r>
            <w:r>
              <w:rPr>
                <w:rFonts w:hint="default" w:ascii="Times New Roman" w:hAnsi="Times New Roman" w:cs="Times New Roman" w:eastAsiaTheme="minorEastAsia"/>
                <w:color w:val="000000" w:themeColor="text1"/>
                <w:lang w:bidi="ar"/>
                <w14:textFill>
                  <w14:solidFill>
                    <w14:schemeClr w14:val="tx1"/>
                  </w14:solidFill>
                </w14:textFill>
              </w:rPr>
              <w:t>mg/m</w:t>
            </w:r>
            <w:r>
              <w:rPr>
                <w:rFonts w:hint="default" w:ascii="Times New Roman" w:hAnsi="Times New Roman" w:cs="Times New Roman" w:eastAsiaTheme="minorEastAsia"/>
                <w:color w:val="000000" w:themeColor="text1"/>
                <w:vertAlign w:val="superscript"/>
                <w:lang w:bidi="ar"/>
                <w14:textFill>
                  <w14:solidFill>
                    <w14:schemeClr w14:val="tx1"/>
                  </w14:solidFill>
                </w14:textFill>
              </w:rPr>
              <w:t>3</w:t>
            </w:r>
            <w:r>
              <w:rPr>
                <w:rFonts w:hint="default" w:ascii="Times New Roman" w:hAnsi="Times New Roman" w:cs="Times New Roman" w:eastAsiaTheme="minorEastAsia"/>
                <w:color w:val="000000" w:themeColor="text1"/>
                <w:lang w:eastAsia="zh-CN" w:bidi="ar"/>
                <w14:textFill>
                  <w14:solidFill>
                    <w14:schemeClr w14:val="tx1"/>
                  </w14:solidFill>
                </w14:textFill>
              </w:rPr>
              <w:t>、排放速率</w:t>
            </w:r>
            <w:r>
              <w:rPr>
                <w:rFonts w:hint="default" w:ascii="Times New Roman" w:hAnsi="Times New Roman" w:cs="Times New Roman" w:eastAsiaTheme="minorEastAsia"/>
                <w:color w:val="000000" w:themeColor="text1"/>
                <w:lang w:val="en-US" w:eastAsia="zh-CN" w:bidi="ar"/>
                <w14:textFill>
                  <w14:solidFill>
                    <w14:schemeClr w14:val="tx1"/>
                  </w14:solidFill>
                </w14:textFill>
              </w:rPr>
              <w:t>≤1.8kg/h</w:t>
            </w:r>
            <w:r>
              <w:rPr>
                <w:rFonts w:hint="default" w:ascii="Times New Roman" w:hAnsi="Times New Roman" w:cs="Times New Roman" w:eastAsiaTheme="minorEastAsia"/>
                <w:color w:val="000000" w:themeColor="text1"/>
                <w:lang w:eastAsia="zh-CN" w:bidi="ar"/>
                <w14:textFill>
                  <w14:solidFill>
                    <w14:schemeClr w14:val="tx1"/>
                  </w14:solidFill>
                </w14:textFill>
              </w:rPr>
              <w:t>），达标排放。</w:t>
            </w:r>
          </w:p>
          <w:p w14:paraId="4E73A220">
            <w:pPr>
              <w:numPr>
                <w:ilvl w:val="0"/>
                <w:numId w:val="0"/>
              </w:numPr>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无组织废气达标分析</w:t>
            </w:r>
          </w:p>
          <w:p w14:paraId="2C4B8D08">
            <w:pPr>
              <w:numPr>
                <w:ilvl w:val="0"/>
                <w:numId w:val="0"/>
              </w:numPr>
              <w:spacing w:line="360" w:lineRule="auto"/>
              <w:ind w:firstLine="480" w:firstLineChars="200"/>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项目无组织废气主要为使用</w:t>
            </w:r>
            <w:r>
              <w:rPr>
                <w:rFonts w:hint="eastAsia" w:cs="Times New Roman" w:eastAsiaTheme="minorEastAsia"/>
                <w:color w:val="000000" w:themeColor="text1"/>
                <w:kern w:val="2"/>
                <w:sz w:val="24"/>
                <w:szCs w:val="24"/>
                <w:shd w:val="clear" w:color="auto" w:fill="FFFFFF"/>
                <w:lang w:val="en-US" w:eastAsia="zh-CN" w:bidi="ar-SA"/>
                <w14:textFill>
                  <w14:solidFill>
                    <w14:schemeClr w14:val="tx1"/>
                  </w14:solidFill>
                </w14:textFill>
              </w:rPr>
              <w:t>脱模剂</w:t>
            </w: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时产生的有机废气（以非甲烷总烃计）。采取的防止无组织气体排放的主要措施有：</w:t>
            </w:r>
          </w:p>
          <w:p w14:paraId="12E1BA6C">
            <w:pPr>
              <w:numPr>
                <w:ilvl w:val="0"/>
                <w:numId w:val="0"/>
              </w:numPr>
              <w:spacing w:line="360" w:lineRule="auto"/>
              <w:ind w:firstLine="480" w:firstLineChars="200"/>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A、加强废气集中收集和处理，确保密闭负压车间的废气收集系统的密闭性，减少废气的无组织排放。</w:t>
            </w:r>
          </w:p>
          <w:p w14:paraId="59F0D16C">
            <w:pPr>
              <w:numPr>
                <w:ilvl w:val="0"/>
                <w:numId w:val="0"/>
              </w:numPr>
              <w:spacing w:line="360" w:lineRule="auto"/>
              <w:ind w:firstLine="480" w:firstLineChars="200"/>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B、定期检查密闭负压车间的密闭情况、负压情况，确保废气能被连续、稳定的收集。</w:t>
            </w:r>
          </w:p>
          <w:p w14:paraId="27BFA9E2">
            <w:pPr>
              <w:numPr>
                <w:ilvl w:val="0"/>
                <w:numId w:val="0"/>
              </w:numPr>
              <w:spacing w:line="360" w:lineRule="auto"/>
              <w:ind w:firstLine="480" w:firstLineChars="200"/>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C、加强运行管理和环境管理，提高工人操作水平，通过宣传增强职工环保意识，积极推行清洁生产，节能降耗，多种措施并举，减少污染物排放。</w:t>
            </w:r>
          </w:p>
          <w:p w14:paraId="2A72AF5C">
            <w:pPr>
              <w:pStyle w:val="128"/>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参考《三废处理工程技术手册 废气卷》第十七章净化系统的设计，工厂一般作业室每小时按换气次数为6次/时，项目压铸脱模区占地面积约为800m</w:t>
            </w:r>
            <w:r>
              <w:rPr>
                <w:rFonts w:hint="default" w:ascii="Times New Roman" w:hAnsi="Times New Roman" w:cs="Times New Roman" w:eastAsiaTheme="minorEastAsia"/>
                <w:color w:val="000000" w:themeColor="text1"/>
                <w:kern w:val="2"/>
                <w:sz w:val="24"/>
                <w:szCs w:val="24"/>
                <w:shd w:val="clear" w:color="auto" w:fill="FFFFFF"/>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，高为8m，则项目通风量38400m</w:t>
            </w:r>
            <w:r>
              <w:rPr>
                <w:rFonts w:hint="default" w:ascii="Times New Roman" w:hAnsi="Times New Roman" w:cs="Times New Roman" w:eastAsiaTheme="minorEastAsia"/>
                <w:color w:val="000000" w:themeColor="text1"/>
                <w:kern w:val="2"/>
                <w:sz w:val="24"/>
                <w:szCs w:val="24"/>
                <w:shd w:val="clear" w:color="auto" w:fill="FFFFFF"/>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/h，则项目颗粒物无组织排放浓度为0.677mg/m</w:t>
            </w:r>
            <w:r>
              <w:rPr>
                <w:rFonts w:hint="default" w:ascii="Times New Roman" w:hAnsi="Times New Roman" w:cs="Times New Roman" w:eastAsiaTheme="minorEastAsia"/>
                <w:color w:val="000000" w:themeColor="text1"/>
                <w:kern w:val="2"/>
                <w:sz w:val="24"/>
                <w:szCs w:val="24"/>
                <w:shd w:val="clear" w:color="auto" w:fill="FFFFFF"/>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、非甲烷总烃无组织排放浓度为2.45mg/m</w:t>
            </w:r>
            <w:r>
              <w:rPr>
                <w:rFonts w:hint="default" w:ascii="Times New Roman" w:hAnsi="Times New Roman" w:cs="Times New Roman" w:eastAsiaTheme="minorEastAsia"/>
                <w:color w:val="000000" w:themeColor="text1"/>
                <w:kern w:val="2"/>
                <w:sz w:val="24"/>
                <w:szCs w:val="24"/>
                <w:shd w:val="clear" w:color="auto" w:fill="FFFFFF"/>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因此项目颗粒物厂界无组织排放浓度符合《大气污染物综合排放标准》（GB31/933-2015）表2无组织排放浓度限值的要求，厂房外排放浓度满足《铸造工业大气污染物排放标准》（GB39726-2020）附录A.1中的限值要求；非甲烷总烃厂区内无组织排放满足《挥发性有机物无组织排放控制标准》（GB37822-2019）表A.1排放限值</w:t>
            </w:r>
            <w:r>
              <w:rPr>
                <w:rFonts w:hint="eastAsia" w:cs="Times New Roman" w:eastAsiaTheme="minorEastAsia"/>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t>厂界无组织排放浓度符合《大气污染物综合排放标准》（GB31/933-2015）表2无组织排放浓度限值的要求。</w:t>
            </w:r>
          </w:p>
          <w:p w14:paraId="611FE8F6">
            <w:pPr>
              <w:pStyle w:val="128"/>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kern w:val="2"/>
                <w:sz w:val="24"/>
                <w:szCs w:val="24"/>
                <w:shd w:val="clear" w:color="auto" w:fill="FFFFFF"/>
                <w:lang w:val="en-US" w:eastAsia="zh-CN" w:bidi="ar-SA"/>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综上所述，</w:t>
            </w:r>
            <w:r>
              <w:rPr>
                <w:rFonts w:ascii="宋体" w:hAnsi="宋体" w:eastAsia="宋体" w:cs="宋体"/>
                <w:color w:val="000000" w:themeColor="text1"/>
                <w:sz w:val="24"/>
                <w:szCs w:val="24"/>
                <w14:textFill>
                  <w14:solidFill>
                    <w14:schemeClr w14:val="tx1"/>
                  </w14:solidFill>
                </w14:textFill>
              </w:rPr>
              <w:t>通过采取以上废气治理措施后，</w:t>
            </w:r>
            <w:r>
              <w:rPr>
                <w:rFonts w:hint="default" w:ascii="Times New Roman" w:hAnsi="Times New Roman" w:cs="Times New Roman" w:eastAsiaTheme="minorEastAsia"/>
                <w:color w:val="000000" w:themeColor="text1"/>
                <w14:textFill>
                  <w14:solidFill>
                    <w14:schemeClr w14:val="tx1"/>
                  </w14:solidFill>
                </w14:textFill>
              </w:rPr>
              <w:t>本项目废气污染物达标排放，对周围环境影响很小。</w:t>
            </w:r>
          </w:p>
          <w:p w14:paraId="1902E57D">
            <w:pPr>
              <w:spacing w:line="360" w:lineRule="auto"/>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环境防护距离分析</w:t>
            </w:r>
          </w:p>
          <w:p w14:paraId="4B53E5E6">
            <w:pPr>
              <w:widowControl/>
              <w:spacing w:line="360" w:lineRule="auto"/>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根据生态环境部环境工程评估中心发布的：“《建设项目环境影响报告表》内容、格式及编制技术指南常见问题解答”一文中第三点：《建设项目环境影响评价技术导则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14:paraId="2ABEB21F">
            <w:pPr>
              <w:widowControl/>
              <w:spacing w:line="360" w:lineRule="auto"/>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制定地方大气污染物排放标准的技术方法》(GB/T3840-91)7.2章节相关内容“无组织排放的有毒有害气体进入呼吸带大气层时，其浓度超过GB3095与TJ36规定的居住区容许浓度限值，则无组织排放源所在的生产单元(生产区、车间或工段)与居住区之间应设置卫生防护距离”</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根据表4.2-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本项目(</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颗粒物、非甲烷总烃</w:t>
            </w:r>
            <w:r>
              <w:rPr>
                <w:rFonts w:hint="default" w:ascii="Times New Roman" w:hAnsi="Times New Roman" w:cs="Times New Roman" w:eastAsiaTheme="minorEastAsia"/>
                <w:color w:val="000000" w:themeColor="text1"/>
                <w:sz w:val="24"/>
                <w:szCs w:val="24"/>
                <w14:textFill>
                  <w14:solidFill>
                    <w14:schemeClr w14:val="tx1"/>
                  </w14:solidFill>
                </w14:textFill>
              </w:rPr>
              <w:t>)无浓度超标点，因此，本项目可不设置卫生防护距离。</w:t>
            </w:r>
          </w:p>
          <w:p w14:paraId="718DA449">
            <w:pPr>
              <w:spacing w:line="360" w:lineRule="auto"/>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同时参照《大气影响评价实用技术》第10章“大气环境防护距离与卫生防护距离”</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10.2.2.2章计算确定卫生防护距离技术要点章节相关内容：“在污染源所有影响区域范围内，排放到环境中的污染物浓度如超过环境空气质量标准，包括厂区内、厂界、厂界外，则需设置卫生防护距离，如在厂区内满足GB3095及TJ36要求，可不设置卫生防护距离”，综上所述，本项目不增设卫生防护距离。</w:t>
            </w:r>
          </w:p>
          <w:p w14:paraId="00DDD520">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bookmarkStart w:id="24" w:name="_Toc31618_WPSOffice_Level1"/>
            <w:bookmarkStart w:id="25" w:name="_Toc30590_WPSOffice_Level2"/>
            <w:bookmarkStart w:id="26" w:name="_Toc2672_WPSOffice_Level2"/>
            <w:bookmarkStart w:id="27" w:name="_Toc10014"/>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、废气处理措施有效性分析</w:t>
            </w:r>
            <w:bookmarkEnd w:id="24"/>
            <w:bookmarkEnd w:id="25"/>
            <w:bookmarkEnd w:id="26"/>
            <w:bookmarkEnd w:id="27"/>
          </w:p>
          <w:p w14:paraId="20D131D5">
            <w:pPr>
              <w:adjustRightInd w:val="0"/>
              <w:snapToGrid w:val="0"/>
              <w:spacing w:line="360" w:lineRule="auto"/>
              <w:ind w:firstLine="480" w:firstLineChars="200"/>
              <w:rPr>
                <w:rFonts w:hint="default" w:ascii="Times New Roman" w:hAnsi="Times New Roman" w:cs="Times New Roman" w:eastAsiaTheme="minorEastAsia"/>
                <w:color w:val="000000" w:themeColor="text1"/>
                <w:sz w:val="24"/>
                <w:lang w:eastAsia="zh-CN"/>
                <w14:textFill>
                  <w14:solidFill>
                    <w14:schemeClr w14:val="tx1"/>
                  </w14:solidFill>
                </w14:textFill>
              </w:rPr>
            </w:pPr>
            <w:bookmarkStart w:id="28" w:name="_Toc22549_WPSOffice_Level3"/>
            <w:r>
              <w:rPr>
                <w:rFonts w:hint="default" w:ascii="Times New Roman" w:hAnsi="Times New Roman" w:cs="Times New Roman" w:eastAsiaTheme="minorEastAsia"/>
                <w:color w:val="000000" w:themeColor="text1"/>
                <w:sz w:val="24"/>
                <w:lang w:val="en-US" w:eastAsia="zh-CN"/>
                <w14:textFill>
                  <w14:solidFill>
                    <w14:schemeClr w14:val="tx1"/>
                  </w14:solidFill>
                </w14:textFill>
              </w:rPr>
              <w:t>熔化废气和压铸脱模废气</w:t>
            </w:r>
            <w:r>
              <w:rPr>
                <w:rFonts w:hint="default" w:ascii="Times New Roman" w:hAnsi="Times New Roman" w:cs="Times New Roman" w:eastAsiaTheme="minorEastAsia"/>
                <w:color w:val="000000" w:themeColor="text1"/>
                <w:sz w:val="24"/>
                <w14:textFill>
                  <w14:solidFill>
                    <w14:schemeClr w14:val="tx1"/>
                  </w14:solidFill>
                </w14:textFill>
              </w:rPr>
              <w:t>经</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各自</w:t>
            </w:r>
            <w:r>
              <w:rPr>
                <w:rFonts w:hint="default" w:ascii="Times New Roman" w:hAnsi="Times New Roman" w:cs="Times New Roman" w:eastAsiaTheme="minorEastAsia"/>
                <w:color w:val="000000" w:themeColor="text1"/>
                <w:sz w:val="24"/>
                <w14:textFill>
                  <w14:solidFill>
                    <w14:schemeClr w14:val="tx1"/>
                  </w14:solidFill>
                </w14:textFill>
              </w:rPr>
              <w:t>集气</w:t>
            </w:r>
            <w:r>
              <w:rPr>
                <w:rFonts w:hint="default" w:ascii="Times New Roman" w:hAnsi="Times New Roman" w:cs="Times New Roman" w:eastAsiaTheme="minorEastAsia"/>
                <w:color w:val="000000" w:themeColor="text1"/>
                <w:sz w:val="24"/>
                <w:lang w:eastAsia="zh-CN"/>
                <w14:textFill>
                  <w14:solidFill>
                    <w14:schemeClr w14:val="tx1"/>
                  </w14:solidFill>
                </w14:textFill>
              </w:rPr>
              <w:t>罩</w:t>
            </w:r>
            <w:r>
              <w:rPr>
                <w:rFonts w:hint="default" w:ascii="Times New Roman" w:hAnsi="Times New Roman" w:cs="Times New Roman" w:eastAsiaTheme="minorEastAsia"/>
                <w:color w:val="000000" w:themeColor="text1"/>
                <w:sz w:val="24"/>
                <w14:textFill>
                  <w14:solidFill>
                    <w14:schemeClr w14:val="tx1"/>
                  </w14:solidFill>
                </w14:textFill>
              </w:rPr>
              <w:t>收集</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汇总至一根管道，然后</w:t>
            </w:r>
            <w:r>
              <w:rPr>
                <w:rFonts w:hint="default" w:ascii="Times New Roman" w:hAnsi="Times New Roman" w:cs="Times New Roman" w:eastAsiaTheme="minorEastAsia"/>
                <w:color w:val="000000" w:themeColor="text1"/>
                <w:sz w:val="24"/>
                <w:lang w:eastAsia="zh-CN"/>
                <w14:textFill>
                  <w14:solidFill>
                    <w14:schemeClr w14:val="tx1"/>
                  </w14:solidFill>
                </w14:textFill>
              </w:rPr>
              <w:t>采用</w:t>
            </w:r>
            <w:r>
              <w:rPr>
                <w:rFonts w:hint="eastAsia"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eastAsia="zh-CN"/>
                <w14:textFill>
                  <w14:solidFill>
                    <w14:schemeClr w14:val="tx1"/>
                  </w14:solidFill>
                </w14:textFill>
              </w:rPr>
              <w:t>喷淋+干式过滤+活性炭吸附装置</w:t>
            </w:r>
            <w:r>
              <w:rPr>
                <w:rFonts w:hint="eastAsia" w:cs="Times New Roman" w:eastAsiaTheme="minorEastAsia"/>
                <w:color w:val="000000" w:themeColor="text1"/>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处理后</w:t>
            </w:r>
            <w:r>
              <w:rPr>
                <w:rFonts w:hint="default" w:ascii="Times New Roman" w:hAnsi="Times New Roman" w:cs="Times New Roman" w:eastAsiaTheme="minorEastAsia"/>
                <w:color w:val="000000" w:themeColor="text1"/>
                <w:sz w:val="24"/>
                <w:lang w:eastAsia="zh-CN"/>
                <w14:textFill>
                  <w14:solidFill>
                    <w14:schemeClr w14:val="tx1"/>
                  </w14:solidFill>
                </w14:textFill>
              </w:rPr>
              <w:t>通过</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1根15m</w:t>
            </w:r>
            <w:r>
              <w:rPr>
                <w:rFonts w:hint="default" w:ascii="Times New Roman" w:hAnsi="Times New Roman" w:cs="Times New Roman" w:eastAsiaTheme="minorEastAsia"/>
                <w:color w:val="000000" w:themeColor="text1"/>
                <w:sz w:val="24"/>
                <w14:textFill>
                  <w14:solidFill>
                    <w14:schemeClr w14:val="tx1"/>
                  </w14:solidFill>
                </w14:textFill>
              </w:rPr>
              <w:t>排气筒</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DA001</w:t>
            </w:r>
            <w:r>
              <w:rPr>
                <w:rFonts w:hint="default" w:ascii="Times New Roman" w:hAnsi="Times New Roman" w:cs="Times New Roman" w:eastAsiaTheme="minorEastAsia"/>
                <w:color w:val="000000" w:themeColor="text1"/>
                <w:sz w:val="24"/>
                <w14:textFill>
                  <w14:solidFill>
                    <w14:schemeClr w14:val="tx1"/>
                  </w14:solidFill>
                </w14:textFill>
              </w:rPr>
              <w:t>高空排放</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14:paraId="12FDEFE7">
            <w:pPr>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（1）喷淋塔</w:t>
            </w:r>
          </w:p>
          <w:p w14:paraId="2F8618B2">
            <w:pPr>
              <w:pStyle w:val="140"/>
              <w:ind w:firstLine="480"/>
              <w:rPr>
                <w:bCs/>
                <w:color w:val="000000" w:themeColor="text1"/>
                <w:highlight w:val="none"/>
                <w14:textFill>
                  <w14:solidFill>
                    <w14:schemeClr w14:val="tx1"/>
                  </w14:solidFill>
                </w14:textFill>
              </w:rPr>
            </w:pPr>
            <w:r>
              <w:rPr>
                <w:rFonts w:hint="eastAsia"/>
                <w:bCs/>
                <w:color w:val="000000" w:themeColor="text1"/>
                <w:lang w:val="en-US" w:eastAsia="zh-CN"/>
                <w14:textFill>
                  <w14:solidFill>
                    <w14:schemeClr w14:val="tx1"/>
                  </w14:solidFill>
                </w14:textFill>
              </w:rPr>
              <w:t>熔化烟尘经收集后进入喷淋</w:t>
            </w:r>
            <w:r>
              <w:rPr>
                <w:bCs/>
                <w:color w:val="000000" w:themeColor="text1"/>
                <w14:textFill>
                  <w14:solidFill>
                    <w14:schemeClr w14:val="tx1"/>
                  </w14:solidFill>
                </w14:textFill>
              </w:rPr>
              <w:t>塔，</w:t>
            </w:r>
            <w:r>
              <w:rPr>
                <w:rFonts w:hint="eastAsia"/>
                <w:bCs/>
                <w:color w:val="000000" w:themeColor="text1"/>
                <w:lang w:val="en-US" w:eastAsia="zh-CN"/>
                <w14:textFill>
                  <w14:solidFill>
                    <w14:schemeClr w14:val="tx1"/>
                  </w14:solidFill>
                </w14:textFill>
              </w:rPr>
              <w:t>喷淋</w:t>
            </w:r>
            <w:r>
              <w:rPr>
                <w:bCs/>
                <w:color w:val="000000" w:themeColor="text1"/>
                <w14:textFill>
                  <w14:solidFill>
                    <w14:schemeClr w14:val="tx1"/>
                  </w14:solidFill>
                </w14:textFill>
              </w:rPr>
              <w:t>塔塔板叶片如固定的风车叶片，气流通过叶片时产生旋转和离心运动，吸收液通过中间盲板均匀分配到每个叶片，形成薄液层，与旋转向上的气流形成旋转和离心的效果，喷成细小液滴，甩向塔壁后。液滴受重力作用集流到集液槽，并通过降液管流到下一塔板的盲板区。具有一定风压、风速的待处理气流从塔的底部进，上部出。吸收液从塔的上部进，下部出。气流与吸收液在塔内作相对运动，并在</w:t>
            </w:r>
            <w:r>
              <w:rPr>
                <w:rFonts w:hint="eastAsia"/>
                <w:bCs/>
                <w:color w:val="000000" w:themeColor="text1"/>
                <w:lang w:val="en-US" w:eastAsia="zh-CN"/>
                <w14:textFill>
                  <w14:solidFill>
                    <w14:schemeClr w14:val="tx1"/>
                  </w14:solidFill>
                </w14:textFill>
              </w:rPr>
              <w:t>喷淋</w:t>
            </w:r>
            <w:r>
              <w:rPr>
                <w:bCs/>
                <w:color w:val="000000" w:themeColor="text1"/>
                <w14:textFill>
                  <w14:solidFill>
                    <w14:schemeClr w14:val="tx1"/>
                  </w14:solidFill>
                </w14:textFill>
              </w:rPr>
              <w:t>塔板的结构部位形成很大表面积的水膜，从而大大提高了吸收作用。每一层的吸收液经旋流离心作用掉入边缘的收集槽，再经导流管进入下一层塔板，进行下一层的吸收作用。塔内设计多套旋流装置，经过初级净化的废气旋转上升，由于旋流装置设计合理，旋流气动装置具有导向和接力作用，利用废气自身的动能产生气动旋流，气液两相充分接触，进行传质</w:t>
            </w:r>
            <w:r>
              <w:rPr>
                <w:bCs/>
                <w:color w:val="000000" w:themeColor="text1"/>
                <w:highlight w:val="none"/>
                <w14:textFill>
                  <w14:solidFill>
                    <w14:schemeClr w14:val="tx1"/>
                  </w14:solidFill>
                </w14:textFill>
              </w:rPr>
              <w:t>反应。</w:t>
            </w:r>
          </w:p>
          <w:p w14:paraId="3E2DE31E">
            <w:pPr>
              <w:adjustRightInd w:val="0"/>
              <w:snapToGrid w:val="0"/>
              <w:spacing w:line="360" w:lineRule="auto"/>
              <w:ind w:firstLine="480" w:firstLineChars="200"/>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根据《排污许可证申请与核发技术规范</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 金属铸造工业</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HJ1115-2020</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）可知，感应电炉熔化工序产生的烟尘采用“</w:t>
            </w:r>
            <w:r>
              <w:rPr>
                <w:rFonts w:hint="eastAsia" w:cs="Times New Roman" w:eastAsiaTheme="minorEastAsia"/>
                <w:color w:val="000000" w:themeColor="text1"/>
                <w:sz w:val="24"/>
                <w:szCs w:val="24"/>
                <w:highlight w:val="none"/>
                <w:lang w:val="en-US" w:eastAsia="zh-CN"/>
                <w14:textFill>
                  <w14:solidFill>
                    <w14:schemeClr w14:val="tx1"/>
                  </w14:solidFill>
                </w14:textFill>
              </w:rPr>
              <w:t>湿式除尘（喷淋）</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”属于可行技术。根据</w:t>
            </w:r>
            <w:r>
              <w:rPr>
                <w:rFonts w:hint="default" w:ascii="Times New Roman" w:hAnsi="Times New Roman" w:cs="Times New Roman" w:eastAsiaTheme="minorEastAsia"/>
                <w:b w:val="0"/>
                <w:bCs w:val="0"/>
                <w:color w:val="000000" w:themeColor="text1"/>
                <w:kern w:val="0"/>
                <w:sz w:val="24"/>
                <w:szCs w:val="24"/>
                <w:highlight w:val="none"/>
                <w:lang w:val="en-US" w:eastAsia="zh-CN" w:bidi="ar-SA"/>
                <w14:textFill>
                  <w14:solidFill>
                    <w14:schemeClr w14:val="tx1"/>
                  </w14:solidFill>
                </w14:textFill>
              </w:rPr>
              <w:t>《第二次全国污染源普查工业污染源产排污系数手册》中“33-37，431-434机械行业系数手册”—01铸造，原料铝合金锭、锌合金锭采用感应电炉进行熔化产生的烟尘（颗粒物）采用</w:t>
            </w:r>
            <w:r>
              <w:rPr>
                <w:rFonts w:hint="eastAsia" w:cs="Times New Roman" w:eastAsiaTheme="minorEastAsia"/>
                <w:b w:val="0"/>
                <w:bCs w:val="0"/>
                <w:color w:val="000000" w:themeColor="text1"/>
                <w:kern w:val="0"/>
                <w:sz w:val="24"/>
                <w:szCs w:val="24"/>
                <w:highlight w:val="none"/>
                <w:lang w:val="en-US" w:eastAsia="zh-CN" w:bidi="ar-SA"/>
                <w14:textFill>
                  <w14:solidFill>
                    <w14:schemeClr w14:val="tx1"/>
                  </w14:solidFill>
                </w14:textFill>
              </w:rPr>
              <w:t>喷淋塔</w:t>
            </w:r>
            <w:r>
              <w:rPr>
                <w:rFonts w:hint="default" w:ascii="Times New Roman" w:hAnsi="Times New Roman" w:cs="Times New Roman" w:eastAsiaTheme="minorEastAsia"/>
                <w:b w:val="0"/>
                <w:bCs w:val="0"/>
                <w:color w:val="000000" w:themeColor="text1"/>
                <w:kern w:val="0"/>
                <w:sz w:val="24"/>
                <w:szCs w:val="24"/>
                <w:highlight w:val="none"/>
                <w:lang w:val="en-US" w:eastAsia="zh-CN" w:bidi="ar-SA"/>
                <w14:textFill>
                  <w14:solidFill>
                    <w14:schemeClr w14:val="tx1"/>
                  </w14:solidFill>
                </w14:textFill>
              </w:rPr>
              <w:t>的处理效率可以达到</w:t>
            </w:r>
            <w:r>
              <w:rPr>
                <w:rFonts w:hint="eastAsia" w:cs="Times New Roman" w:eastAsiaTheme="minorEastAsia"/>
                <w:b w:val="0"/>
                <w:bCs w:val="0"/>
                <w:color w:val="000000" w:themeColor="text1"/>
                <w:kern w:val="0"/>
                <w:sz w:val="24"/>
                <w:szCs w:val="24"/>
                <w:highlight w:val="none"/>
                <w:lang w:val="en-US" w:eastAsia="zh-CN" w:bidi="ar-SA"/>
                <w14:textFill>
                  <w14:solidFill>
                    <w14:schemeClr w14:val="tx1"/>
                  </w14:solidFill>
                </w14:textFill>
              </w:rPr>
              <w:t>8</w:t>
            </w:r>
            <w:r>
              <w:rPr>
                <w:rFonts w:hint="default" w:ascii="Times New Roman" w:hAnsi="Times New Roman" w:cs="Times New Roman" w:eastAsiaTheme="minorEastAsia"/>
                <w:b w:val="0"/>
                <w:bCs w:val="0"/>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处理后</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颗粒物有组织排放浓度可以达到</w:t>
            </w:r>
            <w:r>
              <w:rPr>
                <w:rFonts w:hint="default" w:ascii="Times New Roman" w:hAnsi="Times New Roman" w:cs="Times New Roman" w:eastAsiaTheme="minorEastAsia"/>
                <w:color w:val="000000" w:themeColor="text1"/>
                <w:sz w:val="24"/>
                <w:szCs w:val="24"/>
                <w:highlight w:val="none"/>
                <w:shd w:val="clear" w:color="auto" w:fill="FFFFFF"/>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highlight w:val="none"/>
                <w:shd w:val="clear" w:color="auto" w:fill="FFFFFF"/>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highlight w:val="none"/>
                <w:shd w:val="clear" w:color="auto" w:fill="FFFFFF"/>
                <w:lang w:eastAsia="zh-CN"/>
                <w14:textFill>
                  <w14:solidFill>
                    <w14:schemeClr w14:val="tx1"/>
                  </w14:solidFill>
                </w14:textFill>
              </w:rPr>
              <w:t>）表</w:t>
            </w:r>
            <w:r>
              <w:rPr>
                <w:rFonts w:hint="default" w:ascii="Times New Roman" w:hAnsi="Times New Roman" w:cs="Times New Roman" w:eastAsiaTheme="minorEastAsia"/>
                <w:color w:val="000000" w:themeColor="text1"/>
                <w:sz w:val="24"/>
                <w:szCs w:val="24"/>
                <w:highlight w:val="none"/>
                <w:shd w:val="clear" w:color="auto" w:fill="FFFFFF"/>
                <w:lang w:val="en-US" w:eastAsia="zh-CN"/>
                <w14:textFill>
                  <w14:solidFill>
                    <w14:schemeClr w14:val="tx1"/>
                  </w14:solidFill>
                </w14:textFill>
              </w:rPr>
              <w:t>1中的“感应电炉”的限值要求</w:t>
            </w:r>
            <w:r>
              <w:rPr>
                <w:rFonts w:hint="default" w:ascii="Times New Roman" w:hAnsi="Times New Roman" w:cs="Times New Roman" w:eastAsiaTheme="minorEastAsia"/>
                <w:color w:val="000000" w:themeColor="text1"/>
                <w:sz w:val="24"/>
                <w:szCs w:val="24"/>
                <w:highlight w:val="none"/>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bidi="ar"/>
                <w14:textFill>
                  <w14:solidFill>
                    <w14:schemeClr w14:val="tx1"/>
                  </w14:solidFill>
                </w14:textFill>
              </w:rPr>
              <w:t>颗粒物≤30</w:t>
            </w:r>
            <w:r>
              <w:rPr>
                <w:rFonts w:hint="default" w:ascii="Times New Roman" w:hAnsi="Times New Roman" w:cs="Times New Roman" w:eastAsiaTheme="minorEastAsia"/>
                <w:color w:val="000000" w:themeColor="text1"/>
                <w:sz w:val="24"/>
                <w:szCs w:val="24"/>
                <w:highlight w:val="none"/>
                <w:lang w:bidi="ar"/>
                <w14:textFill>
                  <w14:solidFill>
                    <w14:schemeClr w14:val="tx1"/>
                  </w14:solidFill>
                </w14:textFill>
              </w:rPr>
              <w:t>mg/m</w:t>
            </w:r>
            <w:r>
              <w:rPr>
                <w:rFonts w:hint="default" w:ascii="Times New Roman" w:hAnsi="Times New Roman" w:cs="Times New Roman" w:eastAsiaTheme="minorEastAsia"/>
                <w:color w:val="000000" w:themeColor="text1"/>
                <w:sz w:val="24"/>
                <w:szCs w:val="24"/>
                <w:highlight w:val="none"/>
                <w:vertAlign w:val="superscript"/>
                <w:lang w:bidi="ar"/>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eastAsia="zh-CN" w:bidi="ar"/>
                <w14:textFill>
                  <w14:solidFill>
                    <w14:schemeClr w14:val="tx1"/>
                  </w14:solidFill>
                </w14:textFill>
              </w:rPr>
              <w:t>），达标排放。</w:t>
            </w:r>
          </w:p>
          <w:bookmarkEnd w:id="28"/>
          <w:p w14:paraId="6FD45D44">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bookmarkStart w:id="29" w:name="_Toc25043"/>
            <w:bookmarkStart w:id="30" w:name="_Toc2246"/>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14:textFill>
                  <w14:solidFill>
                    <w14:schemeClr w14:val="tx1"/>
                  </w14:solidFill>
                </w14:textFill>
              </w:rPr>
              <w:t>活性炭</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吸附</w:t>
            </w:r>
            <w:r>
              <w:rPr>
                <w:rFonts w:hint="default" w:ascii="Times New Roman" w:hAnsi="Times New Roman" w:cs="Times New Roman" w:eastAsiaTheme="minorEastAsia"/>
                <w:color w:val="000000" w:themeColor="text1"/>
                <w:kern w:val="2"/>
                <w:sz w:val="24"/>
                <w:szCs w:val="24"/>
                <w14:textFill>
                  <w14:solidFill>
                    <w14:schemeClr w14:val="tx1"/>
                  </w14:solidFill>
                </w14:textFill>
              </w:rPr>
              <w:t>装置</w:t>
            </w:r>
          </w:p>
          <w:p w14:paraId="0D7FB4A6">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活</w:t>
            </w:r>
            <w:r>
              <w:rPr>
                <w:rFonts w:hint="default" w:ascii="Times New Roman" w:hAnsi="Times New Roman" w:cs="Times New Roman" w:eastAsiaTheme="minorEastAsia"/>
                <w:color w:val="000000" w:themeColor="text1"/>
                <w:kern w:val="2"/>
                <w:sz w:val="24"/>
                <w:szCs w:val="24"/>
                <w14:textFill>
                  <w14:solidFill>
                    <w14:schemeClr w14:val="tx1"/>
                  </w14:solidFill>
                </w14:textFill>
              </w:rPr>
              <w:t>性炭是一种具有多孔结构和大的内部比表面积的材料</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14:textFill>
                  <w14:solidFill>
                    <w14:schemeClr w14:val="tx1"/>
                  </w14:solidFill>
                </w14:textFill>
              </w:rPr>
              <w:t>由于其大的比表面积、微孔结构、高的吸附能力和很高的表面活性而成为独特的多功能吸附剂</w:t>
            </w:r>
            <w:r>
              <w:rPr>
                <w:rFonts w:hint="eastAsia" w:cs="Times New Roman" w:eastAsiaTheme="minorEastAsia"/>
                <w:color w:val="000000" w:themeColor="text1"/>
                <w:kern w:val="2"/>
                <w:sz w:val="24"/>
                <w:szCs w:val="24"/>
                <w:lang w:eastAsia="zh-CN"/>
                <w14:textFill>
                  <w14:solidFill>
                    <w14:schemeClr w14:val="tx1"/>
                  </w14:solidFill>
                </w14:textFill>
              </w:rPr>
              <w:t>且</w:t>
            </w:r>
            <w:r>
              <w:rPr>
                <w:rFonts w:hint="default" w:ascii="Times New Roman" w:hAnsi="Times New Roman" w:cs="Times New Roman" w:eastAsiaTheme="minorEastAsia"/>
                <w:color w:val="000000" w:themeColor="text1"/>
                <w:kern w:val="2"/>
                <w:sz w:val="24"/>
                <w:szCs w:val="24"/>
                <w14:textFill>
                  <w14:solidFill>
                    <w14:schemeClr w14:val="tx1"/>
                  </w14:solidFill>
                </w14:textFill>
              </w:rPr>
              <w:t>其价廉易得，可再生活化，同时它可有效去除废水、废气中的大部分有机物和某些无机物，所以它被世界各国广泛地应用于污水及废气的处理、空气净化、回收溶剂等环境保护和资源回收等领域。</w:t>
            </w:r>
          </w:p>
          <w:p w14:paraId="0F12B690">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本项目采用</w:t>
            </w:r>
            <w:r>
              <w:rPr>
                <w:rFonts w:hint="default" w:ascii="Times New Roman" w:hAnsi="Times New Roman" w:cs="Times New Roman" w:eastAsiaTheme="minorEastAsia"/>
                <w:color w:val="000000" w:themeColor="text1"/>
                <w:kern w:val="2"/>
                <w:sz w:val="24"/>
                <w:szCs w:val="24"/>
                <w14:textFill>
                  <w14:solidFill>
                    <w14:schemeClr w14:val="tx1"/>
                  </w14:solidFill>
                </w14:textFill>
              </w:rPr>
              <w:t>粒状活性炭</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14:textFill>
                  <w14:solidFill>
                    <w14:schemeClr w14:val="tx1"/>
                  </w14:solidFill>
                </w14:textFill>
              </w:rPr>
              <w:t>粒径500～5000μm，</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挥发性</w:t>
            </w:r>
            <w:r>
              <w:rPr>
                <w:rFonts w:hint="default" w:ascii="Times New Roman" w:hAnsi="Times New Roman" w:cs="Times New Roman" w:eastAsiaTheme="minorEastAsia"/>
                <w:color w:val="000000" w:themeColor="text1"/>
                <w:kern w:val="2"/>
                <w:sz w:val="24"/>
                <w:szCs w:val="24"/>
                <w14:textFill>
                  <w14:solidFill>
                    <w14:schemeClr w14:val="tx1"/>
                  </w14:solidFill>
                </w14:textFill>
              </w:rPr>
              <w:t>有机废气由风机提供动力，正压或负压进入塔体，由于活性炭固体表面上存在着未平衡和未饱和的分子引力或化学健力，因此当此固体表面与气体接触时，就能吸引气体分子，使其浓聚并保持在固体表面，污染物质及气味从而被吸附，废气经活性炭吸附塔后，净化气体高空达标排放。</w:t>
            </w:r>
            <w:bookmarkEnd w:id="29"/>
            <w:bookmarkEnd w:id="30"/>
            <w:r>
              <w:rPr>
                <w:rFonts w:hint="default" w:ascii="Times New Roman" w:hAnsi="Times New Roman" w:cs="Times New Roman" w:eastAsiaTheme="minorEastAsia"/>
                <w:color w:val="000000" w:themeColor="text1"/>
                <w:kern w:val="2"/>
                <w:sz w:val="24"/>
                <w:szCs w:val="24"/>
                <w14:textFill>
                  <w14:solidFill>
                    <w14:schemeClr w14:val="tx1"/>
                  </w14:solidFill>
                </w14:textFill>
              </w:rPr>
              <w:t>活性炭装置有着管理方便，运行稳定，处理效率高、体积较小的优点，适用于</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本工序产生的挥发性有机</w:t>
            </w:r>
            <w:r>
              <w:rPr>
                <w:rFonts w:hint="default" w:ascii="Times New Roman" w:hAnsi="Times New Roman" w:cs="Times New Roman" w:eastAsiaTheme="minorEastAsia"/>
                <w:color w:val="000000" w:themeColor="text1"/>
                <w:kern w:val="2"/>
                <w:sz w:val="24"/>
                <w:szCs w:val="24"/>
                <w14:textFill>
                  <w14:solidFill>
                    <w14:schemeClr w14:val="tx1"/>
                  </w14:solidFill>
                </w14:textFill>
              </w:rPr>
              <w:t>废气处理。</w:t>
            </w:r>
          </w:p>
          <w:p w14:paraId="59465490">
            <w:pPr>
              <w:pStyle w:val="6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根据《排污许可证申请与核发技术规范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金属铸造工业</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HJ1115-2020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）可知，压铸脱模工序产生的非甲烷总烃采用“活性炭吸附装置”属于可行技术。根据</w:t>
            </w:r>
            <w:r>
              <w:rPr>
                <w:rFonts w:hint="default" w:ascii="Times New Roman" w:hAnsi="Times New Roman" w:cs="Times New Roman" w:eastAsiaTheme="minorEastAsia"/>
                <w:b w:val="0"/>
                <w:bCs w:val="0"/>
                <w:color w:val="000000" w:themeColor="text1"/>
                <w:kern w:val="0"/>
                <w:sz w:val="24"/>
                <w:szCs w:val="24"/>
                <w:lang w:val="en-US" w:eastAsia="zh-CN" w:bidi="ar-SA"/>
                <w14:textFill>
                  <w14:solidFill>
                    <w14:schemeClr w14:val="tx1"/>
                  </w14:solidFill>
                </w14:textFill>
              </w:rPr>
              <w:t>《第二次全国污染源普查工业污染源产排污系数手册》中“33-37，431-434机械行业系数手册”—01铸造，有色金属压铸阶段采用脱模剂脱模，产生的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压铸脱模废气中</w:t>
            </w:r>
            <w:r>
              <w:rPr>
                <w:rFonts w:hint="default" w:ascii="Times New Roman" w:hAnsi="Times New Roman" w:cs="Times New Roman" w:eastAsiaTheme="minorEastAsia"/>
                <w:color w:val="000000" w:themeColor="text1"/>
                <w:sz w:val="24"/>
                <w:szCs w:val="24"/>
                <w:lang w:eastAsia="zh-CN" w:bidi="ar"/>
                <w14:textFill>
                  <w14:solidFill>
                    <w14:schemeClr w14:val="tx1"/>
                  </w14:solidFill>
                </w14:textFill>
              </w:rPr>
              <w:t>非甲烷总烃</w:t>
            </w:r>
            <w:r>
              <w:rPr>
                <w:rFonts w:hint="default" w:ascii="Times New Roman" w:hAnsi="Times New Roman" w:cs="Times New Roman" w:eastAsiaTheme="minorEastAsia"/>
                <w:b w:val="0"/>
                <w:bCs w:val="0"/>
                <w:color w:val="000000" w:themeColor="text1"/>
                <w:kern w:val="0"/>
                <w:sz w:val="24"/>
                <w:szCs w:val="24"/>
                <w:lang w:val="en-US" w:eastAsia="zh-CN" w:bidi="ar-SA"/>
                <w14:textFill>
                  <w14:solidFill>
                    <w14:schemeClr w14:val="tx1"/>
                  </w14:solidFill>
                </w14:textFill>
              </w:rPr>
              <w:t>采用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活性炭吸附装置</w:t>
            </w:r>
            <w:r>
              <w:rPr>
                <w:rFonts w:hint="default" w:ascii="Times New Roman" w:hAnsi="Times New Roman" w:cs="Times New Roman" w:eastAsiaTheme="minorEastAsia"/>
                <w:b w:val="0"/>
                <w:bCs w:val="0"/>
                <w:color w:val="000000" w:themeColor="text1"/>
                <w:kern w:val="0"/>
                <w:sz w:val="24"/>
                <w:szCs w:val="24"/>
                <w:lang w:val="en-US" w:eastAsia="zh-CN" w:bidi="ar-SA"/>
                <w14:textFill>
                  <w14:solidFill>
                    <w14:schemeClr w14:val="tx1"/>
                  </w14:solidFill>
                </w14:textFill>
              </w:rPr>
              <w:t>的处理效率可以达到77%，</w:t>
            </w:r>
            <w:r>
              <w:rPr>
                <w:rFonts w:hint="default" w:ascii="Times New Roman" w:hAnsi="Times New Roman" w:cs="Times New Roman" w:eastAsiaTheme="minorEastAsia"/>
                <w:color w:val="000000" w:themeColor="text1"/>
                <w:sz w:val="24"/>
                <w:szCs w:val="24"/>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的非甲烷总烃</w:t>
            </w:r>
            <w:r>
              <w:rPr>
                <w:rFonts w:hint="default" w:ascii="Times New Roman" w:hAnsi="Times New Roman" w:cs="Times New Roman" w:eastAsiaTheme="minorEastAsia"/>
                <w:color w:val="000000" w:themeColor="text1"/>
                <w:sz w:val="24"/>
                <w:szCs w:val="24"/>
                <w14:textFill>
                  <w14:solidFill>
                    <w14:schemeClr w14:val="tx1"/>
                  </w14:solidFill>
                </w14:textFill>
              </w:rPr>
              <w:t>有组织排放可以达</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到</w:t>
            </w:r>
            <w:r>
              <w:rPr>
                <w:rFonts w:hint="default" w:ascii="Times New Roman" w:hAnsi="Times New Roman" w:cs="Times New Roman" w:eastAsiaTheme="minorEastAsia"/>
                <w:color w:val="000000" w:themeColor="text1"/>
                <w:sz w:val="24"/>
                <w:szCs w:val="24"/>
                <w:lang w:bidi="ar"/>
                <w14:textFill>
                  <w14:solidFill>
                    <w14:schemeClr w14:val="tx1"/>
                  </w14:solidFill>
                </w14:textFill>
              </w:rPr>
              <w:t>《工业企业挥发性有机物排放标准》(DB35/1782</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lang w:bidi="ar"/>
                <w14:textFill>
                  <w14:solidFill>
                    <w14:schemeClr w14:val="tx1"/>
                  </w14:solidFill>
                </w14:textFill>
              </w:rPr>
              <w:t>2018)表1中的其他行业挥发性有机物排放限值</w:t>
            </w:r>
            <w:r>
              <w:rPr>
                <w:rFonts w:hint="default" w:ascii="Times New Roman" w:hAnsi="Times New Roman" w:cs="Times New Roman" w:eastAsiaTheme="minorEastAsia"/>
                <w:color w:val="000000" w:themeColor="text1"/>
                <w:sz w:val="24"/>
                <w:szCs w:val="24"/>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非甲烷总烃排放浓度≤100</w:t>
            </w:r>
            <w:r>
              <w:rPr>
                <w:rFonts w:hint="default" w:ascii="Times New Roman" w:hAnsi="Times New Roman" w:cs="Times New Roman" w:eastAsiaTheme="minorEastAsia"/>
                <w:color w:val="000000" w:themeColor="text1"/>
                <w:sz w:val="24"/>
                <w:szCs w:val="24"/>
                <w:lang w:bidi="ar"/>
                <w14:textFill>
                  <w14:solidFill>
                    <w14:schemeClr w14:val="tx1"/>
                  </w14:solidFill>
                </w14:textFill>
              </w:rPr>
              <w:t>mg/m</w:t>
            </w:r>
            <w:r>
              <w:rPr>
                <w:rFonts w:hint="default" w:ascii="Times New Roman" w:hAnsi="Times New Roman" w:cs="Times New Roman" w:eastAsiaTheme="minorEastAsia"/>
                <w:color w:val="000000" w:themeColor="text1"/>
                <w:sz w:val="24"/>
                <w:szCs w:val="24"/>
                <w:vertAlign w:val="superscript"/>
                <w:lang w:bidi="ar"/>
                <w14:textFill>
                  <w14:solidFill>
                    <w14:schemeClr w14:val="tx1"/>
                  </w14:solidFill>
                </w14:textFill>
              </w:rPr>
              <w:t>3</w:t>
            </w:r>
            <w:r>
              <w:rPr>
                <w:rFonts w:hint="default" w:ascii="Times New Roman" w:hAnsi="Times New Roman" w:cs="Times New Roman" w:eastAsiaTheme="minorEastAsia"/>
                <w:color w:val="000000" w:themeColor="text1"/>
                <w:sz w:val="24"/>
                <w:szCs w:val="24"/>
                <w:lang w:eastAsia="zh-CN" w:bidi="ar"/>
                <w14:textFill>
                  <w14:solidFill>
                    <w14:schemeClr w14:val="tx1"/>
                  </w14:solidFill>
                </w14:textFill>
              </w:rPr>
              <w:t>、排放速率</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≤1.8kg/h</w:t>
            </w:r>
            <w:r>
              <w:rPr>
                <w:rFonts w:hint="default" w:ascii="Times New Roman" w:hAnsi="Times New Roman" w:cs="Times New Roman" w:eastAsiaTheme="minorEastAsia"/>
                <w:color w:val="000000" w:themeColor="text1"/>
                <w:sz w:val="24"/>
                <w:szCs w:val="24"/>
                <w:lang w:eastAsia="zh-CN" w:bidi="ar"/>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采取的措施合理可行</w:t>
            </w:r>
            <w:r>
              <w:rPr>
                <w:rFonts w:hint="default" w:ascii="Times New Roman" w:hAnsi="Times New Roman" w:cs="Times New Roman" w:eastAsiaTheme="minorEastAsia"/>
                <w:bCs/>
                <w:color w:val="000000" w:themeColor="text1"/>
                <w:sz w:val="24"/>
                <w:szCs w:val="24"/>
                <w14:textFill>
                  <w14:solidFill>
                    <w14:schemeClr w14:val="tx1"/>
                  </w14:solidFill>
                </w14:textFill>
              </w:rPr>
              <w:t>。</w:t>
            </w:r>
          </w:p>
          <w:p w14:paraId="1FFA9C0B">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w:t>
            </w: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废气非正常情况排放</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分析</w:t>
            </w:r>
          </w:p>
          <w:p w14:paraId="1DAB6F14">
            <w:pPr>
              <w:adjustRightInd w:val="0"/>
              <w:snapToGrid w:val="0"/>
              <w:spacing w:line="360" w:lineRule="auto"/>
              <w:ind w:firstLine="480" w:firstLineChars="20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非正常排放主要指生产过程中开、停车、检修、发生一般性故障时污染物排放。非正常排放大小及频率与生产装置的工艺水平、操作管理水平等因素有密切关系，若没有严格的处理措施，往往是造成环境污染的重要因素。对工程而言，重点关注环保设施非正常排放。</w:t>
            </w:r>
          </w:p>
          <w:p w14:paraId="5D822454">
            <w:pPr>
              <w:adjustRightInd w:val="0"/>
              <w:snapToGrid w:val="0"/>
              <w:spacing w:line="360" w:lineRule="auto"/>
              <w:ind w:firstLine="480" w:firstLineChars="20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(1)开、停车过程</w:t>
            </w:r>
          </w:p>
          <w:p w14:paraId="06CB7BE0">
            <w:pPr>
              <w:adjustRightInd w:val="0"/>
              <w:snapToGrid w:val="0"/>
              <w:spacing w:line="360" w:lineRule="auto"/>
              <w:ind w:firstLine="480" w:firstLineChars="20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项目生产工艺较简单，开、停车和正常生产时</w:t>
            </w:r>
            <w:r>
              <w:rPr>
                <w:rFonts w:hint="default" w:ascii="Times New Roman" w:hAnsi="Times New Roman" w:cs="Times New Roman" w:eastAsiaTheme="minorEastAsia"/>
                <w:bCs/>
                <w:color w:val="000000" w:themeColor="text1"/>
                <w:sz w:val="24"/>
                <w:lang w:eastAsia="zh-CN"/>
                <w14:textFill>
                  <w14:solidFill>
                    <w14:schemeClr w14:val="tx1"/>
                  </w14:solidFill>
                </w14:textFill>
              </w:rPr>
              <w:t>各类</w:t>
            </w:r>
            <w:r>
              <w:rPr>
                <w:rFonts w:hint="default" w:ascii="Times New Roman" w:hAnsi="Times New Roman" w:cs="Times New Roman" w:eastAsiaTheme="minorEastAsia"/>
                <w:bCs/>
                <w:color w:val="000000" w:themeColor="text1"/>
                <w:sz w:val="24"/>
                <w14:textFill>
                  <w14:solidFill>
                    <w14:schemeClr w14:val="tx1"/>
                  </w14:solidFill>
                </w14:textFill>
              </w:rPr>
              <w:t>废气的产生环节相同，污染源强也变化不大；而且开、停车过程中，应启动</w:t>
            </w:r>
            <w:r>
              <w:rPr>
                <w:rFonts w:hint="default" w:ascii="Times New Roman" w:hAnsi="Times New Roman" w:cs="Times New Roman" w:eastAsiaTheme="minorEastAsia"/>
                <w:bCs/>
                <w:color w:val="000000" w:themeColor="text1"/>
                <w:sz w:val="24"/>
                <w:lang w:eastAsia="zh-CN"/>
                <w14:textFill>
                  <w14:solidFill>
                    <w14:schemeClr w14:val="tx1"/>
                  </w14:solidFill>
                </w14:textFill>
              </w:rPr>
              <w:t>各类</w:t>
            </w:r>
            <w:r>
              <w:rPr>
                <w:rFonts w:hint="default" w:ascii="Times New Roman" w:hAnsi="Times New Roman" w:cs="Times New Roman" w:eastAsiaTheme="minorEastAsia"/>
                <w:bCs/>
                <w:color w:val="000000" w:themeColor="text1"/>
                <w:sz w:val="24"/>
                <w14:textFill>
                  <w14:solidFill>
                    <w14:schemeClr w14:val="tx1"/>
                  </w14:solidFill>
                </w14:textFill>
              </w:rPr>
              <w:t>废气污染治理设施并处于正常运行状态。</w:t>
            </w:r>
          </w:p>
          <w:p w14:paraId="437BFC68">
            <w:pPr>
              <w:adjustRightInd w:val="0"/>
              <w:snapToGrid w:val="0"/>
              <w:spacing w:line="360" w:lineRule="auto"/>
              <w:ind w:firstLine="480" w:firstLineChars="20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(2)检修</w:t>
            </w:r>
          </w:p>
          <w:p w14:paraId="188A056D">
            <w:pPr>
              <w:adjustRightInd w:val="0"/>
              <w:snapToGrid w:val="0"/>
              <w:spacing w:line="360" w:lineRule="auto"/>
              <w:ind w:firstLine="480" w:firstLineChars="20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项目检修过程停止生产，因此不产生污染物。</w:t>
            </w:r>
          </w:p>
          <w:p w14:paraId="248C7289">
            <w:pPr>
              <w:adjustRightInd w:val="0"/>
              <w:snapToGrid w:val="0"/>
              <w:spacing w:line="360" w:lineRule="auto"/>
              <w:ind w:firstLine="480" w:firstLineChars="20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(3)环保设施发生故障</w:t>
            </w:r>
          </w:p>
          <w:p w14:paraId="40AD5CA9">
            <w:pPr>
              <w:adjustRightInd w:val="0"/>
              <w:snapToGrid w:val="0"/>
              <w:spacing w:line="360" w:lineRule="auto"/>
              <w:ind w:firstLine="480" w:firstLineChars="200"/>
              <w:rPr>
                <w:rFonts w:hint="default" w:ascii="Times New Roman" w:hAnsi="Times New Roman" w:cs="Times New Roman" w:eastAsiaTheme="minorEastAsia"/>
                <w:b/>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项目主要环境影响为</w:t>
            </w:r>
            <w:r>
              <w:rPr>
                <w:rFonts w:hint="default" w:ascii="Times New Roman" w:hAnsi="Times New Roman" w:cs="Times New Roman" w:eastAsiaTheme="minorEastAsia"/>
                <w:bCs/>
                <w:color w:val="000000" w:themeColor="text1"/>
                <w:sz w:val="24"/>
                <w:lang w:eastAsia="zh-CN"/>
                <w14:textFill>
                  <w14:solidFill>
                    <w14:schemeClr w14:val="tx1"/>
                  </w14:solidFill>
                </w14:textFill>
              </w:rPr>
              <w:t>熔化废气和压铸脱模废气</w:t>
            </w:r>
            <w:r>
              <w:rPr>
                <w:rFonts w:hint="default" w:ascii="Times New Roman" w:hAnsi="Times New Roman" w:cs="Times New Roman" w:eastAsiaTheme="minorEastAsia"/>
                <w:bCs/>
                <w:color w:val="000000" w:themeColor="text1"/>
                <w:sz w:val="24"/>
                <w14:textFill>
                  <w14:solidFill>
                    <w14:schemeClr w14:val="tx1"/>
                  </w14:solidFill>
                </w14:textFill>
              </w:rPr>
              <w:t>，</w:t>
            </w: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废气收集汇总至一根管道，然后</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经</w:t>
            </w:r>
            <w:r>
              <w:rPr>
                <w:rFonts w:hint="eastAsia" w:cs="Times New Roman" w:eastAsiaTheme="minorEastAsia"/>
                <w:color w:val="000000" w:themeColor="text1"/>
                <w:sz w:val="24"/>
                <w:lang w:val="en-US" w:eastAsia="zh-CN"/>
                <w14:textFill>
                  <w14:solidFill>
                    <w14:schemeClr w14:val="tx1"/>
                  </w14:solidFill>
                </w14:textFill>
              </w:rPr>
              <w:t>喷淋塔+干式过滤</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+活性炭吸附装置</w:t>
            </w:r>
            <w:r>
              <w:rPr>
                <w:rFonts w:hint="default" w:ascii="Times New Roman" w:hAnsi="Times New Roman" w:cs="Times New Roman" w:eastAsiaTheme="minorEastAsia"/>
                <w:color w:val="000000" w:themeColor="text1"/>
                <w:sz w:val="24"/>
                <w14:textFill>
                  <w14:solidFill>
                    <w14:schemeClr w14:val="tx1"/>
                  </w14:solidFill>
                </w14:textFill>
              </w:rPr>
              <w:t>处理</w:t>
            </w:r>
            <w:r>
              <w:rPr>
                <w:rFonts w:hint="default" w:ascii="Times New Roman" w:hAnsi="Times New Roman" w:cs="Times New Roman" w:eastAsiaTheme="minorEastAsia"/>
                <w:color w:val="000000" w:themeColor="text1"/>
                <w:sz w:val="24"/>
                <w:lang w:eastAsia="zh-CN"/>
                <w14:textFill>
                  <w14:solidFill>
                    <w14:schemeClr w14:val="tx1"/>
                  </w14:solidFill>
                </w14:textFill>
              </w:rPr>
              <w:t>，通过</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1根15m</w:t>
            </w:r>
            <w:r>
              <w:rPr>
                <w:rFonts w:hint="default" w:ascii="Times New Roman" w:hAnsi="Times New Roman" w:cs="Times New Roman" w:eastAsiaTheme="minorEastAsia"/>
                <w:color w:val="000000" w:themeColor="text1"/>
                <w:sz w:val="24"/>
                <w14:textFill>
                  <w14:solidFill>
                    <w14:schemeClr w14:val="tx1"/>
                  </w14:solidFill>
                </w14:textFill>
              </w:rPr>
              <w:t>排气筒</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DA001</w:t>
            </w:r>
            <w:r>
              <w:rPr>
                <w:rFonts w:hint="default" w:ascii="Times New Roman" w:hAnsi="Times New Roman" w:cs="Times New Roman" w:eastAsiaTheme="minorEastAsia"/>
                <w:color w:val="000000" w:themeColor="text1"/>
                <w:sz w:val="24"/>
                <w14:textFill>
                  <w14:solidFill>
                    <w14:schemeClr w14:val="tx1"/>
                  </w14:solidFill>
                </w14:textFill>
              </w:rPr>
              <w:t>高空排放</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bCs/>
                <w:color w:val="000000" w:themeColor="text1"/>
                <w:sz w:val="24"/>
                <w:lang w:eastAsia="zh-CN"/>
                <w14:textFill>
                  <w14:solidFill>
                    <w14:schemeClr w14:val="tx1"/>
                  </w14:solidFill>
                </w14:textFill>
              </w:rPr>
              <w:t>主要考虑</w:t>
            </w:r>
            <w:r>
              <w:rPr>
                <w:rFonts w:hint="eastAsia" w:cs="Times New Roman" w:eastAsiaTheme="minorEastAsia"/>
                <w:bCs/>
                <w:color w:val="000000" w:themeColor="text1"/>
                <w:sz w:val="24"/>
                <w:lang w:val="en-US" w:eastAsia="zh-CN"/>
                <w14:textFill>
                  <w14:solidFill>
                    <w14:schemeClr w14:val="tx1"/>
                  </w14:solidFill>
                </w14:textFill>
              </w:rPr>
              <w:t>喷淋塔损坏不喷淋</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r>
              <w:rPr>
                <w:rFonts w:hint="default" w:ascii="Times New Roman" w:hAnsi="Times New Roman" w:cs="Times New Roman" w:eastAsiaTheme="minorEastAsia"/>
                <w:bCs/>
                <w:color w:val="000000" w:themeColor="text1"/>
                <w:sz w:val="24"/>
                <w14:textFill>
                  <w14:solidFill>
                    <w14:schemeClr w14:val="tx1"/>
                  </w14:solidFill>
                </w14:textFill>
              </w:rPr>
              <w:t>相当于</w:t>
            </w:r>
            <w:r>
              <w:rPr>
                <w:rFonts w:hint="default" w:ascii="Times New Roman" w:hAnsi="Times New Roman" w:cs="Times New Roman" w:eastAsiaTheme="minorEastAsia"/>
                <w:bCs/>
                <w:color w:val="000000" w:themeColor="text1"/>
                <w:sz w:val="24"/>
                <w:lang w:eastAsia="zh-CN"/>
                <w14:textFill>
                  <w14:solidFill>
                    <w14:schemeClr w14:val="tx1"/>
                  </w14:solidFill>
                </w14:textFill>
              </w:rPr>
              <w:t>对颗粒物</w:t>
            </w:r>
            <w:r>
              <w:rPr>
                <w:rFonts w:hint="default" w:ascii="Times New Roman" w:hAnsi="Times New Roman" w:cs="Times New Roman" w:eastAsiaTheme="minorEastAsia"/>
                <w:bCs/>
                <w:color w:val="000000" w:themeColor="text1"/>
                <w:sz w:val="24"/>
                <w14:textFill>
                  <w14:solidFill>
                    <w14:schemeClr w14:val="tx1"/>
                  </w14:solidFill>
                </w14:textFill>
              </w:rPr>
              <w:t>处理效率为0%</w:t>
            </w:r>
            <w:r>
              <w:rPr>
                <w:rFonts w:hint="default" w:ascii="Times New Roman" w:hAnsi="Times New Roman" w:cs="Times New Roman" w:eastAsiaTheme="minorEastAsia"/>
                <w:bCs/>
                <w:color w:val="000000" w:themeColor="text1"/>
                <w:sz w:val="24"/>
                <w:lang w:eastAsia="zh-CN"/>
                <w14:textFill>
                  <w14:solidFill>
                    <w14:schemeClr w14:val="tx1"/>
                  </w14:solidFill>
                </w14:textFill>
              </w:rPr>
              <w:t>）或活性炭吸附饱和，失去吸附有机废气的作用，</w:t>
            </w:r>
            <w:r>
              <w:rPr>
                <w:rFonts w:hint="default" w:ascii="Times New Roman" w:hAnsi="Times New Roman" w:cs="Times New Roman" w:eastAsiaTheme="minorEastAsia"/>
                <w:bCs/>
                <w:color w:val="000000" w:themeColor="text1"/>
                <w:sz w:val="24"/>
                <w14:textFill>
                  <w14:solidFill>
                    <w14:schemeClr w14:val="tx1"/>
                  </w14:solidFill>
                </w14:textFill>
              </w:rPr>
              <w:t>导致有机废气没经处理直接排放（相当于有机废气处理效率为0%）。环保设施发生故障</w:t>
            </w:r>
            <w:r>
              <w:rPr>
                <w:rFonts w:hint="eastAsia" w:ascii="Times New Roman" w:hAnsi="Times New Roman" w:cs="Times New Roman" w:eastAsiaTheme="minorEastAsia"/>
                <w:bCs/>
                <w:color w:val="000000" w:themeColor="text1"/>
                <w:sz w:val="24"/>
                <w:lang w:eastAsia="zh-CN"/>
                <w14:textFill>
                  <w14:solidFill>
                    <w14:schemeClr w14:val="tx1"/>
                  </w14:solidFill>
                </w14:textFill>
              </w:rPr>
              <w:t>时</w:t>
            </w:r>
            <w:r>
              <w:rPr>
                <w:rFonts w:hint="default" w:ascii="Times New Roman" w:hAnsi="Times New Roman" w:cs="Times New Roman" w:eastAsiaTheme="minorEastAsia"/>
                <w:bCs/>
                <w:color w:val="000000" w:themeColor="text1"/>
                <w:sz w:val="24"/>
                <w14:textFill>
                  <w14:solidFill>
                    <w14:schemeClr w14:val="tx1"/>
                  </w14:solidFill>
                </w14:textFill>
              </w:rPr>
              <w:t>废气排放情况见表4</w:t>
            </w: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.2-11</w:t>
            </w:r>
            <w:r>
              <w:rPr>
                <w:rFonts w:hint="default" w:ascii="Times New Roman" w:hAnsi="Times New Roman" w:cs="Times New Roman" w:eastAsiaTheme="minorEastAsia"/>
                <w:bCs/>
                <w:color w:val="000000" w:themeColor="text1"/>
                <w:sz w:val="24"/>
                <w14:textFill>
                  <w14:solidFill>
                    <w14:schemeClr w14:val="tx1"/>
                  </w14:solidFill>
                </w14:textFill>
              </w:rPr>
              <w:t>。</w:t>
            </w:r>
          </w:p>
          <w:p w14:paraId="6E960E5C">
            <w:pPr>
              <w:spacing w:line="240" w:lineRule="auto"/>
              <w:jc w:val="cente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pPr>
          </w:p>
          <w:p w14:paraId="0695535F">
            <w:pPr>
              <w:spacing w:line="240" w:lineRule="auto"/>
              <w:jc w:val="cente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表</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4.2-3</w:t>
            </w: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 xml:space="preserve">  环保设施发生故障</w:t>
            </w:r>
            <w:r>
              <w:rPr>
                <w:rFonts w:hint="eastAsia" w:ascii="Times New Roman" w:hAnsi="Times New Roman" w:cs="Times New Roman" w:eastAsiaTheme="minorEastAsia"/>
                <w:b/>
                <w:color w:val="000000" w:themeColor="text1"/>
                <w:sz w:val="24"/>
                <w:szCs w:val="24"/>
                <w:highlight w:val="none"/>
                <w:lang w:eastAsia="zh-CN"/>
                <w14:textFill>
                  <w14:solidFill>
                    <w14:schemeClr w14:val="tx1"/>
                  </w14:solidFill>
                </w14:textFill>
              </w:rPr>
              <w:t>时</w:t>
            </w:r>
            <w:r>
              <w:rPr>
                <w:rFonts w:hint="default" w:ascii="Times New Roman" w:hAnsi="Times New Roman" w:cs="Times New Roman" w:eastAsiaTheme="minorEastAsia"/>
                <w:b/>
                <w:color w:val="000000" w:themeColor="text1"/>
                <w:sz w:val="24"/>
                <w:szCs w:val="24"/>
                <w:highlight w:val="none"/>
                <w14:textFill>
                  <w14:solidFill>
                    <w14:schemeClr w14:val="tx1"/>
                  </w14:solidFill>
                </w14:textFill>
              </w:rPr>
              <w:t>废气排放情况</w:t>
            </w:r>
            <w:r>
              <w:rPr>
                <w:rFonts w:hint="default" w:ascii="Times New Roman" w:hAnsi="Times New Roman" w:cs="Times New Roman" w:eastAsiaTheme="minorEastAsia"/>
                <w:b/>
                <w:color w:val="000000" w:themeColor="text1"/>
                <w:sz w:val="24"/>
                <w:szCs w:val="24"/>
                <w:highlight w:val="none"/>
                <w:lang w:val="en-US" w:eastAsia="zh-CN"/>
                <w14:textFill>
                  <w14:solidFill>
                    <w14:schemeClr w14:val="tx1"/>
                  </w14:solidFill>
                </w14:textFill>
              </w:rPr>
              <w:t>一览表</w:t>
            </w:r>
          </w:p>
          <w:tbl>
            <w:tblPr>
              <w:tblStyle w:val="124"/>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9"/>
              <w:gridCol w:w="998"/>
              <w:gridCol w:w="1334"/>
              <w:gridCol w:w="687"/>
              <w:gridCol w:w="550"/>
              <w:gridCol w:w="960"/>
              <w:gridCol w:w="838"/>
              <w:gridCol w:w="2178"/>
            </w:tblGrid>
            <w:tr w14:paraId="20412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959" w:type="dxa"/>
                  <w:vMerge w:val="restart"/>
                  <w:tcBorders>
                    <w:tl2br w:val="nil"/>
                    <w:tr2bl w:val="nil"/>
                  </w:tcBorders>
                  <w:noWrap w:val="0"/>
                  <w:vAlign w:val="center"/>
                </w:tcPr>
                <w:p w14:paraId="02DDB562">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排放源</w:t>
                  </w:r>
                </w:p>
              </w:tc>
              <w:tc>
                <w:tcPr>
                  <w:tcW w:w="998" w:type="dxa"/>
                  <w:vMerge w:val="restart"/>
                  <w:tcBorders>
                    <w:tl2br w:val="nil"/>
                    <w:tr2bl w:val="nil"/>
                  </w:tcBorders>
                  <w:noWrap w:val="0"/>
                  <w:vAlign w:val="center"/>
                </w:tcPr>
                <w:p w14:paraId="3F85F4BD">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污染因子</w:t>
                  </w:r>
                </w:p>
              </w:tc>
              <w:tc>
                <w:tcPr>
                  <w:tcW w:w="4369" w:type="dxa"/>
                  <w:gridSpan w:val="5"/>
                  <w:tcBorders>
                    <w:tl2br w:val="nil"/>
                    <w:tr2bl w:val="nil"/>
                  </w:tcBorders>
                  <w:noWrap w:val="0"/>
                  <w:vAlign w:val="center"/>
                </w:tcPr>
                <w:p w14:paraId="1438AACE">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非正常排放情况</w:t>
                  </w:r>
                </w:p>
              </w:tc>
              <w:tc>
                <w:tcPr>
                  <w:tcW w:w="2178" w:type="dxa"/>
                  <w:vMerge w:val="restart"/>
                  <w:tcBorders>
                    <w:tl2br w:val="nil"/>
                    <w:tr2bl w:val="nil"/>
                  </w:tcBorders>
                  <w:noWrap w:val="0"/>
                  <w:vAlign w:val="center"/>
                </w:tcPr>
                <w:p w14:paraId="3DF661A4">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w w:val="95"/>
                      <w:kern w:val="0"/>
                      <w:sz w:val="21"/>
                      <w:szCs w:val="21"/>
                      <w:highlight w:val="none"/>
                      <w:lang w:eastAsia="en-US"/>
                      <w14:textFill>
                        <w14:solidFill>
                          <w14:schemeClr w14:val="tx1"/>
                        </w14:solidFill>
                      </w14:textFill>
                    </w:rPr>
                    <w:t>应</w:t>
                  </w: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对措施</w:t>
                  </w:r>
                </w:p>
              </w:tc>
            </w:tr>
            <w:tr w14:paraId="150A7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noWrap w:val="0"/>
                  <w:vAlign w:val="center"/>
                </w:tcPr>
                <w:p w14:paraId="424303B6">
                  <w:pPr>
                    <w:pStyle w:val="65"/>
                    <w:autoSpaceDE w:val="0"/>
                    <w:autoSpaceDN w:val="0"/>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p>
              </w:tc>
              <w:tc>
                <w:tcPr>
                  <w:tcW w:w="998" w:type="dxa"/>
                  <w:vMerge w:val="continue"/>
                  <w:tcBorders>
                    <w:tl2br w:val="nil"/>
                    <w:tr2bl w:val="nil"/>
                  </w:tcBorders>
                  <w:noWrap w:val="0"/>
                  <w:vAlign w:val="center"/>
                </w:tcPr>
                <w:p w14:paraId="2ADD49F0">
                  <w:pPr>
                    <w:pStyle w:val="65"/>
                    <w:autoSpaceDE w:val="0"/>
                    <w:autoSpaceDN w:val="0"/>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p>
              </w:tc>
              <w:tc>
                <w:tcPr>
                  <w:tcW w:w="1334" w:type="dxa"/>
                  <w:tcBorders>
                    <w:tl2br w:val="nil"/>
                    <w:tr2bl w:val="nil"/>
                  </w:tcBorders>
                  <w:noWrap w:val="0"/>
                  <w:vAlign w:val="center"/>
                </w:tcPr>
                <w:p w14:paraId="1E75C3CE">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原因</w:t>
                  </w:r>
                </w:p>
              </w:tc>
              <w:tc>
                <w:tcPr>
                  <w:tcW w:w="687" w:type="dxa"/>
                  <w:tcBorders>
                    <w:tl2br w:val="nil"/>
                    <w:tr2bl w:val="nil"/>
                  </w:tcBorders>
                  <w:noWrap w:val="0"/>
                  <w:vAlign w:val="center"/>
                </w:tcPr>
                <w:p w14:paraId="1B8FC607">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频次</w:t>
                  </w:r>
                </w:p>
              </w:tc>
              <w:tc>
                <w:tcPr>
                  <w:tcW w:w="550" w:type="dxa"/>
                  <w:tcBorders>
                    <w:tl2br w:val="nil"/>
                    <w:tr2bl w:val="nil"/>
                  </w:tcBorders>
                  <w:noWrap w:val="0"/>
                  <w:vAlign w:val="center"/>
                </w:tcPr>
                <w:p w14:paraId="20C330F6">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时间</w:t>
                  </w:r>
                </w:p>
              </w:tc>
              <w:tc>
                <w:tcPr>
                  <w:tcW w:w="960" w:type="dxa"/>
                  <w:tcBorders>
                    <w:tl2br w:val="nil"/>
                    <w:tr2bl w:val="nil"/>
                  </w:tcBorders>
                  <w:noWrap w:val="0"/>
                  <w:vAlign w:val="center"/>
                </w:tcPr>
                <w:p w14:paraId="0CF3D590">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排放速率</w:t>
                  </w:r>
                </w:p>
                <w:p w14:paraId="7C35EFA2">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kg/h</w:t>
                  </w:r>
                </w:p>
              </w:tc>
              <w:tc>
                <w:tcPr>
                  <w:tcW w:w="838" w:type="dxa"/>
                  <w:tcBorders>
                    <w:tl2br w:val="nil"/>
                    <w:tr2bl w:val="nil"/>
                  </w:tcBorders>
                  <w:noWrap w:val="0"/>
                  <w:vAlign w:val="center"/>
                </w:tcPr>
                <w:p w14:paraId="63197254">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排放浓度mg/m³</w:t>
                  </w:r>
                </w:p>
              </w:tc>
              <w:tc>
                <w:tcPr>
                  <w:tcW w:w="2178" w:type="dxa"/>
                  <w:vMerge w:val="continue"/>
                  <w:tcBorders>
                    <w:tl2br w:val="nil"/>
                    <w:tr2bl w:val="nil"/>
                  </w:tcBorders>
                  <w:noWrap w:val="0"/>
                  <w:vAlign w:val="center"/>
                </w:tcPr>
                <w:p w14:paraId="2A09A186">
                  <w:pPr>
                    <w:pStyle w:val="65"/>
                    <w:autoSpaceDE w:val="0"/>
                    <w:autoSpaceDN w:val="0"/>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p>
              </w:tc>
            </w:tr>
            <w:tr w14:paraId="42D652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noWrap w:val="0"/>
                  <w:vAlign w:val="center"/>
                </w:tcPr>
                <w:p w14:paraId="22351D28">
                  <w:pPr>
                    <w:pStyle w:val="65"/>
                    <w:autoSpaceDE w:val="0"/>
                    <w:autoSpaceDN w:val="0"/>
                    <w:jc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熔化废气和压铸脱模废气（</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DA001）</w:t>
                  </w:r>
                </w:p>
              </w:tc>
              <w:tc>
                <w:tcPr>
                  <w:tcW w:w="998" w:type="dxa"/>
                  <w:tcBorders>
                    <w:tl2br w:val="nil"/>
                    <w:tr2bl w:val="nil"/>
                  </w:tcBorders>
                  <w:noWrap w:val="0"/>
                  <w:vAlign w:val="center"/>
                </w:tcPr>
                <w:p w14:paraId="55A8D58E">
                  <w:pPr>
                    <w:pStyle w:val="65"/>
                    <w:autoSpaceDE w:val="0"/>
                    <w:autoSpaceDN w:val="0"/>
                    <w:jc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颗粒物</w:t>
                  </w:r>
                </w:p>
              </w:tc>
              <w:tc>
                <w:tcPr>
                  <w:tcW w:w="1334" w:type="dxa"/>
                  <w:tcBorders>
                    <w:tl2br w:val="nil"/>
                    <w:tr2bl w:val="nil"/>
                  </w:tcBorders>
                  <w:noWrap w:val="0"/>
                  <w:vAlign w:val="center"/>
                </w:tcPr>
                <w:p w14:paraId="5F344258">
                  <w:pPr>
                    <w:pStyle w:val="65"/>
                    <w:autoSpaceDE w:val="0"/>
                    <w:autoSpaceDN w:val="0"/>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喷淋塔损坏</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导致失去</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处理</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效率</w:t>
                  </w:r>
                </w:p>
              </w:tc>
              <w:tc>
                <w:tcPr>
                  <w:tcW w:w="687" w:type="dxa"/>
                  <w:tcBorders>
                    <w:tl2br w:val="nil"/>
                    <w:tr2bl w:val="nil"/>
                  </w:tcBorders>
                  <w:noWrap w:val="0"/>
                  <w:vAlign w:val="center"/>
                </w:tcPr>
                <w:p w14:paraId="621BBAF4">
                  <w:pPr>
                    <w:pStyle w:val="65"/>
                    <w:autoSpaceDE w:val="0"/>
                    <w:autoSpaceDN w:val="0"/>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次/年</w:t>
                  </w:r>
                </w:p>
              </w:tc>
              <w:tc>
                <w:tcPr>
                  <w:tcW w:w="550" w:type="dxa"/>
                  <w:tcBorders>
                    <w:tl2br w:val="nil"/>
                    <w:tr2bl w:val="nil"/>
                  </w:tcBorders>
                  <w:noWrap w:val="0"/>
                  <w:vAlign w:val="center"/>
                </w:tcPr>
                <w:p w14:paraId="127F4D4E">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≤1h/</w:t>
                  </w:r>
                  <w:r>
                    <w:rPr>
                      <w:rFonts w:hint="default" w:ascii="Times New Roman" w:hAnsi="Times New Roman" w:cs="Times New Roman" w:eastAsiaTheme="minorEastAsia"/>
                      <w:color w:val="000000" w:themeColor="text1"/>
                      <w:w w:val="99"/>
                      <w:kern w:val="0"/>
                      <w:sz w:val="21"/>
                      <w:szCs w:val="21"/>
                      <w:highlight w:val="none"/>
                      <w:lang w:eastAsia="en-US"/>
                      <w14:textFill>
                        <w14:solidFill>
                          <w14:schemeClr w14:val="tx1"/>
                        </w14:solidFill>
                      </w14:textFill>
                    </w:rPr>
                    <w:t>次</w:t>
                  </w:r>
                </w:p>
              </w:tc>
              <w:tc>
                <w:tcPr>
                  <w:tcW w:w="960" w:type="dxa"/>
                  <w:tcBorders>
                    <w:tl2br w:val="nil"/>
                    <w:tr2bl w:val="nil"/>
                  </w:tcBorders>
                  <w:noWrap w:val="0"/>
                  <w:vAlign w:val="center"/>
                </w:tcPr>
                <w:p w14:paraId="5D93C063">
                  <w:pPr>
                    <w:pStyle w:val="114"/>
                    <w:autoSpaceDE w:val="0"/>
                    <w:autoSpaceDN w:val="0"/>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0.236</w:t>
                  </w:r>
                </w:p>
              </w:tc>
              <w:tc>
                <w:tcPr>
                  <w:tcW w:w="838" w:type="dxa"/>
                  <w:tcBorders>
                    <w:tl2br w:val="nil"/>
                    <w:tr2bl w:val="nil"/>
                  </w:tcBorders>
                  <w:noWrap w:val="0"/>
                  <w:vAlign w:val="center"/>
                </w:tcPr>
                <w:p w14:paraId="18C160F2">
                  <w:pPr>
                    <w:pStyle w:val="114"/>
                    <w:autoSpaceDE w:val="0"/>
                    <w:autoSpaceDN w:val="0"/>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47.25</w:t>
                  </w:r>
                </w:p>
              </w:tc>
              <w:tc>
                <w:tcPr>
                  <w:tcW w:w="2178" w:type="dxa"/>
                  <w:tcBorders>
                    <w:tl2br w:val="nil"/>
                    <w:tr2bl w:val="nil"/>
                  </w:tcBorders>
                  <w:noWrap w:val="0"/>
                  <w:vAlign w:val="center"/>
                </w:tcPr>
                <w:p w14:paraId="30964B23">
                  <w:pPr>
                    <w:pStyle w:val="65"/>
                    <w:autoSpaceDE w:val="0"/>
                    <w:autoSpaceDN w:val="0"/>
                    <w:jc w:val="cente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定期</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检查喷淋塔</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，加强废气处理设施</w:t>
                  </w:r>
                  <w:r>
                    <w:rPr>
                      <w:rFonts w:hint="default" w:ascii="Times New Roman" w:hAnsi="Times New Roman" w:cs="Times New Roman" w:eastAsiaTheme="minorEastAsia"/>
                      <w:color w:val="000000" w:themeColor="text1"/>
                      <w:spacing w:val="-1"/>
                      <w:kern w:val="0"/>
                      <w:sz w:val="21"/>
                      <w:szCs w:val="21"/>
                      <w:highlight w:val="none"/>
                      <w:lang w:eastAsia="zh-CN"/>
                      <w14:textFill>
                        <w14:solidFill>
                          <w14:schemeClr w14:val="tx1"/>
                        </w14:solidFill>
                      </w14:textFill>
                    </w:rPr>
                    <w:t>的管理，定期检修，建</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立健全的环保管理机构</w:t>
                  </w:r>
                </w:p>
              </w:tc>
            </w:tr>
            <w:tr w14:paraId="5A833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noWrap w:val="0"/>
                  <w:vAlign w:val="center"/>
                </w:tcPr>
                <w:p w14:paraId="5107F56C">
                  <w:pPr>
                    <w:pStyle w:val="65"/>
                    <w:autoSpaceDE w:val="0"/>
                    <w:autoSpaceDN w:val="0"/>
                    <w:jc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p>
              </w:tc>
              <w:tc>
                <w:tcPr>
                  <w:tcW w:w="998" w:type="dxa"/>
                  <w:tcBorders>
                    <w:tl2br w:val="nil"/>
                    <w:tr2bl w:val="nil"/>
                  </w:tcBorders>
                  <w:noWrap w:val="0"/>
                  <w:vAlign w:val="center"/>
                </w:tcPr>
                <w:p w14:paraId="484C03E5">
                  <w:pPr>
                    <w:pStyle w:val="65"/>
                    <w:autoSpaceDE w:val="0"/>
                    <w:autoSpaceDN w:val="0"/>
                    <w:jc w:val="center"/>
                    <w:rPr>
                      <w:rFonts w:hint="default" w:ascii="Times New Roman" w:hAnsi="Times New Roman" w:cs="Times New Roman" w:eastAsiaTheme="minorEastAsia"/>
                      <w:color w:val="000000" w:themeColor="text1"/>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en-US"/>
                      <w14:textFill>
                        <w14:solidFill>
                          <w14:schemeClr w14:val="tx1"/>
                        </w14:solidFill>
                      </w14:textFill>
                    </w:rPr>
                    <w:t>非甲烷</w:t>
                  </w:r>
                </w:p>
                <w:p w14:paraId="4DF66AD6">
                  <w:pPr>
                    <w:pStyle w:val="65"/>
                    <w:autoSpaceDE w:val="0"/>
                    <w:autoSpaceDN w:val="0"/>
                    <w:jc w:val="center"/>
                    <w:rPr>
                      <w:rFonts w:hint="default" w:ascii="Times New Roman" w:hAnsi="Times New Roman" w:cs="Times New Roman" w:eastAsiaTheme="minorEastAsia"/>
                      <w:color w:val="000000" w:themeColor="text1"/>
                      <w:sz w:val="21"/>
                      <w:szCs w:val="21"/>
                      <w:highlight w:val="none"/>
                      <w:lang w:eastAsia="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en-US"/>
                      <w14:textFill>
                        <w14:solidFill>
                          <w14:schemeClr w14:val="tx1"/>
                        </w14:solidFill>
                      </w14:textFill>
                    </w:rPr>
                    <w:t>总烃</w:t>
                  </w:r>
                </w:p>
              </w:tc>
              <w:tc>
                <w:tcPr>
                  <w:tcW w:w="1334" w:type="dxa"/>
                  <w:tcBorders>
                    <w:tl2br w:val="nil"/>
                    <w:tr2bl w:val="nil"/>
                  </w:tcBorders>
                  <w:noWrap w:val="0"/>
                  <w:vAlign w:val="center"/>
                </w:tcPr>
                <w:p w14:paraId="1277E793">
                  <w:pPr>
                    <w:pStyle w:val="65"/>
                    <w:autoSpaceDE w:val="0"/>
                    <w:autoSpaceDN w:val="0"/>
                    <w:rPr>
                      <w:rFonts w:hint="default" w:ascii="Times New Roman" w:hAnsi="Times New Roman" w:cs="Times New Roman" w:eastAsiaTheme="minorEastAsia"/>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活性炭已饱和吸附，失去吸附有机物的作用</w:t>
                  </w:r>
                </w:p>
              </w:tc>
              <w:tc>
                <w:tcPr>
                  <w:tcW w:w="687" w:type="dxa"/>
                  <w:tcBorders>
                    <w:tl2br w:val="nil"/>
                    <w:tr2bl w:val="nil"/>
                  </w:tcBorders>
                  <w:noWrap w:val="0"/>
                  <w:vAlign w:val="center"/>
                </w:tcPr>
                <w:p w14:paraId="653FA216">
                  <w:pPr>
                    <w:pStyle w:val="65"/>
                    <w:autoSpaceDE w:val="0"/>
                    <w:autoSpaceDN w:val="0"/>
                    <w:rPr>
                      <w:rFonts w:hint="default" w:ascii="Times New Roman" w:hAnsi="Times New Roman" w:cs="Times New Roman" w:eastAsiaTheme="minorEastAsia"/>
                      <w:iCs/>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次/年</w:t>
                  </w:r>
                </w:p>
              </w:tc>
              <w:tc>
                <w:tcPr>
                  <w:tcW w:w="550" w:type="dxa"/>
                  <w:tcBorders>
                    <w:tl2br w:val="nil"/>
                    <w:tr2bl w:val="nil"/>
                  </w:tcBorders>
                  <w:noWrap w:val="0"/>
                  <w:vAlign w:val="center"/>
                </w:tcPr>
                <w:p w14:paraId="1C108EE6">
                  <w:pPr>
                    <w:pStyle w:val="65"/>
                    <w:autoSpaceDE w:val="0"/>
                    <w:autoSpaceDN w:val="0"/>
                    <w:jc w:val="center"/>
                    <w:rPr>
                      <w:rFonts w:hint="default" w:ascii="Times New Roman" w:hAnsi="Times New Roman" w:cs="Times New Roman" w:eastAsiaTheme="minorEastAsia"/>
                      <w:iCs/>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en-US"/>
                      <w14:textFill>
                        <w14:solidFill>
                          <w14:schemeClr w14:val="tx1"/>
                        </w14:solidFill>
                      </w14:textFill>
                    </w:rPr>
                    <w:t>≤1h/</w:t>
                  </w:r>
                  <w:r>
                    <w:rPr>
                      <w:rFonts w:hint="default" w:ascii="Times New Roman" w:hAnsi="Times New Roman" w:cs="Times New Roman" w:eastAsiaTheme="minorEastAsia"/>
                      <w:color w:val="000000" w:themeColor="text1"/>
                      <w:w w:val="99"/>
                      <w:kern w:val="0"/>
                      <w:sz w:val="21"/>
                      <w:szCs w:val="21"/>
                      <w:highlight w:val="none"/>
                      <w:lang w:eastAsia="en-US"/>
                      <w14:textFill>
                        <w14:solidFill>
                          <w14:schemeClr w14:val="tx1"/>
                        </w14:solidFill>
                      </w14:textFill>
                    </w:rPr>
                    <w:t>次</w:t>
                  </w:r>
                </w:p>
              </w:tc>
              <w:tc>
                <w:tcPr>
                  <w:tcW w:w="960" w:type="dxa"/>
                  <w:tcBorders>
                    <w:tl2br w:val="nil"/>
                    <w:tr2bl w:val="nil"/>
                  </w:tcBorders>
                  <w:noWrap w:val="0"/>
                  <w:vAlign w:val="center"/>
                </w:tcPr>
                <w:p w14:paraId="38A2268B">
                  <w:pPr>
                    <w:pStyle w:val="114"/>
                    <w:autoSpaceDE w:val="0"/>
                    <w:autoSpaceDN w:val="0"/>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0.844</w:t>
                  </w:r>
                </w:p>
              </w:tc>
              <w:tc>
                <w:tcPr>
                  <w:tcW w:w="838" w:type="dxa"/>
                  <w:tcBorders>
                    <w:tl2br w:val="nil"/>
                    <w:tr2bl w:val="nil"/>
                  </w:tcBorders>
                  <w:noWrap w:val="0"/>
                  <w:vAlign w:val="center"/>
                </w:tcPr>
                <w:p w14:paraId="79E71905">
                  <w:pPr>
                    <w:pStyle w:val="114"/>
                    <w:autoSpaceDE w:val="0"/>
                    <w:autoSpaceDN w:val="0"/>
                    <w:bidi w:val="0"/>
                    <w:ind w:firstLine="0" w:firstLineChars="0"/>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168.75</w:t>
                  </w:r>
                </w:p>
              </w:tc>
              <w:tc>
                <w:tcPr>
                  <w:tcW w:w="2178" w:type="dxa"/>
                  <w:tcBorders>
                    <w:tl2br w:val="nil"/>
                    <w:tr2bl w:val="nil"/>
                  </w:tcBorders>
                  <w:noWrap w:val="0"/>
                  <w:vAlign w:val="center"/>
                </w:tcPr>
                <w:p w14:paraId="719C4CC6">
                  <w:pPr>
                    <w:pStyle w:val="65"/>
                    <w:autoSpaceDE w:val="0"/>
                    <w:autoSpaceDN w:val="0"/>
                    <w:jc w:val="center"/>
                    <w:rPr>
                      <w:rFonts w:hint="default" w:ascii="Times New Roman" w:hAnsi="Times New Roman" w:cs="Times New Roman" w:eastAsiaTheme="minorEastAsia"/>
                      <w:i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定期更换活性炭，并加强废气处理设施</w:t>
                  </w:r>
                  <w:r>
                    <w:rPr>
                      <w:rFonts w:hint="default" w:ascii="Times New Roman" w:hAnsi="Times New Roman" w:cs="Times New Roman" w:eastAsiaTheme="minorEastAsia"/>
                      <w:color w:val="000000" w:themeColor="text1"/>
                      <w:spacing w:val="-1"/>
                      <w:kern w:val="0"/>
                      <w:sz w:val="21"/>
                      <w:szCs w:val="21"/>
                      <w:highlight w:val="none"/>
                      <w:lang w:eastAsia="zh-CN"/>
                      <w14:textFill>
                        <w14:solidFill>
                          <w14:schemeClr w14:val="tx1"/>
                        </w14:solidFill>
                      </w14:textFill>
                    </w:rPr>
                    <w:t>的管理，定期检修，建</w:t>
                  </w:r>
                  <w:r>
                    <w:rPr>
                      <w:rFonts w:hint="default"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t>立健全的环保管理机构</w:t>
                  </w:r>
                </w:p>
              </w:tc>
            </w:tr>
          </w:tbl>
          <w:p w14:paraId="47CA4579">
            <w:pPr>
              <w:pStyle w:val="60"/>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根据上表的环保设施发生故障</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时</w:t>
            </w:r>
            <w:r>
              <w:rPr>
                <w:rFonts w:hint="default" w:ascii="Times New Roman" w:hAnsi="Times New Roman" w:cs="Times New Roman" w:eastAsiaTheme="minorEastAsia"/>
                <w:color w:val="000000" w:themeColor="text1"/>
                <w:sz w:val="24"/>
                <w:szCs w:val="24"/>
                <w14:textFill>
                  <w14:solidFill>
                    <w14:schemeClr w14:val="tx1"/>
                  </w14:solidFill>
                </w14:textFill>
              </w:rPr>
              <w:t>废气排放情况，环保设施发生故障时的废气排放量浓度</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较高</w:t>
            </w:r>
            <w:r>
              <w:rPr>
                <w:rFonts w:hint="default" w:ascii="Times New Roman" w:hAnsi="Times New Roman" w:cs="Times New Roman" w:eastAsiaTheme="minorEastAsia"/>
                <w:color w:val="000000" w:themeColor="text1"/>
                <w:sz w:val="24"/>
                <w:szCs w:val="24"/>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但</w:t>
            </w:r>
            <w:r>
              <w:rPr>
                <w:rFonts w:hint="default" w:ascii="Times New Roman" w:hAnsi="Times New Roman" w:cs="Times New Roman" w:eastAsiaTheme="minorEastAsia"/>
                <w:color w:val="000000" w:themeColor="text1"/>
                <w:sz w:val="24"/>
                <w:szCs w:val="24"/>
                <w14:textFill>
                  <w14:solidFill>
                    <w14:schemeClr w14:val="tx1"/>
                  </w14:solidFill>
                </w14:textFill>
              </w:rPr>
              <w:t>由于发生非正常工况排放次数较少</w:t>
            </w:r>
            <w:r>
              <w:rPr>
                <w:rFonts w:hint="eastAsia" w:cs="Times New Roman" w:eastAsiaTheme="minorEastAsia"/>
                <w:color w:val="000000" w:themeColor="text1"/>
                <w:sz w:val="24"/>
                <w:szCs w:val="24"/>
                <w:lang w:eastAsia="zh-CN"/>
                <w14:textFill>
                  <w14:solidFill>
                    <w14:schemeClr w14:val="tx1"/>
                  </w14:solidFill>
                </w14:textFill>
              </w:rPr>
              <w:t>且</w:t>
            </w:r>
            <w:r>
              <w:rPr>
                <w:rFonts w:hint="default" w:ascii="Times New Roman" w:hAnsi="Times New Roman" w:cs="Times New Roman" w:eastAsiaTheme="minorEastAsia"/>
                <w:color w:val="000000" w:themeColor="text1"/>
                <w:sz w:val="24"/>
                <w:szCs w:val="24"/>
                <w14:textFill>
                  <w14:solidFill>
                    <w14:schemeClr w14:val="tx1"/>
                  </w14:solidFill>
                </w14:textFill>
              </w:rPr>
              <w:t>排放时间短暂，建设单位能够及时采取措施进行处理，则不会对周围大气环境造成长期影响。</w:t>
            </w:r>
          </w:p>
          <w:p w14:paraId="60A6C560">
            <w:pPr>
              <w:pStyle w:val="110"/>
              <w:ind w:firstLine="482"/>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14:textFill>
                  <w14:solidFill>
                    <w14:schemeClr w14:val="tx1"/>
                  </w14:solidFill>
                </w14:textFill>
              </w:rPr>
              <w:t>、废气监测要求</w:t>
            </w:r>
          </w:p>
          <w:p w14:paraId="3EFE8625">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根据《固定污染源排污许可分类管理名录（2019 年版）》，本项目属于“三十</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八</w:t>
            </w: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金属制品业</w:t>
            </w:r>
            <w:r>
              <w:rPr>
                <w:rFonts w:hint="default" w:ascii="Times New Roman" w:hAnsi="Times New Roman" w:cs="Times New Roman" w:eastAsiaTheme="minorEastAsia"/>
                <w:color w:val="000000" w:themeColor="text1"/>
                <w:sz w:val="24"/>
                <w14:textFill>
                  <w14:solidFill>
                    <w14:schemeClr w14:val="tx1"/>
                  </w14:solidFill>
                </w14:textFill>
              </w:rPr>
              <w:t>3</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”中的</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简化</w:t>
            </w:r>
            <w:r>
              <w:rPr>
                <w:rFonts w:hint="default" w:ascii="Times New Roman" w:hAnsi="Times New Roman" w:cs="Times New Roman" w:eastAsiaTheme="minorEastAsia"/>
                <w:color w:val="000000" w:themeColor="text1"/>
                <w:sz w:val="24"/>
                <w14:textFill>
                  <w14:solidFill>
                    <w14:schemeClr w14:val="tx1"/>
                  </w14:solidFill>
                </w14:textFill>
              </w:rPr>
              <w:t xml:space="preserve">管理类别，根据《排污单位自行监测技术指南 总则》（HJ819-2017）、《排污许可证申请与核发技术规范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金属铸造工业</w:t>
            </w:r>
            <w:r>
              <w:rPr>
                <w:rFonts w:hint="default" w:ascii="Times New Roman" w:hAnsi="Times New Roman" w:cs="Times New Roman" w:eastAsiaTheme="minorEastAsia"/>
                <w:color w:val="000000" w:themeColor="text1"/>
                <w:sz w:val="24"/>
                <w14:textFill>
                  <w14:solidFill>
                    <w14:schemeClr w14:val="tx1"/>
                  </w14:solidFill>
                </w14:textFill>
              </w:rPr>
              <w:t xml:space="preserve">》（HJ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1115</w:t>
            </w:r>
            <w:r>
              <w:rPr>
                <w:rFonts w:hint="default" w:ascii="Times New Roman" w:hAnsi="Times New Roman" w:cs="Times New Roman" w:eastAsiaTheme="minorEastAsia"/>
                <w:color w:val="000000" w:themeColor="text1"/>
                <w:sz w:val="24"/>
                <w14:textFill>
                  <w14:solidFill>
                    <w14:schemeClr w14:val="tx1"/>
                  </w14:solidFill>
                </w14:textFill>
              </w:rPr>
              <w:t>-20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14:textFill>
                  <w14:solidFill>
                    <w14:schemeClr w14:val="tx1"/>
                  </w14:solidFill>
                </w14:textFill>
              </w:rPr>
              <w:t>），确定本项目的废气监测要求，详见下表4</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14:textFill>
                  <w14:solidFill>
                    <w14:schemeClr w14:val="tx1"/>
                  </w14:solidFill>
                </w14:textFill>
              </w:rPr>
              <w:t>。</w:t>
            </w:r>
          </w:p>
          <w:p w14:paraId="36B1B95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表4</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14:textFill>
                  <w14:solidFill>
                    <w14:schemeClr w14:val="tx1"/>
                  </w14:solidFill>
                </w14:textFill>
              </w:rPr>
              <w:t>-</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14:textFill>
                  <w14:solidFill>
                    <w14:schemeClr w14:val="tx1"/>
                  </w14:solidFill>
                </w14:textFill>
              </w:rPr>
              <w:t xml:space="preserve">  运营期废气监测计划一览表</w:t>
            </w:r>
          </w:p>
          <w:tbl>
            <w:tblPr>
              <w:tblStyle w:val="35"/>
              <w:tblW w:w="879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08"/>
              <w:gridCol w:w="1204"/>
              <w:gridCol w:w="1350"/>
              <w:gridCol w:w="4348"/>
              <w:gridCol w:w="888"/>
            </w:tblGrid>
            <w:tr w14:paraId="44C50A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1008" w:type="dxa"/>
                  <w:noWrap w:val="0"/>
                  <w:vAlign w:val="center"/>
                </w:tcPr>
                <w:p w14:paraId="65CF7BD2">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污染源名称</w:t>
                  </w:r>
                </w:p>
              </w:tc>
              <w:tc>
                <w:tcPr>
                  <w:tcW w:w="1204" w:type="dxa"/>
                  <w:noWrap w:val="0"/>
                  <w:vAlign w:val="center"/>
                </w:tcPr>
                <w:p w14:paraId="1A037FAD">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监测点位</w:t>
                  </w:r>
                </w:p>
              </w:tc>
              <w:tc>
                <w:tcPr>
                  <w:tcW w:w="1350" w:type="dxa"/>
                  <w:noWrap w:val="0"/>
                  <w:vAlign w:val="center"/>
                </w:tcPr>
                <w:p w14:paraId="5A63DB89">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监测因子</w:t>
                  </w:r>
                </w:p>
              </w:tc>
              <w:tc>
                <w:tcPr>
                  <w:tcW w:w="4348" w:type="dxa"/>
                  <w:noWrap w:val="0"/>
                  <w:vAlign w:val="center"/>
                </w:tcPr>
                <w:p w14:paraId="2429D11B">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执行标准</w:t>
                  </w:r>
                </w:p>
              </w:tc>
              <w:tc>
                <w:tcPr>
                  <w:tcW w:w="888" w:type="dxa"/>
                  <w:noWrap w:val="0"/>
                  <w:vAlign w:val="center"/>
                </w:tcPr>
                <w:p w14:paraId="618B9A7F">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监测</w:t>
                  </w:r>
                </w:p>
                <w:p w14:paraId="1D25D962">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频次</w:t>
                  </w:r>
                </w:p>
              </w:tc>
            </w:tr>
            <w:tr w14:paraId="6C3509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14:paraId="6B3FA5D8">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有组织废气</w:t>
                  </w:r>
                </w:p>
              </w:tc>
              <w:tc>
                <w:tcPr>
                  <w:tcW w:w="1204" w:type="dxa"/>
                  <w:vMerge w:val="restart"/>
                  <w:noWrap w:val="0"/>
                  <w:vAlign w:val="center"/>
                </w:tcPr>
                <w:p w14:paraId="4CA7E866">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DA001</w:t>
                  </w:r>
                </w:p>
              </w:tc>
              <w:tc>
                <w:tcPr>
                  <w:tcW w:w="1350" w:type="dxa"/>
                  <w:shd w:val="clear" w:color="auto" w:fill="auto"/>
                  <w:noWrap w:val="0"/>
                  <w:vAlign w:val="center"/>
                </w:tcPr>
                <w:p w14:paraId="29FA4061">
                  <w:pPr>
                    <w:pStyle w:val="11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非甲烷总烃</w:t>
                  </w:r>
                </w:p>
              </w:tc>
              <w:tc>
                <w:tcPr>
                  <w:tcW w:w="4348" w:type="dxa"/>
                  <w:noWrap w:val="0"/>
                  <w:vAlign w:val="center"/>
                </w:tcPr>
                <w:p w14:paraId="2A3CE7FA">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《工业企业挥发性有机物排放标准》（DB35/1782-2018）表1中限值要求</w:t>
                  </w:r>
                </w:p>
              </w:tc>
              <w:tc>
                <w:tcPr>
                  <w:tcW w:w="888" w:type="dxa"/>
                  <w:vMerge w:val="restart"/>
                  <w:noWrap w:val="0"/>
                  <w:vAlign w:val="center"/>
                </w:tcPr>
                <w:p w14:paraId="22AB0F2F">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1次/年</w:t>
                  </w:r>
                </w:p>
              </w:tc>
            </w:tr>
            <w:tr w14:paraId="4C67D7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14:paraId="48AA20CD">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p>
              </w:tc>
              <w:tc>
                <w:tcPr>
                  <w:tcW w:w="1204" w:type="dxa"/>
                  <w:vMerge w:val="continue"/>
                  <w:noWrap w:val="0"/>
                  <w:vAlign w:val="center"/>
                </w:tcPr>
                <w:p w14:paraId="119677EB">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50" w:type="dxa"/>
                  <w:shd w:val="clear" w:color="auto" w:fill="auto"/>
                  <w:noWrap w:val="0"/>
                  <w:vAlign w:val="center"/>
                </w:tcPr>
                <w:p w14:paraId="2CD7B230">
                  <w:pPr>
                    <w:pStyle w:val="11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颗粒物</w:t>
                  </w:r>
                </w:p>
              </w:tc>
              <w:tc>
                <w:tcPr>
                  <w:tcW w:w="4348" w:type="dxa"/>
                  <w:noWrap w:val="0"/>
                  <w:vAlign w:val="center"/>
                </w:tcPr>
                <w:p w14:paraId="4D35E17B">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《铸造工业大气污染物排放标准》（GB39726-2020）表1中的“感应电炉”的限值要求</w:t>
                  </w:r>
                </w:p>
              </w:tc>
              <w:tc>
                <w:tcPr>
                  <w:tcW w:w="888" w:type="dxa"/>
                  <w:vMerge w:val="continue"/>
                  <w:noWrap w:val="0"/>
                  <w:vAlign w:val="center"/>
                </w:tcPr>
                <w:p w14:paraId="0EAE0545">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0194C4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restart"/>
                  <w:noWrap w:val="0"/>
                  <w:vAlign w:val="center"/>
                </w:tcPr>
                <w:p w14:paraId="533DB70F">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无组织废气</w:t>
                  </w:r>
                </w:p>
              </w:tc>
              <w:tc>
                <w:tcPr>
                  <w:tcW w:w="1204" w:type="dxa"/>
                  <w:vMerge w:val="restart"/>
                  <w:noWrap w:val="0"/>
                  <w:vAlign w:val="center"/>
                </w:tcPr>
                <w:p w14:paraId="5A267189">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厂界</w:t>
                  </w:r>
                </w:p>
              </w:tc>
              <w:tc>
                <w:tcPr>
                  <w:tcW w:w="1350" w:type="dxa"/>
                  <w:tcBorders>
                    <w:bottom w:val="single" w:color="auto" w:sz="4" w:space="0"/>
                  </w:tcBorders>
                  <w:noWrap w:val="0"/>
                  <w:vAlign w:val="center"/>
                </w:tcPr>
                <w:p w14:paraId="15DC728F">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非甲烷总烃</w:t>
                  </w:r>
                </w:p>
              </w:tc>
              <w:tc>
                <w:tcPr>
                  <w:tcW w:w="4348" w:type="dxa"/>
                  <w:tcBorders>
                    <w:bottom w:val="single" w:color="auto" w:sz="4" w:space="0"/>
                  </w:tcBorders>
                  <w:noWrap w:val="0"/>
                  <w:vAlign w:val="center"/>
                </w:tcPr>
                <w:p w14:paraId="2D1C7081">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《工业企业挥发性有机物排放标准》（DB35/1782-2018）表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中限值要求</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888" w:type="dxa"/>
                  <w:vMerge w:val="continue"/>
                  <w:noWrap w:val="0"/>
                  <w:vAlign w:val="center"/>
                </w:tcPr>
                <w:p w14:paraId="5DE27D9B">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67F1CD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14:paraId="3F4A75CC">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204" w:type="dxa"/>
                  <w:vMerge w:val="continue"/>
                  <w:noWrap w:val="0"/>
                  <w:vAlign w:val="center"/>
                </w:tcPr>
                <w:p w14:paraId="47DE38CF">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50" w:type="dxa"/>
                  <w:tcBorders>
                    <w:top w:val="single" w:color="auto" w:sz="4" w:space="0"/>
                  </w:tcBorders>
                  <w:noWrap w:val="0"/>
                  <w:vAlign w:val="center"/>
                </w:tcPr>
                <w:p w14:paraId="411EB763">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颗粒物</w:t>
                  </w:r>
                </w:p>
              </w:tc>
              <w:tc>
                <w:tcPr>
                  <w:tcW w:w="4348" w:type="dxa"/>
                  <w:tcBorders>
                    <w:top w:val="single" w:color="auto" w:sz="4" w:space="0"/>
                  </w:tcBorders>
                  <w:noWrap w:val="0"/>
                  <w:vAlign w:val="center"/>
                </w:tcPr>
                <w:p w14:paraId="2D178649">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《大气污染物综合排放标准》（GB16297-1996）表2排放标准</w:t>
                  </w:r>
                </w:p>
              </w:tc>
              <w:tc>
                <w:tcPr>
                  <w:tcW w:w="888" w:type="dxa"/>
                  <w:vMerge w:val="continue"/>
                  <w:noWrap w:val="0"/>
                  <w:vAlign w:val="center"/>
                </w:tcPr>
                <w:p w14:paraId="45411540">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4019FE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14:paraId="5D71BBAD">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204" w:type="dxa"/>
                  <w:vMerge w:val="restart"/>
                  <w:noWrap w:val="0"/>
                  <w:vAlign w:val="center"/>
                </w:tcPr>
                <w:p w14:paraId="1AC7C076">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厂区内</w:t>
                  </w:r>
                </w:p>
              </w:tc>
              <w:tc>
                <w:tcPr>
                  <w:tcW w:w="1350" w:type="dxa"/>
                  <w:noWrap w:val="0"/>
                  <w:vAlign w:val="center"/>
                </w:tcPr>
                <w:p w14:paraId="6BBBB985">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颗粒物</w:t>
                  </w:r>
                </w:p>
              </w:tc>
              <w:tc>
                <w:tcPr>
                  <w:tcW w:w="4348" w:type="dxa"/>
                  <w:noWrap w:val="0"/>
                  <w:vAlign w:val="center"/>
                </w:tcPr>
                <w:p w14:paraId="24399E68">
                  <w:pPr>
                    <w:pStyle w:val="110"/>
                    <w:spacing w:line="240" w:lineRule="auto"/>
                    <w:ind w:firstLine="0" w:firstLineChars="0"/>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《铸造工业大气污染物排放标准》（GB39726-2020）附录A.1中的限值要求</w:t>
                  </w:r>
                </w:p>
              </w:tc>
              <w:tc>
                <w:tcPr>
                  <w:tcW w:w="888" w:type="dxa"/>
                  <w:vMerge w:val="continue"/>
                  <w:noWrap w:val="0"/>
                  <w:vAlign w:val="center"/>
                </w:tcPr>
                <w:p w14:paraId="7DE55AB7">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52FDF1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08" w:type="dxa"/>
                  <w:vMerge w:val="continue"/>
                  <w:noWrap w:val="0"/>
                  <w:vAlign w:val="center"/>
                </w:tcPr>
                <w:p w14:paraId="3C3E11A5">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204" w:type="dxa"/>
                  <w:vMerge w:val="continue"/>
                  <w:noWrap w:val="0"/>
                  <w:vAlign w:val="center"/>
                </w:tcPr>
                <w:p w14:paraId="06A27435">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50" w:type="dxa"/>
                  <w:noWrap w:val="0"/>
                  <w:vAlign w:val="center"/>
                </w:tcPr>
                <w:p w14:paraId="10C7361B">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非甲烷总烃</w:t>
                  </w:r>
                </w:p>
              </w:tc>
              <w:tc>
                <w:tcPr>
                  <w:tcW w:w="4348" w:type="dxa"/>
                  <w:noWrap w:val="0"/>
                  <w:vAlign w:val="center"/>
                </w:tcPr>
                <w:p w14:paraId="07B282A7">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《挥发性有机物无组织排放控制标准》（GB37822-2019）</w:t>
                  </w:r>
                </w:p>
              </w:tc>
              <w:tc>
                <w:tcPr>
                  <w:tcW w:w="888" w:type="dxa"/>
                  <w:vMerge w:val="continue"/>
                  <w:noWrap w:val="0"/>
                  <w:vAlign w:val="center"/>
                </w:tcPr>
                <w:p w14:paraId="655E8C44">
                  <w:pPr>
                    <w:pStyle w:val="110"/>
                    <w:spacing w:line="240" w:lineRule="auto"/>
                    <w:ind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bl>
          <w:p w14:paraId="6F846352">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3运营期废水</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污染源核算及环保措施</w:t>
            </w:r>
          </w:p>
          <w:p w14:paraId="393EEECB">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项目生产过程</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攻牙用水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循环使用不外排，</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电熔炉冷却用水循环使用不外排。</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外排的废水主要为职工生活污水。</w:t>
            </w:r>
          </w:p>
          <w:p w14:paraId="3BADCF8D">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1、废水污染源核算</w:t>
            </w:r>
          </w:p>
          <w:p w14:paraId="31963A35">
            <w:pPr>
              <w:widowControl/>
              <w:spacing w:line="360" w:lineRule="auto"/>
              <w:ind w:firstLine="480" w:firstLineChars="200"/>
              <w:jc w:val="both"/>
              <w:textAlignment w:val="bottom"/>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根据建设单位提供资料，全厂职工人数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14:textFill>
                  <w14:solidFill>
                    <w14:schemeClr w14:val="tx1"/>
                  </w14:solidFill>
                </w14:textFill>
              </w:rPr>
              <w:t>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均不食宿厂区。</w:t>
            </w:r>
            <w:r>
              <w:rPr>
                <w:rFonts w:hint="default" w:ascii="Times New Roman" w:hAnsi="Times New Roman" w:cs="Times New Roman" w:eastAsiaTheme="minorEastAsia"/>
                <w:color w:val="000000" w:themeColor="text1"/>
                <w:sz w:val="24"/>
                <w:szCs w:val="24"/>
                <w14:textFill>
                  <w14:solidFill>
                    <w14:schemeClr w14:val="tx1"/>
                  </w14:solidFill>
                </w14:textFill>
              </w:rPr>
              <w:t>根据《建筑给水排水设计规范》(GB50015-2010)，不住厂员工生活用水量为50L/人，年工作日按全年营业300天计，</w:t>
            </w:r>
            <w:r>
              <w:rPr>
                <w:rFonts w:hint="default" w:ascii="Times New Roman" w:hAnsi="Times New Roman" w:cs="Times New Roman" w:eastAsiaTheme="minorEastAsia"/>
                <w:color w:val="000000" w:themeColor="text1"/>
                <w:sz w:val="24"/>
                <w14:textFill>
                  <w14:solidFill>
                    <w14:schemeClr w14:val="tx1"/>
                  </w14:solidFill>
                </w14:textFill>
              </w:rPr>
              <w:t>则本项目职工生活用水量约为0.75t/d(225t/a)，排放系数取0.8，则项目生活污水排放量约0.6t/d(180t/a)。</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经化粪池处理后接入市政污水管网排入福清市融元污水处理厂处理。</w:t>
            </w:r>
          </w:p>
          <w:p w14:paraId="71AF0A40">
            <w:pPr>
              <w:pStyle w:val="127"/>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生活污水中各污染物浓度参考《排放源统计调查产排污核算方法和系数手册》（2021年）（生活源产排污系数手册）以及《给排水设计手册》（第五册城镇排水）典型的生活污水水质中等浓度。本项目生活污水主要污染物浓度选取为：CODcr：400mg/L、BOD</w:t>
            </w:r>
            <w:r>
              <w:rPr>
                <w:rFonts w:hint="default" w:ascii="Times New Roman" w:hAnsi="Times New Roman" w:cs="Times New Roman" w:eastAsiaTheme="minorEastAsia"/>
                <w:color w:val="000000" w:themeColor="text1"/>
                <w:kern w:val="2"/>
                <w:sz w:val="24"/>
                <w:szCs w:val="24"/>
                <w:vertAlign w:val="subscript"/>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14:textFill>
                  <w14:solidFill>
                    <w14:schemeClr w14:val="tx1"/>
                  </w14:solidFill>
                </w14:textFill>
              </w:rPr>
              <w:t>：220mg/L、SS：200mg/L、NH</w:t>
            </w:r>
            <w:r>
              <w:rPr>
                <w:rFonts w:hint="default" w:ascii="Times New Roman" w:hAnsi="Times New Roman" w:cs="Times New Roman" w:eastAsiaTheme="minorEastAsia"/>
                <w:color w:val="000000" w:themeColor="text1"/>
                <w:kern w:val="2"/>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14:textFill>
                  <w14:solidFill>
                    <w14:schemeClr w14:val="tx1"/>
                  </w14:solidFill>
                </w14:textFill>
              </w:rPr>
              <w:t>-N：28.3mg/L，则生活污水产生量为：CODcr：0.</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072</w:t>
            </w:r>
            <w:r>
              <w:rPr>
                <w:rFonts w:hint="default" w:ascii="Times New Roman" w:hAnsi="Times New Roman" w:cs="Times New Roman" w:eastAsiaTheme="minorEastAsia"/>
                <w:color w:val="000000" w:themeColor="text1"/>
                <w:kern w:val="2"/>
                <w:sz w:val="24"/>
                <w:szCs w:val="24"/>
                <w14:textFill>
                  <w14:solidFill>
                    <w14:schemeClr w14:val="tx1"/>
                  </w14:solidFill>
                </w14:textFill>
              </w:rPr>
              <w:t>t/a、BOD</w:t>
            </w:r>
            <w:r>
              <w:rPr>
                <w:rFonts w:hint="default" w:ascii="Times New Roman" w:hAnsi="Times New Roman" w:cs="Times New Roman" w:eastAsiaTheme="minorEastAsia"/>
                <w:color w:val="000000" w:themeColor="text1"/>
                <w:kern w:val="2"/>
                <w:sz w:val="24"/>
                <w:szCs w:val="24"/>
                <w:vertAlign w:val="subscript"/>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14:textFill>
                  <w14:solidFill>
                    <w14:schemeClr w14:val="tx1"/>
                  </w14:solidFill>
                </w14:textFill>
              </w:rPr>
              <w:t>：0.</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04</w:t>
            </w:r>
            <w:r>
              <w:rPr>
                <w:rFonts w:hint="default" w:ascii="Times New Roman" w:hAnsi="Times New Roman" w:cs="Times New Roman" w:eastAsiaTheme="minorEastAsia"/>
                <w:color w:val="000000" w:themeColor="text1"/>
                <w:kern w:val="2"/>
                <w:sz w:val="24"/>
                <w:szCs w:val="24"/>
                <w14:textFill>
                  <w14:solidFill>
                    <w14:schemeClr w14:val="tx1"/>
                  </w14:solidFill>
                </w14:textFill>
              </w:rPr>
              <w:t>t/a、SS：0.03</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14:textFill>
                  <w14:solidFill>
                    <w14:schemeClr w14:val="tx1"/>
                  </w14:solidFill>
                </w14:textFill>
              </w:rPr>
              <w:t>t/a、NH</w:t>
            </w:r>
            <w:r>
              <w:rPr>
                <w:rFonts w:hint="default" w:ascii="Times New Roman" w:hAnsi="Times New Roman" w:cs="Times New Roman" w:eastAsiaTheme="minorEastAsia"/>
                <w:color w:val="000000" w:themeColor="text1"/>
                <w:kern w:val="2"/>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14:textFill>
                  <w14:solidFill>
                    <w14:schemeClr w14:val="tx1"/>
                  </w14:solidFill>
                </w14:textFill>
              </w:rPr>
              <w:t>-N：0.</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005</w:t>
            </w:r>
            <w:r>
              <w:rPr>
                <w:rFonts w:hint="default" w:ascii="Times New Roman" w:hAnsi="Times New Roman" w:cs="Times New Roman" w:eastAsiaTheme="minorEastAsia"/>
                <w:color w:val="000000" w:themeColor="text1"/>
                <w:kern w:val="2"/>
                <w:sz w:val="24"/>
                <w:szCs w:val="24"/>
                <w14:textFill>
                  <w14:solidFill>
                    <w14:schemeClr w14:val="tx1"/>
                  </w14:solidFill>
                </w14:textFill>
              </w:rPr>
              <w:t>t/a。生活污水经化粪池处理，NH</w:t>
            </w:r>
            <w:r>
              <w:rPr>
                <w:rFonts w:hint="default" w:ascii="Times New Roman" w:hAnsi="Times New Roman" w:cs="Times New Roman" w:eastAsiaTheme="minorEastAsia"/>
                <w:color w:val="000000" w:themeColor="text1"/>
                <w:kern w:val="2"/>
                <w:sz w:val="24"/>
                <w:szCs w:val="24"/>
                <w:vertAlign w:val="subscript"/>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14:textFill>
                  <w14:solidFill>
                    <w14:schemeClr w14:val="tx1"/>
                  </w14:solidFill>
                </w14:textFill>
              </w:rPr>
              <w:t>-N的去除率参照《排放源统计调查产排污核算方法和系数手册》（2021年）（生活源产排污系数手册）中“表2-2农村生活污水污染物综合去除率”去除</w:t>
            </w:r>
            <w:r>
              <w:rPr>
                <w:rFonts w:hint="default" w:ascii="Times New Roman" w:hAnsi="Times New Roman" w:cs="Times New Roman" w:eastAsiaTheme="minorEastAsia"/>
                <w:color w:val="000000" w:themeColor="text1"/>
                <w:sz w:val="24"/>
                <w14:textFill>
                  <w14:solidFill>
                    <w14:schemeClr w14:val="tx1"/>
                  </w14:solidFill>
                </w14:textFill>
              </w:rPr>
              <w:t>率分别为53%；COD、BOD</w:t>
            </w:r>
            <w:r>
              <w:rPr>
                <w:rFonts w:hint="default" w:ascii="Times New Roman" w:hAnsi="Times New Roman" w:cs="Times New Roman" w:eastAsiaTheme="minorEastAsia"/>
                <w:color w:val="000000" w:themeColor="text1"/>
                <w:sz w:val="24"/>
                <w:vertAlign w:val="subscript"/>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的去除率参照傅振东、刘德明等人的《两种容积比的三格化粪池处理农村生活污水效率对比研究》可知，去除率分别为55.7%、60.4%；SS的去除率参照《第一次全国污染源普查城镇生活污染源产排污系数手册》中“二区一类区生活污水”经化粪池处理后的推荐数据，去除率分别为50%计。则项目生活污水经化粪池处理后，COD、BOD</w:t>
            </w:r>
            <w:r>
              <w:rPr>
                <w:rFonts w:hint="default" w:ascii="Times New Roman" w:hAnsi="Times New Roman" w:cs="Times New Roman" w:eastAsiaTheme="minorEastAsia"/>
                <w:color w:val="000000" w:themeColor="text1"/>
                <w:sz w:val="24"/>
                <w:vertAlign w:val="subscript"/>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、SS、氨氮排放浓度分别为1</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81</w:t>
            </w:r>
            <w:r>
              <w:rPr>
                <w:rFonts w:hint="default" w:ascii="Times New Roman" w:hAnsi="Times New Roman" w:cs="Times New Roman" w:eastAsiaTheme="minorEastAsia"/>
                <w:color w:val="000000" w:themeColor="text1"/>
                <w:sz w:val="24"/>
                <w14:textFill>
                  <w14:solidFill>
                    <w14:schemeClr w14:val="tx1"/>
                  </w14:solidFill>
                </w14:textFill>
              </w:rPr>
              <w:t>.2mg/L、</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87.12</w:t>
            </w:r>
            <w:r>
              <w:rPr>
                <w:rFonts w:hint="default" w:ascii="Times New Roman" w:hAnsi="Times New Roman" w:cs="Times New Roman" w:eastAsiaTheme="minorEastAsia"/>
                <w:color w:val="000000" w:themeColor="text1"/>
                <w:sz w:val="24"/>
                <w14:textFill>
                  <w14:solidFill>
                    <w14:schemeClr w14:val="tx1"/>
                  </w14:solidFill>
                </w14:textFill>
              </w:rPr>
              <w:t>mg/L、100mg/L、1</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3.3</w:t>
            </w:r>
            <w:r>
              <w:rPr>
                <w:rFonts w:hint="default" w:ascii="Times New Roman" w:hAnsi="Times New Roman" w:cs="Times New Roman" w:eastAsiaTheme="minorEastAsia"/>
                <w:color w:val="000000" w:themeColor="text1"/>
                <w:sz w:val="24"/>
                <w14:textFill>
                  <w14:solidFill>
                    <w14:schemeClr w14:val="tx1"/>
                  </w14:solidFill>
                </w14:textFill>
              </w:rPr>
              <w:t>mg/L，污染物排放量分别为：</w:t>
            </w:r>
            <w:r>
              <w:rPr>
                <w:rFonts w:hint="default" w:ascii="Times New Roman" w:hAnsi="Times New Roman" w:cs="Times New Roman" w:eastAsiaTheme="minorEastAsia"/>
                <w:color w:val="000000" w:themeColor="text1"/>
                <w:kern w:val="0"/>
                <w:sz w:val="24"/>
                <w14:textFill>
                  <w14:solidFill>
                    <w14:schemeClr w14:val="tx1"/>
                  </w14:solidFill>
                </w14:textFill>
              </w:rPr>
              <w:t>COD：0.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033</w:t>
            </w:r>
            <w:r>
              <w:rPr>
                <w:rFonts w:hint="default" w:ascii="Times New Roman" w:hAnsi="Times New Roman" w:cs="Times New Roman" w:eastAsiaTheme="minorEastAsia"/>
                <w:color w:val="000000" w:themeColor="text1"/>
                <w:kern w:val="0"/>
                <w:sz w:val="24"/>
                <w14:textFill>
                  <w14:solidFill>
                    <w14:schemeClr w14:val="tx1"/>
                  </w14:solidFill>
                </w14:textFill>
              </w:rPr>
              <w:t>t/a、BOD</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5</w:t>
            </w:r>
            <w:r>
              <w:rPr>
                <w:rFonts w:hint="default" w:ascii="Times New Roman" w:hAnsi="Times New Roman" w:cs="Times New Roman" w:eastAsiaTheme="minorEastAsia"/>
                <w:color w:val="000000" w:themeColor="text1"/>
                <w:kern w:val="0"/>
                <w:sz w:val="24"/>
                <w14:textFill>
                  <w14:solidFill>
                    <w14:schemeClr w14:val="tx1"/>
                  </w14:solidFill>
                </w14:textFill>
              </w:rPr>
              <w:t>：0.0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16</w:t>
            </w:r>
            <w:r>
              <w:rPr>
                <w:rFonts w:hint="default" w:ascii="Times New Roman" w:hAnsi="Times New Roman" w:cs="Times New Roman" w:eastAsiaTheme="minorEastAsia"/>
                <w:color w:val="000000" w:themeColor="text1"/>
                <w:kern w:val="0"/>
                <w:sz w:val="24"/>
                <w14:textFill>
                  <w14:solidFill>
                    <w14:schemeClr w14:val="tx1"/>
                  </w14:solidFill>
                </w14:textFill>
              </w:rPr>
              <w:t>t/a、SS：0.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018</w:t>
            </w:r>
            <w:r>
              <w:rPr>
                <w:rFonts w:hint="default" w:ascii="Times New Roman" w:hAnsi="Times New Roman" w:cs="Times New Roman" w:eastAsiaTheme="minorEastAsia"/>
                <w:color w:val="000000" w:themeColor="text1"/>
                <w:kern w:val="0"/>
                <w:sz w:val="24"/>
                <w14:textFill>
                  <w14:solidFill>
                    <w14:schemeClr w14:val="tx1"/>
                  </w14:solidFill>
                </w14:textFill>
              </w:rPr>
              <w:t>t/a、NH</w:t>
            </w:r>
            <w:r>
              <w:rPr>
                <w:rFonts w:hint="default" w:ascii="Times New Roman" w:hAnsi="Times New Roman" w:cs="Times New Roman" w:eastAsiaTheme="minorEastAsia"/>
                <w:color w:val="000000" w:themeColor="text1"/>
                <w:kern w:val="0"/>
                <w:sz w:val="24"/>
                <w:vertAlign w:val="subscript"/>
                <w14:textFill>
                  <w14:solidFill>
                    <w14:schemeClr w14:val="tx1"/>
                  </w14:solidFill>
                </w14:textFill>
              </w:rPr>
              <w:t>3</w:t>
            </w:r>
            <w:r>
              <w:rPr>
                <w:rFonts w:hint="default" w:ascii="Times New Roman" w:hAnsi="Times New Roman" w:cs="Times New Roman" w:eastAsiaTheme="minorEastAsia"/>
                <w:color w:val="000000" w:themeColor="text1"/>
                <w:kern w:val="0"/>
                <w:sz w:val="24"/>
                <w14:textFill>
                  <w14:solidFill>
                    <w14:schemeClr w14:val="tx1"/>
                  </w14:solidFill>
                </w14:textFill>
              </w:rPr>
              <w:t>-N：0.0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02</w:t>
            </w:r>
            <w:r>
              <w:rPr>
                <w:rFonts w:hint="default" w:ascii="Times New Roman" w:hAnsi="Times New Roman" w:cs="Times New Roman" w:eastAsiaTheme="minorEastAsia"/>
                <w:color w:val="000000" w:themeColor="text1"/>
                <w:kern w:val="0"/>
                <w:sz w:val="24"/>
                <w14:textFill>
                  <w14:solidFill>
                    <w14:schemeClr w14:val="tx1"/>
                  </w14:solidFill>
                </w14:textFill>
              </w:rPr>
              <w:t>t/a。</w:t>
            </w:r>
          </w:p>
          <w:p w14:paraId="19CE2525">
            <w:pPr>
              <w:widowControl/>
              <w:spacing w:line="360" w:lineRule="auto"/>
              <w:ind w:firstLine="480" w:firstLineChars="200"/>
              <w:jc w:val="both"/>
              <w:textAlignment w:val="bottom"/>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项目生活污水产排情况详见表4</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.3-1</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p>
          <w:p w14:paraId="2310562C">
            <w:pPr>
              <w:pStyle w:val="68"/>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bookmarkStart w:id="31" w:name="_Toc18192_WPSOffice_Level2"/>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表4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.3-1</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  项目运营期生活污水中主要污染物产排情况一览表</w:t>
            </w:r>
            <w:bookmarkEnd w:id="31"/>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1371"/>
              <w:gridCol w:w="9"/>
              <w:gridCol w:w="1364"/>
              <w:gridCol w:w="32"/>
              <w:gridCol w:w="1349"/>
              <w:gridCol w:w="1376"/>
            </w:tblGrid>
            <w:tr w14:paraId="7ED34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50C5EB02">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项目</w:t>
                  </w:r>
                </w:p>
              </w:tc>
              <w:tc>
                <w:tcPr>
                  <w:tcW w:w="806" w:type="pct"/>
                  <w:vAlign w:val="center"/>
                </w:tcPr>
                <w:p w14:paraId="73EB58E3">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COD</w:t>
                  </w:r>
                  <w:r>
                    <w:rPr>
                      <w:rFonts w:hint="default" w:ascii="Times New Roman" w:hAnsi="Times New Roman" w:cs="Times New Roman" w:eastAsiaTheme="minorEastAsia"/>
                      <w:color w:val="000000" w:themeColor="text1"/>
                      <w:szCs w:val="21"/>
                      <w:vertAlign w:val="subscript"/>
                      <w14:textFill>
                        <w14:solidFill>
                          <w14:schemeClr w14:val="tx1"/>
                        </w14:solidFill>
                      </w14:textFill>
                    </w:rPr>
                    <w:t>Cr</w:t>
                  </w:r>
                </w:p>
              </w:tc>
              <w:tc>
                <w:tcPr>
                  <w:tcW w:w="807" w:type="pct"/>
                  <w:gridSpan w:val="2"/>
                  <w:vAlign w:val="center"/>
                </w:tcPr>
                <w:p w14:paraId="24FB0524">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BOD</w:t>
                  </w:r>
                  <w:r>
                    <w:rPr>
                      <w:rFonts w:hint="default" w:ascii="Times New Roman" w:hAnsi="Times New Roman" w:cs="Times New Roman" w:eastAsiaTheme="minorEastAsia"/>
                      <w:color w:val="000000" w:themeColor="text1"/>
                      <w:szCs w:val="21"/>
                      <w:vertAlign w:val="subscript"/>
                      <w14:textFill>
                        <w14:solidFill>
                          <w14:schemeClr w14:val="tx1"/>
                        </w14:solidFill>
                      </w14:textFill>
                    </w:rPr>
                    <w:t>5</w:t>
                  </w:r>
                </w:p>
              </w:tc>
              <w:tc>
                <w:tcPr>
                  <w:tcW w:w="811" w:type="pct"/>
                  <w:gridSpan w:val="2"/>
                  <w:vAlign w:val="center"/>
                </w:tcPr>
                <w:p w14:paraId="6AEE7A89">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SS</w:t>
                  </w:r>
                </w:p>
              </w:tc>
              <w:tc>
                <w:tcPr>
                  <w:tcW w:w="809" w:type="pct"/>
                  <w:vAlign w:val="center"/>
                </w:tcPr>
                <w:p w14:paraId="051FD1C5">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NH</w:t>
                  </w:r>
                  <w:r>
                    <w:rPr>
                      <w:rFonts w:hint="default" w:ascii="Times New Roman" w:hAnsi="Times New Roman" w:cs="Times New Roman" w:eastAsiaTheme="minorEastAsia"/>
                      <w:color w:val="000000" w:themeColor="text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Cs w:val="21"/>
                      <w14:textFill>
                        <w14:solidFill>
                          <w14:schemeClr w14:val="tx1"/>
                        </w14:solidFill>
                      </w14:textFill>
                    </w:rPr>
                    <w:t>-N</w:t>
                  </w:r>
                </w:p>
              </w:tc>
            </w:tr>
            <w:tr w14:paraId="5116E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6AD15D4C">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生活污水量(</w:t>
                  </w:r>
                  <w:r>
                    <w:rPr>
                      <w:rFonts w:hint="default" w:ascii="Times New Roman" w:hAnsi="Times New Roman" w:cs="Times New Roman" w:eastAsiaTheme="minorEastAsia"/>
                      <w:color w:val="000000" w:themeColor="text1"/>
                      <w:szCs w:val="21"/>
                      <w:lang w:val="en-US" w:eastAsia="zh-CN"/>
                      <w14:textFill>
                        <w14:solidFill>
                          <w14:schemeClr w14:val="tx1"/>
                        </w14:solidFill>
                      </w14:textFill>
                    </w:rPr>
                    <w:t>t</w:t>
                  </w:r>
                  <w:r>
                    <w:rPr>
                      <w:rFonts w:hint="default" w:ascii="Times New Roman" w:hAnsi="Times New Roman" w:cs="Times New Roman" w:eastAsiaTheme="minorEastAsia"/>
                      <w:color w:val="000000" w:themeColor="text1"/>
                      <w:szCs w:val="21"/>
                      <w14:textFill>
                        <w14:solidFill>
                          <w14:schemeClr w14:val="tx1"/>
                        </w14:solidFill>
                      </w14:textFill>
                    </w:rPr>
                    <w:t>/a)</w:t>
                  </w:r>
                </w:p>
              </w:tc>
              <w:tc>
                <w:tcPr>
                  <w:tcW w:w="3234" w:type="pct"/>
                  <w:gridSpan w:val="6"/>
                  <w:vAlign w:val="center"/>
                </w:tcPr>
                <w:p w14:paraId="51A1D92E">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lang w:val="en-US" w:eastAsia="zh-CN"/>
                      <w14:textFill>
                        <w14:solidFill>
                          <w14:schemeClr w14:val="tx1"/>
                        </w14:solidFill>
                      </w14:textFill>
                    </w:rPr>
                    <w:t>180</w:t>
                  </w:r>
                </w:p>
              </w:tc>
            </w:tr>
            <w:tr w14:paraId="08A08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62C56EA5">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产生浓度值(mg/L)</w:t>
                  </w:r>
                </w:p>
              </w:tc>
              <w:tc>
                <w:tcPr>
                  <w:tcW w:w="811" w:type="pct"/>
                  <w:gridSpan w:val="2"/>
                  <w:vAlign w:val="center"/>
                </w:tcPr>
                <w:p w14:paraId="7D70DC07">
                  <w:pPr>
                    <w:widowControl/>
                    <w:jc w:val="center"/>
                    <w:textAlignment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400</w:t>
                  </w:r>
                </w:p>
              </w:tc>
              <w:tc>
                <w:tcPr>
                  <w:tcW w:w="820" w:type="pct"/>
                  <w:gridSpan w:val="2"/>
                  <w:vAlign w:val="center"/>
                </w:tcPr>
                <w:p w14:paraId="0B61ADB6">
                  <w:pPr>
                    <w:widowControl/>
                    <w:jc w:val="center"/>
                    <w:textAlignment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2</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20</w:t>
                  </w:r>
                </w:p>
              </w:tc>
              <w:tc>
                <w:tcPr>
                  <w:tcW w:w="793" w:type="pct"/>
                  <w:vAlign w:val="center"/>
                </w:tcPr>
                <w:p w14:paraId="5656ABEF">
                  <w:pPr>
                    <w:widowControl/>
                    <w:jc w:val="center"/>
                    <w:textAlignment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200</w:t>
                  </w:r>
                </w:p>
              </w:tc>
              <w:tc>
                <w:tcPr>
                  <w:tcW w:w="809" w:type="pct"/>
                  <w:vAlign w:val="center"/>
                </w:tcPr>
                <w:p w14:paraId="5834EA62">
                  <w:pPr>
                    <w:widowControl/>
                    <w:jc w:val="center"/>
                    <w:textAlignment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28.3</w:t>
                  </w:r>
                </w:p>
              </w:tc>
            </w:tr>
            <w:tr w14:paraId="4F87F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324F5799">
                  <w:pPr>
                    <w:spacing w:line="340" w:lineRule="exact"/>
                    <w:jc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Cs w:val="21"/>
                      <w14:textFill>
                        <w14:solidFill>
                          <w14:schemeClr w14:val="tx1"/>
                        </w14:solidFill>
                      </w14:textFill>
                    </w:rPr>
                    <w:t>产生量(t/a)</w:t>
                  </w:r>
                </w:p>
              </w:tc>
              <w:tc>
                <w:tcPr>
                  <w:tcW w:w="811" w:type="pct"/>
                  <w:gridSpan w:val="2"/>
                  <w:vAlign w:val="center"/>
                </w:tcPr>
                <w:p w14:paraId="76394FE9">
                  <w:pPr>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0.072</w:t>
                  </w:r>
                </w:p>
              </w:tc>
              <w:tc>
                <w:tcPr>
                  <w:tcW w:w="820" w:type="pct"/>
                  <w:gridSpan w:val="2"/>
                  <w:vAlign w:val="center"/>
                </w:tcPr>
                <w:p w14:paraId="33D32899">
                  <w:pPr>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r>
                    <w:rPr>
                      <w:rFonts w:hint="default" w:ascii="Times New Roman" w:hAnsi="Times New Roman" w:cs="Times New Roman" w:eastAsiaTheme="minorEastAsia"/>
                      <w:color w:val="000000" w:themeColor="text1"/>
                      <w:lang w:val="en-US" w:eastAsia="zh-CN"/>
                      <w14:textFill>
                        <w14:solidFill>
                          <w14:schemeClr w14:val="tx1"/>
                        </w14:solidFill>
                      </w14:textFill>
                    </w:rPr>
                    <w:t>04</w:t>
                  </w:r>
                </w:p>
              </w:tc>
              <w:tc>
                <w:tcPr>
                  <w:tcW w:w="793" w:type="pct"/>
                  <w:vAlign w:val="center"/>
                </w:tcPr>
                <w:p w14:paraId="04A05F98">
                  <w:pPr>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r>
                    <w:rPr>
                      <w:rFonts w:hint="default" w:ascii="Times New Roman" w:hAnsi="Times New Roman" w:cs="Times New Roman" w:eastAsiaTheme="minorEastAsia"/>
                      <w:color w:val="000000" w:themeColor="text1"/>
                      <w:lang w:val="en-US" w:eastAsia="zh-CN"/>
                      <w14:textFill>
                        <w14:solidFill>
                          <w14:schemeClr w14:val="tx1"/>
                        </w14:solidFill>
                      </w14:textFill>
                    </w:rPr>
                    <w:t>036</w:t>
                  </w:r>
                </w:p>
              </w:tc>
              <w:tc>
                <w:tcPr>
                  <w:tcW w:w="809" w:type="pct"/>
                  <w:vAlign w:val="center"/>
                </w:tcPr>
                <w:p w14:paraId="3599E13C">
                  <w:pPr>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0</w:t>
                  </w:r>
                  <w:r>
                    <w:rPr>
                      <w:rFonts w:hint="default" w:ascii="Times New Roman" w:hAnsi="Times New Roman" w:cs="Times New Roman" w:eastAsiaTheme="minorEastAsia"/>
                      <w:color w:val="000000" w:themeColor="text1"/>
                      <w:lang w:val="en-US" w:eastAsia="zh-CN"/>
                      <w14:textFill>
                        <w14:solidFill>
                          <w14:schemeClr w14:val="tx1"/>
                        </w14:solidFill>
                      </w14:textFill>
                    </w:rPr>
                    <w:t>.005</w:t>
                  </w:r>
                </w:p>
              </w:tc>
            </w:tr>
            <w:tr w14:paraId="5512C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19787B43">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处理措施</w:t>
                  </w:r>
                </w:p>
              </w:tc>
              <w:tc>
                <w:tcPr>
                  <w:tcW w:w="3234" w:type="pct"/>
                  <w:gridSpan w:val="6"/>
                  <w:vAlign w:val="center"/>
                </w:tcPr>
                <w:p w14:paraId="10C87EE9">
                  <w:pPr>
                    <w:autoSpaceDE w:val="0"/>
                    <w:autoSpaceDN w:val="0"/>
                    <w:jc w:val="center"/>
                    <w:textAlignment w:val="bottom"/>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经化粪池处理后接入市政污水管网</w:t>
                  </w:r>
                </w:p>
                <w:p w14:paraId="29FFF363">
                  <w:pPr>
                    <w:autoSpaceDE w:val="0"/>
                    <w:autoSpaceDN w:val="0"/>
                    <w:jc w:val="center"/>
                    <w:textAlignment w:val="bottom"/>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排入</w:t>
                  </w:r>
                  <w:r>
                    <w:rPr>
                      <w:rFonts w:hint="default" w:ascii="Times New Roman" w:hAnsi="Times New Roman" w:cs="Times New Roman" w:eastAsiaTheme="minorEastAsia"/>
                      <w:color w:val="000000" w:themeColor="text1"/>
                      <w:sz w:val="21"/>
                      <w:szCs w:val="21"/>
                      <w14:textFill>
                        <w14:solidFill>
                          <w14:schemeClr w14:val="tx1"/>
                        </w14:solidFill>
                      </w14:textFill>
                    </w:rPr>
                    <w:t>融元污水处理厂统一处理</w:t>
                  </w:r>
                </w:p>
              </w:tc>
            </w:tr>
            <w:tr w14:paraId="4E48B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0DA781DD">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预测排放浓度(mg/L)</w:t>
                  </w:r>
                </w:p>
              </w:tc>
              <w:tc>
                <w:tcPr>
                  <w:tcW w:w="806" w:type="pct"/>
                  <w:vAlign w:val="center"/>
                </w:tcPr>
                <w:p w14:paraId="0B81DF23">
                  <w:pPr>
                    <w:widowControl/>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181.2</w:t>
                  </w:r>
                </w:p>
              </w:tc>
              <w:tc>
                <w:tcPr>
                  <w:tcW w:w="807" w:type="pct"/>
                  <w:gridSpan w:val="2"/>
                  <w:vAlign w:val="center"/>
                </w:tcPr>
                <w:p w14:paraId="1096F0E4">
                  <w:pPr>
                    <w:widowControl/>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87.12</w:t>
                  </w:r>
                </w:p>
              </w:tc>
              <w:tc>
                <w:tcPr>
                  <w:tcW w:w="811" w:type="pct"/>
                  <w:gridSpan w:val="2"/>
                  <w:vAlign w:val="center"/>
                </w:tcPr>
                <w:p w14:paraId="2A58ABF5">
                  <w:pPr>
                    <w:widowControl/>
                    <w:jc w:val="center"/>
                    <w:textAlignment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w:t>
                  </w:r>
                </w:p>
              </w:tc>
              <w:tc>
                <w:tcPr>
                  <w:tcW w:w="809" w:type="pct"/>
                  <w:vAlign w:val="center"/>
                </w:tcPr>
                <w:p w14:paraId="724A2710">
                  <w:pPr>
                    <w:widowControl/>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13.3</w:t>
                  </w:r>
                </w:p>
              </w:tc>
            </w:tr>
            <w:tr w14:paraId="60F09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37EBBCB5">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排放标准限值(mg/L)</w:t>
                  </w:r>
                </w:p>
              </w:tc>
              <w:tc>
                <w:tcPr>
                  <w:tcW w:w="806" w:type="pct"/>
                  <w:vAlign w:val="center"/>
                </w:tcPr>
                <w:p w14:paraId="47F07975">
                  <w:pPr>
                    <w:widowControl/>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500</w:t>
                  </w:r>
                </w:p>
              </w:tc>
              <w:tc>
                <w:tcPr>
                  <w:tcW w:w="807" w:type="pct"/>
                  <w:gridSpan w:val="2"/>
                  <w:vAlign w:val="center"/>
                </w:tcPr>
                <w:p w14:paraId="718BFCF9">
                  <w:pPr>
                    <w:widowControl/>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300</w:t>
                  </w:r>
                </w:p>
              </w:tc>
              <w:tc>
                <w:tcPr>
                  <w:tcW w:w="811" w:type="pct"/>
                  <w:gridSpan w:val="2"/>
                  <w:vAlign w:val="center"/>
                </w:tcPr>
                <w:p w14:paraId="73704DB2">
                  <w:pPr>
                    <w:widowControl/>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400</w:t>
                  </w:r>
                </w:p>
              </w:tc>
              <w:tc>
                <w:tcPr>
                  <w:tcW w:w="809" w:type="pct"/>
                  <w:vAlign w:val="center"/>
                </w:tcPr>
                <w:p w14:paraId="3EEA0D67">
                  <w:pPr>
                    <w:widowControl/>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45</w:t>
                  </w:r>
                </w:p>
              </w:tc>
            </w:tr>
            <w:tr w14:paraId="0BFDF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6CB6E783">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达标判断</w:t>
                  </w:r>
                </w:p>
              </w:tc>
              <w:tc>
                <w:tcPr>
                  <w:tcW w:w="806" w:type="pct"/>
                  <w:vAlign w:val="center"/>
                </w:tcPr>
                <w:p w14:paraId="075BC63E">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达标</w:t>
                  </w:r>
                </w:p>
              </w:tc>
              <w:tc>
                <w:tcPr>
                  <w:tcW w:w="807" w:type="pct"/>
                  <w:gridSpan w:val="2"/>
                  <w:vAlign w:val="center"/>
                </w:tcPr>
                <w:p w14:paraId="6769708D">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达标</w:t>
                  </w:r>
                </w:p>
              </w:tc>
              <w:tc>
                <w:tcPr>
                  <w:tcW w:w="811" w:type="pct"/>
                  <w:gridSpan w:val="2"/>
                  <w:vAlign w:val="center"/>
                </w:tcPr>
                <w:p w14:paraId="0DE5D7B3">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达标</w:t>
                  </w:r>
                </w:p>
              </w:tc>
              <w:tc>
                <w:tcPr>
                  <w:tcW w:w="809" w:type="pct"/>
                  <w:vAlign w:val="center"/>
                </w:tcPr>
                <w:p w14:paraId="749FFD8C">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达标</w:t>
                  </w:r>
                </w:p>
              </w:tc>
            </w:tr>
            <w:tr w14:paraId="3ABDB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10C0699D">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纳管排放量(t/a)</w:t>
                  </w:r>
                </w:p>
              </w:tc>
              <w:tc>
                <w:tcPr>
                  <w:tcW w:w="806" w:type="pct"/>
                  <w:vAlign w:val="center"/>
                </w:tcPr>
                <w:p w14:paraId="206DCA38">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0.033</w:t>
                  </w:r>
                </w:p>
              </w:tc>
              <w:tc>
                <w:tcPr>
                  <w:tcW w:w="807" w:type="pct"/>
                  <w:gridSpan w:val="2"/>
                  <w:vAlign w:val="center"/>
                </w:tcPr>
                <w:p w14:paraId="1025A167">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0.016</w:t>
                  </w:r>
                </w:p>
              </w:tc>
              <w:tc>
                <w:tcPr>
                  <w:tcW w:w="811" w:type="pct"/>
                  <w:gridSpan w:val="2"/>
                  <w:vAlign w:val="center"/>
                </w:tcPr>
                <w:p w14:paraId="158CE5CA">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0.018</w:t>
                  </w:r>
                </w:p>
              </w:tc>
              <w:tc>
                <w:tcPr>
                  <w:tcW w:w="809" w:type="pct"/>
                  <w:vAlign w:val="center"/>
                </w:tcPr>
                <w:p w14:paraId="2B388606">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0.002</w:t>
                  </w:r>
                </w:p>
              </w:tc>
            </w:tr>
            <w:tr w14:paraId="3E3B8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pct"/>
                  <w:vAlign w:val="center"/>
                </w:tcPr>
                <w:p w14:paraId="2537132D">
                  <w:pPr>
                    <w:spacing w:line="340" w:lineRule="exact"/>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削减量（t/a）</w:t>
                  </w:r>
                </w:p>
              </w:tc>
              <w:tc>
                <w:tcPr>
                  <w:tcW w:w="806" w:type="pct"/>
                  <w:vAlign w:val="center"/>
                </w:tcPr>
                <w:p w14:paraId="084B1D53">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0.039</w:t>
                  </w:r>
                </w:p>
              </w:tc>
              <w:tc>
                <w:tcPr>
                  <w:tcW w:w="807" w:type="pct"/>
                  <w:gridSpan w:val="2"/>
                  <w:vAlign w:val="center"/>
                </w:tcPr>
                <w:p w14:paraId="56B08FE3">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0.024</w:t>
                  </w:r>
                </w:p>
              </w:tc>
              <w:tc>
                <w:tcPr>
                  <w:tcW w:w="811" w:type="pct"/>
                  <w:gridSpan w:val="2"/>
                  <w:vAlign w:val="center"/>
                </w:tcPr>
                <w:p w14:paraId="06F3E413">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0.018</w:t>
                  </w:r>
                </w:p>
              </w:tc>
              <w:tc>
                <w:tcPr>
                  <w:tcW w:w="809" w:type="pct"/>
                  <w:vAlign w:val="center"/>
                </w:tcPr>
                <w:p w14:paraId="6B9DE437">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.003</w:t>
                  </w:r>
                </w:p>
              </w:tc>
            </w:tr>
          </w:tbl>
          <w:p w14:paraId="7C582D85">
            <w:pPr>
              <w:pStyle w:val="60"/>
              <w:keepNext w:val="0"/>
              <w:keepLines w:val="0"/>
              <w:pageBreakBefore w:val="0"/>
              <w:widowControl w:val="0"/>
              <w:numPr>
                <w:ilvl w:val="0"/>
                <w:numId w:val="3"/>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pPr>
            <w:bookmarkStart w:id="32" w:name="_Toc31751_WPSOffice_Level2"/>
            <w:bookmarkStart w:id="33" w:name="_Toc9634_WPSOffice_Level2"/>
            <w:bookmarkStart w:id="34" w:name="_Toc17000_WPSOffice_Level1"/>
            <w:bookmarkStart w:id="35" w:name="_Toc13927"/>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地表水环境影响分析</w:t>
            </w:r>
          </w:p>
          <w:p w14:paraId="03E2C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根据工程分析，项目生活污水通过市政管网排入</w:t>
            </w:r>
            <w:r>
              <w:rPr>
                <w:rFonts w:hint="default" w:ascii="Times New Roman" w:hAnsi="Times New Roman" w:cs="Times New Roman" w:eastAsiaTheme="minorEastAsia"/>
                <w:color w:val="000000" w:themeColor="text1"/>
                <w:kern w:val="2"/>
                <w:sz w:val="24"/>
                <w:szCs w:val="24"/>
                <w:highlight w:val="none"/>
                <w:lang w:eastAsia="zh-CN"/>
                <w14:textFill>
                  <w14:solidFill>
                    <w14:schemeClr w14:val="tx1"/>
                  </w14:solidFill>
                </w14:textFill>
              </w:rPr>
              <w:t>福清市融元污水处理厂处理</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，属于间接排放，根据《环境影响评价技术导则—地表水环境》（HJ2.3-2018）评价等级的依据，项目水环境影响评价确定为三级B评价，评价主要分析废水接管可行性。具体评价等级见表4.3-2。</w:t>
            </w:r>
          </w:p>
          <w:p w14:paraId="13714A89">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20DD9FE">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表4.3-2  水污染影响型建设项目评价等级判定</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264"/>
              <w:gridCol w:w="6032"/>
            </w:tblGrid>
            <w:tr w14:paraId="502E6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vMerge w:val="restart"/>
                  <w:tcBorders>
                    <w:tl2br w:val="nil"/>
                    <w:tr2bl w:val="nil"/>
                  </w:tcBorders>
                  <w:vAlign w:val="center"/>
                </w:tcPr>
                <w:p w14:paraId="0058378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评价等级</w:t>
                  </w:r>
                </w:p>
              </w:tc>
              <w:tc>
                <w:tcPr>
                  <w:tcW w:w="6877" w:type="dxa"/>
                  <w:gridSpan w:val="2"/>
                  <w:tcBorders>
                    <w:tl2br w:val="nil"/>
                    <w:tr2bl w:val="nil"/>
                  </w:tcBorders>
                  <w:vAlign w:val="center"/>
                </w:tcPr>
                <w:p w14:paraId="540AF2D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判定依据</w:t>
                  </w:r>
                </w:p>
              </w:tc>
            </w:tr>
            <w:tr w14:paraId="2090A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vMerge w:val="continue"/>
                  <w:tcBorders>
                    <w:tl2br w:val="nil"/>
                    <w:tr2bl w:val="nil"/>
                  </w:tcBorders>
                  <w:vAlign w:val="center"/>
                </w:tcPr>
                <w:p w14:paraId="45BFAFC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91" w:type="dxa"/>
                  <w:tcBorders>
                    <w:tl2br w:val="nil"/>
                    <w:tr2bl w:val="nil"/>
                  </w:tcBorders>
                  <w:vAlign w:val="center"/>
                </w:tcPr>
                <w:p w14:paraId="5D63A72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排放方式</w:t>
                  </w:r>
                </w:p>
              </w:tc>
              <w:tc>
                <w:tcPr>
                  <w:tcW w:w="5686" w:type="dxa"/>
                  <w:tcBorders>
                    <w:tl2br w:val="nil"/>
                    <w:tr2bl w:val="nil"/>
                  </w:tcBorders>
                  <w:vAlign w:val="center"/>
                </w:tcPr>
                <w:p w14:paraId="647BD00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废水排放量Q/（m</w:t>
                  </w:r>
                  <w:r>
                    <w:rPr>
                      <w:rFonts w:hint="default" w:ascii="Times New Roman" w:hAnsi="Times New Roman" w:cs="Times New Roman" w:eastAsiaTheme="minorEastAsia"/>
                      <w:b w:val="0"/>
                      <w:bCs w:val="0"/>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/d）；水污染物当量数W/（无量纲）</w:t>
                  </w:r>
                </w:p>
              </w:tc>
            </w:tr>
            <w:tr w14:paraId="567B1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vAlign w:val="center"/>
                </w:tcPr>
                <w:p w14:paraId="7FDC873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一级</w:t>
                  </w:r>
                </w:p>
              </w:tc>
              <w:tc>
                <w:tcPr>
                  <w:tcW w:w="1191" w:type="dxa"/>
                  <w:tcBorders>
                    <w:tl2br w:val="nil"/>
                    <w:tr2bl w:val="nil"/>
                  </w:tcBorders>
                  <w:vAlign w:val="center"/>
                </w:tcPr>
                <w:p w14:paraId="13AD794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直接排放</w:t>
                  </w:r>
                </w:p>
              </w:tc>
              <w:tc>
                <w:tcPr>
                  <w:tcW w:w="5686" w:type="dxa"/>
                  <w:tcBorders>
                    <w:tl2br w:val="nil"/>
                    <w:tr2bl w:val="nil"/>
                  </w:tcBorders>
                  <w:vAlign w:val="center"/>
                </w:tcPr>
                <w:p w14:paraId="5E4D60D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Q≥20000或W≥600000</w:t>
                  </w:r>
                </w:p>
              </w:tc>
            </w:tr>
            <w:tr w14:paraId="44752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vAlign w:val="center"/>
                </w:tcPr>
                <w:p w14:paraId="2C3F3AB0">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二级</w:t>
                  </w:r>
                </w:p>
              </w:tc>
              <w:tc>
                <w:tcPr>
                  <w:tcW w:w="1191" w:type="dxa"/>
                  <w:tcBorders>
                    <w:tl2br w:val="nil"/>
                    <w:tr2bl w:val="nil"/>
                  </w:tcBorders>
                  <w:vAlign w:val="center"/>
                </w:tcPr>
                <w:p w14:paraId="26BF0850">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直接排放</w:t>
                  </w:r>
                </w:p>
              </w:tc>
              <w:tc>
                <w:tcPr>
                  <w:tcW w:w="5686" w:type="dxa"/>
                  <w:tcBorders>
                    <w:tl2br w:val="nil"/>
                    <w:tr2bl w:val="nil"/>
                  </w:tcBorders>
                  <w:vAlign w:val="center"/>
                </w:tcPr>
                <w:p w14:paraId="4EF5826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其他</w:t>
                  </w:r>
                </w:p>
              </w:tc>
            </w:tr>
            <w:tr w14:paraId="2C4C0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vAlign w:val="center"/>
                </w:tcPr>
                <w:p w14:paraId="72608A7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三级A</w:t>
                  </w:r>
                </w:p>
              </w:tc>
              <w:tc>
                <w:tcPr>
                  <w:tcW w:w="1191" w:type="dxa"/>
                  <w:tcBorders>
                    <w:tl2br w:val="nil"/>
                    <w:tr2bl w:val="nil"/>
                  </w:tcBorders>
                  <w:vAlign w:val="center"/>
                </w:tcPr>
                <w:p w14:paraId="3989FEF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直接排放</w:t>
                  </w:r>
                </w:p>
              </w:tc>
              <w:tc>
                <w:tcPr>
                  <w:tcW w:w="5686" w:type="dxa"/>
                  <w:tcBorders>
                    <w:tl2br w:val="nil"/>
                    <w:tr2bl w:val="nil"/>
                  </w:tcBorders>
                  <w:vAlign w:val="center"/>
                </w:tcPr>
                <w:p w14:paraId="3ED2AD1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Q＜200且W＜6000</w:t>
                  </w:r>
                </w:p>
              </w:tc>
            </w:tr>
            <w:tr w14:paraId="7B760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9" w:type="dxa"/>
                  <w:tcBorders>
                    <w:tl2br w:val="nil"/>
                    <w:tr2bl w:val="nil"/>
                  </w:tcBorders>
                  <w:shd w:val="clear" w:color="auto" w:fill="A4A4A4" w:themeFill="background1" w:themeFillShade="A5"/>
                  <w:vAlign w:val="center"/>
                </w:tcPr>
                <w:p w14:paraId="2BCC0076">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三级B</w:t>
                  </w:r>
                </w:p>
              </w:tc>
              <w:tc>
                <w:tcPr>
                  <w:tcW w:w="1191" w:type="dxa"/>
                  <w:tcBorders>
                    <w:tl2br w:val="nil"/>
                    <w:tr2bl w:val="nil"/>
                  </w:tcBorders>
                  <w:shd w:val="clear" w:color="auto" w:fill="A4A4A4" w:themeFill="background1" w:themeFillShade="A5"/>
                  <w:vAlign w:val="center"/>
                </w:tcPr>
                <w:p w14:paraId="4245D376">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间接排放</w:t>
                  </w:r>
                </w:p>
              </w:tc>
              <w:tc>
                <w:tcPr>
                  <w:tcW w:w="5686" w:type="dxa"/>
                  <w:tcBorders>
                    <w:tl2br w:val="nil"/>
                    <w:tr2bl w:val="nil"/>
                  </w:tcBorders>
                  <w:shd w:val="clear" w:color="auto" w:fill="A4A4A4" w:themeFill="background1" w:themeFillShade="A5"/>
                  <w:vAlign w:val="center"/>
                </w:tcPr>
                <w:p w14:paraId="655790A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w:t>
                  </w:r>
                </w:p>
              </w:tc>
            </w:tr>
          </w:tbl>
          <w:p w14:paraId="57031F84">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生活污水经处理达标后排入市政污水管网，排入福清市融元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14:paraId="62294F6A">
            <w:pPr>
              <w:pStyle w:val="6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福清市融元污水处理厂</w:t>
            </w: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概况</w:t>
            </w:r>
          </w:p>
          <w:p w14:paraId="057FD727">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福清市融元污水处理厂为城市二级污水处理厂，厂址位于福清市龙山街道玉塘村，规划远期总规模为18万m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/d，工程分三期实施，现状（已实施的一期及二期工程）规模为12万m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/d，远期扩建规模为6万m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/d。工程的规划建设年限为：近期2020年，远期2030年。</w:t>
            </w:r>
          </w:p>
          <w:p w14:paraId="0232E9DB">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福清市融元</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现有处理规模为12万m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尾水排放口设置在猪母湾西南岸，排入龙江；所产生的污泥经过带式浓缩脱水一体机处理，被送往海口镇为民生物科技公司制作成堆肥。一期工程于2008年1月通过了竣工环保验收；二期工程于2014年5月通过了竣工环保验收。2014年以来福清市融元污水处理厂出水水质效果好，能够满足一级B标准的排放要求。</w:t>
            </w:r>
          </w:p>
          <w:p w14:paraId="3A09B820">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2016年10月，福清黎阳水务有限公司对现状福清市融元污水处理厂厂内提标及改造，本次提标改造工程按近期规模12.0万m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/d设计和建设，主要技改内容：技改后一期工程降低处理负荷，污水处理规模由6万m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/d调整为4万m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/d运行，并在现有一期工程生化池基础上增设化学除磷和投加碳源措施，以进一步改善出水水质。厂区原二期工程提标后污水处理规模由6万m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/d调整为8万m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运行，旋流沉砂池出水与生化池进水管之间增设精细格栅间，在现有二期工程生化池基础上增设化学除磷和投加碳源措施、在缺氧池至厌氧池之间、好氧池与缺氧池之间改造污泥回流泵、在现有生化处理池基础上改造新增MP-MBR膜系统，改造后污水处理工艺详见图4.3-1。</w:t>
            </w:r>
          </w:p>
          <w:p w14:paraId="77D4DD49">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根据调查，目前福清市融元污水处理厂厂内提标及改造工程已经完成并正常使用，平均处理规模约为11.85万m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/d，处理后的尾水执行《城镇污水处理厂污染物排放标准》(GB18918-2002)及其修改单中的一级A标准，尾水排放龙江。</w:t>
            </w:r>
          </w:p>
          <w:p w14:paraId="3D9B88E2">
            <w:pPr>
              <w:pStyle w:val="2"/>
              <w:jc w:val="both"/>
              <w:rPr>
                <w:rFonts w:hint="default" w:ascii="Times New Roman" w:hAnsi="Times New Roman" w:cs="Times New Roman" w:eastAsiaTheme="minorEastAsia"/>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drawing>
                <wp:inline distT="0" distB="0" distL="114300" distR="114300">
                  <wp:extent cx="5370830" cy="3158490"/>
                  <wp:effectExtent l="0" t="0" r="1270" b="3810"/>
                  <wp:docPr id="103" name="图片 7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43" descr="图片1"/>
                          <pic:cNvPicPr>
                            <a:picLocks noChangeAspect="1"/>
                          </pic:cNvPicPr>
                        </pic:nvPicPr>
                        <pic:blipFill>
                          <a:blip r:embed="rId15"/>
                          <a:srcRect l="1492" t="1729" r="2499"/>
                          <a:stretch>
                            <a:fillRect/>
                          </a:stretch>
                        </pic:blipFill>
                        <pic:spPr>
                          <a:xfrm>
                            <a:off x="0" y="0"/>
                            <a:ext cx="5370830" cy="3158490"/>
                          </a:xfrm>
                          <a:prstGeom prst="rect">
                            <a:avLst/>
                          </a:prstGeom>
                          <a:noFill/>
                          <a:ln>
                            <a:noFill/>
                          </a:ln>
                        </pic:spPr>
                      </pic:pic>
                    </a:graphicData>
                  </a:graphic>
                </wp:inline>
              </w:drawing>
            </w:r>
          </w:p>
          <w:p w14:paraId="616F66B8">
            <w:pPr>
              <w:pStyle w:val="86"/>
              <w:numPr>
                <w:ilvl w:val="0"/>
                <w:numId w:val="0"/>
              </w:numPr>
              <w:spacing w:line="360" w:lineRule="auto"/>
              <w:ind w:leftChars="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图4.3-1  福清融元污水处理厂处理污水处理流程图</w:t>
            </w:r>
          </w:p>
          <w:p w14:paraId="108D2686">
            <w:pPr>
              <w:pStyle w:val="6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(2)依托可行性分析</w:t>
            </w:r>
          </w:p>
          <w:p w14:paraId="3D21FFBA">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①接管可行性</w:t>
            </w:r>
          </w:p>
          <w:p w14:paraId="250E6CDB">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根据调查，福清市融元污水处理厂主要负责处理福清市城关区、融侨区、洪宽区的生活污水和部分工业废水。</w:t>
            </w:r>
          </w:p>
          <w:p w14:paraId="5886B622">
            <w:pPr>
              <w:pStyle w:val="110"/>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本项目位于</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福清市阳下街道洪宽工业区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，地处福清市融元污水处理厂服务范围内，</w:t>
            </w:r>
            <w:r>
              <w:rPr>
                <w:rFonts w:hint="default" w:ascii="Times New Roman" w:hAnsi="Times New Roman" w:cs="Times New Roman" w:eastAsiaTheme="minorEastAsia"/>
                <w:color w:val="000000" w:themeColor="text1"/>
                <w:szCs w:val="21"/>
                <w:highlight w:val="none"/>
                <w:lang w:eastAsia="zh-CN"/>
                <w14:textFill>
                  <w14:solidFill>
                    <w14:schemeClr w14:val="tx1"/>
                  </w14:solidFill>
                </w14:textFill>
              </w:rPr>
              <w:t>项目生活污水可纳入</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福清市融元污水处理厂处理。</w:t>
            </w:r>
          </w:p>
          <w:p w14:paraId="65658A9D">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②水质负荷</w:t>
            </w:r>
          </w:p>
          <w:p w14:paraId="3F9B1221">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项目生活污水经化粪池预处理达到《污水综合排放标准》(GB8978-1996)表4三级标准及《污水排入城镇下水道水质标准》(GB/T 31962-2015)表1中B级标准限值，符合福清市融元污水处理厂的进水水质指标要求后通过厂区污水总排放口排入市政污水管网，送往福清市融元污水处理厂处理集中处理。</w:t>
            </w:r>
          </w:p>
          <w:p w14:paraId="0EABA295">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项目生活污水不涉及有毒有害污染物，不涉及持久性、重金属，也不含有腐蚀成分，因此，从水质方面分析，福清市融元污水处理厂处理可接纳项目综合废水，不会对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水质负荷造成冲击。</w:t>
            </w:r>
          </w:p>
          <w:p w14:paraId="71F418CD">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③水量负荷</w:t>
            </w:r>
          </w:p>
          <w:p w14:paraId="115D02A4">
            <w:pPr>
              <w:widowControl/>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根据调查，福清市融元污水处理厂目前每天实际处理规模为11.85万m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，剩余1500m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/d，项目污水排放量为0.6m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/d，仅占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剩余处理规模的0.04%，福清市融元污水处理厂有足够的余量处理本项目外排废水，因此，本项目废水不会对福清市融元污水处理厂造成明显的负荷冲击。</w:t>
            </w:r>
            <w:r>
              <w:rPr>
                <w:rFonts w:hint="default" w:ascii="Times New Roman" w:hAnsi="Times New Roman" w:cs="Times New Roman" w:eastAsiaTheme="minorEastAsia"/>
                <w:color w:val="000000" w:themeColor="text1"/>
                <w:kern w:val="0"/>
                <w:sz w:val="24"/>
                <w14:textFill>
                  <w14:solidFill>
                    <w14:schemeClr w14:val="tx1"/>
                  </w14:solidFill>
                </w14:textFill>
              </w:rPr>
              <w:t>本项目产生的生活污水处理后接入市政污水管网排入融元污水处理厂处理是可行的。</w:t>
            </w:r>
          </w:p>
          <w:bookmarkEnd w:id="32"/>
          <w:bookmarkEnd w:id="33"/>
          <w:bookmarkEnd w:id="34"/>
          <w:bookmarkEnd w:id="35"/>
          <w:p w14:paraId="1CFF4A18">
            <w:pPr>
              <w:pStyle w:val="60"/>
              <w:keepNext w:val="0"/>
              <w:keepLines w:val="0"/>
              <w:pageBreakBefore w:val="0"/>
              <w:widowControl w:val="0"/>
              <w:numPr>
                <w:ilvl w:val="0"/>
                <w:numId w:val="3"/>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eastAsia="zh-CN"/>
                <w14:textFill>
                  <w14:solidFill>
                    <w14:schemeClr w14:val="tx1"/>
                  </w14:solidFill>
                </w14:textFill>
              </w:rPr>
              <w:t>废水监测要求</w:t>
            </w:r>
          </w:p>
          <w:p w14:paraId="3084ACC4">
            <w:pPr>
              <w:pStyle w:val="18"/>
              <w:spacing w:line="360" w:lineRule="auto"/>
              <w:ind w:left="0" w:right="0" w:firstLine="48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根据《排污许可证申请与核发技术规范 总则》（HJ942—2018）及《排污单位自行监测技术指南 总则》（HJ819-2017）</w:t>
            </w:r>
            <w:r>
              <w:rPr>
                <w:rFonts w:hint="eastAsia" w:ascii="Times New Roman" w:cs="Times New Roman" w:eastAsiaTheme="minorEastAsia"/>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 xml:space="preserve">《排污许可证申请与核发技术规范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金属铸造工业</w:t>
            </w:r>
            <w:r>
              <w:rPr>
                <w:rFonts w:hint="default" w:ascii="Times New Roman" w:hAnsi="Times New Roman" w:cs="Times New Roman" w:eastAsiaTheme="minorEastAsia"/>
                <w:color w:val="000000" w:themeColor="text1"/>
                <w:sz w:val="24"/>
                <w14:textFill>
                  <w14:solidFill>
                    <w14:schemeClr w14:val="tx1"/>
                  </w14:solidFill>
                </w14:textFill>
              </w:rPr>
              <w:t xml:space="preserve">》（HJ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1115</w:t>
            </w:r>
            <w:r>
              <w:rPr>
                <w:rFonts w:hint="default" w:ascii="Times New Roman" w:hAnsi="Times New Roman" w:cs="Times New Roman" w:eastAsiaTheme="minorEastAsia"/>
                <w:color w:val="000000" w:themeColor="text1"/>
                <w:sz w:val="24"/>
                <w14:textFill>
                  <w14:solidFill>
                    <w14:schemeClr w14:val="tx1"/>
                  </w14:solidFill>
                </w14:textFill>
              </w:rPr>
              <w:t>-20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14:textFill>
                  <w14:solidFill>
                    <w14:schemeClr w14:val="tx1"/>
                  </w14:solidFill>
                </w14:textFill>
              </w:rPr>
              <w:t>）</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本项目生活污水单独排入公共污水处理系统，无需开展自行监测；</w:t>
            </w:r>
          </w:p>
        </w:tc>
      </w:tr>
    </w:tbl>
    <w:p w14:paraId="35A42031">
      <w:pPr>
        <w:rPr>
          <w:rFonts w:hint="default" w:ascii="Times New Roman" w:hAnsi="Times New Roman" w:cs="Times New Roman" w:eastAsiaTheme="minorEastAsia"/>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5"/>
        <w:tblW w:w="13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495"/>
      </w:tblGrid>
      <w:tr w14:paraId="18801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794CA947">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lang w:eastAsia="zh-CN"/>
                <w14:textFill>
                  <w14:solidFill>
                    <w14:schemeClr w14:val="tx1"/>
                  </w14:solidFill>
                </w14:textFill>
              </w:rPr>
              <w:t>运营期</w:t>
            </w:r>
            <w:r>
              <w:rPr>
                <w:rFonts w:hint="default" w:ascii="Times New Roman" w:hAnsi="Times New Roman" w:cs="Times New Roman" w:eastAsiaTheme="minorEastAsia"/>
                <w:color w:val="000000" w:themeColor="text1"/>
                <w:kern w:val="21"/>
                <w:sz w:val="24"/>
                <w:szCs w:val="24"/>
                <w14:textFill>
                  <w14:solidFill>
                    <w14:schemeClr w14:val="tx1"/>
                  </w14:solidFill>
                </w14:textFill>
              </w:rPr>
              <w:t>环</w:t>
            </w:r>
          </w:p>
          <w:p w14:paraId="12D89979">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境保</w:t>
            </w:r>
          </w:p>
          <w:p w14:paraId="2C3C68C4">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护措</w:t>
            </w:r>
          </w:p>
          <w:p w14:paraId="3E962447">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施</w:t>
            </w:r>
          </w:p>
        </w:tc>
        <w:tc>
          <w:tcPr>
            <w:tcW w:w="8606" w:type="dxa"/>
            <w:vAlign w:val="center"/>
          </w:tcPr>
          <w:p w14:paraId="2FAEAF18">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表4.3-3  废水类别、污染物及污染治理设施信息表</w:t>
            </w:r>
          </w:p>
          <w:tbl>
            <w:tblPr>
              <w:tblStyle w:val="36"/>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53"/>
              <w:gridCol w:w="908"/>
              <w:gridCol w:w="1630"/>
              <w:gridCol w:w="1000"/>
              <w:gridCol w:w="1064"/>
              <w:gridCol w:w="1044"/>
              <w:gridCol w:w="886"/>
              <w:gridCol w:w="908"/>
              <w:gridCol w:w="3055"/>
            </w:tblGrid>
            <w:tr w14:paraId="3BF03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4" w:type="dxa"/>
                  <w:vMerge w:val="restart"/>
                  <w:tcBorders>
                    <w:tl2br w:val="nil"/>
                    <w:tr2bl w:val="nil"/>
                  </w:tcBorders>
                  <w:vAlign w:val="center"/>
                </w:tcPr>
                <w:p w14:paraId="19078C6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废水类别</w:t>
                  </w:r>
                </w:p>
              </w:tc>
              <w:tc>
                <w:tcPr>
                  <w:tcW w:w="960" w:type="dxa"/>
                  <w:vMerge w:val="restart"/>
                  <w:tcBorders>
                    <w:tl2br w:val="nil"/>
                    <w:tr2bl w:val="nil"/>
                  </w:tcBorders>
                  <w:vAlign w:val="center"/>
                </w:tcPr>
                <w:p w14:paraId="59CA433C">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污染物种类</w:t>
                  </w:r>
                </w:p>
              </w:tc>
              <w:tc>
                <w:tcPr>
                  <w:tcW w:w="915" w:type="dxa"/>
                  <w:vMerge w:val="restart"/>
                  <w:tcBorders>
                    <w:tl2br w:val="nil"/>
                    <w:tr2bl w:val="nil"/>
                  </w:tcBorders>
                  <w:vAlign w:val="center"/>
                </w:tcPr>
                <w:p w14:paraId="1A0E251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排放去向</w:t>
                  </w:r>
                </w:p>
              </w:tc>
              <w:tc>
                <w:tcPr>
                  <w:tcW w:w="1644" w:type="dxa"/>
                  <w:vMerge w:val="restart"/>
                  <w:tcBorders>
                    <w:tl2br w:val="nil"/>
                    <w:tr2bl w:val="nil"/>
                  </w:tcBorders>
                  <w:vAlign w:val="center"/>
                </w:tcPr>
                <w:p w14:paraId="2255CAC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排放规律</w:t>
                  </w:r>
                </w:p>
              </w:tc>
              <w:tc>
                <w:tcPr>
                  <w:tcW w:w="3133" w:type="dxa"/>
                  <w:gridSpan w:val="3"/>
                  <w:tcBorders>
                    <w:tl2br w:val="nil"/>
                    <w:tr2bl w:val="nil"/>
                  </w:tcBorders>
                  <w:vAlign w:val="center"/>
                </w:tcPr>
                <w:p w14:paraId="25F5F1B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污染治理设施</w:t>
                  </w:r>
                </w:p>
              </w:tc>
              <w:tc>
                <w:tcPr>
                  <w:tcW w:w="893" w:type="dxa"/>
                  <w:vMerge w:val="restart"/>
                  <w:tcBorders>
                    <w:tl2br w:val="nil"/>
                    <w:tr2bl w:val="nil"/>
                  </w:tcBorders>
                  <w:vAlign w:val="center"/>
                </w:tcPr>
                <w:p w14:paraId="65E82DE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排放口编号</w:t>
                  </w:r>
                </w:p>
              </w:tc>
              <w:tc>
                <w:tcPr>
                  <w:tcW w:w="915" w:type="dxa"/>
                  <w:vMerge w:val="restart"/>
                  <w:tcBorders>
                    <w:tl2br w:val="nil"/>
                    <w:tr2bl w:val="nil"/>
                  </w:tcBorders>
                  <w:vAlign w:val="center"/>
                </w:tcPr>
                <w:p w14:paraId="55E6237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排放口设置是否符合要求</w:t>
                  </w:r>
                </w:p>
              </w:tc>
              <w:tc>
                <w:tcPr>
                  <w:tcW w:w="3084" w:type="dxa"/>
                  <w:vMerge w:val="restart"/>
                  <w:tcBorders>
                    <w:tl2br w:val="nil"/>
                    <w:tr2bl w:val="nil"/>
                  </w:tcBorders>
                  <w:vAlign w:val="center"/>
                </w:tcPr>
                <w:p w14:paraId="285E5AD0">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排放类型</w:t>
                  </w:r>
                </w:p>
              </w:tc>
            </w:tr>
            <w:tr w14:paraId="1E246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4" w:type="dxa"/>
                  <w:vMerge w:val="continue"/>
                  <w:tcBorders>
                    <w:tl2br w:val="nil"/>
                    <w:tr2bl w:val="nil"/>
                  </w:tcBorders>
                  <w:vAlign w:val="center"/>
                </w:tcPr>
                <w:p w14:paraId="35B4658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60" w:type="dxa"/>
                  <w:vMerge w:val="continue"/>
                  <w:tcBorders>
                    <w:tl2br w:val="nil"/>
                    <w:tr2bl w:val="nil"/>
                  </w:tcBorders>
                  <w:vAlign w:val="center"/>
                </w:tcPr>
                <w:p w14:paraId="5B590EBC">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15" w:type="dxa"/>
                  <w:vMerge w:val="continue"/>
                  <w:tcBorders>
                    <w:tl2br w:val="nil"/>
                    <w:tr2bl w:val="nil"/>
                  </w:tcBorders>
                  <w:vAlign w:val="center"/>
                </w:tcPr>
                <w:p w14:paraId="7DE7951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644" w:type="dxa"/>
                  <w:vMerge w:val="continue"/>
                  <w:tcBorders>
                    <w:tl2br w:val="nil"/>
                    <w:tr2bl w:val="nil"/>
                  </w:tcBorders>
                  <w:vAlign w:val="center"/>
                </w:tcPr>
                <w:p w14:paraId="2B68AE8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08" w:type="dxa"/>
                  <w:tcBorders>
                    <w:tl2br w:val="nil"/>
                    <w:tr2bl w:val="nil"/>
                  </w:tcBorders>
                  <w:vAlign w:val="center"/>
                </w:tcPr>
                <w:p w14:paraId="5DC0E20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污染治理设施编号</w:t>
                  </w:r>
                </w:p>
              </w:tc>
              <w:tc>
                <w:tcPr>
                  <w:tcW w:w="1073" w:type="dxa"/>
                  <w:tcBorders>
                    <w:tl2br w:val="nil"/>
                    <w:tr2bl w:val="nil"/>
                  </w:tcBorders>
                  <w:vAlign w:val="center"/>
                </w:tcPr>
                <w:p w14:paraId="18DC6AC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污染治理设施名称</w:t>
                  </w:r>
                </w:p>
              </w:tc>
              <w:tc>
                <w:tcPr>
                  <w:tcW w:w="1052" w:type="dxa"/>
                  <w:tcBorders>
                    <w:tl2br w:val="nil"/>
                    <w:tr2bl w:val="nil"/>
                  </w:tcBorders>
                  <w:vAlign w:val="center"/>
                </w:tcPr>
                <w:p w14:paraId="28F8439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污染治理设施工艺</w:t>
                  </w:r>
                </w:p>
              </w:tc>
              <w:tc>
                <w:tcPr>
                  <w:tcW w:w="893" w:type="dxa"/>
                  <w:vMerge w:val="continue"/>
                  <w:tcBorders>
                    <w:tl2br w:val="nil"/>
                    <w:tr2bl w:val="nil"/>
                  </w:tcBorders>
                  <w:vAlign w:val="center"/>
                </w:tcPr>
                <w:p w14:paraId="319F00C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15" w:type="dxa"/>
                  <w:vMerge w:val="continue"/>
                  <w:tcBorders>
                    <w:tl2br w:val="nil"/>
                    <w:tr2bl w:val="nil"/>
                  </w:tcBorders>
                  <w:vAlign w:val="center"/>
                </w:tcPr>
                <w:p w14:paraId="59E7A23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3084" w:type="dxa"/>
                  <w:vMerge w:val="continue"/>
                  <w:tcBorders>
                    <w:tl2br w:val="nil"/>
                    <w:tr2bl w:val="nil"/>
                  </w:tcBorders>
                  <w:vAlign w:val="center"/>
                </w:tcPr>
                <w:p w14:paraId="46B11AC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r>
            <w:tr w14:paraId="32BBE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804" w:type="dxa"/>
                  <w:tcBorders>
                    <w:tl2br w:val="nil"/>
                    <w:tr2bl w:val="nil"/>
                  </w:tcBorders>
                  <w:vAlign w:val="center"/>
                </w:tcPr>
                <w:p w14:paraId="65CB22D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生活</w:t>
                  </w:r>
                </w:p>
                <w:p w14:paraId="1F331E9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污水</w:t>
                  </w:r>
                </w:p>
              </w:tc>
              <w:tc>
                <w:tcPr>
                  <w:tcW w:w="960" w:type="dxa"/>
                  <w:tcBorders>
                    <w:tl2br w:val="nil"/>
                    <w:tr2bl w:val="nil"/>
                  </w:tcBorders>
                  <w:vAlign w:val="center"/>
                </w:tcPr>
                <w:p w14:paraId="22DD8D5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COD、BOD</w:t>
                  </w:r>
                  <w:r>
                    <w:rPr>
                      <w:rFonts w:hint="default" w:ascii="Times New Roman" w:hAnsi="Times New Roman" w:cs="Times New Roman" w:eastAsiaTheme="minorEastAsia"/>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、SS、NH</w:t>
                  </w:r>
                  <w:r>
                    <w:rPr>
                      <w:rFonts w:hint="default" w:ascii="Times New Roman" w:hAnsi="Times New Roman" w:cs="Times New Roman" w:eastAsiaTheme="minorEastAsia"/>
                      <w:b w:val="0"/>
                      <w:bCs w:val="0"/>
                      <w:color w:val="000000" w:themeColor="text1"/>
                      <w:highlight w:val="none"/>
                      <w:vertAlign w:val="sub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-N</w:t>
                  </w:r>
                </w:p>
              </w:tc>
              <w:tc>
                <w:tcPr>
                  <w:tcW w:w="915" w:type="dxa"/>
                  <w:tcBorders>
                    <w:tl2br w:val="nil"/>
                    <w:tr2bl w:val="nil"/>
                  </w:tcBorders>
                  <w:vAlign w:val="center"/>
                </w:tcPr>
                <w:p w14:paraId="24DB03AB">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进入城市污水处理厂</w:t>
                  </w:r>
                </w:p>
              </w:tc>
              <w:tc>
                <w:tcPr>
                  <w:tcW w:w="1644" w:type="dxa"/>
                  <w:tcBorders>
                    <w:tl2br w:val="nil"/>
                    <w:tr2bl w:val="nil"/>
                  </w:tcBorders>
                  <w:vAlign w:val="center"/>
                </w:tcPr>
                <w:p w14:paraId="223F3500">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间断排放，排放期间流量不稳定且无规律，但不属于冲击型排放</w:t>
                  </w:r>
                </w:p>
              </w:tc>
              <w:tc>
                <w:tcPr>
                  <w:tcW w:w="1008" w:type="dxa"/>
                  <w:tcBorders>
                    <w:tl2br w:val="nil"/>
                    <w:tr2bl w:val="nil"/>
                  </w:tcBorders>
                  <w:vAlign w:val="center"/>
                </w:tcPr>
                <w:p w14:paraId="02FF299F">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TW001</w:t>
                  </w:r>
                </w:p>
              </w:tc>
              <w:tc>
                <w:tcPr>
                  <w:tcW w:w="1073" w:type="dxa"/>
                  <w:tcBorders>
                    <w:tl2br w:val="nil"/>
                    <w:tr2bl w:val="nil"/>
                  </w:tcBorders>
                  <w:vAlign w:val="center"/>
                </w:tcPr>
                <w:p w14:paraId="62A65477">
                  <w:pPr>
                    <w:pStyle w:val="114"/>
                    <w:bidi w:val="0"/>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化粪池</w:t>
                  </w:r>
                </w:p>
              </w:tc>
              <w:tc>
                <w:tcPr>
                  <w:tcW w:w="1052" w:type="dxa"/>
                  <w:tcBorders>
                    <w:tl2br w:val="nil"/>
                    <w:tr2bl w:val="nil"/>
                  </w:tcBorders>
                  <w:vAlign w:val="center"/>
                </w:tcPr>
                <w:p w14:paraId="0BB276B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沉淀、生化</w:t>
                  </w:r>
                </w:p>
              </w:tc>
              <w:tc>
                <w:tcPr>
                  <w:tcW w:w="893" w:type="dxa"/>
                  <w:tcBorders>
                    <w:tl2br w:val="nil"/>
                    <w:tr2bl w:val="nil"/>
                  </w:tcBorders>
                  <w:vAlign w:val="center"/>
                </w:tcPr>
                <w:p w14:paraId="7545FC9B">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DW001</w:t>
                  </w:r>
                </w:p>
              </w:tc>
              <w:tc>
                <w:tcPr>
                  <w:tcW w:w="915" w:type="dxa"/>
                  <w:tcBorders>
                    <w:tl2br w:val="nil"/>
                    <w:tr2bl w:val="nil"/>
                  </w:tcBorders>
                  <w:vAlign w:val="center"/>
                </w:tcPr>
                <w:p w14:paraId="50CAC6CF">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FE"/>
                  </w:r>
                  <w:r>
                    <w:rPr>
                      <w:rFonts w:hint="default" w:ascii="Times New Roman" w:hAnsi="Times New Roman" w:cs="Times New Roman" w:eastAsiaTheme="minorEastAsia"/>
                      <w:b w:val="0"/>
                      <w:bCs w:val="0"/>
                      <w:color w:val="000000" w:themeColor="text1"/>
                      <w:highlight w:val="none"/>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是</w:t>
                  </w:r>
                </w:p>
                <w:p w14:paraId="4E6F20F3">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A8"/>
                  </w:r>
                  <w:r>
                    <w:rPr>
                      <w:rFonts w:hint="default" w:ascii="Times New Roman" w:hAnsi="Times New Roman" w:cs="Times New Roman" w:eastAsiaTheme="minorEastAsia"/>
                      <w:b w:val="0"/>
                      <w:bCs w:val="0"/>
                      <w:color w:val="000000" w:themeColor="text1"/>
                      <w:highlight w:val="none"/>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否</w:t>
                  </w:r>
                </w:p>
              </w:tc>
              <w:tc>
                <w:tcPr>
                  <w:tcW w:w="3084" w:type="dxa"/>
                  <w:tcBorders>
                    <w:tl2br w:val="nil"/>
                    <w:tr2bl w:val="nil"/>
                  </w:tcBorders>
                  <w:vAlign w:val="center"/>
                </w:tcPr>
                <w:p w14:paraId="4AFB2C5E">
                  <w:pPr>
                    <w:pStyle w:val="114"/>
                    <w:bidi w:val="0"/>
                    <w:jc w:val="left"/>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FE"/>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 xml:space="preserve"> 企业总排</w:t>
                  </w:r>
                </w:p>
                <w:p w14:paraId="0AFF12D5">
                  <w:pPr>
                    <w:pStyle w:val="114"/>
                    <w:bidi w:val="0"/>
                    <w:jc w:val="left"/>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A8"/>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 xml:space="preserve"> 雨水排放</w:t>
                  </w:r>
                </w:p>
                <w:p w14:paraId="375E79E5">
                  <w:pPr>
                    <w:pStyle w:val="114"/>
                    <w:bidi w:val="0"/>
                    <w:jc w:val="left"/>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A8"/>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 xml:space="preserve"> 清净下水排放</w:t>
                  </w:r>
                </w:p>
                <w:p w14:paraId="0817D63F">
                  <w:pPr>
                    <w:pStyle w:val="114"/>
                    <w:bidi w:val="0"/>
                    <w:jc w:val="left"/>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A8"/>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 xml:space="preserve"> 温水排放</w:t>
                  </w:r>
                </w:p>
                <w:p w14:paraId="79F58216">
                  <w:pPr>
                    <w:pStyle w:val="114"/>
                    <w:bidi w:val="0"/>
                    <w:jc w:val="left"/>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sym w:font="Wingdings" w:char="00A8"/>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 xml:space="preserve"> 车间或车间处理设施排放口</w:t>
                  </w:r>
                </w:p>
              </w:tc>
            </w:tr>
          </w:tbl>
          <w:p w14:paraId="0D4BBB2E">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表4.3-5  废水间接排放口基本情况表</w:t>
            </w:r>
          </w:p>
          <w:tbl>
            <w:tblPr>
              <w:tblStyle w:val="36"/>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851"/>
              <w:gridCol w:w="1027"/>
              <w:gridCol w:w="974"/>
              <w:gridCol w:w="1937"/>
              <w:gridCol w:w="1153"/>
              <w:gridCol w:w="1046"/>
              <w:gridCol w:w="1163"/>
              <w:gridCol w:w="2117"/>
            </w:tblGrid>
            <w:tr w14:paraId="1C9F5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restart"/>
                  <w:tcBorders>
                    <w:tl2br w:val="nil"/>
                    <w:tr2bl w:val="nil"/>
                  </w:tcBorders>
                  <w:vAlign w:val="center"/>
                </w:tcPr>
                <w:p w14:paraId="25BFEC7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排放口编码</w:t>
                  </w:r>
                </w:p>
              </w:tc>
              <w:tc>
                <w:tcPr>
                  <w:tcW w:w="1867" w:type="dxa"/>
                  <w:vMerge w:val="restart"/>
                  <w:tcBorders>
                    <w:tl2br w:val="nil"/>
                    <w:tr2bl w:val="nil"/>
                  </w:tcBorders>
                  <w:vAlign w:val="center"/>
                </w:tcPr>
                <w:p w14:paraId="0CFEC89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排放口地理坐标</w:t>
                  </w:r>
                </w:p>
              </w:tc>
              <w:tc>
                <w:tcPr>
                  <w:tcW w:w="1035" w:type="dxa"/>
                  <w:vMerge w:val="restart"/>
                  <w:tcBorders>
                    <w:tl2br w:val="nil"/>
                    <w:tr2bl w:val="nil"/>
                  </w:tcBorders>
                  <w:vAlign w:val="center"/>
                </w:tcPr>
                <w:p w14:paraId="101F910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废水排放量</w:t>
                  </w:r>
                </w:p>
              </w:tc>
              <w:tc>
                <w:tcPr>
                  <w:tcW w:w="981" w:type="dxa"/>
                  <w:vMerge w:val="restart"/>
                  <w:tcBorders>
                    <w:tl2br w:val="nil"/>
                    <w:tr2bl w:val="nil"/>
                  </w:tcBorders>
                  <w:vAlign w:val="center"/>
                </w:tcPr>
                <w:p w14:paraId="632A6E8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w:t>
                  </w:r>
                </w:p>
                <w:p w14:paraId="64A7F93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去向</w:t>
                  </w:r>
                </w:p>
              </w:tc>
              <w:tc>
                <w:tcPr>
                  <w:tcW w:w="1954" w:type="dxa"/>
                  <w:vMerge w:val="restart"/>
                  <w:tcBorders>
                    <w:tl2br w:val="nil"/>
                    <w:tr2bl w:val="nil"/>
                  </w:tcBorders>
                  <w:vAlign w:val="center"/>
                </w:tcPr>
                <w:p w14:paraId="639E170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排放规律</w:t>
                  </w:r>
                </w:p>
              </w:tc>
              <w:tc>
                <w:tcPr>
                  <w:tcW w:w="1162" w:type="dxa"/>
                  <w:vMerge w:val="restart"/>
                  <w:tcBorders>
                    <w:tl2br w:val="nil"/>
                    <w:tr2bl w:val="nil"/>
                  </w:tcBorders>
                  <w:vAlign w:val="center"/>
                </w:tcPr>
                <w:p w14:paraId="542EF35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间歇排放时段</w:t>
                  </w:r>
                </w:p>
              </w:tc>
              <w:tc>
                <w:tcPr>
                  <w:tcW w:w="4362" w:type="dxa"/>
                  <w:gridSpan w:val="3"/>
                  <w:tcBorders>
                    <w:tl2br w:val="nil"/>
                    <w:tr2bl w:val="nil"/>
                  </w:tcBorders>
                  <w:vAlign w:val="center"/>
                </w:tcPr>
                <w:p w14:paraId="0312B166">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收纳污水处理厂信息</w:t>
                  </w:r>
                </w:p>
              </w:tc>
            </w:tr>
            <w:tr w14:paraId="10654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14:paraId="3F5D885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7" w:type="dxa"/>
                  <w:vMerge w:val="continue"/>
                  <w:tcBorders>
                    <w:tl2br w:val="nil"/>
                    <w:tr2bl w:val="nil"/>
                  </w:tcBorders>
                  <w:vAlign w:val="center"/>
                </w:tcPr>
                <w:p w14:paraId="0E59254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35" w:type="dxa"/>
                  <w:vMerge w:val="continue"/>
                  <w:tcBorders>
                    <w:tl2br w:val="nil"/>
                    <w:tr2bl w:val="nil"/>
                  </w:tcBorders>
                  <w:vAlign w:val="center"/>
                </w:tcPr>
                <w:p w14:paraId="615BDDE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81" w:type="dxa"/>
                  <w:vMerge w:val="continue"/>
                  <w:tcBorders>
                    <w:tl2br w:val="nil"/>
                    <w:tr2bl w:val="nil"/>
                  </w:tcBorders>
                  <w:vAlign w:val="center"/>
                </w:tcPr>
                <w:p w14:paraId="45D0001F">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954" w:type="dxa"/>
                  <w:vMerge w:val="continue"/>
                  <w:tcBorders>
                    <w:tl2br w:val="nil"/>
                    <w:tr2bl w:val="nil"/>
                  </w:tcBorders>
                  <w:vAlign w:val="center"/>
                </w:tcPr>
                <w:p w14:paraId="72EC575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62" w:type="dxa"/>
                  <w:vMerge w:val="continue"/>
                  <w:tcBorders>
                    <w:tl2br w:val="nil"/>
                    <w:tr2bl w:val="nil"/>
                  </w:tcBorders>
                  <w:vAlign w:val="center"/>
                </w:tcPr>
                <w:p w14:paraId="68126EB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54" w:type="dxa"/>
                  <w:tcBorders>
                    <w:tl2br w:val="nil"/>
                    <w:tr2bl w:val="nil"/>
                  </w:tcBorders>
                  <w:vAlign w:val="center"/>
                </w:tcPr>
                <w:p w14:paraId="45AF66F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名称</w:t>
                  </w:r>
                </w:p>
              </w:tc>
              <w:tc>
                <w:tcPr>
                  <w:tcW w:w="1172" w:type="dxa"/>
                  <w:tcBorders>
                    <w:tl2br w:val="nil"/>
                    <w:tr2bl w:val="nil"/>
                  </w:tcBorders>
                  <w:vAlign w:val="center"/>
                </w:tcPr>
                <w:p w14:paraId="0D57A01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污染物种类</w:t>
                  </w:r>
                </w:p>
              </w:tc>
              <w:tc>
                <w:tcPr>
                  <w:tcW w:w="2136" w:type="dxa"/>
                  <w:tcBorders>
                    <w:tl2br w:val="nil"/>
                    <w:tr2bl w:val="nil"/>
                  </w:tcBorders>
                  <w:vAlign w:val="center"/>
                </w:tcPr>
                <w:p w14:paraId="5F8D983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国家或地方污染物排放标准浓度限值（mg/L）</w:t>
                  </w:r>
                </w:p>
              </w:tc>
            </w:tr>
            <w:tr w14:paraId="09E16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restart"/>
                  <w:tcBorders>
                    <w:tl2br w:val="nil"/>
                    <w:tr2bl w:val="nil"/>
                  </w:tcBorders>
                  <w:vAlign w:val="center"/>
                </w:tcPr>
                <w:p w14:paraId="01FB829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DW001</w:t>
                  </w:r>
                </w:p>
              </w:tc>
              <w:tc>
                <w:tcPr>
                  <w:tcW w:w="1867" w:type="dxa"/>
                  <w:vMerge w:val="restart"/>
                  <w:tcBorders>
                    <w:tl2br w:val="nil"/>
                    <w:tr2bl w:val="nil"/>
                  </w:tcBorders>
                  <w:vAlign w:val="center"/>
                </w:tcPr>
                <w:p w14:paraId="1921AEAB">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119°25′12.669″E，</w:t>
                  </w:r>
                </w:p>
                <w:p w14:paraId="6F71B24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25°45′53.002″N</w:t>
                  </w:r>
                </w:p>
              </w:tc>
              <w:tc>
                <w:tcPr>
                  <w:tcW w:w="1035" w:type="dxa"/>
                  <w:vMerge w:val="restart"/>
                  <w:tcBorders>
                    <w:tl2br w:val="nil"/>
                    <w:tr2bl w:val="nil"/>
                  </w:tcBorders>
                  <w:vAlign w:val="center"/>
                </w:tcPr>
                <w:p w14:paraId="76AB308C">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180t/a</w:t>
                  </w:r>
                </w:p>
              </w:tc>
              <w:tc>
                <w:tcPr>
                  <w:tcW w:w="981" w:type="dxa"/>
                  <w:vMerge w:val="restart"/>
                  <w:tcBorders>
                    <w:tl2br w:val="nil"/>
                    <w:tr2bl w:val="nil"/>
                  </w:tcBorders>
                  <w:vAlign w:val="center"/>
                </w:tcPr>
                <w:p w14:paraId="51EC2C8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进入城市污水处理厂</w:t>
                  </w:r>
                </w:p>
              </w:tc>
              <w:tc>
                <w:tcPr>
                  <w:tcW w:w="1954" w:type="dxa"/>
                  <w:vMerge w:val="restart"/>
                  <w:tcBorders>
                    <w:tl2br w:val="nil"/>
                    <w:tr2bl w:val="nil"/>
                  </w:tcBorders>
                  <w:vAlign w:val="center"/>
                </w:tcPr>
                <w:p w14:paraId="0A9ED94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间断排放，排放期间流量不稳定且无规律，但不属于冲击型排放</w:t>
                  </w:r>
                </w:p>
              </w:tc>
              <w:tc>
                <w:tcPr>
                  <w:tcW w:w="1162" w:type="dxa"/>
                  <w:vMerge w:val="restart"/>
                  <w:tcBorders>
                    <w:tl2br w:val="nil"/>
                    <w:tr2bl w:val="nil"/>
                  </w:tcBorders>
                  <w:vAlign w:val="center"/>
                </w:tcPr>
                <w:p w14:paraId="34C7EC2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0~24h</w:t>
                  </w:r>
                </w:p>
                <w:p w14:paraId="58F2E33C">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间歇排放</w:t>
                  </w:r>
                </w:p>
              </w:tc>
              <w:tc>
                <w:tcPr>
                  <w:tcW w:w="1054" w:type="dxa"/>
                  <w:vMerge w:val="restart"/>
                  <w:tcBorders>
                    <w:tl2br w:val="nil"/>
                    <w:tr2bl w:val="nil"/>
                  </w:tcBorders>
                  <w:vAlign w:val="center"/>
                </w:tcPr>
                <w:p w14:paraId="70E4D42F">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福清市融元污水处理厂</w:t>
                  </w:r>
                </w:p>
              </w:tc>
              <w:tc>
                <w:tcPr>
                  <w:tcW w:w="1172" w:type="dxa"/>
                  <w:tcBorders>
                    <w:tl2br w:val="nil"/>
                    <w:tr2bl w:val="nil"/>
                  </w:tcBorders>
                  <w:vAlign w:val="center"/>
                </w:tcPr>
                <w:p w14:paraId="4B7C661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COD</w:t>
                  </w:r>
                </w:p>
              </w:tc>
              <w:tc>
                <w:tcPr>
                  <w:tcW w:w="2136" w:type="dxa"/>
                  <w:tcBorders>
                    <w:tl2br w:val="nil"/>
                    <w:tr2bl w:val="nil"/>
                  </w:tcBorders>
                  <w:vAlign w:val="center"/>
                </w:tcPr>
                <w:p w14:paraId="364EB3E4">
                  <w:pPr>
                    <w:pStyle w:val="114"/>
                    <w:bidi w:val="0"/>
                    <w:ind w:firstLine="0" w:firstLineChars="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500</w:t>
                  </w:r>
                </w:p>
              </w:tc>
            </w:tr>
            <w:tr w14:paraId="332C2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14:paraId="245AA9B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7" w:type="dxa"/>
                  <w:vMerge w:val="continue"/>
                  <w:tcBorders>
                    <w:tl2br w:val="nil"/>
                    <w:tr2bl w:val="nil"/>
                  </w:tcBorders>
                  <w:vAlign w:val="center"/>
                </w:tcPr>
                <w:p w14:paraId="3D92458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35" w:type="dxa"/>
                  <w:vMerge w:val="continue"/>
                  <w:tcBorders>
                    <w:tl2br w:val="nil"/>
                    <w:tr2bl w:val="nil"/>
                  </w:tcBorders>
                  <w:vAlign w:val="center"/>
                </w:tcPr>
                <w:p w14:paraId="1D32932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81" w:type="dxa"/>
                  <w:vMerge w:val="continue"/>
                  <w:tcBorders>
                    <w:tl2br w:val="nil"/>
                    <w:tr2bl w:val="nil"/>
                  </w:tcBorders>
                  <w:vAlign w:val="center"/>
                </w:tcPr>
                <w:p w14:paraId="0A86D836">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954" w:type="dxa"/>
                  <w:vMerge w:val="continue"/>
                  <w:tcBorders>
                    <w:tl2br w:val="nil"/>
                    <w:tr2bl w:val="nil"/>
                  </w:tcBorders>
                  <w:vAlign w:val="center"/>
                </w:tcPr>
                <w:p w14:paraId="3AD53FE6">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62" w:type="dxa"/>
                  <w:vMerge w:val="continue"/>
                  <w:tcBorders>
                    <w:tl2br w:val="nil"/>
                    <w:tr2bl w:val="nil"/>
                  </w:tcBorders>
                  <w:vAlign w:val="center"/>
                </w:tcPr>
                <w:p w14:paraId="7DA0291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54" w:type="dxa"/>
                  <w:vMerge w:val="continue"/>
                  <w:tcBorders>
                    <w:tl2br w:val="nil"/>
                    <w:tr2bl w:val="nil"/>
                  </w:tcBorders>
                  <w:vAlign w:val="center"/>
                </w:tcPr>
                <w:p w14:paraId="0A0D866A">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72" w:type="dxa"/>
                  <w:tcBorders>
                    <w:tl2br w:val="nil"/>
                    <w:tr2bl w:val="nil"/>
                  </w:tcBorders>
                  <w:vAlign w:val="center"/>
                </w:tcPr>
                <w:p w14:paraId="4C171ED6">
                  <w:pPr>
                    <w:pStyle w:val="114"/>
                    <w:bidi w:val="0"/>
                    <w:ind w:firstLine="0" w:firstLineChars="0"/>
                    <w:rPr>
                      <w:rFonts w:hint="default" w:ascii="Times New Roman" w:hAnsi="Times New Roman" w:cs="Times New Roman" w:eastAsiaTheme="minorEastAsia"/>
                      <w:b w:val="0"/>
                      <w:bCs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BOD</w:t>
                  </w:r>
                  <w:r>
                    <w:rPr>
                      <w:rFonts w:hint="default" w:ascii="Times New Roman" w:hAnsi="Times New Roman" w:cs="Times New Roman" w:eastAsiaTheme="minorEastAsia"/>
                      <w:b w:val="0"/>
                      <w:bCs w:val="0"/>
                      <w:color w:val="000000" w:themeColor="text1"/>
                      <w:highlight w:val="none"/>
                      <w:vertAlign w:val="subscript"/>
                      <w:lang w:val="en-US" w:eastAsia="zh-CN"/>
                      <w14:textFill>
                        <w14:solidFill>
                          <w14:schemeClr w14:val="tx1"/>
                        </w14:solidFill>
                      </w14:textFill>
                    </w:rPr>
                    <w:t>5</w:t>
                  </w:r>
                </w:p>
              </w:tc>
              <w:tc>
                <w:tcPr>
                  <w:tcW w:w="2136" w:type="dxa"/>
                  <w:tcBorders>
                    <w:tl2br w:val="nil"/>
                    <w:tr2bl w:val="nil"/>
                  </w:tcBorders>
                  <w:vAlign w:val="center"/>
                </w:tcPr>
                <w:p w14:paraId="3AC547F8">
                  <w:pPr>
                    <w:pStyle w:val="114"/>
                    <w:bidi w:val="0"/>
                    <w:ind w:firstLine="0" w:firstLineChars="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300</w:t>
                  </w:r>
                </w:p>
              </w:tc>
            </w:tr>
            <w:tr w14:paraId="08E66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14:paraId="6205BE9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7" w:type="dxa"/>
                  <w:vMerge w:val="continue"/>
                  <w:tcBorders>
                    <w:tl2br w:val="nil"/>
                    <w:tr2bl w:val="nil"/>
                  </w:tcBorders>
                  <w:vAlign w:val="center"/>
                </w:tcPr>
                <w:p w14:paraId="6FC453D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35" w:type="dxa"/>
                  <w:vMerge w:val="continue"/>
                  <w:tcBorders>
                    <w:tl2br w:val="nil"/>
                    <w:tr2bl w:val="nil"/>
                  </w:tcBorders>
                  <w:vAlign w:val="center"/>
                </w:tcPr>
                <w:p w14:paraId="4AFE85C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81" w:type="dxa"/>
                  <w:vMerge w:val="continue"/>
                  <w:tcBorders>
                    <w:tl2br w:val="nil"/>
                    <w:tr2bl w:val="nil"/>
                  </w:tcBorders>
                  <w:vAlign w:val="center"/>
                </w:tcPr>
                <w:p w14:paraId="39C2069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954" w:type="dxa"/>
                  <w:vMerge w:val="continue"/>
                  <w:tcBorders>
                    <w:tl2br w:val="nil"/>
                    <w:tr2bl w:val="nil"/>
                  </w:tcBorders>
                  <w:vAlign w:val="center"/>
                </w:tcPr>
                <w:p w14:paraId="5A41905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62" w:type="dxa"/>
                  <w:vMerge w:val="continue"/>
                  <w:tcBorders>
                    <w:tl2br w:val="nil"/>
                    <w:tr2bl w:val="nil"/>
                  </w:tcBorders>
                  <w:vAlign w:val="center"/>
                </w:tcPr>
                <w:p w14:paraId="76AF39FB">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54" w:type="dxa"/>
                  <w:vMerge w:val="continue"/>
                  <w:tcBorders>
                    <w:tl2br w:val="nil"/>
                    <w:tr2bl w:val="nil"/>
                  </w:tcBorders>
                  <w:vAlign w:val="center"/>
                </w:tcPr>
                <w:p w14:paraId="6A86B8A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72" w:type="dxa"/>
                  <w:tcBorders>
                    <w:tl2br w:val="nil"/>
                    <w:tr2bl w:val="nil"/>
                  </w:tcBorders>
                  <w:vAlign w:val="center"/>
                </w:tcPr>
                <w:p w14:paraId="1C5628CD">
                  <w:pPr>
                    <w:pStyle w:val="114"/>
                    <w:bidi w:val="0"/>
                    <w:ind w:firstLine="0" w:firstLineChars="0"/>
                    <w:rPr>
                      <w:rFonts w:hint="default" w:ascii="Times New Roman" w:hAnsi="Times New Roman" w:cs="Times New Roman" w:eastAsiaTheme="minorEastAsia"/>
                      <w:b w:val="0"/>
                      <w:bCs w:val="0"/>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SS</w:t>
                  </w:r>
                </w:p>
              </w:tc>
              <w:tc>
                <w:tcPr>
                  <w:tcW w:w="2136" w:type="dxa"/>
                  <w:tcBorders>
                    <w:tl2br w:val="nil"/>
                    <w:tr2bl w:val="nil"/>
                  </w:tcBorders>
                  <w:vAlign w:val="center"/>
                </w:tcPr>
                <w:p w14:paraId="19853636">
                  <w:pPr>
                    <w:pStyle w:val="114"/>
                    <w:bidi w:val="0"/>
                    <w:ind w:firstLine="0" w:firstLineChars="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400</w:t>
                  </w:r>
                </w:p>
              </w:tc>
            </w:tr>
            <w:tr w14:paraId="5D4E0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7" w:type="dxa"/>
                  <w:vMerge w:val="continue"/>
                  <w:tcBorders>
                    <w:tl2br w:val="nil"/>
                    <w:tr2bl w:val="nil"/>
                  </w:tcBorders>
                  <w:vAlign w:val="center"/>
                </w:tcPr>
                <w:p w14:paraId="3BE9D64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7" w:type="dxa"/>
                  <w:vMerge w:val="continue"/>
                  <w:tcBorders>
                    <w:tl2br w:val="nil"/>
                    <w:tr2bl w:val="nil"/>
                  </w:tcBorders>
                  <w:vAlign w:val="center"/>
                </w:tcPr>
                <w:p w14:paraId="07BAFCE6">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35" w:type="dxa"/>
                  <w:vMerge w:val="continue"/>
                  <w:tcBorders>
                    <w:tl2br w:val="nil"/>
                    <w:tr2bl w:val="nil"/>
                  </w:tcBorders>
                  <w:vAlign w:val="center"/>
                </w:tcPr>
                <w:p w14:paraId="0DD66DB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981" w:type="dxa"/>
                  <w:vMerge w:val="continue"/>
                  <w:tcBorders>
                    <w:tl2br w:val="nil"/>
                    <w:tr2bl w:val="nil"/>
                  </w:tcBorders>
                  <w:vAlign w:val="center"/>
                </w:tcPr>
                <w:p w14:paraId="7DB0AE8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954" w:type="dxa"/>
                  <w:vMerge w:val="continue"/>
                  <w:tcBorders>
                    <w:tl2br w:val="nil"/>
                    <w:tr2bl w:val="nil"/>
                  </w:tcBorders>
                  <w:vAlign w:val="center"/>
                </w:tcPr>
                <w:p w14:paraId="37471EF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62" w:type="dxa"/>
                  <w:vMerge w:val="continue"/>
                  <w:tcBorders>
                    <w:tl2br w:val="nil"/>
                    <w:tr2bl w:val="nil"/>
                  </w:tcBorders>
                  <w:vAlign w:val="center"/>
                </w:tcPr>
                <w:p w14:paraId="6D37820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054" w:type="dxa"/>
                  <w:vMerge w:val="continue"/>
                  <w:tcBorders>
                    <w:tl2br w:val="nil"/>
                    <w:tr2bl w:val="nil"/>
                  </w:tcBorders>
                  <w:vAlign w:val="center"/>
                </w:tcPr>
                <w:p w14:paraId="17934D14">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172" w:type="dxa"/>
                  <w:tcBorders>
                    <w:tl2br w:val="nil"/>
                    <w:tr2bl w:val="nil"/>
                  </w:tcBorders>
                  <w:vAlign w:val="center"/>
                </w:tcPr>
                <w:p w14:paraId="0A0CD74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NH</w:t>
                  </w:r>
                  <w:r>
                    <w:rPr>
                      <w:rFonts w:hint="default" w:ascii="Times New Roman" w:hAnsi="Times New Roman" w:cs="Times New Roman" w:eastAsiaTheme="minorEastAsia"/>
                      <w:b w:val="0"/>
                      <w:bCs w:val="0"/>
                      <w:color w:val="000000" w:themeColor="text1"/>
                      <w:highlight w:val="none"/>
                      <w:vertAlign w:val="sub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-N</w:t>
                  </w:r>
                </w:p>
              </w:tc>
              <w:tc>
                <w:tcPr>
                  <w:tcW w:w="2136" w:type="dxa"/>
                  <w:tcBorders>
                    <w:tl2br w:val="nil"/>
                    <w:tr2bl w:val="nil"/>
                  </w:tcBorders>
                  <w:vAlign w:val="center"/>
                </w:tcPr>
                <w:p w14:paraId="5FE0D73A">
                  <w:pPr>
                    <w:pStyle w:val="114"/>
                    <w:bidi w:val="0"/>
                    <w:ind w:firstLine="0" w:firstLineChars="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45</w:t>
                  </w:r>
                </w:p>
              </w:tc>
            </w:tr>
          </w:tbl>
          <w:p w14:paraId="35B83F99">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表4.3-6  废水污染物排放执行标准表</w:t>
            </w:r>
          </w:p>
          <w:tbl>
            <w:tblPr>
              <w:tblStyle w:val="36"/>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848"/>
              <w:gridCol w:w="5393"/>
              <w:gridCol w:w="3310"/>
            </w:tblGrid>
            <w:tr w14:paraId="2859B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restart"/>
                  <w:tcBorders>
                    <w:tl2br w:val="nil"/>
                    <w:tr2bl w:val="nil"/>
                  </w:tcBorders>
                  <w:vAlign w:val="center"/>
                </w:tcPr>
                <w:p w14:paraId="6D7AF2F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排放口编号</w:t>
                  </w:r>
                </w:p>
              </w:tc>
              <w:tc>
                <w:tcPr>
                  <w:tcW w:w="1862" w:type="dxa"/>
                  <w:vMerge w:val="restart"/>
                  <w:tcBorders>
                    <w:tl2br w:val="nil"/>
                    <w:tr2bl w:val="nil"/>
                  </w:tcBorders>
                  <w:vAlign w:val="center"/>
                </w:tcPr>
                <w:p w14:paraId="6030E57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污染物种类</w:t>
                  </w:r>
                </w:p>
              </w:tc>
              <w:tc>
                <w:tcPr>
                  <w:tcW w:w="8773" w:type="dxa"/>
                  <w:gridSpan w:val="2"/>
                  <w:tcBorders>
                    <w:tl2br w:val="nil"/>
                    <w:tr2bl w:val="nil"/>
                  </w:tcBorders>
                  <w:vAlign w:val="center"/>
                </w:tcPr>
                <w:p w14:paraId="24761FFD">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国家或地方污染物排放标准及其他按规定商定的排放协议</w:t>
                  </w:r>
                </w:p>
              </w:tc>
            </w:tr>
            <w:tr w14:paraId="18A0A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14:paraId="104C94C0">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2" w:type="dxa"/>
                  <w:vMerge w:val="continue"/>
                  <w:tcBorders>
                    <w:tl2br w:val="nil"/>
                    <w:tr2bl w:val="nil"/>
                  </w:tcBorders>
                  <w:vAlign w:val="center"/>
                </w:tcPr>
                <w:p w14:paraId="05506FA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5437" w:type="dxa"/>
                  <w:tcBorders>
                    <w:tl2br w:val="nil"/>
                    <w:tr2bl w:val="nil"/>
                  </w:tcBorders>
                  <w:vAlign w:val="center"/>
                </w:tcPr>
                <w:p w14:paraId="5384C2C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名称</w:t>
                  </w:r>
                </w:p>
              </w:tc>
              <w:tc>
                <w:tcPr>
                  <w:tcW w:w="3336" w:type="dxa"/>
                  <w:tcBorders>
                    <w:tl2br w:val="nil"/>
                    <w:tr2bl w:val="nil"/>
                  </w:tcBorders>
                  <w:vAlign w:val="center"/>
                </w:tcPr>
                <w:p w14:paraId="4177AD1E">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浓度限值（mg/L）</w:t>
                  </w:r>
                </w:p>
              </w:tc>
            </w:tr>
            <w:tr w14:paraId="1AC0E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restart"/>
                  <w:tcBorders>
                    <w:tl2br w:val="nil"/>
                    <w:tr2bl w:val="nil"/>
                  </w:tcBorders>
                  <w:vAlign w:val="center"/>
                </w:tcPr>
                <w:p w14:paraId="5C0E5DE3">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DW001</w:t>
                  </w:r>
                </w:p>
              </w:tc>
              <w:tc>
                <w:tcPr>
                  <w:tcW w:w="1862" w:type="dxa"/>
                  <w:tcBorders>
                    <w:tl2br w:val="nil"/>
                    <w:tr2bl w:val="nil"/>
                  </w:tcBorders>
                  <w:vAlign w:val="center"/>
                </w:tcPr>
                <w:p w14:paraId="51C8A74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COD</w:t>
                  </w:r>
                </w:p>
              </w:tc>
              <w:tc>
                <w:tcPr>
                  <w:tcW w:w="5437" w:type="dxa"/>
                  <w:vMerge w:val="restart"/>
                  <w:tcBorders>
                    <w:tl2br w:val="nil"/>
                    <w:tr2bl w:val="nil"/>
                  </w:tcBorders>
                  <w:vAlign w:val="center"/>
                </w:tcPr>
                <w:p w14:paraId="254B2B93">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《污水综合排放标准》（GB8978-1996）中表4的三级排放标准（氨氮参照执行《污水排入城市下水道水质标准》（GB/T31962-2015）表1中B级标准）</w:t>
                  </w:r>
                </w:p>
              </w:tc>
              <w:tc>
                <w:tcPr>
                  <w:tcW w:w="3336" w:type="dxa"/>
                  <w:tcBorders>
                    <w:tl2br w:val="nil"/>
                    <w:tr2bl w:val="nil"/>
                  </w:tcBorders>
                  <w:vAlign w:val="center"/>
                </w:tcPr>
                <w:p w14:paraId="2D92AA4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500</w:t>
                  </w:r>
                </w:p>
              </w:tc>
            </w:tr>
            <w:tr w14:paraId="10297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14:paraId="7D476A8C">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2" w:type="dxa"/>
                  <w:tcBorders>
                    <w:tl2br w:val="nil"/>
                    <w:tr2bl w:val="nil"/>
                  </w:tcBorders>
                  <w:vAlign w:val="center"/>
                </w:tcPr>
                <w:p w14:paraId="18D95A2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BOD</w:t>
                  </w:r>
                  <w:r>
                    <w:rPr>
                      <w:rFonts w:hint="default" w:ascii="Times New Roman" w:hAnsi="Times New Roman" w:cs="Times New Roman" w:eastAsiaTheme="minorEastAsia"/>
                      <w:b w:val="0"/>
                      <w:bCs w:val="0"/>
                      <w:color w:val="000000" w:themeColor="text1"/>
                      <w:highlight w:val="none"/>
                      <w:vertAlign w:val="subscript"/>
                      <w:lang w:val="en-US" w:eastAsia="zh-CN"/>
                      <w14:textFill>
                        <w14:solidFill>
                          <w14:schemeClr w14:val="tx1"/>
                        </w14:solidFill>
                      </w14:textFill>
                    </w:rPr>
                    <w:t>5</w:t>
                  </w:r>
                </w:p>
              </w:tc>
              <w:tc>
                <w:tcPr>
                  <w:tcW w:w="5437" w:type="dxa"/>
                  <w:vMerge w:val="continue"/>
                  <w:tcBorders>
                    <w:tl2br w:val="nil"/>
                    <w:tr2bl w:val="nil"/>
                  </w:tcBorders>
                  <w:vAlign w:val="center"/>
                </w:tcPr>
                <w:p w14:paraId="60C5EB91">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3336" w:type="dxa"/>
                  <w:tcBorders>
                    <w:tl2br w:val="nil"/>
                    <w:tr2bl w:val="nil"/>
                  </w:tcBorders>
                  <w:vAlign w:val="center"/>
                </w:tcPr>
                <w:p w14:paraId="2516013B">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300</w:t>
                  </w:r>
                </w:p>
              </w:tc>
            </w:tr>
            <w:tr w14:paraId="19E69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14:paraId="11A37FB8">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2" w:type="dxa"/>
                  <w:tcBorders>
                    <w:tl2br w:val="nil"/>
                    <w:tr2bl w:val="nil"/>
                  </w:tcBorders>
                  <w:vAlign w:val="center"/>
                </w:tcPr>
                <w:p w14:paraId="1CD11BD2">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SS</w:t>
                  </w:r>
                </w:p>
              </w:tc>
              <w:tc>
                <w:tcPr>
                  <w:tcW w:w="5437" w:type="dxa"/>
                  <w:vMerge w:val="continue"/>
                  <w:tcBorders>
                    <w:tl2br w:val="nil"/>
                    <w:tr2bl w:val="nil"/>
                  </w:tcBorders>
                  <w:vAlign w:val="center"/>
                </w:tcPr>
                <w:p w14:paraId="1940AF7B">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3336" w:type="dxa"/>
                  <w:tcBorders>
                    <w:tl2br w:val="nil"/>
                    <w:tr2bl w:val="nil"/>
                  </w:tcBorders>
                  <w:vAlign w:val="center"/>
                </w:tcPr>
                <w:p w14:paraId="5E76E950">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400</w:t>
                  </w:r>
                </w:p>
              </w:tc>
            </w:tr>
            <w:tr w14:paraId="58A8E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08" w:type="dxa"/>
                  <w:vMerge w:val="continue"/>
                  <w:tcBorders>
                    <w:tl2br w:val="nil"/>
                    <w:tr2bl w:val="nil"/>
                  </w:tcBorders>
                  <w:vAlign w:val="center"/>
                </w:tcPr>
                <w:p w14:paraId="665D4CE5">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1862" w:type="dxa"/>
                  <w:tcBorders>
                    <w:tl2br w:val="nil"/>
                    <w:tr2bl w:val="nil"/>
                  </w:tcBorders>
                  <w:vAlign w:val="center"/>
                </w:tcPr>
                <w:p w14:paraId="4F6990E9">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NH</w:t>
                  </w:r>
                  <w:r>
                    <w:rPr>
                      <w:rFonts w:hint="default" w:ascii="Times New Roman" w:hAnsi="Times New Roman" w:cs="Times New Roman" w:eastAsiaTheme="minorEastAsia"/>
                      <w:b w:val="0"/>
                      <w:bCs w:val="0"/>
                      <w:color w:val="000000" w:themeColor="text1"/>
                      <w:highlight w:val="none"/>
                      <w:vertAlign w:val="sub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-N</w:t>
                  </w:r>
                </w:p>
              </w:tc>
              <w:tc>
                <w:tcPr>
                  <w:tcW w:w="5437" w:type="dxa"/>
                  <w:vMerge w:val="continue"/>
                  <w:tcBorders>
                    <w:tl2br w:val="nil"/>
                    <w:tr2bl w:val="nil"/>
                  </w:tcBorders>
                  <w:vAlign w:val="center"/>
                </w:tcPr>
                <w:p w14:paraId="7D39E7D7">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p>
              </w:tc>
              <w:tc>
                <w:tcPr>
                  <w:tcW w:w="3336" w:type="dxa"/>
                  <w:tcBorders>
                    <w:tl2br w:val="nil"/>
                    <w:tr2bl w:val="nil"/>
                  </w:tcBorders>
                  <w:vAlign w:val="center"/>
                </w:tcPr>
                <w:p w14:paraId="774E91F3">
                  <w:pPr>
                    <w:pStyle w:val="114"/>
                    <w:bidi w:val="0"/>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45</w:t>
                  </w:r>
                </w:p>
              </w:tc>
            </w:tr>
          </w:tbl>
          <w:p w14:paraId="0A7EC354">
            <w:pPr>
              <w:pStyle w:val="18"/>
              <w:spacing w:line="360" w:lineRule="auto"/>
              <w:ind w:left="0" w:right="0" w:firstLine="480"/>
              <w:jc w:val="left"/>
              <w:rPr>
                <w:rFonts w:hint="default" w:ascii="Times New Roman" w:hAnsi="Times New Roman" w:cs="Times New Roman" w:eastAsiaTheme="minorEastAsia"/>
                <w:color w:val="000000" w:themeColor="text1"/>
                <w14:textFill>
                  <w14:solidFill>
                    <w14:schemeClr w14:val="tx1"/>
                  </w14:solidFill>
                </w14:textFill>
              </w:rPr>
            </w:pPr>
          </w:p>
        </w:tc>
      </w:tr>
    </w:tbl>
    <w:p w14:paraId="2AF9E078">
      <w:pPr>
        <w:rPr>
          <w:rFonts w:hint="default" w:ascii="Times New Roman" w:hAnsi="Times New Roman" w:cs="Times New Roman" w:eastAsiaTheme="minorEastAsia"/>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728F5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7" w:hRule="atLeast"/>
          <w:jc w:val="center"/>
        </w:trPr>
        <w:tc>
          <w:tcPr>
            <w:tcW w:w="375" w:type="dxa"/>
            <w:tcMar>
              <w:left w:w="28" w:type="dxa"/>
              <w:right w:w="28" w:type="dxa"/>
            </w:tcMar>
            <w:vAlign w:val="center"/>
          </w:tcPr>
          <w:p w14:paraId="74887C05">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lang w:eastAsia="zh-CN"/>
                <w14:textFill>
                  <w14:solidFill>
                    <w14:schemeClr w14:val="tx1"/>
                  </w14:solidFill>
                </w14:textFill>
              </w:rPr>
              <w:t>运营期</w:t>
            </w:r>
            <w:r>
              <w:rPr>
                <w:rFonts w:hint="default" w:ascii="Times New Roman" w:hAnsi="Times New Roman" w:cs="Times New Roman" w:eastAsiaTheme="minorEastAsia"/>
                <w:color w:val="000000" w:themeColor="text1"/>
                <w:kern w:val="21"/>
                <w:sz w:val="24"/>
                <w:szCs w:val="24"/>
                <w14:textFill>
                  <w14:solidFill>
                    <w14:schemeClr w14:val="tx1"/>
                  </w14:solidFill>
                </w14:textFill>
              </w:rPr>
              <w:t>环</w:t>
            </w:r>
          </w:p>
          <w:p w14:paraId="0ACA4B96">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境保</w:t>
            </w:r>
          </w:p>
          <w:p w14:paraId="054A662C">
            <w:pPr>
              <w:pStyle w:val="30"/>
              <w:spacing w:before="0" w:beforeAutospacing="0" w:after="0" w:afterAutospacing="0"/>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护措</w:t>
            </w:r>
          </w:p>
          <w:p w14:paraId="16A87C93">
            <w:pPr>
              <w:jc w:val="center"/>
              <w:rPr>
                <w:rFonts w:hint="default" w:ascii="Times New Roman" w:hAnsi="Times New Roman" w:cs="Times New Roman" w:eastAsiaTheme="minorEastAsia"/>
                <w:color w:val="000000" w:themeColor="text1"/>
                <w:kern w:val="21"/>
                <w:sz w:val="24"/>
                <w:szCs w:val="24"/>
                <w14:textFill>
                  <w14:solidFill>
                    <w14:schemeClr w14:val="tx1"/>
                  </w14:solidFill>
                </w14:textFill>
              </w:rPr>
            </w:pPr>
            <w:r>
              <w:rPr>
                <w:rFonts w:hint="default" w:ascii="Times New Roman" w:hAnsi="Times New Roman" w:cs="Times New Roman" w:eastAsiaTheme="minorEastAsia"/>
                <w:color w:val="000000" w:themeColor="text1"/>
                <w:kern w:val="21"/>
                <w:sz w:val="24"/>
                <w:szCs w:val="24"/>
                <w14:textFill>
                  <w14:solidFill>
                    <w14:schemeClr w14:val="tx1"/>
                  </w14:solidFill>
                </w14:textFill>
              </w:rPr>
              <w:t>施</w:t>
            </w:r>
          </w:p>
        </w:tc>
        <w:tc>
          <w:tcPr>
            <w:tcW w:w="8606" w:type="dxa"/>
            <w:vAlign w:val="center"/>
          </w:tcPr>
          <w:p w14:paraId="50F09A73">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4.4运营期</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噪声源强分析及环保措施</w:t>
            </w:r>
          </w:p>
          <w:p w14:paraId="42657214">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1、噪声</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污染源强</w:t>
            </w:r>
          </w:p>
          <w:p w14:paraId="4B3E2EA4">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项目</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设备运行时会产生噪声，</w:t>
            </w:r>
            <w:r>
              <w:rPr>
                <w:rFonts w:hint="default" w:ascii="Times New Roman" w:hAnsi="Times New Roman" w:cs="Times New Roman" w:eastAsiaTheme="minorEastAsia"/>
                <w:color w:val="000000" w:themeColor="text1"/>
                <w:kern w:val="2"/>
                <w:sz w:val="24"/>
                <w:szCs w:val="24"/>
                <w14:textFill>
                  <w14:solidFill>
                    <w14:schemeClr w14:val="tx1"/>
                  </w14:solidFill>
                </w14:textFill>
              </w:rPr>
              <w:t>设备噪声级值见表4.</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4-1。</w:t>
            </w:r>
          </w:p>
          <w:p w14:paraId="6E47EF46">
            <w:pPr>
              <w:pStyle w:val="68"/>
              <w:ind w:firstLine="482"/>
              <w:rPr>
                <w:rFonts w:hint="default" w:ascii="Times New Roman" w:hAnsi="Times New Roman" w:cs="Times New Roman" w:eastAsiaTheme="minorEastAsia"/>
                <w:color w:val="000000" w:themeColor="text1"/>
                <w:sz w:val="24"/>
                <w:szCs w:val="24"/>
                <w14:textFill>
                  <w14:solidFill>
                    <w14:schemeClr w14:val="tx1"/>
                  </w14:solidFill>
                </w14:textFill>
              </w:rPr>
            </w:pPr>
            <w:bookmarkStart w:id="36" w:name="_Toc15757_WPSOffice_Level2"/>
            <w:r>
              <w:rPr>
                <w:rFonts w:hint="default" w:ascii="Times New Roman" w:hAnsi="Times New Roman" w:cs="Times New Roman" w:eastAsiaTheme="minorEastAsia"/>
                <w:color w:val="000000" w:themeColor="text1"/>
                <w:sz w:val="24"/>
                <w:szCs w:val="24"/>
                <w14:textFill>
                  <w14:solidFill>
                    <w14:schemeClr w14:val="tx1"/>
                  </w14:solidFill>
                </w14:textFill>
              </w:rPr>
              <w:t>表4.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4-1 </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项目主要生产设备噪声级一览表  单位：dB（A）</w:t>
            </w:r>
            <w:bookmarkEnd w:id="36"/>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23"/>
              <w:gridCol w:w="942"/>
              <w:gridCol w:w="644"/>
              <w:gridCol w:w="526"/>
              <w:gridCol w:w="636"/>
              <w:gridCol w:w="824"/>
              <w:gridCol w:w="699"/>
              <w:gridCol w:w="779"/>
              <w:gridCol w:w="824"/>
              <w:gridCol w:w="446"/>
              <w:gridCol w:w="825"/>
              <w:gridCol w:w="636"/>
            </w:tblGrid>
            <w:tr w14:paraId="681C8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restart"/>
                  <w:vAlign w:val="center"/>
                </w:tcPr>
                <w:p w14:paraId="27B86A3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bookmarkStart w:id="37" w:name="_Toc2883_WPSOffice_Level2"/>
                  <w:bookmarkStart w:id="38" w:name="_Toc13888_WPSOffice_Level3"/>
                  <w:r>
                    <w:rPr>
                      <w:rFonts w:hint="default" w:ascii="Times New Roman" w:hAnsi="Times New Roman" w:cs="Times New Roman" w:eastAsiaTheme="minorEastAsia"/>
                      <w:b w:val="0"/>
                      <w:bCs w:val="0"/>
                      <w:color w:val="000000" w:themeColor="text1"/>
                      <w:highlight w:val="none"/>
                      <w14:textFill>
                        <w14:solidFill>
                          <w14:schemeClr w14:val="tx1"/>
                        </w14:solidFill>
                      </w14:textFill>
                    </w:rPr>
                    <w:t>生产线/生产车间</w:t>
                  </w:r>
                </w:p>
              </w:tc>
              <w:tc>
                <w:tcPr>
                  <w:tcW w:w="553" w:type="pct"/>
                  <w:vMerge w:val="restart"/>
                  <w:vAlign w:val="center"/>
                </w:tcPr>
                <w:p w14:paraId="6CC25B7C">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噪声源/噪声设备</w:t>
                  </w:r>
                </w:p>
              </w:tc>
              <w:tc>
                <w:tcPr>
                  <w:tcW w:w="378" w:type="pct"/>
                  <w:vMerge w:val="restart"/>
                  <w:vAlign w:val="center"/>
                </w:tcPr>
                <w:p w14:paraId="29414E1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声源类型（偶发/频发等）</w:t>
                  </w:r>
                </w:p>
              </w:tc>
              <w:tc>
                <w:tcPr>
                  <w:tcW w:w="309" w:type="pct"/>
                  <w:vMerge w:val="restart"/>
                  <w:vAlign w:val="center"/>
                </w:tcPr>
                <w:p w14:paraId="2EE293D5">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数量 (台)</w:t>
                  </w:r>
                </w:p>
              </w:tc>
              <w:tc>
                <w:tcPr>
                  <w:tcW w:w="858" w:type="pct"/>
                  <w:gridSpan w:val="2"/>
                  <w:vAlign w:val="center"/>
                </w:tcPr>
                <w:p w14:paraId="61B5E4AB">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 xml:space="preserve">噪声源强 </w:t>
                  </w:r>
                </w:p>
              </w:tc>
              <w:tc>
                <w:tcPr>
                  <w:tcW w:w="1353" w:type="pct"/>
                  <w:gridSpan w:val="3"/>
                  <w:vAlign w:val="center"/>
                </w:tcPr>
                <w:p w14:paraId="00B4ADB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降噪措施</w:t>
                  </w:r>
                </w:p>
              </w:tc>
              <w:tc>
                <w:tcPr>
                  <w:tcW w:w="747" w:type="pct"/>
                  <w:gridSpan w:val="2"/>
                  <w:vAlign w:val="center"/>
                </w:tcPr>
                <w:p w14:paraId="385A0F2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噪声排放量</w:t>
                  </w:r>
                </w:p>
              </w:tc>
              <w:tc>
                <w:tcPr>
                  <w:tcW w:w="373" w:type="pct"/>
                  <w:vMerge w:val="restart"/>
                  <w:vAlign w:val="center"/>
                </w:tcPr>
                <w:p w14:paraId="5BB221B3">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持续时间/h</w:t>
                  </w:r>
                </w:p>
              </w:tc>
            </w:tr>
            <w:tr w14:paraId="39C6F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tcPr>
                <w:p w14:paraId="3D6A591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553" w:type="pct"/>
                  <w:vMerge w:val="continue"/>
                  <w:vAlign w:val="center"/>
                </w:tcPr>
                <w:p w14:paraId="424360E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378" w:type="pct"/>
                  <w:vMerge w:val="continue"/>
                  <w:vAlign w:val="center"/>
                </w:tcPr>
                <w:p w14:paraId="3C0B0EA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309" w:type="pct"/>
                  <w:vMerge w:val="continue"/>
                  <w:vAlign w:val="center"/>
                </w:tcPr>
                <w:p w14:paraId="62B01B1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373" w:type="pct"/>
                  <w:vAlign w:val="center"/>
                </w:tcPr>
                <w:p w14:paraId="422265F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核算方法</w:t>
                  </w:r>
                </w:p>
              </w:tc>
              <w:tc>
                <w:tcPr>
                  <w:tcW w:w="484" w:type="pct"/>
                  <w:vAlign w:val="center"/>
                </w:tcPr>
                <w:p w14:paraId="2239FFCF">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声源值</w:t>
                  </w:r>
                </w:p>
                <w:p w14:paraId="7A3B081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/dB(A)</w:t>
                  </w:r>
                </w:p>
              </w:tc>
              <w:tc>
                <w:tcPr>
                  <w:tcW w:w="410" w:type="pct"/>
                  <w:vAlign w:val="center"/>
                </w:tcPr>
                <w:p w14:paraId="66BB936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工艺</w:t>
                  </w:r>
                </w:p>
              </w:tc>
              <w:tc>
                <w:tcPr>
                  <w:tcW w:w="458" w:type="pct"/>
                  <w:vAlign w:val="center"/>
                </w:tcPr>
                <w:p w14:paraId="2E58F1BB">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有无阻挡</w:t>
                  </w:r>
                </w:p>
              </w:tc>
              <w:tc>
                <w:tcPr>
                  <w:tcW w:w="484" w:type="pct"/>
                  <w:vAlign w:val="center"/>
                </w:tcPr>
                <w:p w14:paraId="000EB02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降噪效果/dB(A)</w:t>
                  </w:r>
                </w:p>
              </w:tc>
              <w:tc>
                <w:tcPr>
                  <w:tcW w:w="262" w:type="pct"/>
                  <w:vAlign w:val="center"/>
                </w:tcPr>
                <w:p w14:paraId="22E086D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核算方法</w:t>
                  </w:r>
                </w:p>
              </w:tc>
              <w:tc>
                <w:tcPr>
                  <w:tcW w:w="485" w:type="pct"/>
                  <w:vAlign w:val="center"/>
                </w:tcPr>
                <w:p w14:paraId="084546C5">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声源值</w:t>
                  </w:r>
                </w:p>
                <w:p w14:paraId="3E2B2C6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/dB(A)</w:t>
                  </w:r>
                </w:p>
              </w:tc>
              <w:tc>
                <w:tcPr>
                  <w:tcW w:w="373" w:type="pct"/>
                  <w:vMerge w:val="continue"/>
                  <w:vAlign w:val="center"/>
                </w:tcPr>
                <w:p w14:paraId="4A2370D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3106E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restart"/>
                  <w:vAlign w:val="center"/>
                </w:tcPr>
                <w:p w14:paraId="0E9A773E">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t>生产车间</w:t>
                  </w:r>
                </w:p>
              </w:tc>
              <w:tc>
                <w:tcPr>
                  <w:tcW w:w="553" w:type="pct"/>
                  <w:vAlign w:val="center"/>
                </w:tcPr>
                <w:p w14:paraId="51EC1963">
                  <w:pPr>
                    <w:pStyle w:val="114"/>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电熔炉</w:t>
                  </w:r>
                </w:p>
              </w:tc>
              <w:tc>
                <w:tcPr>
                  <w:tcW w:w="378" w:type="pct"/>
                  <w:vAlign w:val="center"/>
                </w:tcPr>
                <w:p w14:paraId="700FD2D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341450B4">
                  <w:pPr>
                    <w:pStyle w:val="114"/>
                    <w:ind w:firstLine="0" w:firstLineChars="0"/>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4</w:t>
                  </w:r>
                </w:p>
              </w:tc>
              <w:tc>
                <w:tcPr>
                  <w:tcW w:w="373" w:type="pct"/>
                  <w:vMerge w:val="restart"/>
                  <w:vAlign w:val="center"/>
                </w:tcPr>
                <w:p w14:paraId="2323FC7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类比法</w:t>
                  </w:r>
                </w:p>
              </w:tc>
              <w:tc>
                <w:tcPr>
                  <w:tcW w:w="484" w:type="pct"/>
                  <w:vAlign w:val="center"/>
                </w:tcPr>
                <w:p w14:paraId="6338C086">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restart"/>
                  <w:vAlign w:val="center"/>
                </w:tcPr>
                <w:p w14:paraId="38715C6E">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减振、隔声</w:t>
                  </w:r>
                </w:p>
              </w:tc>
              <w:tc>
                <w:tcPr>
                  <w:tcW w:w="458" w:type="pct"/>
                  <w:vMerge w:val="restart"/>
                  <w:vAlign w:val="center"/>
                </w:tcPr>
                <w:p w14:paraId="6A0EA18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厂房、围墙</w:t>
                  </w:r>
                </w:p>
              </w:tc>
              <w:tc>
                <w:tcPr>
                  <w:tcW w:w="484" w:type="pct"/>
                  <w:vMerge w:val="restart"/>
                  <w:vAlign w:val="center"/>
                </w:tcPr>
                <w:p w14:paraId="24A0A77B">
                  <w:pPr>
                    <w:jc w:val="center"/>
                    <w:rPr>
                      <w:rFonts w:hint="default" w:ascii="Times New Roman" w:hAnsi="Times New Roman" w:cs="Times New Roman" w:eastAsiaTheme="minorEastAsia"/>
                      <w:b w:val="0"/>
                      <w:bCs w:val="0"/>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20</w:t>
                  </w:r>
                </w:p>
              </w:tc>
              <w:tc>
                <w:tcPr>
                  <w:tcW w:w="262" w:type="pct"/>
                  <w:vMerge w:val="restart"/>
                  <w:vAlign w:val="center"/>
                </w:tcPr>
                <w:p w14:paraId="6F12097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类比法</w:t>
                  </w:r>
                </w:p>
              </w:tc>
              <w:tc>
                <w:tcPr>
                  <w:tcW w:w="485" w:type="pct"/>
                  <w:vAlign w:val="center"/>
                </w:tcPr>
                <w:p w14:paraId="24607B23">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61.02</w:t>
                  </w:r>
                </w:p>
              </w:tc>
              <w:tc>
                <w:tcPr>
                  <w:tcW w:w="373" w:type="pct"/>
                  <w:vMerge w:val="restart"/>
                  <w:vAlign w:val="center"/>
                </w:tcPr>
                <w:p w14:paraId="0A57D2AF">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240</w:t>
                  </w:r>
                  <w:r>
                    <w:rPr>
                      <w:rFonts w:hint="default" w:ascii="Times New Roman" w:hAnsi="Times New Roman" w:cs="Times New Roman" w:eastAsiaTheme="minorEastAsia"/>
                      <w:b w:val="0"/>
                      <w:bCs w:val="0"/>
                      <w:color w:val="000000" w:themeColor="text1"/>
                      <w:highlight w:val="none"/>
                      <w14:textFill>
                        <w14:solidFill>
                          <w14:schemeClr w14:val="tx1"/>
                        </w14:solidFill>
                      </w14:textFill>
                    </w:rPr>
                    <w:t>0</w:t>
                  </w:r>
                </w:p>
              </w:tc>
            </w:tr>
            <w:tr w14:paraId="39D14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050693D3">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52F0A22B">
                  <w:pPr>
                    <w:pStyle w:val="114"/>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压铸机</w:t>
                  </w:r>
                </w:p>
              </w:tc>
              <w:tc>
                <w:tcPr>
                  <w:tcW w:w="378" w:type="pct"/>
                  <w:vAlign w:val="center"/>
                </w:tcPr>
                <w:p w14:paraId="381F3B1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2504FCF4">
                  <w:pPr>
                    <w:ind w:firstLine="0" w:firstLineChars="0"/>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4</w:t>
                  </w:r>
                </w:p>
              </w:tc>
              <w:tc>
                <w:tcPr>
                  <w:tcW w:w="373" w:type="pct"/>
                  <w:vMerge w:val="continue"/>
                  <w:vAlign w:val="center"/>
                </w:tcPr>
                <w:p w14:paraId="3BFD5CDC">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630AB08C">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continue"/>
                  <w:vAlign w:val="center"/>
                </w:tcPr>
                <w:p w14:paraId="5B07193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vAlign w:val="center"/>
                </w:tcPr>
                <w:p w14:paraId="44D7613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5799A9D2">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351C9EF3">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7A51BA54">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61.02</w:t>
                  </w:r>
                </w:p>
              </w:tc>
              <w:tc>
                <w:tcPr>
                  <w:tcW w:w="373" w:type="pct"/>
                  <w:vMerge w:val="continue"/>
                  <w:vAlign w:val="center"/>
                </w:tcPr>
                <w:p w14:paraId="1A70BF0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7B233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652E9B42">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661FAA99">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空压机</w:t>
                  </w:r>
                </w:p>
              </w:tc>
              <w:tc>
                <w:tcPr>
                  <w:tcW w:w="378" w:type="pct"/>
                  <w:vAlign w:val="center"/>
                </w:tcPr>
                <w:p w14:paraId="3239006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5FEBE9E1">
                  <w:pPr>
                    <w:widowControl/>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w:t>
                  </w:r>
                </w:p>
              </w:tc>
              <w:tc>
                <w:tcPr>
                  <w:tcW w:w="373" w:type="pct"/>
                  <w:vMerge w:val="continue"/>
                  <w:vAlign w:val="center"/>
                </w:tcPr>
                <w:p w14:paraId="1BC0FA8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053BB185">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continue"/>
                  <w:vAlign w:val="center"/>
                </w:tcPr>
                <w:p w14:paraId="612DCCA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492B01D5">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29130927">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311C3F9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5C9EC790">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58.01</w:t>
                  </w:r>
                </w:p>
              </w:tc>
              <w:tc>
                <w:tcPr>
                  <w:tcW w:w="373" w:type="pct"/>
                  <w:vMerge w:val="continue"/>
                  <w:vAlign w:val="center"/>
                </w:tcPr>
                <w:p w14:paraId="31AE2783">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2ABD7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2C5552F5">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72BBBBDF">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t>抛光、打磨机</w:t>
                  </w:r>
                </w:p>
              </w:tc>
              <w:tc>
                <w:tcPr>
                  <w:tcW w:w="378" w:type="pct"/>
                  <w:vAlign w:val="center"/>
                </w:tcPr>
                <w:p w14:paraId="23384D72">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1981C846">
                  <w:pPr>
                    <w:widowControl/>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w:t>
                  </w:r>
                </w:p>
              </w:tc>
              <w:tc>
                <w:tcPr>
                  <w:tcW w:w="373" w:type="pct"/>
                  <w:vMerge w:val="continue"/>
                  <w:vAlign w:val="center"/>
                </w:tcPr>
                <w:p w14:paraId="1508503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389909B8">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continue"/>
                  <w:vAlign w:val="center"/>
                </w:tcPr>
                <w:p w14:paraId="45EECA0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25544FE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03857E5A">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3279D0A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5236080D">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58.01</w:t>
                  </w:r>
                </w:p>
              </w:tc>
              <w:tc>
                <w:tcPr>
                  <w:tcW w:w="373" w:type="pct"/>
                  <w:vMerge w:val="continue"/>
                  <w:vAlign w:val="center"/>
                </w:tcPr>
                <w:p w14:paraId="1F04AE67">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4DDC7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2E2F0038">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6E7441A7">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攻牙机</w:t>
                  </w:r>
                </w:p>
              </w:tc>
              <w:tc>
                <w:tcPr>
                  <w:tcW w:w="378" w:type="pct"/>
                  <w:vAlign w:val="center"/>
                </w:tcPr>
                <w:p w14:paraId="1C6AE03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45B87444">
                  <w:pPr>
                    <w:widowControl/>
                    <w:jc w:val="center"/>
                    <w:rPr>
                      <w:rFonts w:hint="default" w:ascii="Times New Roman" w:hAnsi="Times New Roman" w:cs="Times New Roman" w:eastAsiaTheme="minorEastAsia"/>
                      <w:b w:val="0"/>
                      <w:bCs w:val="0"/>
                      <w:color w:val="000000" w:themeColor="text1"/>
                      <w:highlight w:val="none"/>
                      <w:lang w:val="en-US"/>
                      <w14:textFill>
                        <w14:solidFill>
                          <w14:schemeClr w14:val="tx1"/>
                        </w14:solidFill>
                      </w14:textFill>
                    </w:rPr>
                  </w:pPr>
                  <w:r>
                    <w:rPr>
                      <w:rFonts w:hint="eastAsia" w:cs="Times New Roman" w:eastAsiaTheme="minorEastAsia"/>
                      <w:color w:val="000000" w:themeColor="text1"/>
                      <w:kern w:val="0"/>
                      <w:szCs w:val="21"/>
                      <w:lang w:val="en-US" w:eastAsia="zh-CN"/>
                      <w14:textFill>
                        <w14:solidFill>
                          <w14:schemeClr w14:val="tx1"/>
                        </w14:solidFill>
                      </w14:textFill>
                    </w:rPr>
                    <w:t>28</w:t>
                  </w:r>
                </w:p>
              </w:tc>
              <w:tc>
                <w:tcPr>
                  <w:tcW w:w="373" w:type="pct"/>
                  <w:vMerge w:val="continue"/>
                  <w:vAlign w:val="center"/>
                </w:tcPr>
                <w:p w14:paraId="0CD04AA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0D68408C">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70</w:t>
                  </w:r>
                </w:p>
              </w:tc>
              <w:tc>
                <w:tcPr>
                  <w:tcW w:w="410" w:type="pct"/>
                  <w:vMerge w:val="continue"/>
                  <w:vAlign w:val="center"/>
                </w:tcPr>
                <w:p w14:paraId="6FFCAF78">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1278D937">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44F470CB">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53C03B3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35BAFD47">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66.13</w:t>
                  </w:r>
                </w:p>
              </w:tc>
              <w:tc>
                <w:tcPr>
                  <w:tcW w:w="373" w:type="pct"/>
                  <w:vMerge w:val="continue"/>
                  <w:vAlign w:val="center"/>
                </w:tcPr>
                <w:p w14:paraId="7FD67BD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7B144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0707DADE">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73D0490A">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t>钻孔机</w:t>
                  </w:r>
                </w:p>
              </w:tc>
              <w:tc>
                <w:tcPr>
                  <w:tcW w:w="378" w:type="pct"/>
                  <w:vAlign w:val="center"/>
                </w:tcPr>
                <w:p w14:paraId="349B1EC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778B6BE6">
                  <w:pPr>
                    <w:widowControl/>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10</w:t>
                  </w:r>
                </w:p>
              </w:tc>
              <w:tc>
                <w:tcPr>
                  <w:tcW w:w="373" w:type="pct"/>
                  <w:vMerge w:val="continue"/>
                  <w:vAlign w:val="center"/>
                </w:tcPr>
                <w:p w14:paraId="4258E84C">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332B2CF7">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continue"/>
                  <w:vAlign w:val="center"/>
                </w:tcPr>
                <w:p w14:paraId="2740F2C8">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1B5B5B6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51216964">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4D60D203">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48BFFE26">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60</w:t>
                  </w:r>
                </w:p>
              </w:tc>
              <w:tc>
                <w:tcPr>
                  <w:tcW w:w="373" w:type="pct"/>
                  <w:vMerge w:val="continue"/>
                  <w:vAlign w:val="center"/>
                </w:tcPr>
                <w:p w14:paraId="55C7736E">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56B05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0A334BE7">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12C84734">
                  <w:pPr>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液压</w:t>
                  </w:r>
                </w:p>
                <w:p w14:paraId="798444B1">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冲压机</w:t>
                  </w:r>
                </w:p>
              </w:tc>
              <w:tc>
                <w:tcPr>
                  <w:tcW w:w="378" w:type="pct"/>
                  <w:vAlign w:val="center"/>
                </w:tcPr>
                <w:p w14:paraId="18E5D4A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44578908">
                  <w:pPr>
                    <w:widowControl/>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10</w:t>
                  </w:r>
                </w:p>
              </w:tc>
              <w:tc>
                <w:tcPr>
                  <w:tcW w:w="373" w:type="pct"/>
                  <w:vMerge w:val="continue"/>
                  <w:vAlign w:val="center"/>
                </w:tcPr>
                <w:p w14:paraId="4730DBD7">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07C045E3">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80</w:t>
                  </w:r>
                </w:p>
              </w:tc>
              <w:tc>
                <w:tcPr>
                  <w:tcW w:w="410" w:type="pct"/>
                  <w:vMerge w:val="continue"/>
                  <w:vAlign w:val="center"/>
                </w:tcPr>
                <w:p w14:paraId="6F18E51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47B57C1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72420A7C">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4DBD1C72">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78C80E3C">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70</w:t>
                  </w:r>
                </w:p>
              </w:tc>
              <w:tc>
                <w:tcPr>
                  <w:tcW w:w="373" w:type="pct"/>
                  <w:vMerge w:val="continue"/>
                  <w:vAlign w:val="center"/>
                </w:tcPr>
                <w:p w14:paraId="4CDBCF9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19999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112D9493">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7795764B">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研磨机</w:t>
                  </w:r>
                </w:p>
              </w:tc>
              <w:tc>
                <w:tcPr>
                  <w:tcW w:w="378" w:type="pct"/>
                  <w:vAlign w:val="center"/>
                </w:tcPr>
                <w:p w14:paraId="748005A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2BA56B04">
                  <w:pPr>
                    <w:widowControl/>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2</w:t>
                  </w:r>
                </w:p>
              </w:tc>
              <w:tc>
                <w:tcPr>
                  <w:tcW w:w="373" w:type="pct"/>
                  <w:vMerge w:val="continue"/>
                  <w:vAlign w:val="center"/>
                </w:tcPr>
                <w:p w14:paraId="3C8E638B">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0589051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continue"/>
                  <w:vAlign w:val="center"/>
                </w:tcPr>
                <w:p w14:paraId="64B8C9D3">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63C4F398">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49FC181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78B21720">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609D8CA3">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58.01</w:t>
                  </w:r>
                </w:p>
              </w:tc>
              <w:tc>
                <w:tcPr>
                  <w:tcW w:w="373" w:type="pct"/>
                  <w:vMerge w:val="continue"/>
                  <w:vAlign w:val="center"/>
                </w:tcPr>
                <w:p w14:paraId="201AF523">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68CB4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23100FEC">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5DE7F292">
                  <w:pPr>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烘干机</w:t>
                  </w:r>
                </w:p>
              </w:tc>
              <w:tc>
                <w:tcPr>
                  <w:tcW w:w="378" w:type="pct"/>
                  <w:vAlign w:val="center"/>
                </w:tcPr>
                <w:p w14:paraId="19E569AD">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66BFD4B2">
                  <w:pPr>
                    <w:widowControl/>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3</w:t>
                  </w:r>
                </w:p>
              </w:tc>
              <w:tc>
                <w:tcPr>
                  <w:tcW w:w="373" w:type="pct"/>
                  <w:vMerge w:val="continue"/>
                  <w:vAlign w:val="center"/>
                </w:tcPr>
                <w:p w14:paraId="080435F5">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2CC6525A">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75</w:t>
                  </w:r>
                </w:p>
              </w:tc>
              <w:tc>
                <w:tcPr>
                  <w:tcW w:w="410" w:type="pct"/>
                  <w:vMerge w:val="continue"/>
                  <w:vAlign w:val="center"/>
                </w:tcPr>
                <w:p w14:paraId="77FD89B5">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3BEC6E38">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0B9EEB46">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54267FD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58A79766">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59.77</w:t>
                  </w:r>
                </w:p>
              </w:tc>
              <w:tc>
                <w:tcPr>
                  <w:tcW w:w="373" w:type="pct"/>
                  <w:vMerge w:val="continue"/>
                  <w:vAlign w:val="center"/>
                </w:tcPr>
                <w:p w14:paraId="417C1DE9">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r w14:paraId="2B9D4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25" w:type="pct"/>
                  <w:vMerge w:val="continue"/>
                  <w:vAlign w:val="center"/>
                </w:tcPr>
                <w:p w14:paraId="77710458">
                  <w:pPr>
                    <w:jc w:val="center"/>
                    <w:rPr>
                      <w:rFonts w:hint="default" w:ascii="Times New Roman" w:hAnsi="Times New Roman" w:cs="Times New Roman" w:eastAsiaTheme="minorEastAsia"/>
                      <w:b w:val="0"/>
                      <w:bCs w:val="0"/>
                      <w:color w:val="000000" w:themeColor="text1"/>
                      <w:szCs w:val="21"/>
                      <w:highlight w:val="none"/>
                      <w14:textFill>
                        <w14:solidFill>
                          <w14:schemeClr w14:val="tx1"/>
                        </w14:solidFill>
                      </w14:textFill>
                    </w:rPr>
                  </w:pPr>
                </w:p>
              </w:tc>
              <w:tc>
                <w:tcPr>
                  <w:tcW w:w="553" w:type="pct"/>
                  <w:vAlign w:val="center"/>
                </w:tcPr>
                <w:p w14:paraId="0663BAC4">
                  <w:pPr>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风机</w:t>
                  </w:r>
                </w:p>
              </w:tc>
              <w:tc>
                <w:tcPr>
                  <w:tcW w:w="378" w:type="pct"/>
                  <w:vAlign w:val="center"/>
                </w:tcPr>
                <w:p w14:paraId="6F5E740E">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14:textFill>
                        <w14:solidFill>
                          <w14:schemeClr w14:val="tx1"/>
                        </w14:solidFill>
                      </w14:textFill>
                    </w:rPr>
                    <w:t>频发</w:t>
                  </w:r>
                </w:p>
              </w:tc>
              <w:tc>
                <w:tcPr>
                  <w:tcW w:w="309" w:type="pct"/>
                  <w:vAlign w:val="center"/>
                </w:tcPr>
                <w:p w14:paraId="5FFEEE67">
                  <w:pPr>
                    <w:widowControl/>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1</w:t>
                  </w:r>
                </w:p>
              </w:tc>
              <w:tc>
                <w:tcPr>
                  <w:tcW w:w="373" w:type="pct"/>
                  <w:vMerge w:val="continue"/>
                  <w:vAlign w:val="center"/>
                </w:tcPr>
                <w:p w14:paraId="28004C75">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Align w:val="center"/>
                </w:tcPr>
                <w:p w14:paraId="38D48100">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80</w:t>
                  </w:r>
                </w:p>
              </w:tc>
              <w:tc>
                <w:tcPr>
                  <w:tcW w:w="410" w:type="pct"/>
                  <w:vMerge w:val="continue"/>
                  <w:vAlign w:val="center"/>
                </w:tcPr>
                <w:p w14:paraId="13B7273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58" w:type="pct"/>
                  <w:vMerge w:val="continue"/>
                </w:tcPr>
                <w:p w14:paraId="6AF16C3C">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4" w:type="pct"/>
                  <w:vMerge w:val="continue"/>
                  <w:vAlign w:val="center"/>
                </w:tcPr>
                <w:p w14:paraId="5D5E29EE">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262" w:type="pct"/>
                  <w:vMerge w:val="continue"/>
                  <w:vAlign w:val="center"/>
                </w:tcPr>
                <w:p w14:paraId="3FFC2FCE">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c>
                <w:tcPr>
                  <w:tcW w:w="485" w:type="pct"/>
                  <w:vAlign w:val="center"/>
                </w:tcPr>
                <w:p w14:paraId="1AC6329F">
                  <w:pPr>
                    <w:jc w:val="cente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highlight w:val="none"/>
                      <w:lang w:val="en-US" w:eastAsia="zh-CN"/>
                      <w14:textFill>
                        <w14:solidFill>
                          <w14:schemeClr w14:val="tx1"/>
                        </w14:solidFill>
                      </w14:textFill>
                    </w:rPr>
                    <w:t>60</w:t>
                  </w:r>
                </w:p>
              </w:tc>
              <w:tc>
                <w:tcPr>
                  <w:tcW w:w="373" w:type="pct"/>
                  <w:vMerge w:val="continue"/>
                  <w:vAlign w:val="center"/>
                </w:tcPr>
                <w:p w14:paraId="428A4E51">
                  <w:pPr>
                    <w:jc w:val="center"/>
                    <w:rPr>
                      <w:rFonts w:hint="default" w:ascii="Times New Roman" w:hAnsi="Times New Roman" w:cs="Times New Roman" w:eastAsiaTheme="minorEastAsia"/>
                      <w:b w:val="0"/>
                      <w:bCs w:val="0"/>
                      <w:color w:val="000000" w:themeColor="text1"/>
                      <w:highlight w:val="none"/>
                      <w14:textFill>
                        <w14:solidFill>
                          <w14:schemeClr w14:val="tx1"/>
                        </w14:solidFill>
                      </w14:textFill>
                    </w:rPr>
                  </w:pPr>
                </w:p>
              </w:tc>
            </w:tr>
          </w:tbl>
          <w:p w14:paraId="3D237FC2">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2、声环境的影响预测与分析</w:t>
            </w:r>
            <w:bookmarkEnd w:id="37"/>
            <w:bookmarkEnd w:id="38"/>
          </w:p>
          <w:p w14:paraId="2BE72AD2">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项目运营期设备运行时产生的噪声，在</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采取</w:t>
            </w:r>
            <w:r>
              <w:rPr>
                <w:rFonts w:hint="default" w:ascii="Times New Roman" w:hAnsi="Times New Roman" w:cs="Times New Roman" w:eastAsiaTheme="minorEastAsia"/>
                <w:color w:val="000000" w:themeColor="text1"/>
                <w:kern w:val="2"/>
                <w:sz w:val="24"/>
                <w:szCs w:val="24"/>
                <w14:textFill>
                  <w14:solidFill>
                    <w14:schemeClr w14:val="tx1"/>
                  </w14:solidFill>
                </w14:textFill>
              </w:rPr>
              <w:t>措施后正常情况下，设备噪声压级在</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60</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65</w:t>
            </w:r>
            <w:r>
              <w:rPr>
                <w:rFonts w:hint="default" w:ascii="Times New Roman" w:hAnsi="Times New Roman" w:cs="Times New Roman" w:eastAsiaTheme="minorEastAsia"/>
                <w:color w:val="000000" w:themeColor="text1"/>
                <w:kern w:val="2"/>
                <w:sz w:val="24"/>
                <w:szCs w:val="24"/>
                <w14:textFill>
                  <w14:solidFill>
                    <w14:schemeClr w14:val="tx1"/>
                  </w14:solidFill>
                </w14:textFill>
              </w:rPr>
              <w:t>dB（A）之间，项目设备具体噪声级值见表4.</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4-1</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p>
          <w:p w14:paraId="2DBC1B11">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根据噪声的传播规律可知，从噪声源至受声点的噪声衰减总量是由噪声源到受声点的距离、车间墙体隔声量、空气吸收和绿化带阻滞及建筑屏障的衰减综合而成。在此预测中，我们仅考虑距离衰减，故选用点声源衰减模式进行预测。</w:t>
            </w:r>
          </w:p>
          <w:p w14:paraId="18DC280C">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点声源衰减模式：</w:t>
            </w:r>
          </w:p>
          <w:p w14:paraId="080DFBA4">
            <w:pPr>
              <w:pStyle w:val="60"/>
              <w:ind w:firstLine="480"/>
              <w:jc w:val="center"/>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Lq=L0-20lgr-△L</w:t>
            </w:r>
          </w:p>
          <w:p w14:paraId="03C1245F">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式中：Lq—距点声源r米处的噪声级（dB）；</w:t>
            </w:r>
          </w:p>
          <w:p w14:paraId="6263C4C4">
            <w:pPr>
              <w:pStyle w:val="60"/>
              <w:ind w:firstLine="1200" w:firstLineChars="50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L0—距点声源1米处的噪声声级（dB）；</w:t>
            </w:r>
          </w:p>
          <w:p w14:paraId="32B69258">
            <w:pPr>
              <w:pStyle w:val="60"/>
              <w:ind w:firstLine="1200" w:firstLineChars="50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△L—为墙体隔声量dB（A），为15dB（A）；</w:t>
            </w:r>
          </w:p>
          <w:p w14:paraId="60C09C63">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多个声压级不同的叠加模式：</w:t>
            </w:r>
          </w:p>
          <w:p w14:paraId="463016D3">
            <w:pPr>
              <w:pStyle w:val="60"/>
              <w:ind w:firstLine="480"/>
              <w:jc w:val="center"/>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L=10lg(10</w:t>
            </w:r>
            <w:r>
              <w:rPr>
                <w:rFonts w:hint="default" w:ascii="Times New Roman" w:hAnsi="Times New Roman" w:cs="Times New Roman" w:eastAsiaTheme="minorEastAsia"/>
                <w:color w:val="000000" w:themeColor="text1"/>
                <w:kern w:val="2"/>
                <w:sz w:val="24"/>
                <w:szCs w:val="24"/>
                <w:vertAlign w:val="superscript"/>
                <w14:textFill>
                  <w14:solidFill>
                    <w14:schemeClr w14:val="tx1"/>
                  </w14:solidFill>
                </w14:textFill>
              </w:rPr>
              <w:t>0.1L1</w:t>
            </w:r>
            <w:r>
              <w:rPr>
                <w:rFonts w:hint="default" w:ascii="Times New Roman" w:hAnsi="Times New Roman" w:cs="Times New Roman" w:eastAsiaTheme="minorEastAsia"/>
                <w:color w:val="000000" w:themeColor="text1"/>
                <w:kern w:val="2"/>
                <w:sz w:val="24"/>
                <w:szCs w:val="24"/>
                <w14:textFill>
                  <w14:solidFill>
                    <w14:schemeClr w14:val="tx1"/>
                  </w14:solidFill>
                </w14:textFill>
              </w:rPr>
              <w:t>+10</w:t>
            </w:r>
            <w:r>
              <w:rPr>
                <w:rFonts w:hint="default" w:ascii="Times New Roman" w:hAnsi="Times New Roman" w:cs="Times New Roman" w:eastAsiaTheme="minorEastAsia"/>
                <w:color w:val="000000" w:themeColor="text1"/>
                <w:kern w:val="2"/>
                <w:sz w:val="24"/>
                <w:szCs w:val="24"/>
                <w:vertAlign w:val="superscript"/>
                <w14:textFill>
                  <w14:solidFill>
                    <w14:schemeClr w14:val="tx1"/>
                  </w14:solidFill>
                </w14:textFill>
              </w:rPr>
              <w:t>0.1L2</w:t>
            </w:r>
            <w:r>
              <w:rPr>
                <w:rFonts w:hint="default" w:ascii="Times New Roman" w:hAnsi="Times New Roman" w:cs="Times New Roman" w:eastAsiaTheme="minorEastAsia"/>
                <w:color w:val="000000" w:themeColor="text1"/>
                <w:kern w:val="2"/>
                <w:sz w:val="24"/>
                <w:szCs w:val="24"/>
                <w14:textFill>
                  <w14:solidFill>
                    <w14:schemeClr w14:val="tx1"/>
                  </w14:solidFill>
                </w14:textFill>
              </w:rPr>
              <w:t>+……+10</w:t>
            </w:r>
            <w:r>
              <w:rPr>
                <w:rFonts w:hint="default" w:ascii="Times New Roman" w:hAnsi="Times New Roman" w:cs="Times New Roman" w:eastAsiaTheme="minorEastAsia"/>
                <w:color w:val="000000" w:themeColor="text1"/>
                <w:kern w:val="2"/>
                <w:sz w:val="24"/>
                <w:szCs w:val="24"/>
                <w:vertAlign w:val="superscript"/>
                <w14:textFill>
                  <w14:solidFill>
                    <w14:schemeClr w14:val="tx1"/>
                  </w14:solidFill>
                </w14:textFill>
              </w:rPr>
              <w:t>0.1LN</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p>
          <w:p w14:paraId="3779AE24">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式中：L——总噪声值dB；L1、L2、L3——各不同声源处的噪声值。</w:t>
            </w:r>
          </w:p>
          <w:p w14:paraId="03C7123D">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本项目夜间不生产，因此不做夜间噪声预测。本评价以车间产噪设备经基础噪声防治措施治理后的实际噪声值作为噪声源。根据预测，项目建成后，各厂界噪声值见表4.</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4-2</w:t>
            </w:r>
            <w:r>
              <w:rPr>
                <w:rFonts w:hint="default" w:ascii="Times New Roman" w:hAnsi="Times New Roman" w:cs="Times New Roman" w:eastAsiaTheme="minorEastAsia"/>
                <w:color w:val="000000" w:themeColor="text1"/>
                <w:kern w:val="2"/>
                <w:sz w:val="24"/>
                <w:szCs w:val="24"/>
                <w14:textFill>
                  <w14:solidFill>
                    <w14:schemeClr w14:val="tx1"/>
                  </w14:solidFill>
                </w14:textFill>
              </w:rPr>
              <w:t>。</w:t>
            </w:r>
          </w:p>
          <w:p w14:paraId="1D5B0751">
            <w:pPr>
              <w:pStyle w:val="68"/>
              <w:rPr>
                <w:rFonts w:hint="default" w:ascii="Times New Roman" w:hAnsi="Times New Roman" w:cs="Times New Roman" w:eastAsiaTheme="minorEastAsia"/>
                <w:color w:val="000000" w:themeColor="text1"/>
                <w:sz w:val="24"/>
                <w:szCs w:val="24"/>
                <w14:textFill>
                  <w14:solidFill>
                    <w14:schemeClr w14:val="tx1"/>
                  </w14:solidFill>
                </w14:textFill>
              </w:rPr>
            </w:pPr>
            <w:bookmarkStart w:id="39" w:name="_Toc27325_WPSOffice_Level2"/>
            <w:r>
              <w:rPr>
                <w:rFonts w:hint="default" w:ascii="Times New Roman" w:hAnsi="Times New Roman" w:cs="Times New Roman" w:eastAsiaTheme="minorEastAsia"/>
                <w:color w:val="000000" w:themeColor="text1"/>
                <w:sz w:val="24"/>
                <w:szCs w:val="24"/>
                <w14:textFill>
                  <w14:solidFill>
                    <w14:schemeClr w14:val="tx1"/>
                  </w14:solidFill>
                </w14:textFill>
              </w:rPr>
              <w:t>表4.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4-2 </w:t>
            </w:r>
            <w:r>
              <w:rPr>
                <w:rFonts w:hint="default" w:ascii="Times New Roman" w:hAnsi="Times New Roman" w:cs="Times New Roman" w:eastAsiaTheme="minorEastAsia"/>
                <w:color w:val="000000" w:themeColor="text1"/>
                <w:sz w:val="24"/>
                <w:szCs w:val="24"/>
                <w14:textFill>
                  <w14:solidFill>
                    <w14:schemeClr w14:val="tx1"/>
                  </w14:solidFill>
                </w14:textFill>
              </w:rPr>
              <w:t xml:space="preserve"> 项目生产车间噪声源强及贡献值   单位：dB（A）</w:t>
            </w:r>
            <w:bookmarkEnd w:id="39"/>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820"/>
              <w:gridCol w:w="716"/>
              <w:gridCol w:w="823"/>
              <w:gridCol w:w="846"/>
              <w:gridCol w:w="822"/>
              <w:gridCol w:w="846"/>
              <w:gridCol w:w="822"/>
              <w:gridCol w:w="846"/>
              <w:gridCol w:w="817"/>
            </w:tblGrid>
            <w:tr w14:paraId="42E7F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74" w:type="pct"/>
                  <w:vMerge w:val="restart"/>
                  <w:vAlign w:val="center"/>
                </w:tcPr>
                <w:p w14:paraId="5235BA06">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车间名称</w:t>
                  </w:r>
                </w:p>
              </w:tc>
              <w:tc>
                <w:tcPr>
                  <w:tcW w:w="482" w:type="pct"/>
                  <w:vMerge w:val="restart"/>
                  <w:vAlign w:val="center"/>
                </w:tcPr>
                <w:p w14:paraId="231A2AC6">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噪声</w:t>
                  </w:r>
                </w:p>
                <w:p w14:paraId="63E11D78">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源强</w:t>
                  </w:r>
                </w:p>
              </w:tc>
              <w:tc>
                <w:tcPr>
                  <w:tcW w:w="905" w:type="pct"/>
                  <w:gridSpan w:val="2"/>
                  <w:vAlign w:val="center"/>
                </w:tcPr>
                <w:p w14:paraId="37CE87ED">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东</w:t>
                  </w: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侧厂界</w:t>
                  </w:r>
                </w:p>
              </w:tc>
              <w:tc>
                <w:tcPr>
                  <w:tcW w:w="980" w:type="pct"/>
                  <w:gridSpan w:val="2"/>
                  <w:vAlign w:val="center"/>
                </w:tcPr>
                <w:p w14:paraId="1B5C321C">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南</w:t>
                  </w: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侧厂界</w:t>
                  </w:r>
                </w:p>
              </w:tc>
              <w:tc>
                <w:tcPr>
                  <w:tcW w:w="980" w:type="pct"/>
                  <w:gridSpan w:val="2"/>
                  <w:vAlign w:val="center"/>
                </w:tcPr>
                <w:p w14:paraId="228828D1">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西</w:t>
                  </w: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侧厂界</w:t>
                  </w:r>
                </w:p>
              </w:tc>
              <w:tc>
                <w:tcPr>
                  <w:tcW w:w="977" w:type="pct"/>
                  <w:gridSpan w:val="2"/>
                  <w:vAlign w:val="center"/>
                </w:tcPr>
                <w:p w14:paraId="26286D52">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北</w:t>
                  </w: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侧厂界</w:t>
                  </w:r>
                </w:p>
              </w:tc>
            </w:tr>
            <w:tr w14:paraId="31488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vMerge w:val="continue"/>
                  <w:vAlign w:val="center"/>
                </w:tcPr>
                <w:p w14:paraId="1D7043B7">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c>
                <w:tcPr>
                  <w:tcW w:w="482" w:type="pct"/>
                  <w:vMerge w:val="continue"/>
                  <w:vAlign w:val="center"/>
                </w:tcPr>
                <w:p w14:paraId="1894D382">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c>
                <w:tcPr>
                  <w:tcW w:w="421" w:type="pct"/>
                  <w:vAlign w:val="center"/>
                </w:tcPr>
                <w:p w14:paraId="163041C1">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距离(m)</w:t>
                  </w:r>
                </w:p>
              </w:tc>
              <w:tc>
                <w:tcPr>
                  <w:tcW w:w="483" w:type="pct"/>
                  <w:vAlign w:val="center"/>
                </w:tcPr>
                <w:p w14:paraId="5CDC64C2">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贡献值</w:t>
                  </w:r>
                </w:p>
              </w:tc>
              <w:tc>
                <w:tcPr>
                  <w:tcW w:w="497" w:type="pct"/>
                  <w:vAlign w:val="center"/>
                </w:tcPr>
                <w:p w14:paraId="1693040F">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距离(m)</w:t>
                  </w:r>
                </w:p>
              </w:tc>
              <w:tc>
                <w:tcPr>
                  <w:tcW w:w="483" w:type="pct"/>
                  <w:vAlign w:val="center"/>
                </w:tcPr>
                <w:p w14:paraId="5CB43600">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贡献值</w:t>
                  </w:r>
                </w:p>
              </w:tc>
              <w:tc>
                <w:tcPr>
                  <w:tcW w:w="497" w:type="pct"/>
                  <w:vAlign w:val="center"/>
                </w:tcPr>
                <w:p w14:paraId="47736613">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距离(m)</w:t>
                  </w:r>
                </w:p>
              </w:tc>
              <w:tc>
                <w:tcPr>
                  <w:tcW w:w="483" w:type="pct"/>
                  <w:vAlign w:val="center"/>
                </w:tcPr>
                <w:p w14:paraId="55F6A356">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贡献值</w:t>
                  </w:r>
                </w:p>
              </w:tc>
              <w:tc>
                <w:tcPr>
                  <w:tcW w:w="497" w:type="pct"/>
                  <w:vAlign w:val="center"/>
                </w:tcPr>
                <w:p w14:paraId="567642F0">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距离(m)</w:t>
                  </w:r>
                </w:p>
              </w:tc>
              <w:tc>
                <w:tcPr>
                  <w:tcW w:w="480" w:type="pct"/>
                  <w:vAlign w:val="center"/>
                </w:tcPr>
                <w:p w14:paraId="26464449">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贡献值</w:t>
                  </w:r>
                </w:p>
              </w:tc>
            </w:tr>
            <w:tr w14:paraId="5C422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vAlign w:val="center"/>
                </w:tcPr>
                <w:p w14:paraId="6C7A0C8F">
                  <w:pPr>
                    <w:pStyle w:val="72"/>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生产车间</w:t>
                  </w:r>
                </w:p>
              </w:tc>
              <w:tc>
                <w:tcPr>
                  <w:tcW w:w="482" w:type="pct"/>
                  <w:vAlign w:val="center"/>
                </w:tcPr>
                <w:p w14:paraId="044057B8">
                  <w:pPr>
                    <w:pStyle w:val="72"/>
                    <w:jc w:val="center"/>
                    <w:rPr>
                      <w:rFonts w:hint="default" w:ascii="Times New Roman" w:hAnsi="Times New Roman" w:cs="Times New Roman" w:eastAsiaTheme="minorEastAsia"/>
                      <w:b w:val="0"/>
                      <w:bCs w:val="0"/>
                      <w:color w:val="000000" w:themeColor="text1"/>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73.32</w:t>
                  </w:r>
                </w:p>
              </w:tc>
              <w:tc>
                <w:tcPr>
                  <w:tcW w:w="421" w:type="pct"/>
                  <w:vAlign w:val="center"/>
                </w:tcPr>
                <w:p w14:paraId="3D5C52F3">
                  <w:pPr>
                    <w:pStyle w:val="72"/>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13</w:t>
                  </w:r>
                </w:p>
              </w:tc>
              <w:tc>
                <w:tcPr>
                  <w:tcW w:w="483" w:type="pct"/>
                  <w:vAlign w:val="center"/>
                </w:tcPr>
                <w:p w14:paraId="0548CA30">
                  <w:pPr>
                    <w:pStyle w:val="72"/>
                    <w:jc w:val="center"/>
                    <w:rPr>
                      <w:rFonts w:hint="default" w:ascii="Times New Roman" w:hAnsi="Times New Roman" w:cs="Times New Roman" w:eastAsiaTheme="minorEastAsia"/>
                      <w:b w:val="0"/>
                      <w:bCs w:val="0"/>
                      <w:color w:val="000000" w:themeColor="text1"/>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51.04</w:t>
                  </w:r>
                </w:p>
              </w:tc>
              <w:tc>
                <w:tcPr>
                  <w:tcW w:w="497" w:type="pct"/>
                  <w:vAlign w:val="center"/>
                </w:tcPr>
                <w:p w14:paraId="688A41EF">
                  <w:pPr>
                    <w:pStyle w:val="72"/>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w:t>
                  </w:r>
                </w:p>
              </w:tc>
              <w:tc>
                <w:tcPr>
                  <w:tcW w:w="483" w:type="pct"/>
                  <w:vAlign w:val="center"/>
                </w:tcPr>
                <w:p w14:paraId="06029E48">
                  <w:pPr>
                    <w:pStyle w:val="72"/>
                    <w:jc w:val="center"/>
                    <w:rPr>
                      <w:rFonts w:hint="default" w:ascii="Times New Roman" w:hAnsi="Times New Roman" w:cs="Times New Roman" w:eastAsiaTheme="minorEastAsia"/>
                      <w:b w:val="0"/>
                      <w:bCs w:val="0"/>
                      <w:color w:val="000000" w:themeColor="text1"/>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59.35</w:t>
                  </w:r>
                </w:p>
              </w:tc>
              <w:tc>
                <w:tcPr>
                  <w:tcW w:w="497" w:type="pct"/>
                  <w:vAlign w:val="center"/>
                </w:tcPr>
                <w:p w14:paraId="29B1137C">
                  <w:pPr>
                    <w:pStyle w:val="72"/>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8</w:t>
                  </w:r>
                </w:p>
              </w:tc>
              <w:tc>
                <w:tcPr>
                  <w:tcW w:w="483" w:type="pct"/>
                  <w:vAlign w:val="center"/>
                </w:tcPr>
                <w:p w14:paraId="0A9228A7">
                  <w:pPr>
                    <w:pStyle w:val="72"/>
                    <w:jc w:val="center"/>
                    <w:rPr>
                      <w:rFonts w:hint="default" w:ascii="Times New Roman" w:hAnsi="Times New Roman" w:cs="Times New Roman" w:eastAsiaTheme="minorEastAsia"/>
                      <w:b w:val="0"/>
                      <w:bCs w:val="0"/>
                      <w:color w:val="000000" w:themeColor="text1"/>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55.26</w:t>
                  </w:r>
                </w:p>
              </w:tc>
              <w:tc>
                <w:tcPr>
                  <w:tcW w:w="497" w:type="pct"/>
                  <w:vAlign w:val="center"/>
                </w:tcPr>
                <w:p w14:paraId="12F3CA7B">
                  <w:pPr>
                    <w:pStyle w:val="72"/>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w:t>
                  </w:r>
                </w:p>
              </w:tc>
              <w:tc>
                <w:tcPr>
                  <w:tcW w:w="480" w:type="pct"/>
                  <w:vAlign w:val="center"/>
                </w:tcPr>
                <w:p w14:paraId="778642B0">
                  <w:pPr>
                    <w:pStyle w:val="72"/>
                    <w:jc w:val="center"/>
                    <w:rPr>
                      <w:rFonts w:hint="default" w:ascii="Times New Roman" w:hAnsi="Times New Roman" w:cs="Times New Roman" w:eastAsiaTheme="minorEastAsia"/>
                      <w:b w:val="0"/>
                      <w:bCs w:val="0"/>
                      <w:color w:val="000000" w:themeColor="text1"/>
                      <w:sz w:val="21"/>
                      <w:szCs w:val="21"/>
                      <w:lang w:val="en-US"/>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59.35</w:t>
                  </w:r>
                </w:p>
              </w:tc>
            </w:tr>
          </w:tbl>
          <w:p w14:paraId="1BA326BC">
            <w:pPr>
              <w:spacing w:line="360" w:lineRule="auto"/>
              <w:ind w:firstLine="480" w:firstLineChars="200"/>
              <w:rPr>
                <w:rFonts w:hint="default" w:ascii="Times New Roman" w:hAnsi="Times New Roman" w:cs="Times New Roman" w:eastAsiaTheme="minorEastAsia"/>
                <w:color w:val="000000" w:themeColor="text1"/>
                <w:sz w:val="24"/>
                <w:lang w:val="en-US"/>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本项目只在昼间生产，</w:t>
            </w:r>
            <w:r>
              <w:rPr>
                <w:rFonts w:hint="default" w:ascii="Times New Roman" w:hAnsi="Times New Roman" w:cs="Times New Roman" w:eastAsiaTheme="minorEastAsia"/>
                <w:color w:val="000000" w:themeColor="text1"/>
                <w:sz w:val="24"/>
                <w14:textFill>
                  <w14:solidFill>
                    <w14:schemeClr w14:val="tx1"/>
                  </w14:solidFill>
                </w14:textFill>
              </w:rPr>
              <w:t>根据</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上表可知，</w:t>
            </w:r>
            <w:r>
              <w:rPr>
                <w:rFonts w:hint="default" w:ascii="Times New Roman" w:hAnsi="Times New Roman" w:cs="Times New Roman" w:eastAsiaTheme="minorEastAsia"/>
                <w:color w:val="000000" w:themeColor="text1"/>
                <w:sz w:val="24"/>
                <w14:textFill>
                  <w14:solidFill>
                    <w14:schemeClr w14:val="tx1"/>
                  </w14:solidFill>
                </w14:textFill>
              </w:rPr>
              <w:t>项目运营期生产噪声经治理及衰减后，项目厂界噪声均可达《工业企业厂界环境噪声排放标准》（GB12348-2008）中</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3类</w:t>
            </w:r>
            <w:r>
              <w:rPr>
                <w:rFonts w:hint="default" w:ascii="Times New Roman" w:hAnsi="Times New Roman" w:cs="Times New Roman" w:eastAsiaTheme="minorEastAsia"/>
                <w:color w:val="000000" w:themeColor="text1"/>
                <w:sz w:val="24"/>
                <w14:textFill>
                  <w14:solidFill>
                    <w14:schemeClr w14:val="tx1"/>
                  </w14:solidFill>
                </w14:textFill>
              </w:rPr>
              <w:t>标准</w:t>
            </w:r>
            <w:r>
              <w:rPr>
                <w:rFonts w:hint="default" w:ascii="Times New Roman" w:hAnsi="Times New Roman" w:cs="Times New Roman" w:eastAsiaTheme="minorEastAsia"/>
                <w:color w:val="000000" w:themeColor="text1"/>
                <w:sz w:val="24"/>
                <w:lang w:eastAsia="zh-CN"/>
                <w14:textFill>
                  <w14:solidFill>
                    <w14:schemeClr w14:val="tx1"/>
                  </w14:solidFill>
                </w14:textFill>
              </w:rPr>
              <w:t>，即：昼间≤65dB（A）。</w:t>
            </w:r>
          </w:p>
          <w:p w14:paraId="37D83C8D">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综上，本项目运营时产生的噪声对周边环境影响不大。</w:t>
            </w:r>
          </w:p>
          <w:p w14:paraId="4A0DD1F5">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、敏感目标影响分析</w:t>
            </w:r>
          </w:p>
          <w:p w14:paraId="6DFF2981">
            <w:pPr>
              <w:pStyle w:val="99"/>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距离本项目最近的敏感目标为东南侧约230m的潘厝后居民区，通过距离衰减后，本项目噪声对敏感目标基本不产生影响。</w:t>
            </w:r>
          </w:p>
          <w:p w14:paraId="7F7335D2">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4、监测要求</w:t>
            </w:r>
          </w:p>
          <w:p w14:paraId="2B44BD70">
            <w:pPr>
              <w:pStyle w:val="131"/>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参</w:t>
            </w:r>
            <w:r>
              <w:rPr>
                <w:rStyle w:val="132"/>
                <w:rFonts w:hint="default" w:ascii="Times New Roman" w:hAnsi="Times New Roman" w:cs="Times New Roman" w:eastAsiaTheme="minorEastAsia"/>
                <w:color w:val="000000" w:themeColor="text1"/>
                <w14:textFill>
                  <w14:solidFill>
                    <w14:schemeClr w14:val="tx1"/>
                  </w14:solidFill>
                </w14:textFill>
              </w:rPr>
              <w:t>照《排污单位自行监测技术指南总则》（HJ819-2017），本项目噪声监测要求如下表所示</w:t>
            </w:r>
            <w:r>
              <w:rPr>
                <w:rFonts w:hint="default" w:ascii="Times New Roman" w:hAnsi="Times New Roman" w:cs="Times New Roman" w:eastAsiaTheme="minorEastAsia"/>
                <w:color w:val="000000" w:themeColor="text1"/>
                <w:kern w:val="0"/>
                <w:szCs w:val="21"/>
                <w14:textFill>
                  <w14:solidFill>
                    <w14:schemeClr w14:val="tx1"/>
                  </w14:solidFill>
                </w14:textFill>
              </w:rPr>
              <w:t>：</w:t>
            </w:r>
          </w:p>
          <w:p w14:paraId="3734BA1C">
            <w:pPr>
              <w:pStyle w:val="133"/>
              <w:keepNext w:val="0"/>
              <w:keepLines w:val="0"/>
              <w:pageBreakBefore w:val="0"/>
              <w:widowControl w:val="0"/>
              <w:numPr>
                <w:ilvl w:val="0"/>
                <w:numId w:val="0"/>
              </w:numPr>
              <w:kinsoku/>
              <w:wordWrap/>
              <w:overflowPunct/>
              <w:topLinePunct w:val="0"/>
              <w:autoSpaceDE/>
              <w:autoSpaceDN/>
              <w:bidi w:val="0"/>
              <w:adjustRightInd/>
              <w:snapToGrid/>
              <w:spacing w:before="156" w:line="240" w:lineRule="auto"/>
              <w:ind w:left="0" w:leftChars="0" w:firstLine="0" w:firstLineChars="0"/>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表4.4-3  </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b/>
                <w:bCs/>
                <w:color w:val="000000" w:themeColor="text1"/>
                <w:sz w:val="24"/>
                <w:szCs w:val="24"/>
                <w14:textFill>
                  <w14:solidFill>
                    <w14:schemeClr w14:val="tx1"/>
                  </w14:solidFill>
                </w14:textFill>
              </w:rPr>
              <w:t>监测要求一览表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10"/>
              <w:gridCol w:w="3076"/>
              <w:gridCol w:w="3304"/>
            </w:tblGrid>
            <w:tr w14:paraId="1B0CC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8" w:type="pct"/>
                  <w:noWrap w:val="0"/>
                  <w:vAlign w:val="center"/>
                </w:tcPr>
                <w:p w14:paraId="316A2EE6">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监测点位</w:t>
                  </w:r>
                </w:p>
              </w:tc>
              <w:tc>
                <w:tcPr>
                  <w:tcW w:w="1833" w:type="pct"/>
                  <w:noWrap w:val="0"/>
                  <w:vAlign w:val="center"/>
                </w:tcPr>
                <w:p w14:paraId="47F7C7AB">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监测因子</w:t>
                  </w:r>
                </w:p>
              </w:tc>
              <w:tc>
                <w:tcPr>
                  <w:tcW w:w="1969" w:type="pct"/>
                  <w:noWrap w:val="0"/>
                  <w:vAlign w:val="center"/>
                </w:tcPr>
                <w:p w14:paraId="7E89A395">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监测频次</w:t>
                  </w:r>
                </w:p>
              </w:tc>
            </w:tr>
            <w:tr w14:paraId="7027F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8" w:type="pct"/>
                  <w:noWrap w:val="0"/>
                  <w:vAlign w:val="center"/>
                </w:tcPr>
                <w:p w14:paraId="3AD681DD">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厂界四周</w:t>
                  </w:r>
                </w:p>
              </w:tc>
              <w:tc>
                <w:tcPr>
                  <w:tcW w:w="1833" w:type="pct"/>
                  <w:noWrap w:val="0"/>
                  <w:vAlign w:val="center"/>
                </w:tcPr>
                <w:p w14:paraId="50CA56EC">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bCs/>
                      <w:color w:val="000000" w:themeColor="text1"/>
                      <w:kern w:val="0"/>
                      <w:szCs w:val="21"/>
                      <w14:textFill>
                        <w14:solidFill>
                          <w14:schemeClr w14:val="tx1"/>
                        </w14:solidFill>
                      </w14:textFill>
                    </w:rPr>
                    <w:t>等效连续A声级</w:t>
                  </w:r>
                </w:p>
              </w:tc>
              <w:tc>
                <w:tcPr>
                  <w:tcW w:w="1969" w:type="pct"/>
                  <w:noWrap w:val="0"/>
                  <w:vAlign w:val="center"/>
                </w:tcPr>
                <w:p w14:paraId="60A1AB98">
                  <w:pPr>
                    <w:pStyle w:val="1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1次/季</w:t>
                  </w:r>
                </w:p>
              </w:tc>
            </w:tr>
          </w:tbl>
          <w:p w14:paraId="4864D2D3">
            <w:pPr>
              <w:pStyle w:val="99"/>
              <w:ind w:firstLine="480"/>
              <w:rPr>
                <w:rFonts w:hint="default" w:ascii="Times New Roman" w:hAnsi="Times New Roman" w:cs="Times New Roman" w:eastAsiaTheme="minorEastAsia"/>
                <w:color w:val="000000" w:themeColor="text1"/>
                <w:lang w:val="en-US" w:eastAsia="zh-CN"/>
                <w14:textFill>
                  <w14:solidFill>
                    <w14:schemeClr w14:val="tx1"/>
                  </w14:solidFill>
                </w14:textFill>
              </w:rPr>
            </w:pPr>
          </w:p>
          <w:p w14:paraId="7A7DC850">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固体废物核算及环保措施</w:t>
            </w:r>
          </w:p>
          <w:p w14:paraId="1A44B148">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1、固体废物核算</w:t>
            </w:r>
          </w:p>
          <w:p w14:paraId="38B75EAF">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bookmarkStart w:id="40" w:name="_Toc11632"/>
            <w:bookmarkStart w:id="41" w:name="_Toc21865_WPSOffice_Level2"/>
            <w:bookmarkStart w:id="42" w:name="_Toc29105_WPSOffice_Level1"/>
            <w:bookmarkStart w:id="43" w:name="_Toc2298_WPSOffice_Level2"/>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项目产生的固废主要为生活垃圾、一般工业固体废物、危险废物。</w:t>
            </w:r>
          </w:p>
          <w:p w14:paraId="47D5CF94">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14:textFill>
                  <w14:solidFill>
                    <w14:schemeClr w14:val="tx1"/>
                  </w14:solidFill>
                </w14:textFill>
              </w:rPr>
              <w:t>生活垃圾</w:t>
            </w:r>
          </w:p>
          <w:p w14:paraId="341BF253">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bidi="ar"/>
                <w14:textFill>
                  <w14:solidFill>
                    <w14:schemeClr w14:val="tx1"/>
                  </w14:solidFill>
                </w14:textFill>
              </w:rPr>
              <w:t>生活垃圾主要来源于项目职工日常生活中产生的垃圾，项目职工人数共</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15</w:t>
            </w:r>
            <w:r>
              <w:rPr>
                <w:rFonts w:hint="default" w:ascii="Times New Roman" w:hAnsi="Times New Roman" w:cs="Times New Roman" w:eastAsiaTheme="minorEastAsia"/>
                <w:color w:val="000000" w:themeColor="text1"/>
                <w:kern w:val="0"/>
                <w:sz w:val="24"/>
                <w:lang w:bidi="ar"/>
                <w14:textFill>
                  <w14:solidFill>
                    <w14:schemeClr w14:val="tx1"/>
                  </w14:solidFill>
                </w14:textFill>
              </w:rPr>
              <w:t>人，均不在厂区内食宿，职工生活垃圾排放量按0.5kg/人·天计，则生活垃圾产生量为</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7.5</w:t>
            </w:r>
            <w:r>
              <w:rPr>
                <w:rFonts w:hint="default" w:ascii="Times New Roman" w:hAnsi="Times New Roman" w:cs="Times New Roman" w:eastAsiaTheme="minorEastAsia"/>
                <w:color w:val="000000" w:themeColor="text1"/>
                <w:kern w:val="0"/>
                <w:sz w:val="24"/>
                <w:lang w:bidi="ar"/>
                <w14:textFill>
                  <w14:solidFill>
                    <w14:schemeClr w14:val="tx1"/>
                  </w14:solidFill>
                </w14:textFill>
              </w:rPr>
              <w:t>kg/d，年产生量约为</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4"/>
                <w:lang w:bidi="ar"/>
                <w14:textFill>
                  <w14:solidFill>
                    <w14:schemeClr w14:val="tx1"/>
                  </w14:solidFill>
                </w14:textFill>
              </w:rPr>
              <w:t>.</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4"/>
                <w:lang w:bidi="ar"/>
                <w14:textFill>
                  <w14:solidFill>
                    <w14:schemeClr w14:val="tx1"/>
                  </w14:solidFill>
                </w14:textFill>
              </w:rPr>
              <w:t>5t(按年工作300天计)，统一收集后，全部委托环卫部门定期外运统一处置。</w:t>
            </w:r>
          </w:p>
          <w:p w14:paraId="360417B1">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14:textFill>
                  <w14:solidFill>
                    <w14:schemeClr w14:val="tx1"/>
                  </w14:solidFill>
                </w14:textFill>
              </w:rPr>
              <w:t>一般工业</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固体废物</w:t>
            </w:r>
          </w:p>
          <w:p w14:paraId="6A833BFF">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机加工边角料及分拣不合格品</w:t>
            </w:r>
          </w:p>
          <w:p w14:paraId="5479F947">
            <w:pPr>
              <w:spacing w:line="360" w:lineRule="auto"/>
              <w:ind w:firstLine="480" w:firstLineChars="20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项目压铸工序产生的过度氧化铸件、不合格铸件，切边角料工序及钻孔、攻牙、</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冲压</w:t>
            </w:r>
            <w:r>
              <w:rPr>
                <w:rFonts w:hint="default" w:ascii="Times New Roman" w:hAnsi="Times New Roman" w:cs="Times New Roman" w:eastAsiaTheme="minorEastAsia"/>
                <w:color w:val="000000" w:themeColor="text1"/>
                <w:sz w:val="24"/>
                <w:lang w:eastAsia="zh-CN"/>
                <w14:textFill>
                  <w14:solidFill>
                    <w14:schemeClr w14:val="tx1"/>
                  </w14:solidFill>
                </w14:textFill>
              </w:rPr>
              <w:t>等机加工工序产生的废边角料，</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分拣产生的不合格品均</w:t>
            </w:r>
            <w:r>
              <w:rPr>
                <w:rFonts w:hint="default" w:ascii="Times New Roman" w:hAnsi="Times New Roman" w:cs="Times New Roman" w:eastAsiaTheme="minorEastAsia"/>
                <w:color w:val="000000" w:themeColor="text1"/>
                <w:sz w:val="24"/>
                <w:lang w:eastAsia="zh-CN"/>
                <w14:textFill>
                  <w14:solidFill>
                    <w14:schemeClr w14:val="tx1"/>
                  </w14:solidFill>
                </w14:textFill>
              </w:rPr>
              <w:t>属于一般工业固废，收集后进入感应电炉重新熔化加工。</w:t>
            </w:r>
          </w:p>
          <w:p w14:paraId="31702930">
            <w:pPr>
              <w:spacing w:line="360" w:lineRule="auto"/>
              <w:ind w:firstLine="480" w:firstLineChars="20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②</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研磨工序收集粉尘</w:t>
            </w:r>
          </w:p>
          <w:p w14:paraId="4712E3D9">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研磨工序产生的金属粉尘属于一般工业固废，根据</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物料衡算可知</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，研磨金属粉尘量约</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w:t>
            </w:r>
            <w:r>
              <w:rPr>
                <w:rFonts w:hint="eastAsia" w:cs="Times New Roman" w:eastAsiaTheme="minorEastAsia"/>
                <w:color w:val="000000" w:themeColor="text1"/>
                <w:sz w:val="24"/>
                <w:highlight w:val="none"/>
                <w:lang w:val="en-US" w:eastAsia="zh-CN"/>
                <w14:textFill>
                  <w14:solidFill>
                    <w14:schemeClr w14:val="tx1"/>
                  </w14:solidFill>
                </w14:textFill>
              </w:rPr>
              <w:t>785</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t/a；</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收集于一般固废暂存区域，外售物资回收单位。</w:t>
            </w:r>
          </w:p>
          <w:p w14:paraId="6BC5E214">
            <w:pPr>
              <w:pStyle w:val="60"/>
              <w:ind w:firstLine="480"/>
              <w:rPr>
                <w:rFonts w:hint="default" w:ascii="Times New Roman" w:hAnsi="Times New Roman" w:cs="Times New Roman" w:eastAsiaTheme="minorEastAsia"/>
                <w:color w:val="000000" w:themeColor="text1"/>
                <w:kern w:val="2"/>
                <w:sz w:val="24"/>
                <w:szCs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14:textFill>
                  <w14:solidFill>
                    <w14:schemeClr w14:val="tx1"/>
                  </w14:solidFill>
                </w14:textFill>
              </w:rPr>
              <w:t>危险废物</w:t>
            </w:r>
          </w:p>
          <w:p w14:paraId="6EC7184A">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①</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废包装桶</w:t>
            </w:r>
          </w:p>
          <w:p w14:paraId="205C9ECD">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项目使用脱模剂，会产生</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脱模剂、切削液废包装桶</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，产生量约0.15t/a，</w:t>
            </w:r>
            <w:r>
              <w:rPr>
                <w:rFonts w:hint="default" w:ascii="Times New Roman" w:hAnsi="Times New Roman" w:cs="Times New Roman" w:eastAsiaTheme="minorEastAsia"/>
                <w:color w:val="000000" w:themeColor="text1"/>
                <w:kern w:val="2"/>
                <w:sz w:val="24"/>
                <w:szCs w:val="24"/>
                <w14:textFill>
                  <w14:solidFill>
                    <w14:schemeClr w14:val="tx1"/>
                  </w14:solidFill>
                </w14:textFill>
              </w:rPr>
              <w:t>属于《国家危险废物名录（2021年版）》中规定的</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危险废物，属于“</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HW49其他废物—非特定行业—含有或沾染毒性、感染性危险废物的废弃包装物、容器、过滤吸附介质，危废代码900-041-49，收集后暂存于危废间，委托有危废资质单位回收处置。</w:t>
            </w:r>
          </w:p>
          <w:p w14:paraId="0EAC4FC1">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②</w:t>
            </w:r>
            <w:r>
              <w:rPr>
                <w:rFonts w:hint="default" w:ascii="Times New Roman" w:hAnsi="Times New Roman" w:cs="Times New Roman" w:eastAsiaTheme="minorEastAsia"/>
                <w:color w:val="000000" w:themeColor="text1"/>
                <w:sz w:val="24"/>
                <w:lang w:eastAsia="zh-CN"/>
                <w14:textFill>
                  <w14:solidFill>
                    <w14:schemeClr w14:val="tx1"/>
                  </w14:solidFill>
                </w14:textFill>
              </w:rPr>
              <w:t>废切削液</w:t>
            </w:r>
          </w:p>
          <w:p w14:paraId="4385249E">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机加工设备润滑、冷却使用水基切削液，长期使用会沾染粉尘等杂质，需要定期进行更换，产生的废切削液约为原料的40%，本项目水基切削液用量为0.2t/a，则废切削液产生量约0.08t/a，属于</w:t>
            </w:r>
            <w:r>
              <w:rPr>
                <w:rFonts w:hint="default" w:ascii="Times New Roman" w:hAnsi="Times New Roman" w:cs="Times New Roman" w:eastAsiaTheme="minorEastAsia"/>
                <w:color w:val="000000" w:themeColor="text1"/>
                <w:kern w:val="2"/>
                <w:sz w:val="24"/>
                <w:szCs w:val="24"/>
                <w14:textFill>
                  <w14:solidFill>
                    <w14:schemeClr w14:val="tx1"/>
                  </w14:solidFill>
                </w14:textFill>
              </w:rPr>
              <w:t>《国家危险废物名录（2021年版）》中规定</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的危险废物</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属于“HW09油/水、烃/水混合物或乳化液—非特定行业—使用切削油或切削液进行机械加工过程中产生的油/水、烃/水混合物或乳化液”，危废代码为900-006-09，由原料空桶进行密封储存并暂存于危废间，定期由有资质的单位回收处置。</w:t>
            </w:r>
          </w:p>
          <w:p w14:paraId="6B6E6B1A">
            <w:pPr>
              <w:pStyle w:val="127"/>
              <w:ind w:firstLine="480"/>
              <w:rPr>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w:t>
            </w:r>
            <w:r>
              <w:rPr>
                <w:rFonts w:hint="eastAsia"/>
                <w:color w:val="000000" w:themeColor="text1"/>
                <w14:textFill>
                  <w14:solidFill>
                    <w14:schemeClr w14:val="tx1"/>
                  </w14:solidFill>
                </w14:textFill>
              </w:rPr>
              <w:t xml:space="preserve">废过滤棉 </w:t>
            </w:r>
          </w:p>
          <w:p w14:paraId="060FB691">
            <w:pPr>
              <w:pStyle w:val="1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本项目喷漆废气经干式过滤器内过滤棉吸附漆雾达到饱和状态后需更换，每年产生的废过滤棉约为</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t。属于危险废物（危废类别：HW49，危废代码：900-041-49），暂存在危险废物暂存间中，定期交有资质的单位处理。</w:t>
            </w:r>
          </w:p>
          <w:p w14:paraId="2ED0942E">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④废活性炭</w:t>
            </w:r>
          </w:p>
          <w:p w14:paraId="1DA6781C">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14:textFill>
                  <w14:solidFill>
                    <w14:schemeClr w14:val="tx1"/>
                  </w14:solidFill>
                </w14:textFill>
              </w:rPr>
              <w:t>项目</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挥发性有机废气</w:t>
            </w:r>
            <w:r>
              <w:rPr>
                <w:rFonts w:hint="default" w:ascii="Times New Roman" w:hAnsi="Times New Roman" w:cs="Times New Roman" w:eastAsiaTheme="minorEastAsia"/>
                <w:color w:val="000000" w:themeColor="text1"/>
                <w:kern w:val="2"/>
                <w:sz w:val="24"/>
                <w:szCs w:val="24"/>
                <w14:textFill>
                  <w14:solidFill>
                    <w14:schemeClr w14:val="tx1"/>
                  </w14:solidFill>
                </w14:textFill>
              </w:rPr>
              <w:t>处理设施更换的废活性炭属于《国家危险废物名录（2021年版）》中规定的</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危险废物，属于</w:t>
            </w:r>
            <w:r>
              <w:rPr>
                <w:rFonts w:hint="default" w:ascii="Times New Roman" w:hAnsi="Times New Roman" w:cs="Times New Roman" w:eastAsiaTheme="minorEastAsia"/>
                <w:color w:val="000000" w:themeColor="text1"/>
                <w:kern w:val="2"/>
                <w:sz w:val="24"/>
                <w:szCs w:val="24"/>
                <w14:textFill>
                  <w14:solidFill>
                    <w14:schemeClr w14:val="tx1"/>
                  </w14:solidFill>
                </w14:textFill>
              </w:rPr>
              <w:t>“HW49其他废物</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—非特定行业—烟气、VOCs治理过程（不包括餐饮行业油烟治理过程）产生的废活性炭，化学原料和化学制品脱色（不包括有机合成食品添加剂脱色）、除杂、净化过程产生的废活性炭</w:t>
            </w:r>
            <w:r>
              <w:rPr>
                <w:rFonts w:hint="default" w:ascii="Times New Roman" w:hAnsi="Times New Roman" w:cs="Times New Roman" w:eastAsiaTheme="minorEastAsia"/>
                <w:color w:val="000000" w:themeColor="text1"/>
                <w:kern w:val="2"/>
                <w:sz w:val="24"/>
                <w:szCs w:val="24"/>
                <w14:textFill>
                  <w14:solidFill>
                    <w14:schemeClr w14:val="tx1"/>
                  </w14:solidFill>
                </w14:textFill>
              </w:rPr>
              <w:t>”，危废代码为900-039-49。根据</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工程分析</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14:textFill>
                  <w14:solidFill>
                    <w14:schemeClr w14:val="tx1"/>
                  </w14:solidFill>
                </w14:textFill>
              </w:rPr>
              <w:t>1t活性炭吸附</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0.77</w:t>
            </w:r>
            <w:r>
              <w:rPr>
                <w:rFonts w:hint="default" w:ascii="Times New Roman" w:hAnsi="Times New Roman" w:cs="Times New Roman" w:eastAsiaTheme="minorEastAsia"/>
                <w:color w:val="000000" w:themeColor="text1"/>
                <w:kern w:val="2"/>
                <w:sz w:val="24"/>
                <w:szCs w:val="24"/>
                <w14:textFill>
                  <w14:solidFill>
                    <w14:schemeClr w14:val="tx1"/>
                  </w14:solidFill>
                </w14:textFill>
              </w:rPr>
              <w:t>t有机废气，根据废气污染源强分析可知，项目</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活性炭吸附</w:t>
            </w:r>
            <w:r>
              <w:rPr>
                <w:rFonts w:hint="default" w:ascii="Times New Roman" w:hAnsi="Times New Roman" w:cs="Times New Roman" w:eastAsiaTheme="minorEastAsia"/>
                <w:color w:val="000000" w:themeColor="text1"/>
                <w:kern w:val="2"/>
                <w:sz w:val="24"/>
                <w:szCs w:val="24"/>
                <w14:textFill>
                  <w14:solidFill>
                    <w14:schemeClr w14:val="tx1"/>
                  </w14:solidFill>
                </w14:textFill>
              </w:rPr>
              <w:t>有机废气量约</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1.559</w:t>
            </w:r>
            <w:r>
              <w:rPr>
                <w:rFonts w:hint="default" w:ascii="Times New Roman" w:hAnsi="Times New Roman" w:cs="Times New Roman" w:eastAsiaTheme="minorEastAsia"/>
                <w:color w:val="000000" w:themeColor="text1"/>
                <w:kern w:val="2"/>
                <w:sz w:val="24"/>
                <w:szCs w:val="24"/>
                <w14:textFill>
                  <w14:solidFill>
                    <w14:schemeClr w14:val="tx1"/>
                  </w14:solidFill>
                </w14:textFill>
              </w:rPr>
              <w:t>t/a，</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则预计项目使用的活性炭量为</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2.025t/a，有机废气处理设施产生的废活性炭（含有机废气吸附量）约3.584t/a，收集袋装密封后暂存于危废间，委托有危废资质的单位回收处置。</w:t>
            </w:r>
          </w:p>
          <w:p w14:paraId="7367B9CA">
            <w:pPr>
              <w:spacing w:line="360" w:lineRule="auto"/>
              <w:ind w:firstLine="480" w:firstLineChars="200"/>
              <w:rPr>
                <w:rFonts w:hint="eastAsia"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⑤沉淀渣</w:t>
            </w:r>
          </w:p>
          <w:p w14:paraId="2D7AC54A">
            <w:pPr>
              <w:spacing w:line="324" w:lineRule="auto"/>
              <w:ind w:firstLine="470" w:firstLineChars="196"/>
              <w:rPr>
                <w:rFonts w:hint="eastAsia"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根据废气工程分析可知，</w:t>
            </w:r>
            <w:r>
              <w:rPr>
                <w:rFonts w:hint="eastAsia" w:cs="Times New Roman" w:eastAsiaTheme="minorEastAsia"/>
                <w:color w:val="000000" w:themeColor="text1"/>
                <w:sz w:val="24"/>
                <w:highlight w:val="none"/>
                <w:lang w:val="en-US" w:eastAsia="zh-CN"/>
                <w14:textFill>
                  <w14:solidFill>
                    <w14:schemeClr w14:val="tx1"/>
                  </w14:solidFill>
                </w14:textFill>
              </w:rPr>
              <w:t>喷淋塔主要对熔化烟尘进行处理，喷淋沉降的</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粉尘量约</w:t>
            </w:r>
            <w:r>
              <w:rPr>
                <w:rFonts w:hint="eastAsia" w:cs="Times New Roman" w:eastAsiaTheme="minorEastAsia"/>
                <w:color w:val="000000" w:themeColor="text1"/>
                <w:sz w:val="24"/>
                <w:highlight w:val="none"/>
                <w:lang w:val="en-US" w:eastAsia="zh-CN"/>
                <w14:textFill>
                  <w14:solidFill>
                    <w14:schemeClr w14:val="tx1"/>
                  </w14:solidFill>
                </w14:textFill>
              </w:rPr>
              <w:t>0.567</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t/a，</w:t>
            </w:r>
            <w:r>
              <w:rPr>
                <w:rFonts w:hint="eastAsia" w:cs="Times New Roman" w:eastAsiaTheme="minorEastAsia"/>
                <w:color w:val="000000" w:themeColor="text1"/>
                <w:sz w:val="24"/>
                <w:highlight w:val="none"/>
                <w:lang w:val="en-US" w:eastAsia="zh-CN"/>
                <w14:textFill>
                  <w14:solidFill>
                    <w14:schemeClr w14:val="tx1"/>
                  </w14:solidFill>
                </w14:textFill>
              </w:rPr>
              <w:t>含水率按10%计算，则沉淀渣产生量为0.624t/a。属于危险废物（危废类别：HW48，危废代码：321-024-48），暂存在危险废物暂存间中，定期交有资质的单位处理。</w:t>
            </w:r>
          </w:p>
          <w:p w14:paraId="636071DB">
            <w:pPr>
              <w:spacing w:line="324" w:lineRule="auto"/>
              <w:ind w:firstLine="470" w:firstLineChars="196"/>
              <w:rPr>
                <w:rFonts w:hint="default" w:ascii="Times New Roman" w:hAnsi="Times New Roman" w:cs="Times New Roman" w:eastAsiaTheme="minorEastAsia"/>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项目</w:t>
            </w:r>
            <w:r>
              <w:rPr>
                <w:rFonts w:hint="default" w:ascii="Times New Roman" w:hAnsi="Times New Roman" w:cs="Times New Roman" w:eastAsiaTheme="minorEastAsia"/>
                <w:bCs/>
                <w:color w:val="000000" w:themeColor="text1"/>
                <w:sz w:val="24"/>
                <w:szCs w:val="24"/>
                <w:lang w:eastAsia="zh-CN"/>
                <w14:textFill>
                  <w14:solidFill>
                    <w14:schemeClr w14:val="tx1"/>
                  </w14:solidFill>
                </w14:textFill>
              </w:rPr>
              <w:t>危险废物产生及处置情况</w:t>
            </w:r>
            <w:r>
              <w:rPr>
                <w:rFonts w:hint="default" w:ascii="Times New Roman" w:hAnsi="Times New Roman" w:cs="Times New Roman" w:eastAsiaTheme="minorEastAsia"/>
                <w:bCs/>
                <w:color w:val="000000" w:themeColor="text1"/>
                <w:sz w:val="24"/>
                <w:szCs w:val="24"/>
                <w14:textFill>
                  <w14:solidFill>
                    <w14:schemeClr w14:val="tx1"/>
                  </w14:solidFill>
                </w14:textFill>
              </w:rPr>
              <w:t>见表</w:t>
            </w:r>
            <w:r>
              <w:rPr>
                <w:rFonts w:hint="default" w:ascii="Times New Roman" w:hAnsi="Times New Roman" w:cs="Times New Roman" w:eastAsiaTheme="minorEastAsia"/>
                <w:bCs/>
                <w:color w:val="000000" w:themeColor="text1"/>
                <w:sz w:val="24"/>
                <w:szCs w:val="24"/>
                <w:lang w:val="en-US" w:eastAsia="zh-CN"/>
                <w14:textFill>
                  <w14:solidFill>
                    <w14:schemeClr w14:val="tx1"/>
                  </w14:solidFill>
                </w14:textFill>
              </w:rPr>
              <w:t>4.5-1</w:t>
            </w:r>
            <w:r>
              <w:rPr>
                <w:rFonts w:hint="default" w:ascii="Times New Roman" w:hAnsi="Times New Roman" w:cs="Times New Roman" w:eastAsiaTheme="minorEastAsia"/>
                <w:bCs/>
                <w:color w:val="000000" w:themeColor="text1"/>
                <w:sz w:val="24"/>
                <w:szCs w:val="24"/>
                <w14:textFill>
                  <w14:solidFill>
                    <w14:schemeClr w14:val="tx1"/>
                  </w14:solidFill>
                </w14:textFill>
              </w:rPr>
              <w:t>。</w:t>
            </w:r>
          </w:p>
          <w:p w14:paraId="5630D507">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表4.5-1  项目危险废物汇总表</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32"/>
              <w:gridCol w:w="810"/>
              <w:gridCol w:w="945"/>
              <w:gridCol w:w="705"/>
              <w:gridCol w:w="728"/>
              <w:gridCol w:w="849"/>
              <w:gridCol w:w="520"/>
              <w:gridCol w:w="1070"/>
              <w:gridCol w:w="800"/>
              <w:gridCol w:w="795"/>
            </w:tblGrid>
            <w:tr w14:paraId="2960F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tcBorders>
                    <w:tl2br w:val="nil"/>
                    <w:tr2bl w:val="nil"/>
                  </w:tcBorders>
                  <w:vAlign w:val="center"/>
                </w:tcPr>
                <w:p w14:paraId="1A6DFF78">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序号</w:t>
                  </w:r>
                </w:p>
              </w:tc>
              <w:tc>
                <w:tcPr>
                  <w:tcW w:w="832" w:type="dxa"/>
                  <w:tcBorders>
                    <w:tl2br w:val="nil"/>
                    <w:tr2bl w:val="nil"/>
                  </w:tcBorders>
                  <w:vAlign w:val="center"/>
                </w:tcPr>
                <w:p w14:paraId="78F6EFA7">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危险废物名称</w:t>
                  </w:r>
                </w:p>
              </w:tc>
              <w:tc>
                <w:tcPr>
                  <w:tcW w:w="810" w:type="dxa"/>
                  <w:tcBorders>
                    <w:tl2br w:val="nil"/>
                    <w:tr2bl w:val="nil"/>
                  </w:tcBorders>
                  <w:vAlign w:val="center"/>
                </w:tcPr>
                <w:p w14:paraId="033D05E3">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危险废物类别</w:t>
                  </w:r>
                </w:p>
              </w:tc>
              <w:tc>
                <w:tcPr>
                  <w:tcW w:w="945" w:type="dxa"/>
                  <w:tcBorders>
                    <w:tl2br w:val="nil"/>
                    <w:tr2bl w:val="nil"/>
                  </w:tcBorders>
                  <w:vAlign w:val="center"/>
                </w:tcPr>
                <w:p w14:paraId="4257E7D4">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危险废物代码</w:t>
                  </w:r>
                </w:p>
              </w:tc>
              <w:tc>
                <w:tcPr>
                  <w:tcW w:w="705" w:type="dxa"/>
                  <w:tcBorders>
                    <w:tl2br w:val="nil"/>
                    <w:tr2bl w:val="nil"/>
                  </w:tcBorders>
                  <w:vAlign w:val="center"/>
                </w:tcPr>
                <w:p w14:paraId="6DF3D3B7">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产生量t/a</w:t>
                  </w:r>
                </w:p>
              </w:tc>
              <w:tc>
                <w:tcPr>
                  <w:tcW w:w="728" w:type="dxa"/>
                  <w:tcBorders>
                    <w:tl2br w:val="nil"/>
                    <w:tr2bl w:val="nil"/>
                  </w:tcBorders>
                  <w:vAlign w:val="center"/>
                </w:tcPr>
                <w:p w14:paraId="0B051C8D">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产废周期</w:t>
                  </w:r>
                </w:p>
              </w:tc>
              <w:tc>
                <w:tcPr>
                  <w:tcW w:w="849" w:type="dxa"/>
                  <w:tcBorders>
                    <w:tl2br w:val="nil"/>
                    <w:tr2bl w:val="nil"/>
                  </w:tcBorders>
                  <w:vAlign w:val="center"/>
                </w:tcPr>
                <w:p w14:paraId="38CDA2F3">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产生工序及装置</w:t>
                  </w:r>
                </w:p>
              </w:tc>
              <w:tc>
                <w:tcPr>
                  <w:tcW w:w="520" w:type="dxa"/>
                  <w:tcBorders>
                    <w:tl2br w:val="nil"/>
                    <w:tr2bl w:val="nil"/>
                  </w:tcBorders>
                  <w:vAlign w:val="center"/>
                </w:tcPr>
                <w:p w14:paraId="0A298453">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形态</w:t>
                  </w:r>
                </w:p>
              </w:tc>
              <w:tc>
                <w:tcPr>
                  <w:tcW w:w="1070" w:type="dxa"/>
                  <w:tcBorders>
                    <w:tl2br w:val="nil"/>
                    <w:tr2bl w:val="nil"/>
                  </w:tcBorders>
                  <w:vAlign w:val="center"/>
                </w:tcPr>
                <w:p w14:paraId="62936A3A">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有毒有害成分</w:t>
                  </w:r>
                </w:p>
              </w:tc>
              <w:tc>
                <w:tcPr>
                  <w:tcW w:w="800" w:type="dxa"/>
                  <w:tcBorders>
                    <w:tl2br w:val="nil"/>
                    <w:tr2bl w:val="nil"/>
                  </w:tcBorders>
                  <w:vAlign w:val="center"/>
                </w:tcPr>
                <w:p w14:paraId="2890D9E8">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危险特性</w:t>
                  </w:r>
                </w:p>
              </w:tc>
              <w:tc>
                <w:tcPr>
                  <w:tcW w:w="795" w:type="dxa"/>
                  <w:tcBorders>
                    <w:tl2br w:val="nil"/>
                    <w:tr2bl w:val="nil"/>
                  </w:tcBorders>
                  <w:vAlign w:val="center"/>
                </w:tcPr>
                <w:p w14:paraId="0B0C03BD">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污染防治措施</w:t>
                  </w:r>
                </w:p>
              </w:tc>
            </w:tr>
            <w:tr w14:paraId="2FE22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tcBorders>
                    <w:tl2br w:val="nil"/>
                    <w:tr2bl w:val="nil"/>
                  </w:tcBorders>
                  <w:vAlign w:val="center"/>
                </w:tcPr>
                <w:p w14:paraId="4DDB83D7">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w:t>
                  </w:r>
                </w:p>
              </w:tc>
              <w:tc>
                <w:tcPr>
                  <w:tcW w:w="832" w:type="dxa"/>
                  <w:tcBorders>
                    <w:tl2br w:val="nil"/>
                    <w:tr2bl w:val="nil"/>
                  </w:tcBorders>
                  <w:vAlign w:val="center"/>
                </w:tcPr>
                <w:p w14:paraId="3DD55693">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废包装桶</w:t>
                  </w:r>
                </w:p>
              </w:tc>
              <w:tc>
                <w:tcPr>
                  <w:tcW w:w="810" w:type="dxa"/>
                  <w:tcBorders>
                    <w:tl2br w:val="nil"/>
                    <w:tr2bl w:val="nil"/>
                  </w:tcBorders>
                  <w:vAlign w:val="center"/>
                </w:tcPr>
                <w:p w14:paraId="34280892">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HW49</w:t>
                  </w:r>
                </w:p>
              </w:tc>
              <w:tc>
                <w:tcPr>
                  <w:tcW w:w="945" w:type="dxa"/>
                  <w:tcBorders>
                    <w:tl2br w:val="nil"/>
                    <w:tr2bl w:val="nil"/>
                  </w:tcBorders>
                  <w:vAlign w:val="center"/>
                </w:tcPr>
                <w:p w14:paraId="32DA610A">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900-041-49</w:t>
                  </w:r>
                </w:p>
              </w:tc>
              <w:tc>
                <w:tcPr>
                  <w:tcW w:w="705" w:type="dxa"/>
                  <w:tcBorders>
                    <w:tl2br w:val="nil"/>
                    <w:tr2bl w:val="nil"/>
                  </w:tcBorders>
                  <w:vAlign w:val="center"/>
                </w:tcPr>
                <w:p w14:paraId="58EE1EB0">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0.15</w:t>
                  </w:r>
                </w:p>
              </w:tc>
              <w:tc>
                <w:tcPr>
                  <w:tcW w:w="728" w:type="dxa"/>
                  <w:tcBorders>
                    <w:tl2br w:val="nil"/>
                    <w:tr2bl w:val="nil"/>
                  </w:tcBorders>
                  <w:vAlign w:val="center"/>
                </w:tcPr>
                <w:p w14:paraId="3F24A33E">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7天</w:t>
                  </w:r>
                </w:p>
              </w:tc>
              <w:tc>
                <w:tcPr>
                  <w:tcW w:w="849" w:type="dxa"/>
                  <w:tcBorders>
                    <w:tl2br w:val="nil"/>
                    <w:tr2bl w:val="nil"/>
                  </w:tcBorders>
                  <w:vAlign w:val="center"/>
                </w:tcPr>
                <w:p w14:paraId="36769487">
                  <w:pPr>
                    <w:pStyle w:val="114"/>
                    <w:bidi w:val="0"/>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压铸脱模</w:t>
                  </w:r>
                </w:p>
              </w:tc>
              <w:tc>
                <w:tcPr>
                  <w:tcW w:w="520" w:type="dxa"/>
                  <w:tcBorders>
                    <w:tl2br w:val="nil"/>
                    <w:tr2bl w:val="nil"/>
                  </w:tcBorders>
                  <w:vAlign w:val="center"/>
                </w:tcPr>
                <w:p w14:paraId="49E12C32">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固态</w:t>
                  </w:r>
                </w:p>
              </w:tc>
              <w:tc>
                <w:tcPr>
                  <w:tcW w:w="1070" w:type="dxa"/>
                  <w:tcBorders>
                    <w:tl2br w:val="nil"/>
                    <w:tr2bl w:val="nil"/>
                  </w:tcBorders>
                  <w:vAlign w:val="center"/>
                </w:tcPr>
                <w:p w14:paraId="7396E977">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废脱模剂</w:t>
                  </w:r>
                </w:p>
              </w:tc>
              <w:tc>
                <w:tcPr>
                  <w:tcW w:w="800" w:type="dxa"/>
                  <w:tcBorders>
                    <w:tl2br w:val="nil"/>
                    <w:tr2bl w:val="nil"/>
                  </w:tcBorders>
                  <w:vAlign w:val="center"/>
                </w:tcPr>
                <w:p w14:paraId="45E63095">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T/In</w:t>
                  </w:r>
                </w:p>
              </w:tc>
              <w:tc>
                <w:tcPr>
                  <w:tcW w:w="795" w:type="dxa"/>
                  <w:vMerge w:val="restart"/>
                  <w:tcBorders>
                    <w:tl2br w:val="nil"/>
                    <w:tr2bl w:val="nil"/>
                  </w:tcBorders>
                  <w:vAlign w:val="center"/>
                </w:tcPr>
                <w:p w14:paraId="22DCE74E">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分类收集并贮存危废暂存间，委托有资质单位回收处置</w:t>
                  </w:r>
                </w:p>
              </w:tc>
            </w:tr>
            <w:tr w14:paraId="6D989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tcBorders>
                    <w:tl2br w:val="nil"/>
                    <w:tr2bl w:val="nil"/>
                  </w:tcBorders>
                  <w:vAlign w:val="center"/>
                </w:tcPr>
                <w:p w14:paraId="5AB1C569">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w:t>
                  </w:r>
                </w:p>
              </w:tc>
              <w:tc>
                <w:tcPr>
                  <w:tcW w:w="832" w:type="dxa"/>
                  <w:tcBorders>
                    <w:tl2br w:val="nil"/>
                    <w:tr2bl w:val="nil"/>
                  </w:tcBorders>
                  <w:vAlign w:val="center"/>
                </w:tcPr>
                <w:p w14:paraId="2278854A">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废切削液</w:t>
                  </w:r>
                </w:p>
              </w:tc>
              <w:tc>
                <w:tcPr>
                  <w:tcW w:w="810" w:type="dxa"/>
                  <w:tcBorders>
                    <w:tl2br w:val="nil"/>
                    <w:tr2bl w:val="nil"/>
                  </w:tcBorders>
                  <w:vAlign w:val="center"/>
                </w:tcPr>
                <w:p w14:paraId="4106EEFA">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HW09</w:t>
                  </w:r>
                </w:p>
              </w:tc>
              <w:tc>
                <w:tcPr>
                  <w:tcW w:w="945" w:type="dxa"/>
                  <w:tcBorders>
                    <w:tl2br w:val="nil"/>
                    <w:tr2bl w:val="nil"/>
                  </w:tcBorders>
                  <w:vAlign w:val="center"/>
                </w:tcPr>
                <w:p w14:paraId="1F94D024">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900-006-09</w:t>
                  </w:r>
                </w:p>
              </w:tc>
              <w:tc>
                <w:tcPr>
                  <w:tcW w:w="705" w:type="dxa"/>
                  <w:tcBorders>
                    <w:tl2br w:val="nil"/>
                    <w:tr2bl w:val="nil"/>
                  </w:tcBorders>
                  <w:vAlign w:val="center"/>
                </w:tcPr>
                <w:p w14:paraId="039A969D">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0.08</w:t>
                  </w:r>
                </w:p>
              </w:tc>
              <w:tc>
                <w:tcPr>
                  <w:tcW w:w="728" w:type="dxa"/>
                  <w:tcBorders>
                    <w:tl2br w:val="nil"/>
                    <w:tr2bl w:val="nil"/>
                  </w:tcBorders>
                  <w:vAlign w:val="center"/>
                </w:tcPr>
                <w:p w14:paraId="7EFF8F74">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半年</w:t>
                  </w:r>
                </w:p>
              </w:tc>
              <w:tc>
                <w:tcPr>
                  <w:tcW w:w="849" w:type="dxa"/>
                  <w:tcBorders>
                    <w:tl2br w:val="nil"/>
                    <w:tr2bl w:val="nil"/>
                  </w:tcBorders>
                  <w:vAlign w:val="center"/>
                </w:tcPr>
                <w:p w14:paraId="1C32B0BF">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设备润滑、冷却</w:t>
                  </w:r>
                </w:p>
              </w:tc>
              <w:tc>
                <w:tcPr>
                  <w:tcW w:w="520" w:type="dxa"/>
                  <w:tcBorders>
                    <w:tl2br w:val="nil"/>
                    <w:tr2bl w:val="nil"/>
                  </w:tcBorders>
                  <w:vAlign w:val="center"/>
                </w:tcPr>
                <w:p w14:paraId="2217CB2E">
                  <w:pPr>
                    <w:pStyle w:val="114"/>
                    <w:bidi w:val="0"/>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液态</w:t>
                  </w:r>
                </w:p>
              </w:tc>
              <w:tc>
                <w:tcPr>
                  <w:tcW w:w="1070" w:type="dxa"/>
                  <w:tcBorders>
                    <w:tl2br w:val="nil"/>
                    <w:tr2bl w:val="nil"/>
                  </w:tcBorders>
                  <w:vAlign w:val="center"/>
                </w:tcPr>
                <w:p w14:paraId="6060F46C">
                  <w:pPr>
                    <w:pStyle w:val="114"/>
                    <w:bidi w:val="0"/>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废切削液、金属粉尘</w:t>
                  </w:r>
                </w:p>
              </w:tc>
              <w:tc>
                <w:tcPr>
                  <w:tcW w:w="800" w:type="dxa"/>
                  <w:tcBorders>
                    <w:tl2br w:val="nil"/>
                    <w:tr2bl w:val="nil"/>
                  </w:tcBorders>
                  <w:vAlign w:val="center"/>
                </w:tcPr>
                <w:p w14:paraId="57A86AAB">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T/In</w:t>
                  </w:r>
                </w:p>
              </w:tc>
              <w:tc>
                <w:tcPr>
                  <w:tcW w:w="795" w:type="dxa"/>
                  <w:vMerge w:val="continue"/>
                  <w:tcBorders>
                    <w:tl2br w:val="nil"/>
                    <w:tr2bl w:val="nil"/>
                  </w:tcBorders>
                  <w:vAlign w:val="center"/>
                </w:tcPr>
                <w:p w14:paraId="508A6CC5">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p>
              </w:tc>
            </w:tr>
            <w:tr w14:paraId="5C6EA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50" w:type="dxa"/>
                  <w:tcBorders>
                    <w:tl2br w:val="nil"/>
                    <w:tr2bl w:val="nil"/>
                  </w:tcBorders>
                  <w:vAlign w:val="center"/>
                </w:tcPr>
                <w:p w14:paraId="64D57601">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3</w:t>
                  </w:r>
                </w:p>
              </w:tc>
              <w:tc>
                <w:tcPr>
                  <w:tcW w:w="832" w:type="dxa"/>
                  <w:tcBorders>
                    <w:tl2br w:val="nil"/>
                    <w:tr2bl w:val="nil"/>
                  </w:tcBorders>
                  <w:vAlign w:val="center"/>
                </w:tcPr>
                <w:p w14:paraId="64D15BDE">
                  <w:pPr>
                    <w:pStyle w:val="114"/>
                    <w:bidi w:val="0"/>
                    <w:ind w:firstLine="0" w:firstLineChars="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废过滤棉</w:t>
                  </w:r>
                </w:p>
              </w:tc>
              <w:tc>
                <w:tcPr>
                  <w:tcW w:w="810" w:type="dxa"/>
                  <w:tcBorders>
                    <w:tl2br w:val="nil"/>
                    <w:tr2bl w:val="nil"/>
                  </w:tcBorders>
                  <w:vAlign w:val="center"/>
                </w:tcPr>
                <w:p w14:paraId="306FD243">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color w:val="000000" w:themeColor="text1"/>
                      <w14:textFill>
                        <w14:solidFill>
                          <w14:schemeClr w14:val="tx1"/>
                        </w14:solidFill>
                      </w14:textFill>
                    </w:rPr>
                    <w:t>HW49</w:t>
                  </w:r>
                </w:p>
              </w:tc>
              <w:tc>
                <w:tcPr>
                  <w:tcW w:w="945" w:type="dxa"/>
                  <w:tcBorders>
                    <w:tl2br w:val="nil"/>
                    <w:tr2bl w:val="nil"/>
                  </w:tcBorders>
                  <w:vAlign w:val="center"/>
                </w:tcPr>
                <w:p w14:paraId="405C2641">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900-041-49</w:t>
                  </w:r>
                </w:p>
              </w:tc>
              <w:tc>
                <w:tcPr>
                  <w:tcW w:w="705" w:type="dxa"/>
                  <w:tcBorders>
                    <w:tl2br w:val="nil"/>
                    <w:tr2bl w:val="nil"/>
                  </w:tcBorders>
                  <w:vAlign w:val="center"/>
                </w:tcPr>
                <w:p w14:paraId="13673491">
                  <w:pPr>
                    <w:pStyle w:val="114"/>
                    <w:bidi w:val="0"/>
                    <w:ind w:firstLine="0" w:firstLineChars="0"/>
                    <w:jc w:val="cente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eastAsia" w:cs="Times New Roman" w:eastAsiaTheme="minorEastAsia"/>
                      <w:color w:val="000000" w:themeColor="text1"/>
                      <w:kern w:val="2"/>
                      <w:sz w:val="24"/>
                      <w:szCs w:val="24"/>
                      <w:lang w:val="en-US" w:eastAsia="zh-CN"/>
                      <w14:textFill>
                        <w14:solidFill>
                          <w14:schemeClr w14:val="tx1"/>
                        </w14:solidFill>
                      </w14:textFill>
                    </w:rPr>
                    <w:t>0.5</w:t>
                  </w:r>
                </w:p>
              </w:tc>
              <w:tc>
                <w:tcPr>
                  <w:tcW w:w="728" w:type="dxa"/>
                  <w:tcBorders>
                    <w:tl2br w:val="nil"/>
                    <w:tr2bl w:val="nil"/>
                  </w:tcBorders>
                  <w:vAlign w:val="center"/>
                </w:tcPr>
                <w:p w14:paraId="4649F95F">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半年</w:t>
                  </w:r>
                </w:p>
              </w:tc>
              <w:tc>
                <w:tcPr>
                  <w:tcW w:w="849" w:type="dxa"/>
                  <w:tcBorders>
                    <w:tl2br w:val="nil"/>
                    <w:tr2bl w:val="nil"/>
                  </w:tcBorders>
                  <w:vAlign w:val="center"/>
                </w:tcPr>
                <w:p w14:paraId="25A2BB34">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有机废气处理设施</w:t>
                  </w:r>
                </w:p>
              </w:tc>
              <w:tc>
                <w:tcPr>
                  <w:tcW w:w="520" w:type="dxa"/>
                  <w:tcBorders>
                    <w:tl2br w:val="nil"/>
                    <w:tr2bl w:val="nil"/>
                  </w:tcBorders>
                  <w:vAlign w:val="center"/>
                </w:tcPr>
                <w:p w14:paraId="1B605B21">
                  <w:pPr>
                    <w:pStyle w:val="114"/>
                    <w:bidi w:val="0"/>
                    <w:ind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固态</w:t>
                  </w:r>
                </w:p>
              </w:tc>
              <w:tc>
                <w:tcPr>
                  <w:tcW w:w="1070" w:type="dxa"/>
                  <w:tcBorders>
                    <w:tl2br w:val="nil"/>
                    <w:tr2bl w:val="nil"/>
                  </w:tcBorders>
                  <w:vAlign w:val="center"/>
                </w:tcPr>
                <w:p w14:paraId="297E9A2E">
                  <w:pPr>
                    <w:pStyle w:val="114"/>
                    <w:bidi w:val="0"/>
                    <w:ind w:firstLine="0" w:firstLineChars="0"/>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废过滤棉</w:t>
                  </w:r>
                </w:p>
              </w:tc>
              <w:tc>
                <w:tcPr>
                  <w:tcW w:w="800" w:type="dxa"/>
                  <w:tcBorders>
                    <w:tl2br w:val="nil"/>
                    <w:tr2bl w:val="nil"/>
                  </w:tcBorders>
                  <w:vAlign w:val="center"/>
                </w:tcPr>
                <w:p w14:paraId="096AAACC">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T</w:t>
                  </w:r>
                </w:p>
              </w:tc>
              <w:tc>
                <w:tcPr>
                  <w:tcW w:w="795" w:type="dxa"/>
                  <w:vMerge w:val="continue"/>
                  <w:tcBorders>
                    <w:tl2br w:val="nil"/>
                    <w:tr2bl w:val="nil"/>
                  </w:tcBorders>
                  <w:vAlign w:val="center"/>
                </w:tcPr>
                <w:p w14:paraId="60E500E6">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p>
              </w:tc>
            </w:tr>
            <w:tr w14:paraId="2D659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tcBorders>
                    <w:tl2br w:val="nil"/>
                    <w:tr2bl w:val="nil"/>
                  </w:tcBorders>
                  <w:vAlign w:val="center"/>
                </w:tcPr>
                <w:p w14:paraId="27F400D5">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4</w:t>
                  </w:r>
                </w:p>
              </w:tc>
              <w:tc>
                <w:tcPr>
                  <w:tcW w:w="832" w:type="dxa"/>
                  <w:tcBorders>
                    <w:tl2br w:val="nil"/>
                    <w:tr2bl w:val="nil"/>
                  </w:tcBorders>
                  <w:vAlign w:val="center"/>
                </w:tcPr>
                <w:p w14:paraId="25A3D7E9">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废活性炭</w:t>
                  </w:r>
                </w:p>
              </w:tc>
              <w:tc>
                <w:tcPr>
                  <w:tcW w:w="810" w:type="dxa"/>
                  <w:tcBorders>
                    <w:tl2br w:val="nil"/>
                    <w:tr2bl w:val="nil"/>
                  </w:tcBorders>
                  <w:vAlign w:val="center"/>
                </w:tcPr>
                <w:p w14:paraId="19CD0851">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HW49</w:t>
                  </w:r>
                </w:p>
              </w:tc>
              <w:tc>
                <w:tcPr>
                  <w:tcW w:w="945" w:type="dxa"/>
                  <w:tcBorders>
                    <w:tl2br w:val="nil"/>
                    <w:tr2bl w:val="nil"/>
                  </w:tcBorders>
                  <w:vAlign w:val="center"/>
                </w:tcPr>
                <w:p w14:paraId="315E55E7">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900-039-49</w:t>
                  </w:r>
                </w:p>
              </w:tc>
              <w:tc>
                <w:tcPr>
                  <w:tcW w:w="705" w:type="dxa"/>
                  <w:tcBorders>
                    <w:tl2br w:val="nil"/>
                    <w:tr2bl w:val="nil"/>
                  </w:tcBorders>
                  <w:vAlign w:val="center"/>
                </w:tcPr>
                <w:p w14:paraId="1DEBC71A">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3.584</w:t>
                  </w:r>
                </w:p>
              </w:tc>
              <w:tc>
                <w:tcPr>
                  <w:tcW w:w="728" w:type="dxa"/>
                  <w:tcBorders>
                    <w:tl2br w:val="nil"/>
                    <w:tr2bl w:val="nil"/>
                  </w:tcBorders>
                  <w:vAlign w:val="center"/>
                </w:tcPr>
                <w:p w14:paraId="6605ADC6">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半年</w:t>
                  </w:r>
                </w:p>
              </w:tc>
              <w:tc>
                <w:tcPr>
                  <w:tcW w:w="849" w:type="dxa"/>
                  <w:tcBorders>
                    <w:tl2br w:val="nil"/>
                    <w:tr2bl w:val="nil"/>
                  </w:tcBorders>
                  <w:vAlign w:val="center"/>
                </w:tcPr>
                <w:p w14:paraId="6BA1A80A">
                  <w:pPr>
                    <w:pStyle w:val="114"/>
                    <w:bidi w:val="0"/>
                    <w:ind w:firstLine="0" w:firstLineChars="0"/>
                    <w:jc w:val="center"/>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有机废气处理设施</w:t>
                  </w:r>
                </w:p>
              </w:tc>
              <w:tc>
                <w:tcPr>
                  <w:tcW w:w="520" w:type="dxa"/>
                  <w:tcBorders>
                    <w:tl2br w:val="nil"/>
                    <w:tr2bl w:val="nil"/>
                  </w:tcBorders>
                  <w:vAlign w:val="center"/>
                </w:tcPr>
                <w:p w14:paraId="1E20E33E">
                  <w:pPr>
                    <w:pStyle w:val="114"/>
                    <w:bidi w:val="0"/>
                    <w:ind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固态</w:t>
                  </w:r>
                </w:p>
              </w:tc>
              <w:tc>
                <w:tcPr>
                  <w:tcW w:w="1070" w:type="dxa"/>
                  <w:tcBorders>
                    <w:tl2br w:val="nil"/>
                    <w:tr2bl w:val="nil"/>
                  </w:tcBorders>
                  <w:vAlign w:val="center"/>
                </w:tcPr>
                <w:p w14:paraId="5096CB60">
                  <w:pPr>
                    <w:pStyle w:val="114"/>
                    <w:bidi w:val="0"/>
                    <w:ind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14:textFill>
                        <w14:solidFill>
                          <w14:schemeClr w14:val="tx1"/>
                        </w14:solidFill>
                      </w14:textFill>
                    </w:rPr>
                    <w:t>废活性炭</w:t>
                  </w:r>
                </w:p>
              </w:tc>
              <w:tc>
                <w:tcPr>
                  <w:tcW w:w="800" w:type="dxa"/>
                  <w:tcBorders>
                    <w:tl2br w:val="nil"/>
                    <w:tr2bl w:val="nil"/>
                  </w:tcBorders>
                  <w:vAlign w:val="center"/>
                </w:tcPr>
                <w:p w14:paraId="6C1F0689">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T</w:t>
                  </w:r>
                </w:p>
              </w:tc>
              <w:tc>
                <w:tcPr>
                  <w:tcW w:w="795" w:type="dxa"/>
                  <w:vMerge w:val="continue"/>
                  <w:tcBorders>
                    <w:tl2br w:val="nil"/>
                    <w:tr2bl w:val="nil"/>
                  </w:tcBorders>
                  <w:vAlign w:val="center"/>
                </w:tcPr>
                <w:p w14:paraId="434EA6C0">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p>
              </w:tc>
            </w:tr>
            <w:tr w14:paraId="2CA77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dxa"/>
                  <w:tcBorders>
                    <w:tl2br w:val="nil"/>
                    <w:tr2bl w:val="nil"/>
                  </w:tcBorders>
                  <w:vAlign w:val="center"/>
                </w:tcPr>
                <w:p w14:paraId="4CF13749">
                  <w:pPr>
                    <w:pStyle w:val="114"/>
                    <w:bidi w:val="0"/>
                    <w:jc w:val="center"/>
                    <w:rPr>
                      <w:rFonts w:hint="default" w:cs="Times New Roman" w:eastAsiaTheme="minor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5</w:t>
                  </w:r>
                </w:p>
              </w:tc>
              <w:tc>
                <w:tcPr>
                  <w:tcW w:w="832" w:type="dxa"/>
                  <w:tcBorders>
                    <w:tl2br w:val="nil"/>
                    <w:tr2bl w:val="nil"/>
                  </w:tcBorders>
                  <w:vAlign w:val="center"/>
                </w:tcPr>
                <w:p w14:paraId="79705E31">
                  <w:pPr>
                    <w:pStyle w:val="114"/>
                    <w:bidi w:val="0"/>
                    <w:ind w:firstLine="0" w:firstLineChars="0"/>
                    <w:jc w:val="center"/>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沉淀渣</w:t>
                  </w:r>
                </w:p>
              </w:tc>
              <w:tc>
                <w:tcPr>
                  <w:tcW w:w="810" w:type="dxa"/>
                  <w:tcBorders>
                    <w:tl2br w:val="nil"/>
                    <w:tr2bl w:val="nil"/>
                  </w:tcBorders>
                  <w:vAlign w:val="center"/>
                </w:tcPr>
                <w:p w14:paraId="3B945538">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HW4</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8</w:t>
                  </w:r>
                </w:p>
              </w:tc>
              <w:tc>
                <w:tcPr>
                  <w:tcW w:w="945" w:type="dxa"/>
                  <w:tcBorders>
                    <w:tl2br w:val="nil"/>
                    <w:tr2bl w:val="nil"/>
                  </w:tcBorders>
                  <w:vAlign w:val="center"/>
                </w:tcPr>
                <w:p w14:paraId="65F60EDD">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321-024-48</w:t>
                  </w:r>
                </w:p>
              </w:tc>
              <w:tc>
                <w:tcPr>
                  <w:tcW w:w="705" w:type="dxa"/>
                  <w:tcBorders>
                    <w:tl2br w:val="nil"/>
                    <w:tr2bl w:val="nil"/>
                  </w:tcBorders>
                  <w:vAlign w:val="center"/>
                </w:tcPr>
                <w:p w14:paraId="7E93C36E">
                  <w:pPr>
                    <w:pStyle w:val="114"/>
                    <w:bidi w:val="0"/>
                    <w:ind w:firstLine="0" w:firstLineChars="0"/>
                    <w:jc w:val="cente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0.624</w:t>
                  </w:r>
                </w:p>
              </w:tc>
              <w:tc>
                <w:tcPr>
                  <w:tcW w:w="728" w:type="dxa"/>
                  <w:tcBorders>
                    <w:tl2br w:val="nil"/>
                    <w:tr2bl w:val="nil"/>
                  </w:tcBorders>
                  <w:vAlign w:val="center"/>
                </w:tcPr>
                <w:p w14:paraId="0B713E99">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1个月</w:t>
                  </w:r>
                </w:p>
              </w:tc>
              <w:tc>
                <w:tcPr>
                  <w:tcW w:w="849" w:type="dxa"/>
                  <w:tcBorders>
                    <w:tl2br w:val="nil"/>
                    <w:tr2bl w:val="nil"/>
                  </w:tcBorders>
                  <w:vAlign w:val="center"/>
                </w:tcPr>
                <w:p w14:paraId="6D3E2718">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有机废气处理设施</w:t>
                  </w:r>
                </w:p>
              </w:tc>
              <w:tc>
                <w:tcPr>
                  <w:tcW w:w="520" w:type="dxa"/>
                  <w:tcBorders>
                    <w:tl2br w:val="nil"/>
                    <w:tr2bl w:val="nil"/>
                  </w:tcBorders>
                  <w:vAlign w:val="center"/>
                </w:tcPr>
                <w:p w14:paraId="27478DBD">
                  <w:pPr>
                    <w:pStyle w:val="114"/>
                    <w:bidi w:val="0"/>
                    <w:ind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固态</w:t>
                  </w:r>
                </w:p>
              </w:tc>
              <w:tc>
                <w:tcPr>
                  <w:tcW w:w="1070" w:type="dxa"/>
                  <w:tcBorders>
                    <w:tl2br w:val="nil"/>
                    <w:tr2bl w:val="nil"/>
                  </w:tcBorders>
                  <w:vAlign w:val="center"/>
                </w:tcPr>
                <w:p w14:paraId="4EDBE297">
                  <w:pPr>
                    <w:pStyle w:val="114"/>
                    <w:bidi w:val="0"/>
                    <w:ind w:firstLine="0" w:firstLineChars="0"/>
                    <w:rPr>
                      <w:rFonts w:hint="default" w:ascii="Times New Roman" w:hAnsi="Times New Roman" w:cs="Times New Roman" w:eastAsiaTheme="minorEastAsia"/>
                      <w:color w:val="000000" w:themeColor="text1"/>
                      <w:highlight w:val="none"/>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沉淀渣</w:t>
                  </w:r>
                </w:p>
              </w:tc>
              <w:tc>
                <w:tcPr>
                  <w:tcW w:w="800" w:type="dxa"/>
                  <w:tcBorders>
                    <w:tl2br w:val="nil"/>
                    <w:tr2bl w:val="nil"/>
                  </w:tcBorders>
                  <w:vAlign w:val="center"/>
                </w:tcPr>
                <w:p w14:paraId="0E512B50">
                  <w:pPr>
                    <w:pStyle w:val="114"/>
                    <w:bidi w:val="0"/>
                    <w:ind w:firstLine="0" w:firstLineChars="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R,</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T</w:t>
                  </w:r>
                </w:p>
              </w:tc>
              <w:tc>
                <w:tcPr>
                  <w:tcW w:w="795" w:type="dxa"/>
                  <w:vMerge w:val="continue"/>
                  <w:tcBorders>
                    <w:tl2br w:val="nil"/>
                    <w:tr2bl w:val="nil"/>
                  </w:tcBorders>
                  <w:vAlign w:val="center"/>
                </w:tcPr>
                <w:p w14:paraId="17381528">
                  <w:pPr>
                    <w:pStyle w:val="114"/>
                    <w:bidi w:val="0"/>
                    <w:jc w:val="cente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p>
              </w:tc>
            </w:tr>
          </w:tbl>
          <w:p w14:paraId="2297C59F">
            <w:pPr>
              <w:pStyle w:val="68"/>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表4.5-2  项目一般固废产生情况及处置方式一览表</w:t>
            </w:r>
          </w:p>
          <w:tbl>
            <w:tblPr>
              <w:tblStyle w:val="3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042"/>
              <w:gridCol w:w="1131"/>
              <w:gridCol w:w="1374"/>
              <w:gridCol w:w="930"/>
              <w:gridCol w:w="2269"/>
            </w:tblGrid>
            <w:tr w14:paraId="103DC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6F081873">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序号</w:t>
                  </w:r>
                </w:p>
              </w:tc>
              <w:tc>
                <w:tcPr>
                  <w:tcW w:w="2042" w:type="dxa"/>
                  <w:tcBorders>
                    <w:tl2br w:val="nil"/>
                    <w:tr2bl w:val="nil"/>
                  </w:tcBorders>
                  <w:vAlign w:val="center"/>
                </w:tcPr>
                <w:p w14:paraId="09132BA1">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固废种类</w:t>
                  </w:r>
                </w:p>
              </w:tc>
              <w:tc>
                <w:tcPr>
                  <w:tcW w:w="1131" w:type="dxa"/>
                  <w:tcBorders>
                    <w:tl2br w:val="nil"/>
                    <w:tr2bl w:val="nil"/>
                  </w:tcBorders>
                  <w:vAlign w:val="center"/>
                </w:tcPr>
                <w:p w14:paraId="7546017C">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废物类别</w:t>
                  </w:r>
                </w:p>
              </w:tc>
              <w:tc>
                <w:tcPr>
                  <w:tcW w:w="1374" w:type="dxa"/>
                  <w:tcBorders>
                    <w:tl2br w:val="nil"/>
                    <w:tr2bl w:val="nil"/>
                  </w:tcBorders>
                  <w:vAlign w:val="center"/>
                </w:tcPr>
                <w:p w14:paraId="6B01CE83">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产生量t/a</w:t>
                  </w:r>
                </w:p>
              </w:tc>
              <w:tc>
                <w:tcPr>
                  <w:tcW w:w="930" w:type="dxa"/>
                  <w:tcBorders>
                    <w:tl2br w:val="nil"/>
                    <w:tr2bl w:val="nil"/>
                  </w:tcBorders>
                  <w:vAlign w:val="center"/>
                </w:tcPr>
                <w:p w14:paraId="35AC9A5E">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排放量</w:t>
                  </w:r>
                </w:p>
              </w:tc>
              <w:tc>
                <w:tcPr>
                  <w:tcW w:w="2269" w:type="dxa"/>
                  <w:tcBorders>
                    <w:tl2br w:val="nil"/>
                    <w:tr2bl w:val="nil"/>
                  </w:tcBorders>
                  <w:vAlign w:val="center"/>
                </w:tcPr>
                <w:p w14:paraId="7112AE05">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最终处置方式</w:t>
                  </w:r>
                </w:p>
              </w:tc>
            </w:tr>
            <w:tr w14:paraId="1CE8F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05C62ED1">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1</w:t>
                  </w:r>
                </w:p>
              </w:tc>
              <w:tc>
                <w:tcPr>
                  <w:tcW w:w="2042" w:type="dxa"/>
                  <w:tcBorders>
                    <w:tl2br w:val="nil"/>
                    <w:tr2bl w:val="nil"/>
                  </w:tcBorders>
                  <w:vAlign w:val="center"/>
                </w:tcPr>
                <w:p w14:paraId="2CC6C806">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生活垃圾</w:t>
                  </w:r>
                </w:p>
              </w:tc>
              <w:tc>
                <w:tcPr>
                  <w:tcW w:w="1131" w:type="dxa"/>
                  <w:tcBorders>
                    <w:tl2br w:val="nil"/>
                    <w:tr2bl w:val="nil"/>
                  </w:tcBorders>
                  <w:vAlign w:val="center"/>
                </w:tcPr>
                <w:p w14:paraId="4AC4B40C">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生活垃圾</w:t>
                  </w:r>
                </w:p>
              </w:tc>
              <w:tc>
                <w:tcPr>
                  <w:tcW w:w="1374" w:type="dxa"/>
                  <w:tcBorders>
                    <w:tl2br w:val="nil"/>
                    <w:tr2bl w:val="nil"/>
                  </w:tcBorders>
                  <w:vAlign w:val="center"/>
                </w:tcPr>
                <w:p w14:paraId="258B14F1">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2.25</w:t>
                  </w:r>
                </w:p>
              </w:tc>
              <w:tc>
                <w:tcPr>
                  <w:tcW w:w="930" w:type="dxa"/>
                  <w:tcBorders>
                    <w:tl2br w:val="nil"/>
                    <w:tr2bl w:val="nil"/>
                  </w:tcBorders>
                  <w:vAlign w:val="center"/>
                </w:tcPr>
                <w:p w14:paraId="716942DA">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w:t>
                  </w:r>
                </w:p>
              </w:tc>
              <w:tc>
                <w:tcPr>
                  <w:tcW w:w="2269" w:type="dxa"/>
                  <w:tcBorders>
                    <w:tl2br w:val="nil"/>
                    <w:tr2bl w:val="nil"/>
                  </w:tcBorders>
                  <w:vAlign w:val="center"/>
                </w:tcPr>
                <w:p w14:paraId="609FED48">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经生活垃圾桶分类收集后委托环卫部门统一清运处理</w:t>
                  </w:r>
                </w:p>
              </w:tc>
            </w:tr>
            <w:tr w14:paraId="3C159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6C076597">
                  <w:pPr>
                    <w:pStyle w:val="114"/>
                    <w:bidi w:val="0"/>
                    <w:ind w:firstLine="0" w:firstLineChars="0"/>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2</w:t>
                  </w:r>
                </w:p>
              </w:tc>
              <w:tc>
                <w:tcPr>
                  <w:tcW w:w="2042" w:type="dxa"/>
                  <w:tcBorders>
                    <w:tl2br w:val="nil"/>
                    <w:tr2bl w:val="nil"/>
                  </w:tcBorders>
                  <w:vAlign w:val="center"/>
                </w:tcPr>
                <w:p w14:paraId="47A65597">
                  <w:pPr>
                    <w:pStyle w:val="114"/>
                    <w:bidi w:val="0"/>
                    <w:ind w:firstLine="0" w:firstLineChar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研磨粉尘</w:t>
                  </w:r>
                </w:p>
              </w:tc>
              <w:tc>
                <w:tcPr>
                  <w:tcW w:w="1131" w:type="dxa"/>
                  <w:tcBorders>
                    <w:tl2br w:val="nil"/>
                    <w:tr2bl w:val="nil"/>
                  </w:tcBorders>
                  <w:vAlign w:val="center"/>
                </w:tcPr>
                <w:p w14:paraId="5A0207AD">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一般固废</w:t>
                  </w:r>
                </w:p>
              </w:tc>
              <w:tc>
                <w:tcPr>
                  <w:tcW w:w="1374" w:type="dxa"/>
                  <w:tcBorders>
                    <w:tl2br w:val="nil"/>
                    <w:tr2bl w:val="nil"/>
                  </w:tcBorders>
                  <w:vAlign w:val="center"/>
                </w:tcPr>
                <w:p w14:paraId="49467F74">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3.</w:t>
                  </w:r>
                  <w:r>
                    <w:rPr>
                      <w:rFonts w:hint="eastAsia" w:cs="Times New Roman" w:eastAsiaTheme="minorEastAsia"/>
                      <w:color w:val="000000" w:themeColor="text1"/>
                      <w:highlight w:val="none"/>
                      <w:lang w:val="en-US" w:eastAsia="zh-CN"/>
                      <w14:textFill>
                        <w14:solidFill>
                          <w14:schemeClr w14:val="tx1"/>
                        </w14:solidFill>
                      </w14:textFill>
                    </w:rPr>
                    <w:t>785</w:t>
                  </w:r>
                </w:p>
              </w:tc>
              <w:tc>
                <w:tcPr>
                  <w:tcW w:w="930" w:type="dxa"/>
                  <w:tcBorders>
                    <w:tl2br w:val="nil"/>
                    <w:tr2bl w:val="nil"/>
                  </w:tcBorders>
                  <w:vAlign w:val="center"/>
                </w:tcPr>
                <w:p w14:paraId="20B76ACF">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w:t>
                  </w:r>
                </w:p>
              </w:tc>
              <w:tc>
                <w:tcPr>
                  <w:tcW w:w="2269" w:type="dxa"/>
                  <w:tcBorders>
                    <w:tl2br w:val="nil"/>
                    <w:tr2bl w:val="nil"/>
                  </w:tcBorders>
                  <w:vAlign w:val="center"/>
                </w:tcPr>
                <w:p w14:paraId="75EFA34B">
                  <w:pPr>
                    <w:pStyle w:val="114"/>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分类收集暂存于一般固废暂存间，外售物资回收单位利用</w:t>
                  </w:r>
                </w:p>
              </w:tc>
            </w:tr>
          </w:tbl>
          <w:p w14:paraId="7A088713">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2、</w:t>
            </w:r>
            <w:bookmarkEnd w:id="40"/>
            <w:bookmarkEnd w:id="41"/>
            <w:bookmarkEnd w:id="42"/>
            <w:bookmarkEnd w:id="43"/>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危险废物分析</w:t>
            </w:r>
          </w:p>
          <w:p w14:paraId="56270DDD">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bookmarkStart w:id="44" w:name="_Toc29578_WPSOffice_Level3"/>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(1)危险废物贮存场所（设施）环境影响分析</w:t>
            </w:r>
          </w:p>
          <w:p w14:paraId="36D8699C">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建设单位设置专门的危险废物暂存间1间（面积约5m</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产生的危险废物均放置于危废暂存间，贮存时应按照《危险废物贮存污染控制标准》（GB18597-2023）的要求执行。危废暂存间具备防风、防晒、防雨、防漏、防渗、防腐措施；根据危废类别进行分区贮存；贮存地面、墙面裙角、堵截泄漏的围堰、接触危险废物的隔板和墙体应采取坚固的材料建造，表面无裂缝；设置明显的危废标志牌，要求各类危废应用专用容器收集后放置于暂存间内，贮放期间危废暂存间封闭，贮放危废容器应及时加盖或封闭，因此危废贮放期间不会对环境空气、地表水、地下水、土壤以及环境敏感保护目标可能造成的影响。</w:t>
            </w:r>
          </w:p>
          <w:p w14:paraId="43989DCA">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(2)运输过程的环境影响分析</w:t>
            </w:r>
          </w:p>
          <w:p w14:paraId="0C6CC948">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各类危险废物从生产车间由专人及时收集并使用专用容器贮放于危废暂存间，不会产生散落、泄漏等情况，运送沿线没有敏感目标，因此不会对环境产生影响。</w:t>
            </w:r>
          </w:p>
          <w:p w14:paraId="7B93E8A6">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危险废物厂外转运由有资质的危废处置单位负责，危险废物由专用容器收集，专车运输。运输过程按照国家有关规定制定危险废物管理计划，并向所在地县级以上地方人民政府生态环境主管部门申报危险废物的种类、产生量、流向、贮存、处置等有关资料，运输过程不会对环境造成影响。</w:t>
            </w:r>
          </w:p>
          <w:p w14:paraId="26E32247">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根据项目的危险废物类别，企业应当根据有资质的危险废物处置单位的分布情况和处置能力，委托具有相关危废处置经营范围（含HW09、HW49）的公司对本项目产生的各类危废进行处置。</w:t>
            </w:r>
          </w:p>
          <w:p w14:paraId="112F2DC4">
            <w:pPr>
              <w:pStyle w:val="60"/>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环境管理要求</w:t>
            </w:r>
          </w:p>
          <w:p w14:paraId="58A9921D">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(1)一般工业固体废物</w:t>
            </w:r>
          </w:p>
          <w:p w14:paraId="03693950">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生产过程中产生的一般工业固废研磨粉尘收集后外售给相关单位综合利用，本评价要求项目产生的一般工业固废应按《一般工业固体废物贮存和填埋污染控制标准》（GB18599-2020）中要求进行规范化的处理处置，并做好防风、防雨、防晒、防渗漏等措施。</w:t>
            </w:r>
          </w:p>
          <w:p w14:paraId="36BC64EA">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(2)危险废物</w:t>
            </w:r>
          </w:p>
          <w:p w14:paraId="7D3B91EA">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①危险废物可能造成的环境影响</w:t>
            </w:r>
          </w:p>
          <w:p w14:paraId="23621AA6">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危险废物对人</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体的</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危害主要通过摄入、吸入、皮肤吸收、眼接触引起毒害；危险废物不处理或不规范处理处置，随意排放、贮存的危废容易引起燃烧、爆炸等危险性事件；在雨水、地下水的长期渗透、扩散作用下，会污染水体和土壤等，降低地区的环境功能等级等环境影响。</w:t>
            </w:r>
          </w:p>
          <w:p w14:paraId="4D5BBEE8">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②危险废物贮存场所环境影响分析</w:t>
            </w:r>
          </w:p>
          <w:p w14:paraId="3597F50E">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项目危险废物暂存区应按照《危险废物贮存污染控制标准》（GB18597-2023）要求进行建设，具备防风、防晒、防雨、防漏、防渗、防腐措施。本项目危险废物暂存间贮存场所面积拟设为5平方米，贮存设施地面与裙角应采取表面防渗措施，表面防渗材料应与所接触的物料或污染物相容，可采用抗渗混凝土、高密度聚乙烯膜、钠基膨润土防水毯或其它防渗性能等效的材料。贮存的危险废物直接接触地面的，还应进行基础防渗，防渗层为至少1m厚</w:t>
            </w:r>
            <w:r>
              <w:rPr>
                <w:rFonts w:hint="eastAsia" w:cs="Times New Roman" w:eastAsiaTheme="minorEastAsia"/>
                <w:color w:val="000000" w:themeColor="text1"/>
                <w:kern w:val="2"/>
                <w:sz w:val="24"/>
                <w:szCs w:val="24"/>
                <w:lang w:val="en-US" w:eastAsia="zh-CN"/>
                <w14:textFill>
                  <w14:solidFill>
                    <w14:schemeClr w14:val="tx1"/>
                  </w14:solidFill>
                </w14:textFill>
              </w:rPr>
              <w:t>黏土</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层（渗透系数≤10</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cm/s），或至少2mm厚高密度聚乙烯膜等人工防渗材料（渗透系数≤10</w:t>
            </w:r>
            <w:r>
              <w:rPr>
                <w:rFonts w:hint="default"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-10</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cm/s），或其他抗渗性能等效的材料。采取措施后，危险废物贮存场所符合要求。贮存液态危废废物的应具有液体泄漏堵截设施，堵截设施最小容积不应低于对应贮存区域最大液态废物容器或液态废物总储量1/10（二者取较大者）。</w:t>
            </w:r>
          </w:p>
          <w:p w14:paraId="25E1E8F7">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③委托利用或者处置的环境影响分析</w:t>
            </w:r>
          </w:p>
          <w:p w14:paraId="5A1BA246">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本项目不具备危险废物利用或处置能力，项目危险废物定期委托有资质单位统一转移处置，危险废物运输过程也全部委托有资质单位统一进行。</w:t>
            </w:r>
          </w:p>
          <w:p w14:paraId="26BA7196">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④固体废物运输过程的环境影响分析</w:t>
            </w:r>
          </w:p>
          <w:p w14:paraId="74929F5C">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本项目产生液态的危险废物，产生的液态危废废物桶装密封后委托有危废资质的单位回收处置；产生的固态危险废物，袋装或桶装后委托有资质的单位处置；因此正常情况下，不会对环境产生影响。</w:t>
            </w:r>
          </w:p>
          <w:p w14:paraId="096D6749">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本项目危险废物在出厂前，按危险废物的</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管理</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要求，进行严格的包装，委托有资质的单位进行运输和处理后，不会对环境产生二次污染。</w:t>
            </w:r>
          </w:p>
          <w:p w14:paraId="78C05443">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运输过程的最大环境风险为交通事故造成的环境影响，因此要求承接的有资质处置单位，采用专用的危险废物运输车辆运输，采取有效的运输过程风险防控和应急处置措施，杜绝交通事故发生，应采取专用密闭汽车运输，在通过加强对汽车的管理，严格执行运行管理制度，本期工程在运输过程中几乎不会对沿途环境空气产生污染。</w:t>
            </w:r>
          </w:p>
          <w:p w14:paraId="3A93949F">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⑤危险废物管理要求</w:t>
            </w:r>
          </w:p>
          <w:p w14:paraId="05AC096C">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A.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14007C66">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B.产生危险废物的单位已经取得排污许可证，执行排污许可管理制度的规定。</w:t>
            </w:r>
          </w:p>
          <w:p w14:paraId="2DEF35B8">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C.从事收集、贮存、利用、处置危险废物经营活动的单位，贮存危险废物不得超过一年；确需延长期限的，应当报经颁发许可证的生态环境主管部门批准。</w:t>
            </w:r>
          </w:p>
          <w:p w14:paraId="771A70ED">
            <w:pPr>
              <w:pStyle w:val="60"/>
              <w:ind w:firstLine="48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D.对危险废物的容器和包装物以及收集、贮存、运输、利用、处置危险废物的设施、场所，应当按照规定设置危险废物识别标志。</w:t>
            </w:r>
          </w:p>
          <w:bookmarkEnd w:id="44"/>
          <w:p w14:paraId="1E6596FD">
            <w:pPr>
              <w:pStyle w:val="6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bookmarkStart w:id="45" w:name="_Toc6973"/>
            <w:bookmarkStart w:id="46" w:name="_Toc30199_WPSOffice_Level1"/>
            <w:bookmarkStart w:id="47" w:name="_Toc11882_WPSOffice_Level2"/>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环境风险分析</w:t>
            </w:r>
            <w:bookmarkEnd w:id="45"/>
            <w:bookmarkEnd w:id="46"/>
            <w:bookmarkEnd w:id="47"/>
          </w:p>
          <w:p w14:paraId="211AEDC2">
            <w:pPr>
              <w:pStyle w:val="107"/>
              <w:ind w:firstLine="480"/>
              <w:rPr>
                <w:rFonts w:hint="default" w:ascii="Times New Roman" w:hAnsi="Times New Roman" w:cs="Times New Roman" w:eastAsiaTheme="minorEastAsia"/>
                <w:color w:val="000000" w:themeColor="text1"/>
                <w:sz w:val="24"/>
                <w:szCs w:val="24"/>
                <w14:textFill>
                  <w14:solidFill>
                    <w14:schemeClr w14:val="tx1"/>
                  </w14:solidFill>
                </w14:textFill>
              </w:rPr>
            </w:pPr>
            <w:bookmarkStart w:id="48" w:name="_Toc10293"/>
            <w:r>
              <w:rPr>
                <w:rFonts w:hint="default" w:ascii="Times New Roman" w:hAnsi="Times New Roman" w:cs="Times New Roman" w:eastAsiaTheme="minorEastAsia"/>
                <w:color w:val="000000" w:themeColor="text1"/>
                <w:sz w:val="24"/>
                <w:szCs w:val="24"/>
                <w14:textFill>
                  <w14:solidFill>
                    <w14:schemeClr w14:val="tx1"/>
                  </w14:solidFill>
                </w14:textFill>
              </w:rPr>
              <w:t>1</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风险调查</w:t>
            </w:r>
          </w:p>
          <w:p w14:paraId="19017E4C">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对照《危险化学品重大危险源辨识》（GB18218-2018）、</w:t>
            </w:r>
            <w:r>
              <w:rPr>
                <w:rFonts w:hint="default" w:ascii="Times New Roman" w:hAnsi="Times New Roman" w:cs="Times New Roman" w:eastAsiaTheme="minorEastAsia"/>
                <w:color w:val="000000" w:themeColor="text1"/>
                <w14:textFill>
                  <w14:solidFill>
                    <w14:schemeClr w14:val="tx1"/>
                  </w14:solidFill>
                </w14:textFill>
              </w:rPr>
              <w:t>《建设项目环境风险评价技术导则》（HJ/T169-2018）和《关于防范环境风险加强环境影响评价管理的通知》（环发2005[152]号），对环境风险源进行了识别，本项目未涉及</w:t>
            </w:r>
            <w:r>
              <w:rPr>
                <w:rFonts w:hint="default" w:ascii="Times New Roman" w:hAnsi="Times New Roman" w:cs="Times New Roman" w:eastAsiaTheme="minorEastAsia"/>
                <w:color w:val="000000" w:themeColor="text1"/>
                <w:lang w:val="en-US" w:eastAsia="zh-CN"/>
                <w14:textFill>
                  <w14:solidFill>
                    <w14:schemeClr w14:val="tx1"/>
                  </w14:solidFill>
                </w14:textFill>
              </w:rPr>
              <w:t>危险</w:t>
            </w:r>
            <w:r>
              <w:rPr>
                <w:rFonts w:hint="default" w:ascii="Times New Roman" w:hAnsi="Times New Roman" w:cs="Times New Roman" w:eastAsiaTheme="minorEastAsia"/>
                <w:color w:val="000000" w:themeColor="text1"/>
                <w14:textFill>
                  <w14:solidFill>
                    <w14:schemeClr w14:val="tx1"/>
                  </w14:solidFill>
                </w14:textFill>
              </w:rPr>
              <w:t>化学品，环境风险潜势为I，简单分析。</w:t>
            </w:r>
          </w:p>
          <w:p w14:paraId="570BE945">
            <w:pPr>
              <w:pStyle w:val="107"/>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环境风险分析</w:t>
            </w:r>
          </w:p>
          <w:p w14:paraId="64394C40">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(1)</w:t>
            </w:r>
            <w:r>
              <w:rPr>
                <w:rFonts w:hint="default" w:ascii="Times New Roman" w:hAnsi="Times New Roman" w:cs="Times New Roman" w:eastAsiaTheme="minorEastAsia"/>
                <w:color w:val="000000" w:themeColor="text1"/>
                <w14:textFill>
                  <w14:solidFill>
                    <w14:schemeClr w14:val="tx1"/>
                  </w14:solidFill>
                </w14:textFill>
              </w:rPr>
              <w:t>次生环境污染分析</w:t>
            </w:r>
          </w:p>
          <w:p w14:paraId="3AA8F859">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发生火灾事故处理过程中引发的污染主要包括燃烧时产生的烟气（主要污染物为烟尘、CO等）、扑灭火灾产生的消防水，对周边环境和人群健康产生明显的影响。</w:t>
            </w:r>
          </w:p>
          <w:p w14:paraId="4C769E90">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(2)</w:t>
            </w:r>
            <w:r>
              <w:rPr>
                <w:rFonts w:hint="default" w:ascii="Times New Roman" w:hAnsi="Times New Roman" w:cs="Times New Roman" w:eastAsiaTheme="minorEastAsia"/>
                <w:color w:val="000000" w:themeColor="text1"/>
                <w14:textFill>
                  <w14:solidFill>
                    <w14:schemeClr w14:val="tx1"/>
                  </w14:solidFill>
                </w14:textFill>
              </w:rPr>
              <w:t>废气处理系统事故对周边环境空气的影响分析</w:t>
            </w:r>
          </w:p>
          <w:p w14:paraId="05C7B6E2">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一旦各种工序废气防治措施出现事故，项目在生产过程中产生各种废气，可由呼吸或皮肤</w:t>
            </w:r>
            <w:r>
              <w:rPr>
                <w:rFonts w:hint="eastAsia" w:ascii="Times New Roman" w:hAnsi="Times New Roman" w:cs="Times New Roman" w:eastAsiaTheme="minorEastAsia"/>
                <w:color w:val="000000" w:themeColor="text1"/>
                <w:lang w:eastAsia="zh-CN"/>
                <w14:textFill>
                  <w14:solidFill>
                    <w14:schemeClr w14:val="tx1"/>
                  </w14:solidFill>
                </w14:textFill>
              </w:rPr>
              <w:t>进入</w:t>
            </w:r>
            <w:r>
              <w:rPr>
                <w:rFonts w:hint="default" w:ascii="Times New Roman" w:hAnsi="Times New Roman" w:cs="Times New Roman" w:eastAsiaTheme="minorEastAsia"/>
                <w:color w:val="000000" w:themeColor="text1"/>
                <w14:textFill>
                  <w14:solidFill>
                    <w14:schemeClr w14:val="tx1"/>
                  </w14:solidFill>
                </w14:textFill>
              </w:rPr>
              <w:t>人体内，与人体发生化学作用或物理作用，对人体健康产生危害。本项目在生产过程中产生的非甲烷总烃</w:t>
            </w:r>
            <w:r>
              <w:rPr>
                <w:rFonts w:hint="default" w:ascii="Times New Roman" w:hAnsi="Times New Roman" w:cs="Times New Roman" w:eastAsiaTheme="minorEastAsia"/>
                <w:color w:val="000000" w:themeColor="text1"/>
                <w:lang w:eastAsia="zh-CN"/>
                <w14:textFill>
                  <w14:solidFill>
                    <w14:schemeClr w14:val="tx1"/>
                  </w14:solidFill>
                </w14:textFill>
              </w:rPr>
              <w:t>和烟尘（颗粒物）</w:t>
            </w:r>
            <w:r>
              <w:rPr>
                <w:rFonts w:hint="default" w:ascii="Times New Roman" w:hAnsi="Times New Roman" w:cs="Times New Roman" w:eastAsiaTheme="minorEastAsia"/>
                <w:color w:val="000000" w:themeColor="text1"/>
                <w14:textFill>
                  <w14:solidFill>
                    <w14:schemeClr w14:val="tx1"/>
                  </w14:solidFill>
                </w14:textFill>
              </w:rPr>
              <w:t>，若不通过机械通排风收集、处理，会弥漫在厂房及周围大气中，对周边环境空气及居民造成一定的影响。</w:t>
            </w:r>
          </w:p>
          <w:p w14:paraId="1EEE24D1">
            <w:pPr>
              <w:pStyle w:val="107"/>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环境风险防范措施</w:t>
            </w:r>
          </w:p>
          <w:p w14:paraId="325CC49F">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针对本项目有可能发生环境风险事故，本环评提出如下措施：</w:t>
            </w:r>
          </w:p>
          <w:p w14:paraId="336AE561">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(1)危废间地面及墙体防渗漏</w:t>
            </w:r>
          </w:p>
          <w:p w14:paraId="13B4E61F">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危险废物防治区参照《危险废物贮存污染控制标准》</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GB18597-</w:t>
            </w:r>
            <w:r>
              <w:rPr>
                <w:rFonts w:hint="default" w:ascii="Times New Roman" w:hAnsi="Times New Roman" w:cs="Times New Roman" w:eastAsiaTheme="minorEastAsia"/>
                <w:color w:val="000000" w:themeColor="text1"/>
                <w:lang w:val="en-US" w:eastAsia="zh-CN"/>
                <w14:textFill>
                  <w14:solidFill>
                    <w14:schemeClr w14:val="tx1"/>
                  </w14:solidFill>
                </w14:textFill>
              </w:rPr>
              <w:t>2023</w:t>
            </w:r>
            <w:r>
              <w:rPr>
                <w:rFonts w:hint="default"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制定防渗设计方案。</w:t>
            </w:r>
            <w:r>
              <w:rPr>
                <w:rFonts w:hint="default" w:ascii="Times New Roman" w:hAnsi="Times New Roman" w:cs="Times New Roman" w:eastAsiaTheme="minorEastAsia"/>
                <w:color w:val="000000" w:themeColor="text1"/>
                <w:lang w:eastAsia="zh-CN"/>
                <w14:textFill>
                  <w14:solidFill>
                    <w14:schemeClr w14:val="tx1"/>
                  </w14:solidFill>
                </w14:textFill>
              </w:rPr>
              <w:t>厂房已建设，地面是</w:t>
            </w:r>
            <w:r>
              <w:rPr>
                <w:rFonts w:hint="default" w:ascii="Times New Roman" w:hAnsi="Times New Roman" w:cs="Times New Roman" w:eastAsiaTheme="minorEastAsia"/>
                <w:color w:val="000000" w:themeColor="text1"/>
                <w14:textFill>
                  <w14:solidFill>
                    <w14:schemeClr w14:val="tx1"/>
                  </w14:solidFill>
                </w14:textFill>
              </w:rPr>
              <w:t>采用</w:t>
            </w:r>
            <w:r>
              <w:rPr>
                <w:rFonts w:hint="eastAsia" w:cs="Times New Roman" w:eastAsiaTheme="minorEastAsia"/>
                <w:color w:val="000000" w:themeColor="text1"/>
                <w:lang w:val="en-US" w:eastAsia="zh-CN"/>
                <w14:textFill>
                  <w14:solidFill>
                    <w14:schemeClr w14:val="tx1"/>
                  </w14:solidFill>
                </w14:textFill>
              </w:rPr>
              <w:t>30</w:t>
            </w:r>
            <w:r>
              <w:rPr>
                <w:rFonts w:hint="default" w:ascii="Times New Roman" w:hAnsi="Times New Roman" w:cs="Times New Roman" w:eastAsiaTheme="minorEastAsia"/>
                <w:color w:val="000000" w:themeColor="text1"/>
                <w14:textFill>
                  <w14:solidFill>
                    <w14:schemeClr w14:val="tx1"/>
                  </w14:solidFill>
                </w14:textFill>
              </w:rPr>
              <w:t>cm厚度混凝土搅拌压实作为基础防渗措施，</w:t>
            </w:r>
            <w:r>
              <w:rPr>
                <w:rFonts w:hint="default" w:ascii="Times New Roman" w:hAnsi="Times New Roman" w:cs="Times New Roman" w:eastAsiaTheme="minorEastAsia"/>
                <w:color w:val="000000" w:themeColor="text1"/>
                <w:lang w:eastAsia="zh-CN"/>
                <w14:textFill>
                  <w14:solidFill>
                    <w14:schemeClr w14:val="tx1"/>
                  </w14:solidFill>
                </w14:textFill>
              </w:rPr>
              <w:t>项目批准后需</w:t>
            </w:r>
            <w:r>
              <w:rPr>
                <w:rFonts w:hint="default" w:ascii="Times New Roman" w:hAnsi="Times New Roman" w:cs="Times New Roman" w:eastAsiaTheme="minorEastAsia"/>
                <w:color w:val="000000" w:themeColor="text1"/>
                <w14:textFill>
                  <w14:solidFill>
                    <w14:schemeClr w14:val="tx1"/>
                  </w14:solidFill>
                </w14:textFill>
              </w:rPr>
              <w:t>在混凝土表面喷涂防腐防渗油漆加强基础防渗</w:t>
            </w:r>
            <w:r>
              <w:rPr>
                <w:rFonts w:hint="default" w:ascii="Times New Roman" w:hAnsi="Times New Roman" w:cs="Times New Roman" w:eastAsiaTheme="minorEastAsia"/>
                <w:color w:val="000000" w:themeColor="text1"/>
                <w:lang w:eastAsia="zh-CN"/>
                <w14:textFill>
                  <w14:solidFill>
                    <w14:schemeClr w14:val="tx1"/>
                  </w14:solidFill>
                </w14:textFill>
              </w:rPr>
              <w:t>，使其</w:t>
            </w:r>
            <w:r>
              <w:rPr>
                <w:rFonts w:hint="default" w:ascii="Times New Roman" w:hAnsi="Times New Roman" w:cs="Times New Roman" w:eastAsiaTheme="minorEastAsia"/>
                <w:color w:val="000000" w:themeColor="text1"/>
                <w14:textFill>
                  <w14:solidFill>
                    <w14:schemeClr w14:val="tx1"/>
                  </w14:solidFill>
                </w14:textFill>
              </w:rPr>
              <w:t>综合渗透系数应小于1×10</w:t>
            </w:r>
            <w:r>
              <w:rPr>
                <w:rFonts w:hint="default" w:ascii="Times New Roman" w:hAnsi="Times New Roman" w:cs="Times New Roman" w:eastAsiaTheme="minorEastAsia"/>
                <w:color w:val="000000" w:themeColor="text1"/>
                <w:vertAlign w:val="superscript"/>
                <w14:textFill>
                  <w14:solidFill>
                    <w14:schemeClr w14:val="tx1"/>
                  </w14:solidFill>
                </w14:textFill>
              </w:rPr>
              <w:t>-10</w:t>
            </w:r>
            <w:r>
              <w:rPr>
                <w:rFonts w:hint="default" w:ascii="Times New Roman" w:hAnsi="Times New Roman" w:cs="Times New Roman" w:eastAsiaTheme="minorEastAsia"/>
                <w:color w:val="000000" w:themeColor="text1"/>
                <w14:textFill>
                  <w14:solidFill>
                    <w14:schemeClr w14:val="tx1"/>
                  </w14:solidFill>
                </w14:textFill>
              </w:rPr>
              <w:t>cm/s。</w:t>
            </w:r>
          </w:p>
          <w:p w14:paraId="6222EF56">
            <w:pPr>
              <w:pStyle w:val="99"/>
              <w:ind w:firstLine="436" w:firstLineChars="182"/>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(2)火灾、爆炸风险防范措施</w:t>
            </w:r>
          </w:p>
          <w:p w14:paraId="45B786D7">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要求员工严格遵守国家相关管理规定，对工作本着认真负责的态度，在发生事故后能正确采取相应的安全措施和及时启动事故应急预案。</w:t>
            </w:r>
          </w:p>
          <w:p w14:paraId="17578981">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(3)其他</w:t>
            </w:r>
          </w:p>
          <w:p w14:paraId="4B8A2A66">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①定期组织安全隐患排查及整改工作。</w:t>
            </w:r>
          </w:p>
          <w:p w14:paraId="74A84173">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②严格执行三级安全教育制度，员工上岗前或转岗必须经过安全教育培训后，经考核合格后才可以上岗。操作人员在上岗前应接受有关的安全生产教育，未经培训的新工人，实习人员和临时工不得单独操作，制定有关安全操作规章制度；新员工的安全培训制度：新员工应接受安全教育和培训，在有安全工作经验的职工带领下工作，考核合格后，方可独立工作。</w:t>
            </w:r>
          </w:p>
          <w:p w14:paraId="453AB6C7">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全体职工安全教育制度：所有生产作业人员，每年要接受在职安全教育培训1-2次。公司一年组织2-4次应急演练。</w:t>
            </w:r>
          </w:p>
          <w:p w14:paraId="6D32B931">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③对消防器材定期巡查，保证处于完好状态，消防设施和消防设备要定期测试。</w:t>
            </w:r>
          </w:p>
          <w:p w14:paraId="3F5E90BF">
            <w:pPr>
              <w:pStyle w:val="99"/>
              <w:ind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④在厂区内设置醒目的安全标志、禁令、警语和告示牌，杜绝明火火源，严禁超速。厂区内严禁吸烟。</w:t>
            </w:r>
          </w:p>
          <w:p w14:paraId="056BABB0">
            <w:pPr>
              <w:pStyle w:val="60"/>
              <w:spacing w:before="12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土壤环境影响分析</w:t>
            </w:r>
            <w:bookmarkEnd w:id="48"/>
          </w:p>
          <w:p w14:paraId="08FF6329">
            <w:pPr>
              <w:pStyle w:val="120"/>
              <w:widowControl/>
              <w:spacing w:line="360" w:lineRule="auto"/>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根据《环境影响评价技术导则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土壤环境（试行）</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HJ964-2018</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）附录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，本项目属于制造业</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-设备制造、金属制品、汽车制造及其他用品制造中的“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其他</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类，土壤环境影响评价项目为</w:t>
            </w:r>
            <w:r>
              <w:rPr>
                <w:rFonts w:hint="default" w:ascii="Times New Roman" w:hAnsi="Times New Roman" w:cs="Times New Roman" w:eastAsiaTheme="minorEastAsia"/>
                <w:color w:val="000000" w:themeColor="text1"/>
                <w:sz w:val="24"/>
                <w:szCs w:val="24"/>
                <w:lang w:val="en-US"/>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lang w:val="en-US"/>
                <w14:textFill>
                  <w14:solidFill>
                    <w14:schemeClr w14:val="tx1"/>
                  </w14:solidFill>
                </w14:textFill>
              </w:rPr>
              <w:instrText xml:space="preserve"> = 4 \* ROMAN \* MERGEFORMAT </w:instrText>
            </w:r>
            <w:r>
              <w:rPr>
                <w:rFonts w:hint="default" w:ascii="Times New Roman" w:hAnsi="Times New Roman" w:cs="Times New Roman" w:eastAsiaTheme="minorEastAsia"/>
                <w:color w:val="000000" w:themeColor="text1"/>
                <w:sz w:val="24"/>
                <w:szCs w:val="24"/>
                <w:lang w:val="en-US"/>
                <w14:textFill>
                  <w14:solidFill>
                    <w14:schemeClr w14:val="tx1"/>
                  </w14:solidFill>
                </w14:textFill>
              </w:rPr>
              <w:fldChar w:fldCharType="separate"/>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14:textFill>
                  <w14:solidFill>
                    <w14:schemeClr w14:val="tx1"/>
                  </w14:solidFill>
                </w14:textFill>
              </w:rPr>
              <w:instrText xml:space="preserve"> = 3 \* ROMAN \* MERGEFORMAT </w:instrTex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separate"/>
            </w:r>
            <w:r>
              <w:rPr>
                <w:rFonts w:hint="default" w:ascii="Times New Roman" w:hAnsi="Times New Roman" w:cs="Times New Roman" w:eastAsiaTheme="minorEastAsia"/>
                <w:color w:val="000000" w:themeColor="text1"/>
                <w14:textFill>
                  <w14:solidFill>
                    <w14:schemeClr w14:val="tx1"/>
                  </w14:solidFill>
                </w14:textFill>
              </w:rPr>
              <w:t>III</w: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项目占地面积</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600</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highlight w:val="none"/>
                <w:vertAlign w:val="superscript"/>
                <w:lang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（≤5hm</w:t>
            </w:r>
            <w:r>
              <w:rPr>
                <w:rFonts w:hint="default" w:ascii="Times New Roman" w:hAnsi="Times New Roman" w:cs="Times New Roman" w:eastAsiaTheme="minorEastAsia"/>
                <w:color w:val="000000" w:themeColor="text1"/>
                <w:sz w:val="24"/>
                <w:szCs w:val="24"/>
                <w:highlight w:val="none"/>
                <w:vertAlign w:val="superscript"/>
                <w:lang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），占地规模属于小型（≤5hm</w:t>
            </w:r>
            <w:r>
              <w:rPr>
                <w:rFonts w:hint="default" w:ascii="Times New Roman" w:hAnsi="Times New Roman" w:cs="Times New Roman" w:eastAsiaTheme="minorEastAsia"/>
                <w:color w:val="000000" w:themeColor="text1"/>
                <w:sz w:val="24"/>
                <w:szCs w:val="24"/>
                <w:highlight w:val="none"/>
                <w:vertAlign w:val="superscript"/>
                <w:lang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）。根据《环境影响评价技术导则 土壤环境（试行）》(HJ964-2018)表3污染影响型敏感程度分级表，项目属于表中“其他情况”，敏感程度为“不敏感”。综上，项目评价工作等级属于“Ⅲ类小型不敏感区”，故项目可不开展土壤环境影响评价工作。</w:t>
            </w:r>
          </w:p>
          <w:p w14:paraId="760B9FFD">
            <w:pPr>
              <w:spacing w:line="360" w:lineRule="auto"/>
              <w:ind w:firstLine="480" w:firstLineChars="20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w:t>
            </w:r>
            <w:r>
              <w:rPr>
                <w:rFonts w:hint="default" w:ascii="Times New Roman" w:hAnsi="Times New Roman" w:cs="Times New Roman" w:eastAsiaTheme="minorEastAsia"/>
                <w:bCs/>
                <w:color w:val="000000" w:themeColor="text1"/>
                <w:sz w:val="24"/>
                <w14:textFill>
                  <w14:solidFill>
                    <w14:schemeClr w14:val="tx1"/>
                  </w14:solidFill>
                </w14:textFill>
              </w:rPr>
              <w:t>《环境影响评价技术导则</w:t>
            </w: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 xml:space="preserve"> </w:t>
            </w:r>
            <w:r>
              <w:rPr>
                <w:rFonts w:hint="default" w:ascii="Times New Roman" w:hAnsi="Times New Roman" w:cs="Times New Roman" w:eastAsiaTheme="minorEastAsia"/>
                <w:bCs/>
                <w:color w:val="000000" w:themeColor="text1"/>
                <w:sz w:val="24"/>
                <w14:textFill>
                  <w14:solidFill>
                    <w14:schemeClr w14:val="tx1"/>
                  </w14:solidFill>
                </w14:textFill>
              </w:rPr>
              <w:t>土壤环境（试行）》（HJ964-2018）</w:t>
            </w:r>
            <w:r>
              <w:rPr>
                <w:rFonts w:hint="default" w:ascii="Times New Roman" w:hAnsi="Times New Roman" w:cs="Times New Roman" w:eastAsiaTheme="minorEastAsia"/>
                <w:color w:val="000000" w:themeColor="text1"/>
                <w:sz w:val="24"/>
                <w14:textFill>
                  <w14:solidFill>
                    <w14:schemeClr w14:val="tx1"/>
                  </w14:solidFill>
                </w14:textFill>
              </w:rPr>
              <w:t>，污染影响类项目涉及大气沉降影响的，占地范围内应采取绿化措施，以种植具有较强吸附能力的植物为主；涉及地面漫流影响，应根据建设项目所在地的地形特点优化地面布局，必要时设置地面硬化、围堰或围墙，以防止土壤环境污染；涉及入渗途径影响的，应根据相关标准规范要求，对设备设施采取相应的防渗措施，以防止土壤环境污染。本项目</w:t>
            </w:r>
            <w:r>
              <w:rPr>
                <w:rFonts w:hint="default" w:ascii="Times New Roman" w:hAnsi="Times New Roman" w:cs="Times New Roman" w:eastAsiaTheme="minorEastAsia"/>
                <w:color w:val="000000" w:themeColor="text1"/>
                <w:sz w:val="24"/>
                <w:lang w:eastAsia="zh-CN"/>
                <w14:textFill>
                  <w14:solidFill>
                    <w14:schemeClr w14:val="tx1"/>
                  </w14:solidFill>
                </w14:textFill>
              </w:rPr>
              <w:t>涉及有机废气排放，但项目周边均为工业企业</w:t>
            </w:r>
            <w:r>
              <w:rPr>
                <w:rFonts w:hint="eastAsia" w:cs="Times New Roman" w:eastAsiaTheme="minorEastAsia"/>
                <w:color w:val="000000" w:themeColor="text1"/>
                <w:sz w:val="24"/>
                <w:lang w:eastAsia="zh-CN"/>
                <w14:textFill>
                  <w14:solidFill>
                    <w14:schemeClr w14:val="tx1"/>
                  </w14:solidFill>
                </w14:textFill>
              </w:rPr>
              <w:t>且</w:t>
            </w:r>
            <w:r>
              <w:rPr>
                <w:rFonts w:hint="default" w:ascii="Times New Roman" w:hAnsi="Times New Roman" w:cs="Times New Roman" w:eastAsiaTheme="minorEastAsia"/>
                <w:color w:val="000000" w:themeColor="text1"/>
                <w:sz w:val="24"/>
                <w:lang w:eastAsia="zh-CN"/>
                <w14:textFill>
                  <w14:solidFill>
                    <w14:schemeClr w14:val="tx1"/>
                  </w14:solidFill>
                </w14:textFill>
              </w:rPr>
              <w:t>周边地面均</w:t>
            </w:r>
            <w:r>
              <w:rPr>
                <w:rFonts w:hint="eastAsia" w:ascii="Times New Roman" w:hAnsi="Times New Roman" w:cs="Times New Roman" w:eastAsiaTheme="minorEastAsia"/>
                <w:color w:val="000000" w:themeColor="text1"/>
                <w:sz w:val="24"/>
                <w:lang w:eastAsia="zh-CN"/>
                <w14:textFill>
                  <w14:solidFill>
                    <w14:schemeClr w14:val="tx1"/>
                  </w14:solidFill>
                </w14:textFill>
              </w:rPr>
              <w:t>已</w:t>
            </w:r>
            <w:r>
              <w:rPr>
                <w:rFonts w:hint="default" w:ascii="Times New Roman" w:hAnsi="Times New Roman" w:cs="Times New Roman" w:eastAsiaTheme="minorEastAsia"/>
                <w:color w:val="000000" w:themeColor="text1"/>
                <w:sz w:val="24"/>
                <w:lang w:eastAsia="zh-CN"/>
                <w14:textFill>
                  <w14:solidFill>
                    <w14:schemeClr w14:val="tx1"/>
                  </w14:solidFill>
                </w14:textFill>
              </w:rPr>
              <w:t>硬化，项目对土壤环境影响较小，本评价不对项目土壤环境进行跟踪监测。</w:t>
            </w:r>
          </w:p>
          <w:p w14:paraId="30585572">
            <w:pPr>
              <w:pStyle w:val="60"/>
              <w:spacing w:before="120"/>
              <w:ind w:firstLine="0" w:firstLineChars="0"/>
              <w:rPr>
                <w:rFonts w:hint="default" w:ascii="Times New Roman" w:hAnsi="Times New Roman" w:cs="Times New Roman" w:eastAsiaTheme="minorEastAsia"/>
                <w:b/>
                <w:bCs/>
                <w:color w:val="000000" w:themeColor="text1"/>
                <w:kern w:val="2"/>
                <w:sz w:val="24"/>
                <w:szCs w:val="24"/>
                <w14:textFill>
                  <w14:solidFill>
                    <w14:schemeClr w14:val="tx1"/>
                  </w14:solidFill>
                </w14:textFill>
              </w:rPr>
            </w:pPr>
            <w:bookmarkStart w:id="49" w:name="_Toc20673"/>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4.</w:t>
            </w:r>
            <w:r>
              <w:rPr>
                <w:rFonts w:hint="default" w:ascii="Times New Roman" w:hAnsi="Times New Roman" w:cs="Times New Roman" w:eastAsiaTheme="minorEastAsia"/>
                <w:b/>
                <w:bCs/>
                <w:color w:val="000000" w:themeColor="text1"/>
                <w:kern w:val="2"/>
                <w:sz w:val="24"/>
                <w:szCs w:val="24"/>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kern w:val="2"/>
                <w:sz w:val="24"/>
                <w:szCs w:val="24"/>
                <w14:textFill>
                  <w14:solidFill>
                    <w14:schemeClr w14:val="tx1"/>
                  </w14:solidFill>
                </w14:textFill>
              </w:rPr>
              <w:t>地下水防渗措施分析</w:t>
            </w:r>
            <w:bookmarkEnd w:id="49"/>
          </w:p>
          <w:p w14:paraId="1F216051">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根据《环境影响评价技术导则 地下水环境》（HJ610-2016）中附录A“地下水环境影响评价行业分类表”</w:t>
            </w:r>
            <w:r>
              <w:rPr>
                <w:rFonts w:hint="eastAsia" w:ascii="Times New Roman" w:hAnsi="Times New Roman" w:cs="Times New Roman" w:eastAsiaTheme="minorEastAsia"/>
                <w:color w:val="000000" w:themeColor="text1"/>
                <w:sz w:val="24"/>
                <w:lang w:eastAsia="zh-CN"/>
                <w14:textFill>
                  <w14:solidFill>
                    <w14:schemeClr w14:val="tx1"/>
                  </w14:solidFill>
                </w14:textFill>
              </w:rPr>
              <w:t>中的</w:t>
            </w:r>
            <w:r>
              <w:rPr>
                <w:rFonts w:hint="default" w:ascii="Times New Roman" w:hAnsi="Times New Roman" w:cs="Times New Roman" w:eastAsiaTheme="minorEastAsia"/>
                <w:color w:val="000000" w:themeColor="text1"/>
                <w:sz w:val="24"/>
                <w14:textFill>
                  <w14:solidFill>
                    <w14:schemeClr w14:val="tx1"/>
                  </w14:solidFill>
                </w14:textFill>
              </w:rPr>
              <w:t>相关规定，项目属于“</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I金属制品：52、金属铸件”</w:t>
            </w:r>
            <w:r>
              <w:rPr>
                <w:rFonts w:hint="default" w:ascii="Times New Roman" w:hAnsi="Times New Roman" w:cs="Times New Roman" w:eastAsiaTheme="minorEastAsia"/>
                <w:color w:val="000000" w:themeColor="text1"/>
                <w:sz w:val="24"/>
                <w14:textFill>
                  <w14:solidFill>
                    <w14:schemeClr w14:val="tx1"/>
                  </w14:solidFill>
                </w14:textFill>
              </w:rPr>
              <w:t>中编制报告表的，项目地下水环境影响评价项目类别为IV类，无需开展地下水评价。</w:t>
            </w:r>
          </w:p>
          <w:p w14:paraId="5730A6C9">
            <w:pPr>
              <w:spacing w:line="360" w:lineRule="auto"/>
              <w:jc w:val="left"/>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4.</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9</w:t>
            </w:r>
            <w:r>
              <w:rPr>
                <w:rFonts w:hint="default" w:ascii="Times New Roman" w:hAnsi="Times New Roman" w:cs="Times New Roman" w:eastAsiaTheme="minorEastAsia"/>
                <w:b/>
                <w:bCs/>
                <w:color w:val="000000" w:themeColor="text1"/>
                <w:sz w:val="24"/>
                <w:szCs w:val="24"/>
                <w14:textFill>
                  <w14:solidFill>
                    <w14:schemeClr w14:val="tx1"/>
                  </w14:solidFill>
                </w14:textFill>
              </w:rPr>
              <w:t>运营期生态影响和污染治理措施</w:t>
            </w:r>
          </w:p>
          <w:p w14:paraId="34FD129C">
            <w:pPr>
              <w:pStyle w:val="18"/>
              <w:spacing w:line="360" w:lineRule="auto"/>
              <w:ind w:left="0" w:right="0" w:firstLine="480"/>
              <w:jc w:val="left"/>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项目不涉及</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57F5651D">
            <w:pPr>
              <w:spacing w:line="360" w:lineRule="auto"/>
              <w:jc w:val="left"/>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4.</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b/>
                <w:bCs/>
                <w:color w:val="000000" w:themeColor="text1"/>
                <w:sz w:val="24"/>
                <w:szCs w:val="24"/>
                <w14:textFill>
                  <w14:solidFill>
                    <w14:schemeClr w14:val="tx1"/>
                  </w14:solidFill>
                </w14:textFill>
              </w:rPr>
              <w:t>运营期电磁辐射影响和污染治理措施</w:t>
            </w:r>
          </w:p>
          <w:p w14:paraId="509A15CF">
            <w:pPr>
              <w:pStyle w:val="18"/>
              <w:spacing w:line="360" w:lineRule="auto"/>
              <w:ind w:left="0" w:right="0" w:firstLine="480"/>
              <w:jc w:val="left"/>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项目不涉及</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14:paraId="10958574">
            <w:pPr>
              <w:spacing w:line="360" w:lineRule="auto"/>
              <w:jc w:val="left"/>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4.11</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排污许可管理</w:t>
            </w:r>
          </w:p>
          <w:p w14:paraId="263FD59F">
            <w:pPr>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根据《固定污染源排污许可分类管理名录(2019年版)》(生态环境部第11号)可知，本项目实行排污许可</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简化管理</w:t>
            </w:r>
            <w:r>
              <w:rPr>
                <w:rFonts w:hint="default" w:ascii="Times New Roman" w:hAnsi="Times New Roman" w:cs="Times New Roman" w:eastAsiaTheme="minorEastAsia"/>
                <w:color w:val="000000" w:themeColor="text1"/>
                <w:sz w:val="24"/>
                <w14:textFill>
                  <w14:solidFill>
                    <w14:schemeClr w14:val="tx1"/>
                  </w14:solidFill>
                </w14:textFill>
              </w:rPr>
              <w:t>；因此，建设单位应当</w:t>
            </w:r>
            <w:r>
              <w:rPr>
                <w:rFonts w:hint="eastAsia" w:ascii="Times New Roman" w:hAnsi="Times New Roman" w:cs="Times New Roman" w:eastAsiaTheme="minorEastAsia"/>
                <w:color w:val="000000" w:themeColor="text1"/>
                <w:sz w:val="24"/>
                <w:lang w:eastAsia="zh-CN"/>
                <w14:textFill>
                  <w14:solidFill>
                    <w14:schemeClr w14:val="tx1"/>
                  </w14:solidFill>
                </w14:textFill>
              </w:rPr>
              <w:t>在</w:t>
            </w:r>
            <w:r>
              <w:rPr>
                <w:rFonts w:hint="default" w:ascii="Times New Roman" w:hAnsi="Times New Roman" w:cs="Times New Roman" w:eastAsiaTheme="minorEastAsia"/>
                <w:color w:val="000000" w:themeColor="text1"/>
                <w:sz w:val="24"/>
                <w14:textFill>
                  <w14:solidFill>
                    <w14:schemeClr w14:val="tx1"/>
                  </w14:solidFill>
                </w14:textFill>
              </w:rPr>
              <w:t>启动生产设施或者发生实际排污之前</w:t>
            </w:r>
            <w:r>
              <w:rPr>
                <w:rFonts w:hint="default" w:ascii="Times New Roman" w:hAnsi="Times New Roman" w:cs="Times New Roman" w:eastAsiaTheme="minorEastAsia"/>
                <w:color w:val="000000" w:themeColor="text1"/>
                <w:sz w:val="24"/>
                <w:lang w:eastAsia="zh-CN"/>
                <w14:textFill>
                  <w14:solidFill>
                    <w14:schemeClr w14:val="tx1"/>
                  </w14:solidFill>
                </w14:textFill>
              </w:rPr>
              <w:t>需</w:t>
            </w:r>
            <w:r>
              <w:rPr>
                <w:rFonts w:hint="default" w:ascii="Times New Roman" w:hAnsi="Times New Roman" w:cs="Times New Roman" w:eastAsiaTheme="minorEastAsia"/>
                <w:color w:val="000000" w:themeColor="text1"/>
                <w:sz w:val="24"/>
                <w14:textFill>
                  <w14:solidFill>
                    <w14:schemeClr w14:val="tx1"/>
                  </w14:solidFill>
                </w14:textFill>
              </w:rPr>
              <w:t>申请取得排污许可证。固定污染源排污许可分类管理名录(2019年版)</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eastAsia="zh-CN"/>
                <w14:textFill>
                  <w14:solidFill>
                    <w14:schemeClr w14:val="tx1"/>
                  </w14:solidFill>
                </w14:textFill>
              </w:rPr>
              <w:t>摘录</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lang w:eastAsia="zh-CN"/>
                <w14:textFill>
                  <w14:solidFill>
                    <w14:schemeClr w14:val="tx1"/>
                  </w14:solidFill>
                </w14:textFill>
              </w:rPr>
              <w:t>详见表</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4.11-1。</w:t>
            </w:r>
          </w:p>
          <w:p w14:paraId="7170AC29">
            <w:pPr>
              <w:adjustRightInd w:val="0"/>
              <w:snapToGrid w:val="0"/>
              <w:spacing w:before="120" w:beforeLines="50"/>
              <w:jc w:val="center"/>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14:textFill>
                  <w14:solidFill>
                    <w14:schemeClr w14:val="tx1"/>
                  </w14:solidFill>
                </w14:textFill>
              </w:rPr>
              <w:t>表</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 xml:space="preserve">4.11-1  </w:t>
            </w:r>
            <w:r>
              <w:rPr>
                <w:rFonts w:hint="default" w:ascii="Times New Roman" w:hAnsi="Times New Roman" w:cs="Times New Roman" w:eastAsiaTheme="minorEastAsia"/>
                <w:b/>
                <w:bCs/>
                <w:color w:val="000000" w:themeColor="text1"/>
                <w:sz w:val="24"/>
                <w14:textFill>
                  <w14:solidFill>
                    <w14:schemeClr w14:val="tx1"/>
                  </w14:solidFill>
                </w14:textFill>
              </w:rPr>
              <w:t>固定污染源排污许可分类管理名录(2019年版)(摘录)</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79"/>
              <w:gridCol w:w="2074"/>
              <w:gridCol w:w="2076"/>
              <w:gridCol w:w="1777"/>
            </w:tblGrid>
            <w:tr w14:paraId="5905B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noWrap w:val="0"/>
                  <w:vAlign w:val="center"/>
                </w:tcPr>
                <w:p w14:paraId="7D6DCFA5">
                  <w:pPr>
                    <w:spacing w:line="340" w:lineRule="exact"/>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序号</w:t>
                  </w:r>
                </w:p>
              </w:tc>
              <w:tc>
                <w:tcPr>
                  <w:tcW w:w="1779" w:type="dxa"/>
                  <w:shd w:val="clear" w:color="auto" w:fill="auto"/>
                  <w:noWrap w:val="0"/>
                  <w:vAlign w:val="center"/>
                </w:tcPr>
                <w:p w14:paraId="4ED2EA2B">
                  <w:pPr>
                    <w:spacing w:line="340" w:lineRule="exact"/>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行业类别</w:t>
                  </w:r>
                </w:p>
              </w:tc>
              <w:tc>
                <w:tcPr>
                  <w:tcW w:w="2074" w:type="dxa"/>
                  <w:shd w:val="clear" w:color="auto" w:fill="auto"/>
                  <w:noWrap w:val="0"/>
                  <w:vAlign w:val="center"/>
                </w:tcPr>
                <w:p w14:paraId="0E4B3106">
                  <w:pPr>
                    <w:adjustRightInd w:val="0"/>
                    <w:snapToGrid w:val="0"/>
                    <w:spacing w:line="340" w:lineRule="exact"/>
                    <w:jc w:val="center"/>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重点管理</w:t>
                  </w:r>
                </w:p>
              </w:tc>
              <w:tc>
                <w:tcPr>
                  <w:tcW w:w="2076" w:type="dxa"/>
                  <w:tcBorders>
                    <w:top w:val="single" w:color="auto" w:sz="12" w:space="0"/>
                    <w:bottom w:val="single" w:color="auto" w:sz="4" w:space="0"/>
                  </w:tcBorders>
                  <w:shd w:val="clear" w:color="auto" w:fill="D7D7D7"/>
                  <w:noWrap w:val="0"/>
                  <w:vAlign w:val="center"/>
                </w:tcPr>
                <w:p w14:paraId="6C981800">
                  <w:pPr>
                    <w:adjustRightInd w:val="0"/>
                    <w:snapToGrid w:val="0"/>
                    <w:spacing w:line="340" w:lineRule="exact"/>
                    <w:jc w:val="center"/>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简化管理</w:t>
                  </w:r>
                </w:p>
              </w:tc>
              <w:tc>
                <w:tcPr>
                  <w:tcW w:w="1777" w:type="dxa"/>
                  <w:tcBorders>
                    <w:top w:val="single" w:color="auto" w:sz="12" w:space="0"/>
                    <w:bottom w:val="single" w:color="auto" w:sz="4" w:space="0"/>
                  </w:tcBorders>
                  <w:shd w:val="clear" w:color="auto" w:fill="auto"/>
                  <w:noWrap w:val="0"/>
                  <w:vAlign w:val="center"/>
                </w:tcPr>
                <w:p w14:paraId="4E2E1B21">
                  <w:pPr>
                    <w:adjustRightInd w:val="0"/>
                    <w:snapToGrid w:val="0"/>
                    <w:spacing w:line="340" w:lineRule="exact"/>
                    <w:jc w:val="center"/>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登记管理</w:t>
                  </w:r>
                </w:p>
              </w:tc>
            </w:tr>
            <w:tr w14:paraId="0C388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auto"/>
                  <w:noWrap w:val="0"/>
                  <w:vAlign w:val="center"/>
                </w:tcPr>
                <w:p w14:paraId="4E1018B0">
                  <w:pPr>
                    <w:adjustRightInd w:val="0"/>
                    <w:snapToGrid w:val="0"/>
                    <w:spacing w:line="340" w:lineRule="exact"/>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二十八、金属制品业33</w:t>
                  </w:r>
                </w:p>
              </w:tc>
            </w:tr>
            <w:tr w14:paraId="7E6AE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noWrap w:val="0"/>
                  <w:vAlign w:val="center"/>
                </w:tcPr>
                <w:p w14:paraId="32DEF4F9">
                  <w:pPr>
                    <w:spacing w:line="340" w:lineRule="exact"/>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82</w:t>
                  </w:r>
                </w:p>
              </w:tc>
              <w:tc>
                <w:tcPr>
                  <w:tcW w:w="1779" w:type="dxa"/>
                  <w:shd w:val="clear" w:color="auto" w:fill="auto"/>
                  <w:noWrap w:val="0"/>
                  <w:vAlign w:val="center"/>
                </w:tcPr>
                <w:p w14:paraId="136A3482">
                  <w:pPr>
                    <w:spacing w:line="340" w:lineRule="exact"/>
                    <w:jc w:val="center"/>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铸造及其他金属制品制造339</w:t>
                  </w:r>
                </w:p>
              </w:tc>
              <w:tc>
                <w:tcPr>
                  <w:tcW w:w="2074" w:type="dxa"/>
                  <w:shd w:val="clear" w:color="auto" w:fill="auto"/>
                  <w:noWrap w:val="0"/>
                  <w:vAlign w:val="center"/>
                </w:tcPr>
                <w:p w14:paraId="2B425021">
                  <w:pPr>
                    <w:adjustRightInd w:val="0"/>
                    <w:snapToGrid w:val="0"/>
                    <w:spacing w:line="340" w:lineRule="exact"/>
                    <w:jc w:val="center"/>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黑色金属铸造3391（使用冲天炉的），有色金属铸造3392（生产铅基及铅青铜铸件的）</w:t>
                  </w:r>
                </w:p>
              </w:tc>
              <w:tc>
                <w:tcPr>
                  <w:tcW w:w="2076" w:type="dxa"/>
                  <w:tcBorders>
                    <w:top w:val="single" w:color="auto" w:sz="4" w:space="0"/>
                    <w:bottom w:val="single" w:color="auto" w:sz="4" w:space="0"/>
                  </w:tcBorders>
                  <w:shd w:val="clear" w:color="auto" w:fill="D7D7D7"/>
                  <w:noWrap w:val="0"/>
                  <w:vAlign w:val="center"/>
                </w:tcPr>
                <w:p w14:paraId="698DC375">
                  <w:pPr>
                    <w:adjustRightInd w:val="0"/>
                    <w:snapToGrid w:val="0"/>
                    <w:spacing w:line="340" w:lineRule="exact"/>
                    <w:jc w:val="center"/>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除重点管理以外的黑色金属铸造3391、有色金属铸造3392</w:t>
                  </w:r>
                </w:p>
              </w:tc>
              <w:tc>
                <w:tcPr>
                  <w:tcW w:w="1777" w:type="dxa"/>
                  <w:tcBorders>
                    <w:top w:val="single" w:color="auto" w:sz="4" w:space="0"/>
                    <w:bottom w:val="single" w:color="auto" w:sz="4" w:space="0"/>
                  </w:tcBorders>
                  <w:shd w:val="clear" w:color="auto" w:fill="auto"/>
                  <w:noWrap w:val="0"/>
                  <w:vAlign w:val="center"/>
                </w:tcPr>
                <w:p w14:paraId="12439E9F">
                  <w:pPr>
                    <w:adjustRightInd w:val="0"/>
                    <w:snapToGrid w:val="0"/>
                    <w:spacing w:line="340" w:lineRule="exact"/>
                    <w:jc w:val="center"/>
                    <w:textAlignment w:val="baseline"/>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w:t>
                  </w:r>
                </w:p>
              </w:tc>
            </w:tr>
            <w:tr w14:paraId="33097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shd w:val="clear" w:color="auto" w:fill="auto"/>
                  <w:noWrap w:val="0"/>
                  <w:vAlign w:val="center"/>
                </w:tcPr>
                <w:p w14:paraId="709AC3E6">
                  <w:pPr>
                    <w:adjustRightInd w:val="0"/>
                    <w:snapToGrid w:val="0"/>
                    <w:spacing w:line="340" w:lineRule="exact"/>
                    <w:jc w:val="left"/>
                    <w:textAlignment w:val="baseline"/>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五十一、通用工序</w:t>
                  </w:r>
                </w:p>
              </w:tc>
            </w:tr>
            <w:tr w14:paraId="48583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noWrap w:val="0"/>
                  <w:vAlign w:val="center"/>
                </w:tcPr>
                <w:p w14:paraId="192BB166">
                  <w:pPr>
                    <w:spacing w:line="340" w:lineRule="exact"/>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110</w:t>
                  </w:r>
                </w:p>
              </w:tc>
              <w:tc>
                <w:tcPr>
                  <w:tcW w:w="1779" w:type="dxa"/>
                  <w:shd w:val="clear" w:color="auto" w:fill="auto"/>
                  <w:noWrap w:val="0"/>
                  <w:vAlign w:val="center"/>
                </w:tcPr>
                <w:p w14:paraId="0DFEDB8E">
                  <w:pPr>
                    <w:spacing w:line="340" w:lineRule="exact"/>
                    <w:jc w:val="center"/>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工业炉窑</w:t>
                  </w:r>
                </w:p>
              </w:tc>
              <w:tc>
                <w:tcPr>
                  <w:tcW w:w="2074" w:type="dxa"/>
                  <w:shd w:val="clear" w:color="auto" w:fill="auto"/>
                  <w:noWrap w:val="0"/>
                  <w:vAlign w:val="center"/>
                </w:tcPr>
                <w:p w14:paraId="55999DA8">
                  <w:pPr>
                    <w:adjustRightInd w:val="0"/>
                    <w:snapToGrid w:val="0"/>
                    <w:spacing w:line="340" w:lineRule="exact"/>
                    <w:jc w:val="center"/>
                    <w:textAlignment w:val="baseline"/>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纳入重点排污单位名录的</w:t>
                  </w:r>
                </w:p>
              </w:tc>
              <w:tc>
                <w:tcPr>
                  <w:tcW w:w="2076" w:type="dxa"/>
                  <w:tcBorders>
                    <w:top w:val="single" w:color="auto" w:sz="4" w:space="0"/>
                    <w:bottom w:val="single" w:color="auto" w:sz="12" w:space="0"/>
                  </w:tcBorders>
                  <w:shd w:val="clear" w:color="auto" w:fill="D7D7D7"/>
                  <w:noWrap w:val="0"/>
                  <w:vAlign w:val="center"/>
                </w:tcPr>
                <w:p w14:paraId="35C41CEE">
                  <w:pPr>
                    <w:adjustRightInd w:val="0"/>
                    <w:snapToGrid w:val="0"/>
                    <w:spacing w:line="340" w:lineRule="exact"/>
                    <w:jc w:val="center"/>
                    <w:textAlignment w:val="baseline"/>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除纳入重点排污单位名录的，除以天然气或者电为能源的加热炉、热处理炉、干燥炉（窑）以外的其他工业炉窑</w:t>
                  </w:r>
                </w:p>
              </w:tc>
              <w:tc>
                <w:tcPr>
                  <w:tcW w:w="1777" w:type="dxa"/>
                  <w:tcBorders>
                    <w:top w:val="single" w:color="auto" w:sz="4" w:space="0"/>
                    <w:bottom w:val="single" w:color="auto" w:sz="12" w:space="0"/>
                  </w:tcBorders>
                  <w:shd w:val="clear" w:color="auto" w:fill="auto"/>
                  <w:noWrap w:val="0"/>
                  <w:vAlign w:val="center"/>
                </w:tcPr>
                <w:p w14:paraId="53D44BE0">
                  <w:pPr>
                    <w:adjustRightInd w:val="0"/>
                    <w:snapToGrid w:val="0"/>
                    <w:spacing w:line="340" w:lineRule="exact"/>
                    <w:jc w:val="center"/>
                    <w:textAlignment w:val="baseline"/>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除纳入重点排污单位名录的，以天然气或者电为能源的加热炉、热处理炉或者干燥炉（窑）</w:t>
                  </w:r>
                </w:p>
              </w:tc>
            </w:tr>
          </w:tbl>
          <w:p w14:paraId="6CB8B405">
            <w:pPr>
              <w:pStyle w:val="18"/>
              <w:spacing w:line="360" w:lineRule="auto"/>
              <w:ind w:left="0" w:leftChars="0" w:right="0" w:firstLine="0" w:firstLineChars="0"/>
              <w:jc w:val="center"/>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p>
        </w:tc>
      </w:tr>
    </w:tbl>
    <w:p w14:paraId="715A86AB">
      <w:pPr>
        <w:spacing w:line="360" w:lineRule="auto"/>
        <w:rPr>
          <w:rFonts w:hint="default" w:ascii="Times New Roman" w:hAnsi="Times New Roman" w:cs="Times New Roman" w:eastAsiaTheme="minorEastAsia"/>
          <w:b/>
          <w:color w:val="000000" w:themeColor="text1"/>
          <w:kern w:val="21"/>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22CC0FA">
      <w:pPr>
        <w:pStyle w:val="30"/>
        <w:jc w:val="center"/>
        <w:outlineLvl w:val="0"/>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pPr>
      <w:r>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t>五、</w:t>
      </w:r>
      <w:bookmarkStart w:id="50" w:name="_Hlk54167917"/>
      <w:r>
        <w:rPr>
          <w:rFonts w:hint="default" w:ascii="Times New Roman" w:hAnsi="Times New Roman" w:cs="Times New Roman" w:eastAsiaTheme="minorEastAsia"/>
          <w:snapToGrid w:val="0"/>
          <w:color w:val="000000" w:themeColor="text1"/>
          <w:kern w:val="21"/>
          <w:sz w:val="30"/>
          <w:szCs w:val="30"/>
          <w14:textFill>
            <w14:solidFill>
              <w14:schemeClr w14:val="tx1"/>
            </w14:solidFill>
          </w14:textFill>
        </w:rPr>
        <w:t>环境保护措施监督检查清单</w:t>
      </w:r>
      <w:bookmarkEnd w:id="50"/>
    </w:p>
    <w:tbl>
      <w:tblPr>
        <w:tblStyle w:val="35"/>
        <w:tblW w:w="89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807"/>
        <w:gridCol w:w="1140"/>
        <w:gridCol w:w="1943"/>
        <w:gridCol w:w="2565"/>
      </w:tblGrid>
      <w:tr w14:paraId="00AA9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tcBorders>
              <w:tl2br w:val="single" w:color="auto" w:sz="4" w:space="0"/>
            </w:tcBorders>
          </w:tcPr>
          <w:p w14:paraId="187560E5">
            <w:pPr>
              <w:ind w:firstLine="420" w:firstLineChars="200"/>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内容</w:t>
            </w:r>
          </w:p>
          <w:p w14:paraId="06F67464">
            <w:pP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要素</w:t>
            </w:r>
          </w:p>
        </w:tc>
        <w:tc>
          <w:tcPr>
            <w:tcW w:w="1807" w:type="dxa"/>
            <w:vAlign w:val="center"/>
          </w:tcPr>
          <w:p w14:paraId="55B5A555">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排放口(编号、</w:t>
            </w:r>
          </w:p>
          <w:p w14:paraId="6AFCE1FC">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名称)/污染源</w:t>
            </w:r>
          </w:p>
        </w:tc>
        <w:tc>
          <w:tcPr>
            <w:tcW w:w="1140" w:type="dxa"/>
            <w:vAlign w:val="center"/>
          </w:tcPr>
          <w:p w14:paraId="0D1ED9BD">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污染物项目</w:t>
            </w:r>
          </w:p>
        </w:tc>
        <w:tc>
          <w:tcPr>
            <w:tcW w:w="1943" w:type="dxa"/>
            <w:vAlign w:val="center"/>
          </w:tcPr>
          <w:p w14:paraId="730ECC23">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环境保护措施</w:t>
            </w:r>
          </w:p>
        </w:tc>
        <w:tc>
          <w:tcPr>
            <w:tcW w:w="2565" w:type="dxa"/>
            <w:vAlign w:val="center"/>
          </w:tcPr>
          <w:p w14:paraId="3B5E6FCA">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执行标准</w:t>
            </w:r>
          </w:p>
        </w:tc>
      </w:tr>
      <w:tr w14:paraId="005F1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restart"/>
            <w:vAlign w:val="center"/>
          </w:tcPr>
          <w:p w14:paraId="4FBA844C">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大气环境</w:t>
            </w:r>
          </w:p>
          <w:p w14:paraId="584D2C64">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运营期</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1807" w:type="dxa"/>
            <w:vMerge w:val="restart"/>
            <w:vAlign w:val="center"/>
          </w:tcPr>
          <w:p w14:paraId="00C4DDA3">
            <w:pPr>
              <w:jc w:val="center"/>
              <w:rPr>
                <w:rFonts w:hint="default" w:ascii="Times New Roman" w:hAnsi="Times New Roman" w:cs="Times New Roman" w:eastAsiaTheme="minorEastAsia"/>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1"/>
                <w:sz w:val="21"/>
                <w:szCs w:val="21"/>
                <w:highlight w:val="none"/>
                <w:lang w:val="en-US" w:eastAsia="zh-CN"/>
                <w14:textFill>
                  <w14:solidFill>
                    <w14:schemeClr w14:val="tx1"/>
                  </w14:solidFill>
                </w14:textFill>
              </w:rPr>
              <w:t>熔化废气和压铸脱模废气（DA001）</w:t>
            </w:r>
          </w:p>
        </w:tc>
        <w:tc>
          <w:tcPr>
            <w:tcW w:w="1140" w:type="dxa"/>
            <w:vAlign w:val="center"/>
          </w:tcPr>
          <w:p w14:paraId="44981D21">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颗粒物</w:t>
            </w:r>
          </w:p>
        </w:tc>
        <w:tc>
          <w:tcPr>
            <w:tcW w:w="1943" w:type="dxa"/>
            <w:vMerge w:val="restart"/>
            <w:vAlign w:val="center"/>
          </w:tcPr>
          <w:p w14:paraId="3A2E3A03">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喷淋+干式过滤</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+活性炭吸附装置处理后通过1根15m排气筒排放</w:t>
            </w:r>
          </w:p>
        </w:tc>
        <w:tc>
          <w:tcPr>
            <w:tcW w:w="2565" w:type="dxa"/>
            <w:vAlign w:val="center"/>
          </w:tcPr>
          <w:p w14:paraId="3F5C9413">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《铸造工业大气污染物排放标准》（GB39726-2020）表1中的“感应电炉”的限值要求</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即≤30mg/m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r>
      <w:tr w14:paraId="5307E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59D5DF48">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25B46F60">
            <w:pPr>
              <w:jc w:val="center"/>
              <w:rPr>
                <w:rFonts w:hint="default" w:ascii="Times New Roman" w:hAnsi="Times New Roman" w:cs="Times New Roman" w:eastAsiaTheme="minorEastAsia"/>
                <w:color w:val="000000" w:themeColor="text1"/>
                <w:kern w:val="21"/>
                <w:sz w:val="21"/>
                <w:szCs w:val="21"/>
                <w:highlight w:val="none"/>
                <w:lang w:val="en-US" w:eastAsia="zh-CN" w:bidi="ar-SA"/>
                <w14:textFill>
                  <w14:solidFill>
                    <w14:schemeClr w14:val="tx1"/>
                  </w14:solidFill>
                </w14:textFill>
              </w:rPr>
            </w:pPr>
          </w:p>
        </w:tc>
        <w:tc>
          <w:tcPr>
            <w:tcW w:w="1140" w:type="dxa"/>
            <w:vAlign w:val="center"/>
          </w:tcPr>
          <w:p w14:paraId="7020FA8B">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非甲烷总烃</w:t>
            </w:r>
          </w:p>
        </w:tc>
        <w:tc>
          <w:tcPr>
            <w:tcW w:w="1943" w:type="dxa"/>
            <w:vMerge w:val="continue"/>
            <w:vAlign w:val="center"/>
          </w:tcPr>
          <w:p w14:paraId="33EDA552">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565" w:type="dxa"/>
            <w:vAlign w:val="center"/>
          </w:tcPr>
          <w:p w14:paraId="50C008EA">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《工业企业挥发性有机物排放标准》</w:t>
            </w:r>
          </w:p>
          <w:p w14:paraId="784B95E2">
            <w:pPr>
              <w:jc w:val="center"/>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（DB35/1782-2018）</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1的限值要求</w:t>
            </w:r>
            <w:r>
              <w:rPr>
                <w:rFonts w:hint="eastAsia" w:cs="Times New Roman" w:eastAsiaTheme="minorEastAsia"/>
                <w:color w:val="000000" w:themeColor="text1"/>
                <w:sz w:val="21"/>
                <w:szCs w:val="21"/>
                <w:lang w:val="en-US" w:eastAsia="zh-CN"/>
                <w14:textFill>
                  <w14:solidFill>
                    <w14:schemeClr w14:val="tx1"/>
                  </w14:solidFill>
                </w14:textFill>
              </w:rPr>
              <w:t>，</w:t>
            </w:r>
          </w:p>
          <w:p w14:paraId="3E70563E">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即≤100mg/m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r>
      <w:tr w14:paraId="21706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502" w:type="dxa"/>
            <w:vMerge w:val="continue"/>
            <w:vAlign w:val="center"/>
          </w:tcPr>
          <w:p w14:paraId="78A4D17F">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restart"/>
            <w:vAlign w:val="center"/>
          </w:tcPr>
          <w:p w14:paraId="67FE1DBD">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厂界无组织</w:t>
            </w:r>
          </w:p>
        </w:tc>
        <w:tc>
          <w:tcPr>
            <w:tcW w:w="1140" w:type="dxa"/>
            <w:vAlign w:val="center"/>
          </w:tcPr>
          <w:p w14:paraId="3E62B6C3">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颗粒物</w:t>
            </w:r>
          </w:p>
        </w:tc>
        <w:tc>
          <w:tcPr>
            <w:tcW w:w="1943" w:type="dxa"/>
            <w:vMerge w:val="restart"/>
            <w:vAlign w:val="center"/>
          </w:tcPr>
          <w:p w14:paraId="4F03D25C">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密闭车间</w:t>
            </w:r>
          </w:p>
        </w:tc>
        <w:tc>
          <w:tcPr>
            <w:tcW w:w="2565" w:type="dxa"/>
            <w:vAlign w:val="center"/>
          </w:tcPr>
          <w:p w14:paraId="434364F0">
            <w:pPr>
              <w:jc w:val="center"/>
              <w:rPr>
                <w:rFonts w:hint="eastAsia"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《大气污染物综合排放标准》（GB16297-1996）</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表2排放限值</w:t>
            </w:r>
            <w:r>
              <w:rPr>
                <w:rFonts w:hint="eastAsia" w:cs="Times New Roman" w:eastAsiaTheme="minorEastAsia"/>
                <w:color w:val="000000" w:themeColor="text1"/>
                <w:sz w:val="21"/>
                <w:szCs w:val="21"/>
                <w:highlight w:val="none"/>
                <w:lang w:eastAsia="zh-CN"/>
                <w14:textFill>
                  <w14:solidFill>
                    <w14:schemeClr w14:val="tx1"/>
                  </w14:solidFill>
                </w14:textFill>
              </w:rPr>
              <w:t>，</w:t>
            </w:r>
          </w:p>
          <w:p w14:paraId="4C8043CF">
            <w:pPr>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即≤1.0mg/m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r>
      <w:tr w14:paraId="7FC8C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02" w:type="dxa"/>
            <w:vMerge w:val="continue"/>
            <w:vAlign w:val="center"/>
          </w:tcPr>
          <w:p w14:paraId="4ADE32AE">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28CC6789">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140" w:type="dxa"/>
            <w:vAlign w:val="center"/>
          </w:tcPr>
          <w:p w14:paraId="48DEEF90">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非甲烷总烃</w:t>
            </w:r>
          </w:p>
        </w:tc>
        <w:tc>
          <w:tcPr>
            <w:tcW w:w="1943" w:type="dxa"/>
            <w:vMerge w:val="continue"/>
            <w:vAlign w:val="center"/>
          </w:tcPr>
          <w:p w14:paraId="636D5584">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565" w:type="dxa"/>
            <w:vAlign w:val="center"/>
          </w:tcPr>
          <w:p w14:paraId="0E7DCB95">
            <w:pPr>
              <w:jc w:val="center"/>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非甲烷总烃执行</w:t>
            </w:r>
            <w:r>
              <w:rPr>
                <w:rFonts w:hint="default" w:ascii="Times New Roman" w:hAnsi="Times New Roman" w:cs="Times New Roman" w:eastAsiaTheme="minorEastAsia"/>
                <w:color w:val="000000" w:themeColor="text1"/>
                <w:sz w:val="21"/>
                <w:szCs w:val="21"/>
                <w14:textFill>
                  <w14:solidFill>
                    <w14:schemeClr w14:val="tx1"/>
                  </w14:solidFill>
                </w14:textFill>
              </w:rPr>
              <w:t>《工业企业挥发性有机物排放标准》（DB35/1782-2018）</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表</w:t>
            </w:r>
            <w:r>
              <w:rPr>
                <w:rFonts w:hint="eastAsia"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的限值要求</w:t>
            </w:r>
            <w:r>
              <w:rPr>
                <w:rFonts w:hint="eastAsia" w:cs="Times New Roman" w:eastAsiaTheme="minorEastAsia"/>
                <w:color w:val="000000" w:themeColor="text1"/>
                <w:sz w:val="21"/>
                <w:szCs w:val="21"/>
                <w:lang w:val="en-US" w:eastAsia="zh-CN"/>
                <w14:textFill>
                  <w14:solidFill>
                    <w14:schemeClr w14:val="tx1"/>
                  </w14:solidFill>
                </w14:textFill>
              </w:rPr>
              <w:t>，</w:t>
            </w:r>
          </w:p>
          <w:p w14:paraId="4A678604">
            <w:pPr>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即≤2.0mg/m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r>
      <w:tr w14:paraId="3A382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502" w:type="dxa"/>
            <w:vMerge w:val="continue"/>
            <w:vAlign w:val="center"/>
          </w:tcPr>
          <w:p w14:paraId="09FC0E03">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restart"/>
            <w:vAlign w:val="center"/>
          </w:tcPr>
          <w:p w14:paraId="6DEE896D">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厂区内无组织</w:t>
            </w:r>
          </w:p>
        </w:tc>
        <w:tc>
          <w:tcPr>
            <w:tcW w:w="1140" w:type="dxa"/>
            <w:vAlign w:val="center"/>
          </w:tcPr>
          <w:p w14:paraId="58D798D4">
            <w:pPr>
              <w:jc w:val="center"/>
              <w:rPr>
                <w:rFonts w:hint="default" w:ascii="Times New Roman" w:hAnsi="Times New Roman" w:cs="Times New Roman" w:eastAsiaTheme="minorEastAsia"/>
                <w:color w:val="000000" w:themeColor="text1"/>
                <w:kern w:val="2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非甲烷总烃</w:t>
            </w:r>
          </w:p>
        </w:tc>
        <w:tc>
          <w:tcPr>
            <w:tcW w:w="1943" w:type="dxa"/>
            <w:vAlign w:val="center"/>
          </w:tcPr>
          <w:p w14:paraId="2D42CAF3">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密闭车间</w:t>
            </w:r>
          </w:p>
        </w:tc>
        <w:tc>
          <w:tcPr>
            <w:tcW w:w="2565" w:type="dxa"/>
            <w:vAlign w:val="center"/>
          </w:tcPr>
          <w:p w14:paraId="01A33947">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《挥发性有机物无组织排放控制标准》（GB37822-2019）中表A.1特别排放限值</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即</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监控点处1h平均浓度值</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6mg/m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）监控点处任意一次浓度值</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20mg/m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2C07E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502" w:type="dxa"/>
            <w:vMerge w:val="continue"/>
            <w:vAlign w:val="center"/>
          </w:tcPr>
          <w:p w14:paraId="66D986E3">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7137BF1A">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140" w:type="dxa"/>
            <w:vAlign w:val="center"/>
          </w:tcPr>
          <w:p w14:paraId="5E4C2BC6">
            <w:pPr>
              <w:jc w:val="center"/>
              <w:rPr>
                <w:rFonts w:hint="default" w:ascii="Times New Roman" w:hAnsi="Times New Roman" w:cs="Times New Roman" w:eastAsiaTheme="minorEastAsia"/>
                <w:color w:val="000000" w:themeColor="text1"/>
                <w:kern w:val="2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eastAsia="zh-CN"/>
                <w14:textFill>
                  <w14:solidFill>
                    <w14:schemeClr w14:val="tx1"/>
                  </w14:solidFill>
                </w14:textFill>
              </w:rPr>
              <w:t>颗粒物</w:t>
            </w:r>
          </w:p>
        </w:tc>
        <w:tc>
          <w:tcPr>
            <w:tcW w:w="1943" w:type="dxa"/>
            <w:vAlign w:val="center"/>
          </w:tcPr>
          <w:p w14:paraId="32AE3182">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密闭车间</w:t>
            </w:r>
          </w:p>
        </w:tc>
        <w:tc>
          <w:tcPr>
            <w:tcW w:w="2565" w:type="dxa"/>
            <w:vAlign w:val="center"/>
          </w:tcPr>
          <w:p w14:paraId="32CBC51C">
            <w:pPr>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《铸造工业大气污染物排放标准》（GB39726-2020）附录A.1中的限值要求</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即</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厂房外设置监控点</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浓度</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5.0mg/m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7F12B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14:paraId="72F4C898">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地表水环境</w:t>
            </w:r>
          </w:p>
          <w:p w14:paraId="5A6D4664">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运营期</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1807" w:type="dxa"/>
            <w:vAlign w:val="center"/>
          </w:tcPr>
          <w:p w14:paraId="18556711">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生活废水</w:t>
            </w:r>
          </w:p>
          <w:p w14:paraId="110F39F3">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排放口</w:t>
            </w:r>
          </w:p>
        </w:tc>
        <w:tc>
          <w:tcPr>
            <w:tcW w:w="1140" w:type="dxa"/>
            <w:vAlign w:val="center"/>
          </w:tcPr>
          <w:p w14:paraId="0C3A3679">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pH、</w:t>
            </w:r>
            <w:r>
              <w:rPr>
                <w:rFonts w:hint="default" w:ascii="Times New Roman" w:hAnsi="Times New Roman" w:cs="Times New Roman" w:eastAsiaTheme="minorEastAsia"/>
                <w:color w:val="000000" w:themeColor="text1"/>
                <w:sz w:val="21"/>
                <w:szCs w:val="21"/>
                <w14:textFill>
                  <w14:solidFill>
                    <w14:schemeClr w14:val="tx1"/>
                  </w14:solidFill>
                </w14:textFill>
              </w:rPr>
              <w:t>COD、BOD</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5</w:t>
            </w:r>
            <w:r>
              <w:rPr>
                <w:rFonts w:hint="default" w:ascii="Times New Roman" w:hAnsi="Times New Roman" w:cs="Times New Roman" w:eastAsiaTheme="minorEastAsia"/>
                <w:color w:val="000000" w:themeColor="text1"/>
                <w:sz w:val="21"/>
                <w:szCs w:val="21"/>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-N、SS</w:t>
            </w:r>
          </w:p>
        </w:tc>
        <w:tc>
          <w:tcPr>
            <w:tcW w:w="1943" w:type="dxa"/>
            <w:vAlign w:val="center"/>
          </w:tcPr>
          <w:p w14:paraId="0F23498F">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化粪池</w:t>
            </w:r>
          </w:p>
        </w:tc>
        <w:tc>
          <w:tcPr>
            <w:tcW w:w="2565" w:type="dxa"/>
            <w:vAlign w:val="center"/>
          </w:tcPr>
          <w:p w14:paraId="60B7D92C">
            <w:pPr>
              <w:jc w:val="both"/>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《污水综合排放标准》(GB8978-1996)中表4三级标准，氨氮执行《污水排入城镇下水道水质标准》(GB/T 31962-2015)表1中B级标准</w:t>
            </w:r>
          </w:p>
        </w:tc>
      </w:tr>
      <w:tr w14:paraId="6E431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14:paraId="7B18835A">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声环境</w:t>
            </w:r>
          </w:p>
          <w:p w14:paraId="5846DDA2">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运营期</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1807" w:type="dxa"/>
            <w:vAlign w:val="center"/>
          </w:tcPr>
          <w:p w14:paraId="70D54C7B">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生产噪声</w:t>
            </w:r>
          </w:p>
        </w:tc>
        <w:tc>
          <w:tcPr>
            <w:tcW w:w="1140" w:type="dxa"/>
            <w:vAlign w:val="center"/>
          </w:tcPr>
          <w:p w14:paraId="2D73BE12">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噪声</w:t>
            </w:r>
          </w:p>
        </w:tc>
        <w:tc>
          <w:tcPr>
            <w:tcW w:w="1943" w:type="dxa"/>
            <w:vAlign w:val="center"/>
          </w:tcPr>
          <w:p w14:paraId="7CB52219">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基础</w:t>
            </w: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减振、厂房墙体隔声</w:t>
            </w:r>
            <w:r>
              <w:rPr>
                <w:rFonts w:hint="default" w:ascii="Times New Roman" w:hAnsi="Times New Roman" w:cs="Times New Roman" w:eastAsiaTheme="minorEastAsia"/>
                <w:color w:val="000000" w:themeColor="text1"/>
                <w:kern w:val="21"/>
                <w:sz w:val="21"/>
                <w:szCs w:val="21"/>
                <w14:textFill>
                  <w14:solidFill>
                    <w14:schemeClr w14:val="tx1"/>
                  </w14:solidFill>
                </w14:textFill>
              </w:rPr>
              <w:t>等综合降噪措施</w:t>
            </w:r>
          </w:p>
        </w:tc>
        <w:tc>
          <w:tcPr>
            <w:tcW w:w="2565" w:type="dxa"/>
            <w:vAlign w:val="center"/>
          </w:tcPr>
          <w:p w14:paraId="31488869">
            <w:pPr>
              <w:jc w:val="both"/>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《工业企业厂界环境噪声排放标准》（GB12348-2008）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类标准</w:t>
            </w:r>
          </w:p>
        </w:tc>
      </w:tr>
      <w:tr w14:paraId="3925D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restart"/>
            <w:vAlign w:val="center"/>
          </w:tcPr>
          <w:p w14:paraId="29A90CCC">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固体废物</w:t>
            </w:r>
          </w:p>
          <w:p w14:paraId="129987B0">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运营期</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c>
          <w:tcPr>
            <w:tcW w:w="1807" w:type="dxa"/>
            <w:vAlign w:val="center"/>
          </w:tcPr>
          <w:p w14:paraId="1D5B0E85">
            <w:pPr>
              <w:jc w:val="center"/>
              <w:rPr>
                <w:rFonts w:hint="default" w:ascii="Times New Roman" w:hAnsi="Times New Roman" w:cs="Times New Roman" w:eastAsiaTheme="minorEastAsia"/>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生活垃圾</w:t>
            </w:r>
          </w:p>
        </w:tc>
        <w:tc>
          <w:tcPr>
            <w:tcW w:w="1140" w:type="dxa"/>
            <w:vAlign w:val="center"/>
          </w:tcPr>
          <w:p w14:paraId="456FDAC5">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生活</w:t>
            </w:r>
          </w:p>
          <w:p w14:paraId="37E47333">
            <w:pPr>
              <w:jc w:val="center"/>
              <w:rPr>
                <w:rFonts w:hint="default" w:ascii="Times New Roman" w:hAnsi="Times New Roman" w:cs="Times New Roman" w:eastAsiaTheme="minorEastAsia"/>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垃圾</w:t>
            </w:r>
          </w:p>
        </w:tc>
        <w:tc>
          <w:tcPr>
            <w:tcW w:w="1943" w:type="dxa"/>
            <w:vAlign w:val="center"/>
          </w:tcPr>
          <w:p w14:paraId="476202A2">
            <w:pPr>
              <w:jc w:val="center"/>
              <w:rPr>
                <w:rFonts w:hint="default" w:ascii="Times New Roman" w:hAnsi="Times New Roman" w:cs="Times New Roman" w:eastAsiaTheme="minorEastAsia"/>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收集后由环卫部门清运处理</w:t>
            </w:r>
          </w:p>
        </w:tc>
        <w:tc>
          <w:tcPr>
            <w:tcW w:w="2565" w:type="dxa"/>
            <w:vAlign w:val="center"/>
          </w:tcPr>
          <w:p w14:paraId="7A6F4103">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Style w:val="105"/>
                <w:rFonts w:hint="default" w:ascii="Times New Roman" w:hAnsi="Times New Roman" w:cs="Times New Roman" w:eastAsiaTheme="minorEastAsia"/>
                <w:color w:val="000000" w:themeColor="text1"/>
                <w:sz w:val="21"/>
                <w:szCs w:val="21"/>
                <w14:textFill>
                  <w14:solidFill>
                    <w14:schemeClr w14:val="tx1"/>
                  </w14:solidFill>
                </w14:textFill>
              </w:rPr>
              <w:t>验收措施落实情况</w:t>
            </w:r>
          </w:p>
        </w:tc>
      </w:tr>
      <w:tr w14:paraId="3320B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09902F89">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Align w:val="center"/>
          </w:tcPr>
          <w:p w14:paraId="0B5C2E0D">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一般工业固废</w:t>
            </w:r>
          </w:p>
        </w:tc>
        <w:tc>
          <w:tcPr>
            <w:tcW w:w="1140" w:type="dxa"/>
            <w:vAlign w:val="center"/>
          </w:tcPr>
          <w:p w14:paraId="3D5D6FFB">
            <w:pPr>
              <w:jc w:val="center"/>
              <w:rPr>
                <w:rFonts w:hint="default" w:ascii="Times New Roman" w:hAnsi="Times New Roman" w:cs="Times New Roman" w:eastAsiaTheme="minorEastAsia"/>
                <w:snapToGrid w:val="0"/>
                <w:color w:val="000000" w:themeColor="text1"/>
                <w:kern w:val="18"/>
                <w:sz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18"/>
                <w:sz w:val="21"/>
                <w:szCs w:val="21"/>
                <w:lang w:val="en-US" w:eastAsia="zh-CN"/>
                <w14:textFill>
                  <w14:solidFill>
                    <w14:schemeClr w14:val="tx1"/>
                  </w14:solidFill>
                </w14:textFill>
              </w:rPr>
              <w:t>研磨</w:t>
            </w:r>
          </w:p>
          <w:p w14:paraId="3B3682BF">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18"/>
                <w:sz w:val="21"/>
                <w:szCs w:val="21"/>
                <w:lang w:val="en-US" w:eastAsia="zh-CN"/>
                <w14:textFill>
                  <w14:solidFill>
                    <w14:schemeClr w14:val="tx1"/>
                  </w14:solidFill>
                </w14:textFill>
              </w:rPr>
              <w:t>粉尘</w:t>
            </w:r>
          </w:p>
        </w:tc>
        <w:tc>
          <w:tcPr>
            <w:tcW w:w="1943" w:type="dxa"/>
            <w:vAlign w:val="center"/>
          </w:tcPr>
          <w:p w14:paraId="043FE931">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集中收集后外售给相关</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物资单位处理</w:t>
            </w:r>
          </w:p>
        </w:tc>
        <w:tc>
          <w:tcPr>
            <w:tcW w:w="2565" w:type="dxa"/>
            <w:vAlign w:val="center"/>
          </w:tcPr>
          <w:p w14:paraId="4E40244C">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处置率100%，一般工业固废的暂存场</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执行</w:t>
            </w:r>
            <w:r>
              <w:rPr>
                <w:rFonts w:hint="default" w:ascii="Times New Roman" w:hAnsi="Times New Roman" w:cs="Times New Roman" w:eastAsiaTheme="minorEastAsia"/>
                <w:color w:val="000000" w:themeColor="text1"/>
                <w:kern w:val="0"/>
                <w:sz w:val="21"/>
                <w:szCs w:val="21"/>
                <w14:textFill>
                  <w14:solidFill>
                    <w14:schemeClr w14:val="tx1"/>
                  </w14:solidFill>
                </w14:textFill>
              </w:rPr>
              <w:t>《一般工业固体废物贮存和填埋污染控制标准》（GB18599-2020）中的相关要求</w:t>
            </w:r>
          </w:p>
        </w:tc>
      </w:tr>
      <w:tr w14:paraId="566B8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11166831">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restart"/>
            <w:vAlign w:val="center"/>
          </w:tcPr>
          <w:p w14:paraId="7B71F772">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危险废物</w:t>
            </w:r>
          </w:p>
        </w:tc>
        <w:tc>
          <w:tcPr>
            <w:tcW w:w="1140" w:type="dxa"/>
            <w:vAlign w:val="center"/>
          </w:tcPr>
          <w:p w14:paraId="3857B4F4">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废包</w:t>
            </w:r>
          </w:p>
          <w:p w14:paraId="130F4762">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装桶</w:t>
            </w:r>
          </w:p>
        </w:tc>
        <w:tc>
          <w:tcPr>
            <w:tcW w:w="1943" w:type="dxa"/>
            <w:vMerge w:val="restart"/>
            <w:vAlign w:val="center"/>
          </w:tcPr>
          <w:p w14:paraId="5B4A8AE2">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Style w:val="105"/>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分类</w:t>
            </w:r>
            <w:r>
              <w:rPr>
                <w:rStyle w:val="105"/>
                <w:rFonts w:hint="default" w:ascii="Times New Roman" w:hAnsi="Times New Roman" w:cs="Times New Roman" w:eastAsiaTheme="minorEastAsia"/>
                <w:color w:val="000000" w:themeColor="text1"/>
                <w:sz w:val="21"/>
                <w:szCs w:val="21"/>
                <w14:textFill>
                  <w14:solidFill>
                    <w14:schemeClr w14:val="tx1"/>
                  </w14:solidFill>
                </w14:textFill>
              </w:rPr>
              <w:t>临时储存于危险废物暂存间，委托有资质的单位处理处置</w:t>
            </w:r>
          </w:p>
        </w:tc>
        <w:tc>
          <w:tcPr>
            <w:tcW w:w="2565" w:type="dxa"/>
            <w:vMerge w:val="restart"/>
            <w:vAlign w:val="center"/>
          </w:tcPr>
          <w:p w14:paraId="2E200C09">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pacing w:val="-8"/>
                <w:sz w:val="21"/>
                <w:szCs w:val="21"/>
                <w:lang w:val="en-GB" w:bidi="he-IL"/>
                <w14:textFill>
                  <w14:solidFill>
                    <w14:schemeClr w14:val="tx1"/>
                  </w14:solidFill>
                </w14:textFill>
              </w:rPr>
              <w:t>处置率100%，临时储存场所满足《危险废物贮存污染控制标准》(GB 18597</w:t>
            </w:r>
            <w:r>
              <w:rPr>
                <w:rFonts w:hint="default" w:ascii="Times New Roman" w:hAnsi="Times New Roman" w:cs="Times New Roman" w:eastAsiaTheme="minorEastAsia"/>
                <w:color w:val="000000" w:themeColor="text1"/>
                <w:spacing w:val="-8"/>
                <w:sz w:val="21"/>
                <w:szCs w:val="21"/>
                <w:lang w:val="en-US" w:eastAsia="zh-CN" w:bidi="he-IL"/>
                <w14:textFill>
                  <w14:solidFill>
                    <w14:schemeClr w14:val="tx1"/>
                  </w14:solidFill>
                </w14:textFill>
              </w:rPr>
              <w:t>-2023</w:t>
            </w:r>
            <w:r>
              <w:rPr>
                <w:rFonts w:hint="default" w:ascii="Times New Roman" w:hAnsi="Times New Roman" w:cs="Times New Roman" w:eastAsiaTheme="minorEastAsia"/>
                <w:color w:val="000000" w:themeColor="text1"/>
                <w:spacing w:val="-8"/>
                <w:sz w:val="21"/>
                <w:szCs w:val="21"/>
                <w:lang w:val="en-GB" w:bidi="he-IL"/>
                <w14:textFill>
                  <w14:solidFill>
                    <w14:schemeClr w14:val="tx1"/>
                  </w14:solidFill>
                </w14:textFill>
              </w:rPr>
              <w:t>)</w:t>
            </w:r>
            <w:r>
              <w:rPr>
                <w:rFonts w:hint="default" w:ascii="Times New Roman" w:hAnsi="Times New Roman" w:cs="Times New Roman" w:eastAsiaTheme="minorEastAsia"/>
                <w:color w:val="000000" w:themeColor="text1"/>
                <w:spacing w:val="-8"/>
                <w:sz w:val="21"/>
                <w:szCs w:val="21"/>
                <w:lang w:val="en-GB" w:eastAsia="zh-CN" w:bidi="he-IL"/>
                <w14:textFill>
                  <w14:solidFill>
                    <w14:schemeClr w14:val="tx1"/>
                  </w14:solidFill>
                </w14:textFill>
              </w:rPr>
              <w:t>中的相关要求</w:t>
            </w:r>
            <w:r>
              <w:rPr>
                <w:rFonts w:hint="default" w:ascii="Times New Roman" w:hAnsi="Times New Roman" w:cs="Times New Roman" w:eastAsiaTheme="minorEastAsia"/>
                <w:color w:val="000000" w:themeColor="text1"/>
                <w:spacing w:val="-8"/>
                <w:sz w:val="21"/>
                <w:szCs w:val="21"/>
                <w:lang w:val="en-GB" w:bidi="he-IL"/>
                <w14:textFill>
                  <w14:solidFill>
                    <w14:schemeClr w14:val="tx1"/>
                  </w14:solidFill>
                </w14:textFill>
              </w:rPr>
              <w:t>。</w:t>
            </w:r>
            <w:r>
              <w:rPr>
                <w:rFonts w:hint="default" w:ascii="Times New Roman" w:hAnsi="Times New Roman" w:cs="Times New Roman" w:eastAsiaTheme="minorEastAsia"/>
                <w:color w:val="000000" w:themeColor="text1"/>
                <w:sz w:val="21"/>
                <w:szCs w:val="21"/>
                <w:lang w:bidi="he-IL"/>
                <w14:textFill>
                  <w14:solidFill>
                    <w14:schemeClr w14:val="tx1"/>
                  </w14:solidFill>
                </w14:textFill>
              </w:rPr>
              <w:t>危废转移应严格</w:t>
            </w:r>
            <w:r>
              <w:rPr>
                <w:rFonts w:hint="eastAsia" w:ascii="Times New Roman" w:hAnsi="Times New Roman" w:cs="Times New Roman" w:eastAsiaTheme="minorEastAsia"/>
                <w:color w:val="000000" w:themeColor="text1"/>
                <w:sz w:val="21"/>
                <w:szCs w:val="21"/>
                <w:lang w:eastAsia="zh-CN" w:bidi="he-IL"/>
                <w14:textFill>
                  <w14:solidFill>
                    <w14:schemeClr w14:val="tx1"/>
                  </w14:solidFill>
                </w14:textFill>
              </w:rPr>
              <w:t>按照</w:t>
            </w:r>
            <w:r>
              <w:rPr>
                <w:rFonts w:hint="default" w:ascii="Times New Roman" w:hAnsi="Times New Roman" w:cs="Times New Roman" w:eastAsiaTheme="minorEastAsia"/>
                <w:color w:val="000000" w:themeColor="text1"/>
                <w:sz w:val="21"/>
                <w:szCs w:val="21"/>
                <w:lang w:bidi="he-IL"/>
                <w14:textFill>
                  <w14:solidFill>
                    <w14:schemeClr w14:val="tx1"/>
                  </w14:solidFill>
                </w14:textFill>
              </w:rPr>
              <w:t>《危险废物转移联单管理办法》要求</w:t>
            </w:r>
          </w:p>
        </w:tc>
      </w:tr>
      <w:tr w14:paraId="6D662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15A687FB">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0B171F10">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140" w:type="dxa"/>
            <w:vAlign w:val="center"/>
          </w:tcPr>
          <w:p w14:paraId="074DCDEF">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废切削液</w:t>
            </w:r>
          </w:p>
        </w:tc>
        <w:tc>
          <w:tcPr>
            <w:tcW w:w="1943" w:type="dxa"/>
            <w:vMerge w:val="continue"/>
            <w:vAlign w:val="center"/>
          </w:tcPr>
          <w:p w14:paraId="0CEF2D5E">
            <w:pPr>
              <w:jc w:val="center"/>
              <w:rPr>
                <w:rStyle w:val="105"/>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565" w:type="dxa"/>
            <w:vMerge w:val="continue"/>
            <w:vAlign w:val="center"/>
          </w:tcPr>
          <w:p w14:paraId="46005D3D">
            <w:pPr>
              <w:jc w:val="center"/>
              <w:rPr>
                <w:rFonts w:hint="default" w:ascii="Times New Roman" w:hAnsi="Times New Roman" w:cs="Times New Roman" w:eastAsiaTheme="minorEastAsia"/>
                <w:color w:val="000000" w:themeColor="text1"/>
                <w:spacing w:val="-8"/>
                <w:sz w:val="21"/>
                <w:szCs w:val="21"/>
                <w:lang w:val="en-GB" w:bidi="he-IL"/>
                <w14:textFill>
                  <w14:solidFill>
                    <w14:schemeClr w14:val="tx1"/>
                  </w14:solidFill>
                </w14:textFill>
              </w:rPr>
            </w:pPr>
          </w:p>
        </w:tc>
      </w:tr>
      <w:tr w14:paraId="4E11A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3C570C0F">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69D2E727">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140" w:type="dxa"/>
            <w:vAlign w:val="center"/>
          </w:tcPr>
          <w:p w14:paraId="5D2848C7">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eastAsia" w:cs="Times New Roman" w:eastAsiaTheme="minorEastAsia"/>
                <w:snapToGrid w:val="0"/>
                <w:color w:val="000000" w:themeColor="text1"/>
                <w:kern w:val="18"/>
                <w:sz w:val="21"/>
                <w:szCs w:val="21"/>
                <w:lang w:val="en-US" w:eastAsia="zh-CN"/>
                <w14:textFill>
                  <w14:solidFill>
                    <w14:schemeClr w14:val="tx1"/>
                  </w14:solidFill>
                </w14:textFill>
              </w:rPr>
              <w:t>沉淀渣</w:t>
            </w:r>
          </w:p>
        </w:tc>
        <w:tc>
          <w:tcPr>
            <w:tcW w:w="1943" w:type="dxa"/>
            <w:vMerge w:val="continue"/>
            <w:vAlign w:val="center"/>
          </w:tcPr>
          <w:p w14:paraId="42E989D1">
            <w:pPr>
              <w:jc w:val="center"/>
              <w:rPr>
                <w:rStyle w:val="105"/>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565" w:type="dxa"/>
            <w:vMerge w:val="continue"/>
            <w:vAlign w:val="center"/>
          </w:tcPr>
          <w:p w14:paraId="753DE2B8">
            <w:pPr>
              <w:jc w:val="center"/>
              <w:rPr>
                <w:rFonts w:hint="default" w:ascii="Times New Roman" w:hAnsi="Times New Roman" w:cs="Times New Roman" w:eastAsiaTheme="minorEastAsia"/>
                <w:color w:val="000000" w:themeColor="text1"/>
                <w:spacing w:val="-8"/>
                <w:sz w:val="21"/>
                <w:szCs w:val="21"/>
                <w:lang w:val="en-GB" w:bidi="he-IL"/>
                <w14:textFill>
                  <w14:solidFill>
                    <w14:schemeClr w14:val="tx1"/>
                  </w14:solidFill>
                </w14:textFill>
              </w:rPr>
            </w:pPr>
          </w:p>
        </w:tc>
      </w:tr>
      <w:tr w14:paraId="3DCA1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0CED545B">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60BBE269">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140" w:type="dxa"/>
            <w:vAlign w:val="center"/>
          </w:tcPr>
          <w:p w14:paraId="068279D1">
            <w:pPr>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废过滤棉</w:t>
            </w:r>
          </w:p>
        </w:tc>
        <w:tc>
          <w:tcPr>
            <w:tcW w:w="1943" w:type="dxa"/>
            <w:vMerge w:val="continue"/>
            <w:vAlign w:val="center"/>
          </w:tcPr>
          <w:p w14:paraId="78EF721D">
            <w:pPr>
              <w:jc w:val="center"/>
              <w:rPr>
                <w:rStyle w:val="105"/>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565" w:type="dxa"/>
            <w:vMerge w:val="continue"/>
            <w:vAlign w:val="center"/>
          </w:tcPr>
          <w:p w14:paraId="06ED44D1">
            <w:pPr>
              <w:jc w:val="center"/>
              <w:rPr>
                <w:rFonts w:hint="default" w:ascii="Times New Roman" w:hAnsi="Times New Roman" w:cs="Times New Roman" w:eastAsiaTheme="minorEastAsia"/>
                <w:color w:val="000000" w:themeColor="text1"/>
                <w:spacing w:val="-8"/>
                <w:sz w:val="21"/>
                <w:szCs w:val="21"/>
                <w:lang w:val="en-GB" w:bidi="he-IL"/>
                <w14:textFill>
                  <w14:solidFill>
                    <w14:schemeClr w14:val="tx1"/>
                  </w14:solidFill>
                </w14:textFill>
              </w:rPr>
            </w:pPr>
          </w:p>
        </w:tc>
      </w:tr>
      <w:tr w14:paraId="73AA4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Merge w:val="continue"/>
            <w:vAlign w:val="center"/>
          </w:tcPr>
          <w:p w14:paraId="601038B0">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807" w:type="dxa"/>
            <w:vMerge w:val="continue"/>
            <w:vAlign w:val="center"/>
          </w:tcPr>
          <w:p w14:paraId="1DA2E0FD">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1140" w:type="dxa"/>
            <w:vAlign w:val="center"/>
          </w:tcPr>
          <w:p w14:paraId="6B861134">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废活性炭</w:t>
            </w:r>
          </w:p>
        </w:tc>
        <w:tc>
          <w:tcPr>
            <w:tcW w:w="1943" w:type="dxa"/>
            <w:vMerge w:val="continue"/>
            <w:vAlign w:val="center"/>
          </w:tcPr>
          <w:p w14:paraId="31DD1EA3">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p>
        </w:tc>
        <w:tc>
          <w:tcPr>
            <w:tcW w:w="2565" w:type="dxa"/>
            <w:vMerge w:val="continue"/>
            <w:vAlign w:val="center"/>
          </w:tcPr>
          <w:p w14:paraId="3DB6BBC8">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BF7B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14:paraId="77E28652">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土壤及地下水污染防治措施</w:t>
            </w:r>
          </w:p>
        </w:tc>
        <w:tc>
          <w:tcPr>
            <w:tcW w:w="7455" w:type="dxa"/>
            <w:gridSpan w:val="4"/>
            <w:vAlign w:val="center"/>
          </w:tcPr>
          <w:p w14:paraId="2C51AAF7">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合理进行防渗区域划分，危险暂存间</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等</w:t>
            </w:r>
            <w:r>
              <w:rPr>
                <w:rFonts w:hint="default" w:ascii="Times New Roman" w:hAnsi="Times New Roman" w:cs="Times New Roman" w:eastAsiaTheme="minorEastAsia"/>
                <w:color w:val="000000" w:themeColor="text1"/>
                <w:sz w:val="21"/>
                <w:szCs w:val="21"/>
                <w14:textFill>
                  <w14:solidFill>
                    <w14:schemeClr w14:val="tx1"/>
                  </w14:solidFill>
                </w14:textFill>
              </w:rPr>
              <w:t>设置导流沟，地面采取防渗</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按重点污染区防渗要求进行建设</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一般工业固废间、项目生产车间等按一般污染区防渗要求进行建设</w:t>
            </w:r>
            <w:r>
              <w:rPr>
                <w:rFonts w:hint="eastAsia" w:cs="Times New Roman" w:eastAsiaTheme="minorEastAsia"/>
                <w:color w:val="000000" w:themeColor="text1"/>
                <w:sz w:val="21"/>
                <w:szCs w:val="21"/>
                <w:lang w:eastAsia="zh-CN"/>
                <w14:textFill>
                  <w14:solidFill>
                    <w14:schemeClr w14:val="tx1"/>
                  </w14:solidFill>
                </w14:textFill>
              </w:rPr>
              <w:t>且</w:t>
            </w:r>
            <w:r>
              <w:rPr>
                <w:rFonts w:hint="default" w:ascii="Times New Roman" w:hAnsi="Times New Roman" w:cs="Times New Roman" w:eastAsiaTheme="minorEastAsia"/>
                <w:color w:val="000000" w:themeColor="text1"/>
                <w:sz w:val="21"/>
                <w:szCs w:val="21"/>
                <w14:textFill>
                  <w14:solidFill>
                    <w14:schemeClr w14:val="tx1"/>
                  </w14:solidFill>
                </w14:textFill>
              </w:rPr>
              <w:t>具有防雨、防渗、防风、防日晒等功能</w:t>
            </w:r>
          </w:p>
        </w:tc>
      </w:tr>
      <w:tr w14:paraId="3C305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02" w:type="dxa"/>
            <w:vAlign w:val="center"/>
          </w:tcPr>
          <w:p w14:paraId="37688D61">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生态保护</w:t>
            </w:r>
          </w:p>
          <w:p w14:paraId="3ACA14FC">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措施</w:t>
            </w:r>
          </w:p>
        </w:tc>
        <w:tc>
          <w:tcPr>
            <w:tcW w:w="7455" w:type="dxa"/>
            <w:gridSpan w:val="4"/>
            <w:vAlign w:val="center"/>
          </w:tcPr>
          <w:p w14:paraId="75CE2965">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w:t>
            </w:r>
          </w:p>
        </w:tc>
      </w:tr>
      <w:tr w14:paraId="76E0A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02" w:type="dxa"/>
            <w:vAlign w:val="center"/>
          </w:tcPr>
          <w:p w14:paraId="3168F8D7">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电磁辐射</w:t>
            </w:r>
          </w:p>
        </w:tc>
        <w:tc>
          <w:tcPr>
            <w:tcW w:w="7455" w:type="dxa"/>
            <w:gridSpan w:val="4"/>
            <w:vAlign w:val="center"/>
          </w:tcPr>
          <w:p w14:paraId="3D431330">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w:t>
            </w:r>
          </w:p>
        </w:tc>
      </w:tr>
      <w:tr w14:paraId="540FA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02" w:type="dxa"/>
            <w:vAlign w:val="center"/>
          </w:tcPr>
          <w:p w14:paraId="7B60237A">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环境风险</w:t>
            </w:r>
          </w:p>
          <w:p w14:paraId="1AE76201">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防范措施</w:t>
            </w:r>
          </w:p>
        </w:tc>
        <w:tc>
          <w:tcPr>
            <w:tcW w:w="7455" w:type="dxa"/>
            <w:gridSpan w:val="4"/>
            <w:vAlign w:val="center"/>
          </w:tcPr>
          <w:p w14:paraId="315E78DA">
            <w:pPr>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Style w:val="105"/>
                <w:rFonts w:hint="default" w:ascii="Times New Roman" w:hAnsi="Times New Roman" w:cs="Times New Roman" w:eastAsiaTheme="minorEastAsia"/>
                <w:color w:val="000000" w:themeColor="text1"/>
                <w:sz w:val="21"/>
                <w:szCs w:val="21"/>
                <w14:textFill>
                  <w14:solidFill>
                    <w14:schemeClr w14:val="tx1"/>
                  </w14:solidFill>
                </w14:textFill>
              </w:rPr>
              <w:t>做好危废间</w:t>
            </w:r>
            <w:r>
              <w:rPr>
                <w:rStyle w:val="105"/>
                <w:rFonts w:hint="default" w:ascii="Times New Roman" w:hAnsi="Times New Roman" w:cs="Times New Roman" w:eastAsiaTheme="minorEastAsia"/>
                <w:color w:val="000000" w:themeColor="text1"/>
                <w:sz w:val="21"/>
                <w:szCs w:val="21"/>
                <w:lang w:eastAsia="zh-CN"/>
                <w14:textFill>
                  <w14:solidFill>
                    <w14:schemeClr w14:val="tx1"/>
                  </w14:solidFill>
                </w14:textFill>
              </w:rPr>
              <w:t>防腐</w:t>
            </w:r>
            <w:r>
              <w:rPr>
                <w:rStyle w:val="105"/>
                <w:rFonts w:hint="default" w:ascii="Times New Roman" w:hAnsi="Times New Roman" w:cs="Times New Roman" w:eastAsiaTheme="minorEastAsia"/>
                <w:color w:val="000000" w:themeColor="text1"/>
                <w:sz w:val="21"/>
                <w:szCs w:val="21"/>
                <w14:textFill>
                  <w14:solidFill>
                    <w14:schemeClr w14:val="tx1"/>
                  </w14:solidFill>
                </w14:textFill>
              </w:rPr>
              <w:t>防渗</w:t>
            </w:r>
            <w:r>
              <w:rPr>
                <w:rStyle w:val="105"/>
                <w:rFonts w:hint="default" w:ascii="Times New Roman" w:hAnsi="Times New Roman" w:cs="Times New Roman" w:eastAsiaTheme="minorEastAsia"/>
                <w:color w:val="000000" w:themeColor="text1"/>
                <w:sz w:val="21"/>
                <w:szCs w:val="21"/>
                <w:lang w:eastAsia="zh-CN"/>
                <w14:textFill>
                  <w14:solidFill>
                    <w14:schemeClr w14:val="tx1"/>
                  </w14:solidFill>
                </w14:textFill>
              </w:rPr>
              <w:t>等</w:t>
            </w:r>
            <w:r>
              <w:rPr>
                <w:rStyle w:val="105"/>
                <w:rFonts w:hint="default" w:ascii="Times New Roman" w:hAnsi="Times New Roman" w:cs="Times New Roman" w:eastAsiaTheme="minorEastAsia"/>
                <w:color w:val="000000" w:themeColor="text1"/>
                <w:sz w:val="21"/>
                <w:szCs w:val="21"/>
                <w14:textFill>
                  <w14:solidFill>
                    <w14:schemeClr w14:val="tx1"/>
                  </w14:solidFill>
                </w14:textFill>
              </w:rPr>
              <w:t>工作、做好火灾</w:t>
            </w:r>
            <w:r>
              <w:rPr>
                <w:rStyle w:val="105"/>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Style w:val="105"/>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爆炸</w:t>
            </w:r>
            <w:r>
              <w:rPr>
                <w:rStyle w:val="105"/>
                <w:rFonts w:hint="default" w:ascii="Times New Roman" w:hAnsi="Times New Roman" w:cs="Times New Roman" w:eastAsiaTheme="minorEastAsia"/>
                <w:color w:val="000000" w:themeColor="text1"/>
                <w:sz w:val="21"/>
                <w:szCs w:val="21"/>
                <w14:textFill>
                  <w14:solidFill>
                    <w14:schemeClr w14:val="tx1"/>
                  </w14:solidFill>
                </w14:textFill>
              </w:rPr>
              <w:t>等风险防范措施。</w:t>
            </w:r>
          </w:p>
        </w:tc>
      </w:tr>
      <w:tr w14:paraId="4A6AA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2" w:type="dxa"/>
            <w:vAlign w:val="center"/>
          </w:tcPr>
          <w:p w14:paraId="309BB189">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其他环境</w:t>
            </w:r>
          </w:p>
          <w:p w14:paraId="762FC8CF">
            <w:pPr>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管理要求</w:t>
            </w:r>
          </w:p>
        </w:tc>
        <w:tc>
          <w:tcPr>
            <w:tcW w:w="7455" w:type="dxa"/>
            <w:gridSpan w:val="4"/>
            <w:vAlign w:val="center"/>
          </w:tcPr>
          <w:p w14:paraId="529CD9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①竣工环境保护验收</w:t>
            </w:r>
          </w:p>
          <w:p w14:paraId="683932DC">
            <w:pPr>
              <w:adjustRightInd w:val="0"/>
              <w:snapToGrid w:val="0"/>
              <w:spacing w:line="360" w:lineRule="auto"/>
              <w:ind w:firstLine="420" w:firstLineChars="20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根据《国务院关于修改〈建设项目环境保护管理条例〉的决定》（中华人民共和国国务院令第682号，以下简称《条例》，自2017年10月1日起施行），《建设项目环境保护管理条例》第十七条修改为“编制环境影响报告书、环境影响报告表的建设项目竣工后，建设单位应当按照国务院环境保护行政主管部门规定的标准和程序，对配套建设的环境保护设施进行验收，编制验收报告”，因此至2017年10月1日起取消“建设项目竣工环境保护验收”行政审批事项，环保设施竣工验收主体由</w:t>
            </w:r>
            <w:r>
              <w:rPr>
                <w:rFonts w:hint="eastAsia" w:cs="Times New Roman" w:eastAsiaTheme="minorEastAsia"/>
                <w:color w:val="000000" w:themeColor="text1"/>
                <w:sz w:val="21"/>
                <w:szCs w:val="21"/>
                <w:lang w:eastAsia="zh-CN" w:bidi="ar"/>
                <w14:textFill>
                  <w14:solidFill>
                    <w14:schemeClr w14:val="tx1"/>
                  </w14:solidFill>
                </w14:textFill>
              </w:rPr>
              <w:t>生态环境部</w:t>
            </w:r>
            <w:r>
              <w:rPr>
                <w:rFonts w:hint="default" w:ascii="Times New Roman" w:hAnsi="Times New Roman" w:cs="Times New Roman" w:eastAsiaTheme="minorEastAsia"/>
                <w:color w:val="000000" w:themeColor="text1"/>
                <w:sz w:val="21"/>
                <w:szCs w:val="21"/>
                <w:lang w:bidi="ar"/>
                <w14:textFill>
                  <w14:solidFill>
                    <w14:schemeClr w14:val="tx1"/>
                  </w14:solidFill>
                </w14:textFill>
              </w:rPr>
              <w:t>门转为建设单位，建设单位需自行验收，在验收过程中与环评单位、环保施工单位、环保设计单位、监测单位、专家等共同组成验收组对项目进行竣工环保验收，进一步强化了建设单位的环境保护“三同时”主体责任。</w:t>
            </w:r>
          </w:p>
          <w:p w14:paraId="51A9EA48">
            <w:pPr>
              <w:adjustRightInd w:val="0"/>
              <w:snapToGrid w:val="0"/>
              <w:spacing w:line="360" w:lineRule="auto"/>
              <w:ind w:firstLine="420" w:firstLineChars="20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根据《关于发布〈建设项目竣工环境保护验收暂行办法〉的公告》（国环规环评[2017]4号，自2017年11月22日起施行），建设项目需要配套建设水、噪声或者固体废物污染防治设施的，新修改的《中华人民共和国水污染防治法》生效实施前或者《中华人民共和国固体废物污染环境防治法》《</w:t>
            </w:r>
            <w:r>
              <w:rPr>
                <w:rFonts w:hint="eastAsia" w:cs="Times New Roman" w:eastAsiaTheme="minorEastAsia"/>
                <w:color w:val="000000" w:themeColor="text1"/>
                <w:sz w:val="21"/>
                <w:szCs w:val="21"/>
                <w:lang w:eastAsia="zh-CN" w:bidi="ar"/>
                <w14:textFill>
                  <w14:solidFill>
                    <w14:schemeClr w14:val="tx1"/>
                  </w14:solidFill>
                </w14:textFill>
              </w:rPr>
              <w:t>中华人民共和国噪声污染防治法</w:t>
            </w:r>
            <w:r>
              <w:rPr>
                <w:rFonts w:hint="default" w:ascii="Times New Roman" w:hAnsi="Times New Roman" w:cs="Times New Roman" w:eastAsiaTheme="minorEastAsia"/>
                <w:color w:val="000000" w:themeColor="text1"/>
                <w:sz w:val="21"/>
                <w:szCs w:val="21"/>
                <w:lang w:bidi="ar"/>
                <w14:textFill>
                  <w14:solidFill>
                    <w14:schemeClr w14:val="tx1"/>
                  </w14:solidFill>
                </w14:textFill>
              </w:rPr>
              <w:t>》修改完成前，应依法由</w:t>
            </w:r>
            <w:r>
              <w:rPr>
                <w:rFonts w:hint="eastAsia" w:cs="Times New Roman" w:eastAsiaTheme="minorEastAsia"/>
                <w:color w:val="000000" w:themeColor="text1"/>
                <w:sz w:val="21"/>
                <w:szCs w:val="21"/>
                <w:lang w:eastAsia="zh-CN" w:bidi="ar"/>
                <w14:textFill>
                  <w14:solidFill>
                    <w14:schemeClr w14:val="tx1"/>
                  </w14:solidFill>
                </w14:textFill>
              </w:rPr>
              <w:t>生态环境部</w:t>
            </w:r>
            <w:r>
              <w:rPr>
                <w:rFonts w:hint="default" w:ascii="Times New Roman" w:hAnsi="Times New Roman" w:cs="Times New Roman" w:eastAsiaTheme="minorEastAsia"/>
                <w:color w:val="000000" w:themeColor="text1"/>
                <w:sz w:val="21"/>
                <w:szCs w:val="21"/>
                <w:lang w:bidi="ar"/>
                <w14:textFill>
                  <w14:solidFill>
                    <w14:schemeClr w14:val="tx1"/>
                  </w14:solidFill>
                </w14:textFill>
              </w:rPr>
              <w:t>门对建设项目水、噪声或者固体废物污染防治设施进行验收。编制环境影响报告书、环境影响报告表的建设项目，其配套建设的环境保护设施经验收合格，方可投入生产或者使用；未经验收或者验收不合格的，不得投入生产或者使用。</w:t>
            </w:r>
          </w:p>
          <w:p w14:paraId="1485B5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②排污许可管理要求</w:t>
            </w:r>
          </w:p>
          <w:p w14:paraId="3E4E36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根据《固定污染源排污许可分类管理名录（2019年版）》（生态环境部 第11号）可知，</w:t>
            </w:r>
            <w:r>
              <w:rPr>
                <w:rFonts w:hint="default" w:ascii="Times New Roman" w:hAnsi="Times New Roman" w:cs="Times New Roman" w:eastAsiaTheme="minorEastAsia"/>
                <w:color w:val="000000" w:themeColor="text1"/>
                <w:sz w:val="21"/>
                <w:szCs w:val="21"/>
                <w14:textFill>
                  <w14:solidFill>
                    <w14:schemeClr w14:val="tx1"/>
                  </w14:solidFill>
                </w14:textFill>
              </w:rPr>
              <w:t>本项目为电脑显示器铝合金和锌合金支架的生产</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属于</w:t>
            </w:r>
            <w:r>
              <w:rPr>
                <w:rFonts w:hint="default" w:ascii="Times New Roman" w:hAnsi="Times New Roman" w:cs="Times New Roman" w:eastAsiaTheme="minorEastAsia"/>
                <w:color w:val="000000" w:themeColor="text1"/>
                <w:sz w:val="21"/>
                <w:szCs w:val="21"/>
                <w14:textFill>
                  <w14:solidFill>
                    <w14:schemeClr w14:val="tx1"/>
                  </w14:solidFill>
                </w14:textFill>
              </w:rPr>
              <w:t>“二十</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八</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金属制品业33—82铸造及其他金属制品制造339—</w:t>
            </w:r>
            <w:r>
              <w:rPr>
                <w:rFonts w:hint="default" w:ascii="Times New Roman" w:hAnsi="Times New Roman" w:cs="Times New Roman" w:eastAsiaTheme="minorEastAsia"/>
                <w:color w:val="000000" w:themeColor="text1"/>
                <w:sz w:val="21"/>
                <w:szCs w:val="21"/>
                <w14:textFill>
                  <w14:solidFill>
                    <w14:schemeClr w14:val="tx1"/>
                  </w14:solidFill>
                </w14:textFill>
              </w:rPr>
              <w:t>除重点管理以外的有色金属铸造3392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又属于“五十一、通用工序—</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110工业炉窑—除纳入重点排污单位名录的，除以天然气或者电为能源的加热炉、热处理炉、干燥炉（窑）以外的其他工业炉窑”，</w:t>
            </w:r>
            <w:r>
              <w:rPr>
                <w:rFonts w:hint="default" w:ascii="Times New Roman" w:hAnsi="Times New Roman" w:cs="Times New Roman" w:eastAsiaTheme="minorEastAsia"/>
                <w:color w:val="000000" w:themeColor="text1"/>
                <w:sz w:val="21"/>
                <w:szCs w:val="21"/>
                <w14:textFill>
                  <w14:solidFill>
                    <w14:schemeClr w14:val="tx1"/>
                  </w14:solidFill>
                </w14:textFill>
              </w:rPr>
              <w:t>实行排污许可</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简化</w:t>
            </w:r>
            <w:r>
              <w:rPr>
                <w:rFonts w:hint="default" w:ascii="Times New Roman" w:hAnsi="Times New Roman" w:cs="Times New Roman" w:eastAsiaTheme="minorEastAsia"/>
                <w:color w:val="000000" w:themeColor="text1"/>
                <w:sz w:val="21"/>
                <w:szCs w:val="21"/>
                <w14:textFill>
                  <w14:solidFill>
                    <w14:schemeClr w14:val="tx1"/>
                  </w14:solidFill>
                </w14:textFill>
              </w:rPr>
              <w:t>管理；因此，建设单位应当在启动生产设施或者发生实际排污之前在全国排污许可证管理信息平台进行排污许可</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申领</w:t>
            </w:r>
            <w:r>
              <w:rPr>
                <w:rFonts w:hint="default" w:ascii="Times New Roman" w:hAnsi="Times New Roman" w:cs="Times New Roman" w:eastAsiaTheme="minorEastAsia"/>
                <w:color w:val="000000" w:themeColor="text1"/>
                <w:sz w:val="21"/>
                <w:szCs w:val="21"/>
                <w:lang w:val="en-GB"/>
                <w14:textFill>
                  <w14:solidFill>
                    <w14:schemeClr w14:val="tx1"/>
                  </w14:solidFill>
                </w14:textFill>
              </w:rPr>
              <w:t>。</w:t>
            </w:r>
          </w:p>
          <w:p w14:paraId="7B0262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③建立环境管理制度</w:t>
            </w:r>
          </w:p>
          <w:p w14:paraId="3F163E1A">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根据《企业事业单位环境信息公开办法》(</w:t>
            </w:r>
            <w:r>
              <w:rPr>
                <w:rFonts w:hint="eastAsia" w:cs="Times New Roman" w:eastAsiaTheme="minorEastAsia"/>
                <w:color w:val="000000" w:themeColor="text1"/>
                <w:sz w:val="21"/>
                <w:szCs w:val="21"/>
                <w:lang w:eastAsia="zh-CN" w:bidi="ar"/>
                <w14:textFill>
                  <w14:solidFill>
                    <w14:schemeClr w14:val="tx1"/>
                  </w14:solidFill>
                </w14:textFill>
              </w:rPr>
              <w:t>生态环境部</w:t>
            </w:r>
            <w:r>
              <w:rPr>
                <w:rFonts w:hint="default" w:ascii="Times New Roman" w:hAnsi="Times New Roman" w:cs="Times New Roman" w:eastAsiaTheme="minorEastAsia"/>
                <w:color w:val="000000" w:themeColor="text1"/>
                <w:sz w:val="21"/>
                <w:szCs w:val="21"/>
                <w:lang w:bidi="ar"/>
                <w14:textFill>
                  <w14:solidFill>
                    <w14:schemeClr w14:val="tx1"/>
                  </w14:solidFill>
                </w14:textFill>
              </w:rPr>
              <w:t>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14:paraId="41C1DF97">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(一)基础信息，包括单位名称、组织机构代码、法定代表人、生产地址、联系方式，以及生产经营和管理服务的主要内容、产品及规模；</w:t>
            </w:r>
          </w:p>
          <w:p w14:paraId="62B9214D">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(二)排污信息，包括主要污染物及其他污染物的名称、排放方式、排放口数量和分布情况、排放浓度和总量、超标情况，以及执行的污染物排放标准、核定的排放总量；</w:t>
            </w:r>
          </w:p>
          <w:p w14:paraId="52E3B68B">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(三)防治污染设施的建设和运行情况；</w:t>
            </w:r>
          </w:p>
          <w:p w14:paraId="06D54267">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(四)建设项目环境影响评价及其他环境保护行政许可情况；</w:t>
            </w:r>
          </w:p>
          <w:p w14:paraId="31CCCB00">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(五)其他应当公开的环境信息；</w:t>
            </w:r>
          </w:p>
          <w:p w14:paraId="3780C536">
            <w:pPr>
              <w:adjustRightInd w:val="0"/>
              <w:snapToGrid w:val="0"/>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列入国家重点监控企业名单的重点排污单位应当公开其环境自行监测方案。</w:t>
            </w:r>
          </w:p>
          <w:p w14:paraId="3DC3D224">
            <w:pPr>
              <w:pStyle w:val="30"/>
              <w:widowControl w:val="0"/>
              <w:spacing w:before="0" w:beforeAutospacing="0" w:after="0" w:afterAutospacing="0" w:line="360" w:lineRule="auto"/>
              <w:jc w:val="both"/>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
                <w14:textFill>
                  <w14:solidFill>
                    <w14:schemeClr w14:val="tx1"/>
                  </w14:solidFill>
                </w14:textFill>
              </w:rPr>
              <w:t>建设单位应按照上述要求公开建设项目的相关信息，采取的信息公开途径可包括：A.公告或者公开发行的信息专刊；B.广播、电视等新闻媒体；C.信息公开服务、监督热线电话；D.本单位的资料索取点、信息公开栏、信息亭、电子屏幕、电子触摸屏等场所或者设施；E.其他便于公众及时、准确获得信息的方式。</w:t>
            </w:r>
          </w:p>
          <w:p w14:paraId="428F0B46">
            <w:pPr>
              <w:spacing w:line="360" w:lineRule="auto"/>
              <w:ind w:firstLine="420" w:firstLineChars="200"/>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④</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退役期环境管理</w:t>
            </w:r>
          </w:p>
          <w:p w14:paraId="147140F4">
            <w:pPr>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项目所使用的原料可返回原厂家或出售给其它企业，对周围环境无影响。原材料在暂保存期应设专门地点存放，专人看管。</w:t>
            </w:r>
          </w:p>
          <w:p w14:paraId="2B128BE5">
            <w:pPr>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bidi="ar"/>
                <w14:textFill>
                  <w14:solidFill>
                    <w14:schemeClr w14:val="tx1"/>
                  </w14:solidFill>
                </w14:textFill>
              </w:rPr>
              <w:t>项目退役后，其设备处置应遵循以下两方面原则：</w:t>
            </w:r>
          </w:p>
          <w:p w14:paraId="5367A3AE">
            <w:pPr>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A.</w:t>
            </w:r>
            <w:r>
              <w:rPr>
                <w:rFonts w:hint="default" w:ascii="Times New Roman" w:hAnsi="Times New Roman" w:cs="Times New Roman" w:eastAsiaTheme="minorEastAsia"/>
                <w:color w:val="000000" w:themeColor="text1"/>
                <w:sz w:val="21"/>
                <w:szCs w:val="21"/>
                <w:lang w:bidi="ar"/>
                <w14:textFill>
                  <w14:solidFill>
                    <w14:schemeClr w14:val="tx1"/>
                  </w14:solidFill>
                </w14:textFill>
              </w:rPr>
              <w:t>在退役时，尚不属于行业淘汰范围的</w:t>
            </w:r>
            <w:r>
              <w:rPr>
                <w:rFonts w:hint="eastAsia" w:cs="Times New Roman" w:eastAsiaTheme="minorEastAsia"/>
                <w:color w:val="000000" w:themeColor="text1"/>
                <w:sz w:val="21"/>
                <w:szCs w:val="21"/>
                <w:lang w:eastAsia="zh-CN" w:bidi="ar"/>
                <w14:textFill>
                  <w14:solidFill>
                    <w14:schemeClr w14:val="tx1"/>
                  </w14:solidFill>
                </w14:textFill>
              </w:rPr>
              <w:t>且</w:t>
            </w:r>
            <w:r>
              <w:rPr>
                <w:rFonts w:hint="default" w:ascii="Times New Roman" w:hAnsi="Times New Roman" w:cs="Times New Roman" w:eastAsiaTheme="minorEastAsia"/>
                <w:color w:val="000000" w:themeColor="text1"/>
                <w:sz w:val="21"/>
                <w:szCs w:val="21"/>
                <w:lang w:bidi="ar"/>
                <w14:textFill>
                  <w14:solidFill>
                    <w14:schemeClr w14:val="tx1"/>
                  </w14:solidFill>
                </w14:textFill>
              </w:rPr>
              <w:t>尚符合当时国家产业政策和地方政策的设备，可出售给相应企业。</w:t>
            </w:r>
          </w:p>
          <w:p w14:paraId="68D7BFC4">
            <w:pPr>
              <w:spacing w:line="360" w:lineRule="auto"/>
              <w:ind w:firstLine="420" w:firstLineChars="20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B.</w:t>
            </w:r>
            <w:r>
              <w:rPr>
                <w:rFonts w:hint="default" w:ascii="Times New Roman" w:hAnsi="Times New Roman" w:cs="Times New Roman" w:eastAsiaTheme="minorEastAsia"/>
                <w:color w:val="000000" w:themeColor="text1"/>
                <w:sz w:val="21"/>
                <w:szCs w:val="21"/>
                <w:lang w:bidi="ar"/>
                <w14:textFill>
                  <w14:solidFill>
                    <w14:schemeClr w14:val="tx1"/>
                  </w14:solidFill>
                </w14:textFill>
              </w:rPr>
              <w:t>在退役时，属于行业淘汰范围、不符合当时国家产业政策和地方政策中的一种，即应予以报废，设备可按废品出售给物质回收单位。本项目所使用的设备在退役后应根据上述两个原则将生产设备售给相应的企业或予以报废，出售给物质回收单位。</w:t>
            </w:r>
          </w:p>
          <w:p w14:paraId="639CF4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instrText xml:space="preserve"> = 5 \* GB3 \* MERGEFORMAT </w:instrTex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eastAsiaTheme="minorEastAsia"/>
                <w:color w:val="000000" w:themeColor="text1"/>
                <w:sz w:val="21"/>
                <w:szCs w:val="21"/>
                <w14:textFill>
                  <w14:solidFill>
                    <w14:schemeClr w14:val="tx1"/>
                  </w14:solidFill>
                </w14:textFill>
              </w:rPr>
              <w:t>⑤</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fldChar w:fldCharType="end"/>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排污口规范管理</w:t>
            </w:r>
          </w:p>
          <w:p w14:paraId="30030D10">
            <w:pPr>
              <w:pStyle w:val="60"/>
              <w:spacing w:line="360" w:lineRule="auto"/>
              <w:ind w:firstLine="42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一切排污单位的污染物排放口(源)必须实行规范化整治，按照(GB15562.2-1995)《环境保护图形标志》的规定，设置与之相适应的环境保护图形标志牌，见</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5.1-1。</w:t>
            </w:r>
          </w:p>
          <w:p w14:paraId="3FE39FD7">
            <w:pPr>
              <w:pStyle w:val="60"/>
              <w:spacing w:line="360" w:lineRule="auto"/>
              <w:ind w:firstLine="42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般性污染物排放口(源)可设置提示性环境保护图形标志牌，排污口可根据情况分别选择设置立式或平面固定式标志牌。要求各排污口（源）提示标志形状采用正方形边框，背景颜色用绿色，图形颜色用白色。标志牌应设在与之功能相应的醒目处，并保持清晰、完整。</w:t>
            </w:r>
          </w:p>
          <w:p w14:paraId="23052179">
            <w:pPr>
              <w:jc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 xml:space="preserve">5.1-1 </w:t>
            </w:r>
            <w:r>
              <w:rPr>
                <w:rFonts w:hint="default" w:ascii="Times New Roman" w:hAnsi="Times New Roman" w:cs="Times New Roman" w:eastAsiaTheme="minorEastAsia"/>
                <w:b/>
                <w:bCs/>
                <w:color w:val="000000" w:themeColor="text1"/>
                <w:kern w:val="0"/>
                <w:sz w:val="21"/>
                <w:szCs w:val="21"/>
                <w14:textFill>
                  <w14:solidFill>
                    <w14:schemeClr w14:val="tx1"/>
                  </w14:solidFill>
                </w14:textFill>
              </w:rPr>
              <w:t xml:space="preserve"> 各排污口（源）标志牌设置示意图</w:t>
            </w:r>
          </w:p>
          <w:tbl>
            <w:tblPr>
              <w:tblStyle w:val="35"/>
              <w:tblW w:w="7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305"/>
              <w:gridCol w:w="1500"/>
              <w:gridCol w:w="1290"/>
              <w:gridCol w:w="1365"/>
              <w:gridCol w:w="1480"/>
            </w:tblGrid>
            <w:tr w14:paraId="5CD7B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noWrap w:val="0"/>
                  <w:vAlign w:val="center"/>
                </w:tcPr>
                <w:p w14:paraId="29E92423">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名称</w:t>
                  </w:r>
                </w:p>
              </w:tc>
              <w:tc>
                <w:tcPr>
                  <w:tcW w:w="1305" w:type="dxa"/>
                  <w:noWrap w:val="0"/>
                  <w:vAlign w:val="center"/>
                </w:tcPr>
                <w:p w14:paraId="60774959">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废水排放口</w:t>
                  </w:r>
                </w:p>
              </w:tc>
              <w:tc>
                <w:tcPr>
                  <w:tcW w:w="1500" w:type="dxa"/>
                  <w:noWrap w:val="0"/>
                  <w:vAlign w:val="center"/>
                </w:tcPr>
                <w:p w14:paraId="51775E2E">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废气排放口</w:t>
                  </w:r>
                </w:p>
              </w:tc>
              <w:tc>
                <w:tcPr>
                  <w:tcW w:w="1290" w:type="dxa"/>
                  <w:noWrap w:val="0"/>
                  <w:vAlign w:val="center"/>
                </w:tcPr>
                <w:p w14:paraId="3B1CF961">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噪声排放源</w:t>
                  </w:r>
                </w:p>
              </w:tc>
              <w:tc>
                <w:tcPr>
                  <w:tcW w:w="1365" w:type="dxa"/>
                  <w:noWrap w:val="0"/>
                  <w:vAlign w:val="center"/>
                </w:tcPr>
                <w:p w14:paraId="718BC506">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一般</w:t>
                  </w:r>
                </w:p>
                <w:p w14:paraId="710E2E8D">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固体废物</w:t>
                  </w:r>
                </w:p>
              </w:tc>
              <w:tc>
                <w:tcPr>
                  <w:tcW w:w="1480" w:type="dxa"/>
                  <w:noWrap w:val="0"/>
                  <w:vAlign w:val="center"/>
                </w:tcPr>
                <w:p w14:paraId="44899B44">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危险废物</w:t>
                  </w:r>
                </w:p>
              </w:tc>
            </w:tr>
            <w:tr w14:paraId="5E664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noWrap w:val="0"/>
                  <w:vAlign w:val="center"/>
                </w:tcPr>
                <w:p w14:paraId="0043B33B">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提示</w:t>
                  </w:r>
                </w:p>
                <w:p w14:paraId="54B570D6">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图形</w:t>
                  </w:r>
                </w:p>
                <w:p w14:paraId="63BF9289">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符号</w:t>
                  </w:r>
                </w:p>
              </w:tc>
              <w:tc>
                <w:tcPr>
                  <w:tcW w:w="1305" w:type="dxa"/>
                  <w:noWrap w:val="0"/>
                  <w:vAlign w:val="center"/>
                </w:tcPr>
                <w:p w14:paraId="0ACD03B2">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114300" distR="114300">
                        <wp:extent cx="698500" cy="734060"/>
                        <wp:effectExtent l="9525" t="9525" r="15875" b="18415"/>
                        <wp:docPr id="18" name="图片 11" descr="排污口图标（废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排污口图标（废水）"/>
                                <pic:cNvPicPr>
                                  <a:picLocks noChangeAspect="1"/>
                                </pic:cNvPicPr>
                              </pic:nvPicPr>
                              <pic:blipFill>
                                <a:blip r:embed="rId16"/>
                                <a:stretch>
                                  <a:fillRect/>
                                </a:stretch>
                              </pic:blipFill>
                              <pic:spPr>
                                <a:xfrm>
                                  <a:off x="0" y="0"/>
                                  <a:ext cx="698500" cy="73406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500" w:type="dxa"/>
                  <w:noWrap w:val="0"/>
                  <w:vAlign w:val="center"/>
                </w:tcPr>
                <w:p w14:paraId="379BA89C">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114300" distR="114300">
                        <wp:extent cx="821055" cy="758190"/>
                        <wp:effectExtent l="9525" t="9525" r="26670" b="13335"/>
                        <wp:docPr id="26" name="图片 12" descr="排污口图标（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排污口图标（废气）"/>
                                <pic:cNvPicPr>
                                  <a:picLocks noChangeAspect="1"/>
                                </pic:cNvPicPr>
                              </pic:nvPicPr>
                              <pic:blipFill>
                                <a:blip r:embed="rId17"/>
                                <a:stretch>
                                  <a:fillRect/>
                                </a:stretch>
                              </pic:blipFill>
                              <pic:spPr>
                                <a:xfrm>
                                  <a:off x="0" y="0"/>
                                  <a:ext cx="821055" cy="75819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290" w:type="dxa"/>
                  <w:noWrap w:val="0"/>
                  <w:vAlign w:val="center"/>
                </w:tcPr>
                <w:p w14:paraId="0C2DC797">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114300" distR="114300">
                        <wp:extent cx="694055" cy="741680"/>
                        <wp:effectExtent l="9525" t="9525" r="20320" b="10795"/>
                        <wp:docPr id="36" name="图片 13" descr="排污口图标（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排污口图标（噪声）"/>
                                <pic:cNvPicPr>
                                  <a:picLocks noChangeAspect="1"/>
                                </pic:cNvPicPr>
                              </pic:nvPicPr>
                              <pic:blipFill>
                                <a:blip r:embed="rId18"/>
                                <a:stretch>
                                  <a:fillRect/>
                                </a:stretch>
                              </pic:blipFill>
                              <pic:spPr>
                                <a:xfrm>
                                  <a:off x="0" y="0"/>
                                  <a:ext cx="694055" cy="74168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365" w:type="dxa"/>
                  <w:noWrap w:val="0"/>
                  <w:vAlign w:val="center"/>
                </w:tcPr>
                <w:p w14:paraId="69DD8EFE">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114300" distR="114300">
                        <wp:extent cx="720725" cy="748665"/>
                        <wp:effectExtent l="9525" t="9525" r="12700" b="22860"/>
                        <wp:docPr id="49" name="图片 14" descr="排污口图标（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排污口图标（固废）"/>
                                <pic:cNvPicPr>
                                  <a:picLocks noChangeAspect="1"/>
                                </pic:cNvPicPr>
                              </pic:nvPicPr>
                              <pic:blipFill>
                                <a:blip r:embed="rId19"/>
                                <a:stretch>
                                  <a:fillRect/>
                                </a:stretch>
                              </pic:blipFill>
                              <pic:spPr>
                                <a:xfrm>
                                  <a:off x="0" y="0"/>
                                  <a:ext cx="720725" cy="748665"/>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1480" w:type="dxa"/>
                  <w:noWrap w:val="0"/>
                  <w:vAlign w:val="center"/>
                </w:tcPr>
                <w:p w14:paraId="40BA12F6">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drawing>
                      <wp:inline distT="0" distB="0" distL="114300" distR="114300">
                        <wp:extent cx="781050" cy="766445"/>
                        <wp:effectExtent l="9525" t="9525" r="9525" b="2413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0"/>
                                <a:stretch>
                                  <a:fillRect/>
                                </a:stretch>
                              </pic:blipFill>
                              <pic:spPr>
                                <a:xfrm>
                                  <a:off x="0" y="0"/>
                                  <a:ext cx="781050" cy="766445"/>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14:paraId="2CE07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noWrap w:val="0"/>
                  <w:vAlign w:val="center"/>
                </w:tcPr>
                <w:p w14:paraId="78501561">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功能</w:t>
                  </w:r>
                </w:p>
              </w:tc>
              <w:tc>
                <w:tcPr>
                  <w:tcW w:w="1305" w:type="dxa"/>
                  <w:noWrap w:val="0"/>
                  <w:vAlign w:val="center"/>
                </w:tcPr>
                <w:p w14:paraId="03BE4099">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表示污水向水体排放</w:t>
                  </w:r>
                </w:p>
              </w:tc>
              <w:tc>
                <w:tcPr>
                  <w:tcW w:w="1500" w:type="dxa"/>
                  <w:noWrap w:val="0"/>
                  <w:vAlign w:val="center"/>
                </w:tcPr>
                <w:p w14:paraId="164CA91D">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表示废气向大气环境排放</w:t>
                  </w:r>
                </w:p>
              </w:tc>
              <w:tc>
                <w:tcPr>
                  <w:tcW w:w="1290" w:type="dxa"/>
                  <w:noWrap w:val="0"/>
                  <w:vAlign w:val="center"/>
                </w:tcPr>
                <w:p w14:paraId="7E1E66A9">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表示噪声向外环境排放</w:t>
                  </w:r>
                </w:p>
              </w:tc>
              <w:tc>
                <w:tcPr>
                  <w:tcW w:w="1365" w:type="dxa"/>
                  <w:noWrap w:val="0"/>
                  <w:vAlign w:val="center"/>
                </w:tcPr>
                <w:p w14:paraId="2DED36CF">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表示一般固体废物贮存、处置场</w:t>
                  </w:r>
                </w:p>
              </w:tc>
              <w:tc>
                <w:tcPr>
                  <w:tcW w:w="1480" w:type="dxa"/>
                  <w:noWrap w:val="0"/>
                  <w:vAlign w:val="center"/>
                </w:tcPr>
                <w:p w14:paraId="72089740">
                  <w:pPr>
                    <w:jc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表示危险废物贮存、处置场</w:t>
                  </w:r>
                </w:p>
              </w:tc>
            </w:tr>
          </w:tbl>
          <w:p w14:paraId="7D94ABFD">
            <w:pPr>
              <w:pStyle w:val="60"/>
              <w:spacing w:line="360" w:lineRule="auto"/>
              <w:ind w:left="0" w:lef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bl>
    <w:p w14:paraId="05B870D7">
      <w:pPr>
        <w:pStyle w:val="30"/>
        <w:jc w:val="center"/>
        <w:outlineLvl w:val="0"/>
        <w:rPr>
          <w:rFonts w:hint="default" w:ascii="Times New Roman" w:hAnsi="Times New Roman" w:cs="Times New Roman" w:eastAsiaTheme="minorEastAsia"/>
          <w:snapToGrid w:val="0"/>
          <w:color w:val="000000" w:themeColor="text1"/>
          <w:kern w:val="2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snapToGrid w:val="0"/>
          <w:color w:val="000000" w:themeColor="text1"/>
          <w:kern w:val="21"/>
          <w14:textFill>
            <w14:solidFill>
              <w14:schemeClr w14:val="tx1"/>
            </w14:solidFill>
          </w14:textFill>
        </w:rPr>
        <w:br w:type="page"/>
      </w:r>
    </w:p>
    <w:p w14:paraId="0FD010D7">
      <w:pPr>
        <w:pStyle w:val="30"/>
        <w:jc w:val="center"/>
        <w:outlineLvl w:val="0"/>
        <w:rPr>
          <w:rFonts w:hint="default" w:ascii="Times New Roman" w:hAnsi="Times New Roman" w:cs="Times New Roman" w:eastAsiaTheme="minorEastAsia"/>
          <w:snapToGrid w:val="0"/>
          <w:color w:val="000000" w:themeColor="text1"/>
          <w:kern w:val="21"/>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eastAsiaTheme="minorEastAsia"/>
          <w:snapToGrid w:val="0"/>
          <w:color w:val="000000" w:themeColor="text1"/>
          <w:kern w:val="21"/>
          <w:lang w:eastAsia="zh-CN"/>
          <w14:textFill>
            <w14:solidFill>
              <w14:schemeClr w14:val="tx1"/>
            </w14:solidFill>
          </w14:textFill>
        </w:rPr>
        <w:drawing>
          <wp:inline distT="0" distB="0" distL="114300" distR="114300">
            <wp:extent cx="5608320" cy="7912735"/>
            <wp:effectExtent l="0" t="0" r="11430" b="12065"/>
            <wp:docPr id="25" name="图片 25" descr="5248ef6285a295d77c747ec4ba0dc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248ef6285a295d77c747ec4ba0dce06"/>
                    <pic:cNvPicPr>
                      <a:picLocks noChangeAspect="1"/>
                    </pic:cNvPicPr>
                  </pic:nvPicPr>
                  <pic:blipFill>
                    <a:blip r:embed="rId21"/>
                    <a:stretch>
                      <a:fillRect/>
                    </a:stretch>
                  </pic:blipFill>
                  <pic:spPr>
                    <a:xfrm>
                      <a:off x="0" y="0"/>
                      <a:ext cx="5608320" cy="7912735"/>
                    </a:xfrm>
                    <a:prstGeom prst="rect">
                      <a:avLst/>
                    </a:prstGeom>
                  </pic:spPr>
                </pic:pic>
              </a:graphicData>
            </a:graphic>
          </wp:inline>
        </w:drawing>
      </w:r>
    </w:p>
    <w:p w14:paraId="0BAAC980">
      <w:pPr>
        <w:pStyle w:val="30"/>
        <w:spacing w:before="0" w:beforeAutospacing="0" w:after="0" w:afterAutospacing="0"/>
        <w:outlineLvl w:val="0"/>
        <w:rPr>
          <w:rFonts w:hint="default"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 w:val="32"/>
          <w:szCs w:val="32"/>
          <w14:textFill>
            <w14:solidFill>
              <w14:schemeClr w14:val="tx1"/>
            </w14:solidFill>
          </w14:textFill>
        </w:rPr>
        <w:t>附表</w:t>
      </w:r>
    </w:p>
    <w:p w14:paraId="56F7A272">
      <w:pPr>
        <w:pStyle w:val="30"/>
        <w:spacing w:before="0" w:beforeAutospacing="0" w:after="0" w:afterAutospacing="0" w:line="240" w:lineRule="auto"/>
        <w:jc w:val="center"/>
        <w:outlineLvl w:val="0"/>
        <w:rPr>
          <w:rFonts w:hint="default" w:ascii="Times New Roman" w:hAnsi="Times New Roman" w:cs="Times New Roman" w:eastAsiaTheme="minorEastAsia"/>
          <w:snapToGrid w:val="0"/>
          <w:color w:val="000000" w:themeColor="text1"/>
          <w:kern w:val="21"/>
          <w:sz w:val="38"/>
          <w:szCs w:val="38"/>
          <w14:textFill>
            <w14:solidFill>
              <w14:schemeClr w14:val="tx1"/>
            </w14:solidFill>
          </w14:textFill>
        </w:rPr>
      </w:pPr>
      <w:r>
        <w:rPr>
          <w:rFonts w:hint="default" w:ascii="Times New Roman" w:hAnsi="Times New Roman" w:cs="Times New Roman" w:eastAsiaTheme="minorEastAsia"/>
          <w:snapToGrid w:val="0"/>
          <w:color w:val="000000" w:themeColor="text1"/>
          <w:kern w:val="21"/>
          <w:sz w:val="38"/>
          <w:szCs w:val="38"/>
          <w14:textFill>
            <w14:solidFill>
              <w14:schemeClr w14:val="tx1"/>
            </w14:solidFill>
          </w14:textFill>
        </w:rPr>
        <w:t>建设项目污染物排放量汇总表</w:t>
      </w:r>
    </w:p>
    <w:tbl>
      <w:tblPr>
        <w:tblStyle w:val="3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41"/>
        <w:gridCol w:w="1719"/>
        <w:gridCol w:w="1286"/>
      </w:tblGrid>
      <w:tr w14:paraId="67DD2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14:paraId="30B39720">
            <w:pPr>
              <w:pStyle w:val="62"/>
              <w:spacing w:beforeLines="0" w:afterLines="0" w:line="240" w:lineRule="auto"/>
              <w:jc w:val="right"/>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项目</w:t>
            </w:r>
          </w:p>
          <w:p w14:paraId="31ADCE65">
            <w:pPr>
              <w:pStyle w:val="62"/>
              <w:spacing w:beforeLines="0" w:afterLines="0" w:line="240" w:lineRule="auto"/>
              <w:jc w:val="left"/>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分类</w:t>
            </w:r>
          </w:p>
        </w:tc>
        <w:tc>
          <w:tcPr>
            <w:tcW w:w="1417" w:type="dxa"/>
            <w:tcMar>
              <w:left w:w="28" w:type="dxa"/>
              <w:right w:w="28" w:type="dxa"/>
            </w:tcMar>
            <w:vAlign w:val="center"/>
          </w:tcPr>
          <w:p w14:paraId="64F05280">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污染物名称</w:t>
            </w:r>
          </w:p>
        </w:tc>
        <w:tc>
          <w:tcPr>
            <w:tcW w:w="1701" w:type="dxa"/>
            <w:tcMar>
              <w:left w:w="28" w:type="dxa"/>
              <w:right w:w="28" w:type="dxa"/>
            </w:tcMar>
            <w:vAlign w:val="center"/>
          </w:tcPr>
          <w:p w14:paraId="04622594">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现有工程</w:t>
            </w:r>
          </w:p>
          <w:p w14:paraId="5A48DBEA">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排放量（固体废物产生量）</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①</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c>
          <w:tcPr>
            <w:tcW w:w="1276" w:type="dxa"/>
            <w:tcMar>
              <w:left w:w="28" w:type="dxa"/>
              <w:right w:w="28" w:type="dxa"/>
            </w:tcMar>
            <w:vAlign w:val="center"/>
          </w:tcPr>
          <w:p w14:paraId="3C42CC2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现有工程</w:t>
            </w:r>
          </w:p>
          <w:p w14:paraId="564BD144">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许可排放量</w:t>
            </w:r>
          </w:p>
          <w:p w14:paraId="08176393">
            <w:pPr>
              <w:pStyle w:val="62"/>
              <w:spacing w:beforeLines="0" w:afterLines="0"/>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2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②</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c>
          <w:tcPr>
            <w:tcW w:w="1701" w:type="dxa"/>
            <w:tcMar>
              <w:left w:w="28" w:type="dxa"/>
              <w:right w:w="28" w:type="dxa"/>
            </w:tcMar>
            <w:vAlign w:val="center"/>
          </w:tcPr>
          <w:p w14:paraId="0C4A9AD0">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在建工程</w:t>
            </w:r>
          </w:p>
          <w:p w14:paraId="19C7325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排放量（固体废物产生量）</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3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③</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c>
          <w:tcPr>
            <w:tcW w:w="1559" w:type="dxa"/>
            <w:tcMar>
              <w:left w:w="28" w:type="dxa"/>
              <w:right w:w="28" w:type="dxa"/>
            </w:tcMar>
            <w:vAlign w:val="center"/>
          </w:tcPr>
          <w:p w14:paraId="25A4C37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本项目</w:t>
            </w:r>
          </w:p>
          <w:p w14:paraId="743AF5F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排放量（固体废物产生量）</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4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④</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c>
          <w:tcPr>
            <w:tcW w:w="1541" w:type="dxa"/>
            <w:tcMar>
              <w:left w:w="28" w:type="dxa"/>
              <w:right w:w="28" w:type="dxa"/>
            </w:tcMar>
            <w:vAlign w:val="center"/>
          </w:tcPr>
          <w:p w14:paraId="3513F05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以新带老削减量</w:t>
            </w:r>
          </w:p>
          <w:p w14:paraId="131D0C63">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（新建项目不填）</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5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⑤</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c>
          <w:tcPr>
            <w:tcW w:w="1719" w:type="dxa"/>
            <w:tcMar>
              <w:left w:w="28" w:type="dxa"/>
              <w:right w:w="28" w:type="dxa"/>
            </w:tcMar>
            <w:vAlign w:val="center"/>
          </w:tcPr>
          <w:p w14:paraId="7492A77E">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本项目建成后</w:t>
            </w:r>
          </w:p>
          <w:p w14:paraId="606CB23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全厂排放量（固体废物产生量）</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⑥</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c>
          <w:tcPr>
            <w:tcW w:w="1286" w:type="dxa"/>
            <w:tcMar>
              <w:left w:w="28" w:type="dxa"/>
              <w:right w:w="28" w:type="dxa"/>
            </w:tcMar>
            <w:vAlign w:val="center"/>
          </w:tcPr>
          <w:p w14:paraId="095405AC">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变化量</w:t>
            </w:r>
          </w:p>
          <w:p w14:paraId="4E4F5A1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⑦</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tc>
      </w:tr>
      <w:tr w14:paraId="15168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6F7008E">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废气</w:t>
            </w:r>
          </w:p>
        </w:tc>
        <w:tc>
          <w:tcPr>
            <w:tcW w:w="1417" w:type="dxa"/>
            <w:vAlign w:val="center"/>
          </w:tcPr>
          <w:p w14:paraId="46A892C5">
            <w:pPr>
              <w:pStyle w:val="62"/>
              <w:spacing w:beforeLines="0" w:afterLines="0" w:line="240" w:lineRule="auto"/>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颗粒物</w:t>
            </w:r>
          </w:p>
        </w:tc>
        <w:tc>
          <w:tcPr>
            <w:tcW w:w="1701" w:type="dxa"/>
            <w:vAlign w:val="center"/>
          </w:tcPr>
          <w:p w14:paraId="6D98ED0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5A72417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2D03BD9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25D9CA56">
            <w:pPr>
              <w:jc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0.</w:t>
            </w:r>
            <w:r>
              <w:rPr>
                <w:rFonts w:hint="eastAsia" w:cs="Times New Roman" w:eastAsiaTheme="minorEastAsia"/>
                <w:color w:val="000000" w:themeColor="text1"/>
                <w:kern w:val="0"/>
                <w:szCs w:val="21"/>
                <w:lang w:val="en-US" w:eastAsia="zh-CN"/>
                <w14:textFill>
                  <w14:solidFill>
                    <w14:schemeClr w14:val="tx1"/>
                  </w14:solidFill>
                </w14:textFill>
              </w:rPr>
              <w:t>148</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t/a</w:t>
            </w:r>
          </w:p>
        </w:tc>
        <w:tc>
          <w:tcPr>
            <w:tcW w:w="1541" w:type="dxa"/>
            <w:vAlign w:val="center"/>
          </w:tcPr>
          <w:p w14:paraId="583E0CFF">
            <w:pPr>
              <w:pStyle w:val="62"/>
              <w:spacing w:beforeLines="0" w:afterLines="0" w:line="240" w:lineRule="auto"/>
              <w:rPr>
                <w:rFonts w:hint="default" w:ascii="Times New Roman" w:hAnsi="Times New Roman" w:cs="Times New Roman" w:eastAsiaTheme="minorEastAsia"/>
                <w:color w:val="000000" w:themeColor="text1"/>
                <w:szCs w:val="21"/>
                <w14:textFill>
                  <w14:solidFill>
                    <w14:schemeClr w14:val="tx1"/>
                  </w14:solidFill>
                </w14:textFill>
              </w:rPr>
            </w:pPr>
          </w:p>
        </w:tc>
        <w:tc>
          <w:tcPr>
            <w:tcW w:w="1719" w:type="dxa"/>
            <w:vAlign w:val="center"/>
          </w:tcPr>
          <w:p w14:paraId="07527E2A">
            <w:pPr>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0.</w:t>
            </w:r>
            <w:r>
              <w:rPr>
                <w:rFonts w:hint="eastAsia" w:cs="Times New Roman" w:eastAsiaTheme="minorEastAsia"/>
                <w:color w:val="000000" w:themeColor="text1"/>
                <w:kern w:val="0"/>
                <w:szCs w:val="21"/>
                <w:lang w:val="en-US" w:eastAsia="zh-CN"/>
                <w14:textFill>
                  <w14:solidFill>
                    <w14:schemeClr w14:val="tx1"/>
                  </w14:solidFill>
                </w14:textFill>
              </w:rPr>
              <w:t>148</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t/a</w:t>
            </w:r>
          </w:p>
        </w:tc>
        <w:tc>
          <w:tcPr>
            <w:tcW w:w="1286" w:type="dxa"/>
            <w:vAlign w:val="center"/>
          </w:tcPr>
          <w:p w14:paraId="2B775C9A">
            <w:pPr>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+0.</w:t>
            </w:r>
            <w:r>
              <w:rPr>
                <w:rFonts w:hint="eastAsia" w:cs="Times New Roman" w:eastAsiaTheme="minorEastAsia"/>
                <w:color w:val="000000" w:themeColor="text1"/>
                <w:kern w:val="0"/>
                <w:szCs w:val="21"/>
                <w:lang w:val="en-US" w:eastAsia="zh-CN"/>
                <w14:textFill>
                  <w14:solidFill>
                    <w14:schemeClr w14:val="tx1"/>
                  </w14:solidFill>
                </w14:textFill>
              </w:rPr>
              <w:t>148</w:t>
            </w: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t/a</w:t>
            </w:r>
          </w:p>
        </w:tc>
      </w:tr>
      <w:tr w14:paraId="57697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8208B9D">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489B0AB4">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非甲烷总烃</w:t>
            </w:r>
          </w:p>
        </w:tc>
        <w:tc>
          <w:tcPr>
            <w:tcW w:w="1701" w:type="dxa"/>
            <w:vAlign w:val="center"/>
          </w:tcPr>
          <w:p w14:paraId="1DE0F408">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4C2E0D30">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0CDC73F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697A747E">
            <w:pPr>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0.691</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541" w:type="dxa"/>
            <w:vAlign w:val="center"/>
          </w:tcPr>
          <w:p w14:paraId="0C196071">
            <w:pPr>
              <w:pStyle w:val="62"/>
              <w:spacing w:beforeLines="0" w:afterLines="0" w:line="240" w:lineRule="auto"/>
              <w:rPr>
                <w:rFonts w:hint="default" w:ascii="Times New Roman" w:hAnsi="Times New Roman" w:cs="Times New Roman" w:eastAsiaTheme="minorEastAsia"/>
                <w:color w:val="000000" w:themeColor="text1"/>
                <w:szCs w:val="21"/>
                <w14:textFill>
                  <w14:solidFill>
                    <w14:schemeClr w14:val="tx1"/>
                  </w14:solidFill>
                </w14:textFill>
              </w:rPr>
            </w:pPr>
          </w:p>
        </w:tc>
        <w:tc>
          <w:tcPr>
            <w:tcW w:w="1719" w:type="dxa"/>
            <w:vAlign w:val="center"/>
          </w:tcPr>
          <w:p w14:paraId="2D7F923B">
            <w:pPr>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0.691</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286" w:type="dxa"/>
            <w:vAlign w:val="center"/>
          </w:tcPr>
          <w:p w14:paraId="1C67AC04">
            <w:pPr>
              <w:jc w:val="center"/>
              <w:rPr>
                <w:rFonts w:hint="default" w:ascii="Times New Roman" w:hAnsi="Times New Roman" w:cs="Times New Roman" w:eastAsiaTheme="minorEastAsia"/>
                <w:color w:val="000000" w:themeColor="text1"/>
                <w:kern w:val="0"/>
                <w:szCs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0.691</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r>
      <w:tr w14:paraId="45E7D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5B47279E">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废水</w:t>
            </w:r>
          </w:p>
        </w:tc>
        <w:tc>
          <w:tcPr>
            <w:tcW w:w="1417" w:type="dxa"/>
            <w:vAlign w:val="center"/>
          </w:tcPr>
          <w:p w14:paraId="37135EB0">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COD</w:t>
            </w:r>
          </w:p>
        </w:tc>
        <w:tc>
          <w:tcPr>
            <w:tcW w:w="1701" w:type="dxa"/>
            <w:vAlign w:val="center"/>
          </w:tcPr>
          <w:p w14:paraId="573EF109">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7EF2D147">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4FDF40D8">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5E723431">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0.033</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541" w:type="dxa"/>
            <w:vAlign w:val="center"/>
          </w:tcPr>
          <w:p w14:paraId="6F9FD3D1">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2BB345AE">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0.033</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286" w:type="dxa"/>
            <w:vAlign w:val="center"/>
          </w:tcPr>
          <w:p w14:paraId="4195A862">
            <w:pPr>
              <w:widowControl/>
              <w:adjustRightInd/>
              <w:snapToGrid/>
              <w:jc w:val="center"/>
              <w:rPr>
                <w:rFonts w:hint="default" w:ascii="Times New Roman" w:hAnsi="Times New Roman" w:cs="Times New Roman" w:eastAsiaTheme="minorEastAsia"/>
                <w:color w:val="000000" w:themeColor="text1"/>
                <w:kern w:val="2"/>
                <w:szCs w:val="24"/>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0.033</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r>
      <w:tr w14:paraId="7FF72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F884E5D">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4F64ADFD">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BOD</w:t>
            </w:r>
            <w:r>
              <w:rPr>
                <w:rFonts w:hint="default" w:ascii="Times New Roman" w:hAnsi="Times New Roman" w:cs="Times New Roman" w:eastAsiaTheme="minorEastAsia"/>
                <w:snapToGrid w:val="0"/>
                <w:color w:val="000000" w:themeColor="text1"/>
                <w:kern w:val="21"/>
                <w:szCs w:val="21"/>
                <w:vertAlign w:val="subscript"/>
                <w14:textFill>
                  <w14:solidFill>
                    <w14:schemeClr w14:val="tx1"/>
                  </w14:solidFill>
                </w14:textFill>
              </w:rPr>
              <w:t>5</w:t>
            </w:r>
          </w:p>
        </w:tc>
        <w:tc>
          <w:tcPr>
            <w:tcW w:w="1701" w:type="dxa"/>
            <w:vAlign w:val="center"/>
          </w:tcPr>
          <w:p w14:paraId="5BC299C7">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3CB758B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399BF56A">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1C4A7F82">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0.016</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541" w:type="dxa"/>
            <w:vAlign w:val="center"/>
          </w:tcPr>
          <w:p w14:paraId="5987C85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5F2BFA9C">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0.016</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286" w:type="dxa"/>
            <w:vAlign w:val="center"/>
          </w:tcPr>
          <w:p w14:paraId="522097C0">
            <w:pPr>
              <w:widowControl/>
              <w:adjustRightInd/>
              <w:snapToGrid/>
              <w:jc w:val="center"/>
              <w:rPr>
                <w:rFonts w:hint="default" w:ascii="Times New Roman" w:hAnsi="Times New Roman" w:cs="Times New Roman" w:eastAsiaTheme="minorEastAsia"/>
                <w:color w:val="000000" w:themeColor="text1"/>
                <w:kern w:val="2"/>
                <w:szCs w:val="24"/>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0.016</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r>
      <w:tr w14:paraId="30AFA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B9DD01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5333AEC3">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SS</w:t>
            </w:r>
          </w:p>
        </w:tc>
        <w:tc>
          <w:tcPr>
            <w:tcW w:w="1701" w:type="dxa"/>
            <w:vAlign w:val="center"/>
          </w:tcPr>
          <w:p w14:paraId="5C3BBBE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286EDAEA">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51A71C9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463A34A7">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0.018</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541" w:type="dxa"/>
            <w:vAlign w:val="center"/>
          </w:tcPr>
          <w:p w14:paraId="4B9C3EBC">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09EC598F">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0.018</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286" w:type="dxa"/>
            <w:vAlign w:val="center"/>
          </w:tcPr>
          <w:p w14:paraId="69C8C9D3">
            <w:pPr>
              <w:widowControl/>
              <w:adjustRightInd/>
              <w:snapToGrid/>
              <w:jc w:val="center"/>
              <w:rPr>
                <w:rFonts w:hint="default" w:ascii="Times New Roman" w:hAnsi="Times New Roman" w:cs="Times New Roman" w:eastAsiaTheme="minorEastAsia"/>
                <w:color w:val="000000" w:themeColor="text1"/>
                <w:kern w:val="2"/>
                <w:szCs w:val="24"/>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kern w:val="21"/>
                <w:lang w:val="en-US" w:eastAsia="zh-CN"/>
                <w14:textFill>
                  <w14:solidFill>
                    <w14:schemeClr w14:val="tx1"/>
                  </w14:solidFill>
                </w14:textFill>
              </w:rPr>
              <w:t>0.018</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r>
      <w:tr w14:paraId="22FD5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2B443BA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3C5BD5F1">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NH</w:t>
            </w:r>
            <w:r>
              <w:rPr>
                <w:rFonts w:hint="default" w:ascii="Times New Roman" w:hAnsi="Times New Roman" w:cs="Times New Roman" w:eastAsiaTheme="minorEastAsia"/>
                <w:snapToGrid w:val="0"/>
                <w:color w:val="000000" w:themeColor="text1"/>
                <w:kern w:val="21"/>
                <w:szCs w:val="21"/>
                <w:vertAlign w:val="subscript"/>
                <w14:textFill>
                  <w14:solidFill>
                    <w14:schemeClr w14:val="tx1"/>
                  </w14:solidFill>
                </w14:textFill>
              </w:rPr>
              <w:t>3</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-N</w:t>
            </w:r>
          </w:p>
        </w:tc>
        <w:tc>
          <w:tcPr>
            <w:tcW w:w="1701" w:type="dxa"/>
            <w:vAlign w:val="center"/>
          </w:tcPr>
          <w:p w14:paraId="245523EA">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0504CAE9">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264A965F">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48039456">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0.003</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541" w:type="dxa"/>
            <w:vAlign w:val="center"/>
          </w:tcPr>
          <w:p w14:paraId="40B147A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3E76DCA3">
            <w:pPr>
              <w:widowControl/>
              <w:adjustRightInd/>
              <w:snapToGrid/>
              <w:jc w:val="center"/>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0.003</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c>
          <w:tcPr>
            <w:tcW w:w="1286" w:type="dxa"/>
            <w:vAlign w:val="center"/>
          </w:tcPr>
          <w:p w14:paraId="535D99B3">
            <w:pPr>
              <w:widowControl/>
              <w:adjustRightInd/>
              <w:snapToGrid/>
              <w:jc w:val="center"/>
              <w:rPr>
                <w:rFonts w:hint="default" w:ascii="Times New Roman" w:hAnsi="Times New Roman" w:cs="Times New Roman" w:eastAsiaTheme="minorEastAsia"/>
                <w:color w:val="000000" w:themeColor="text1"/>
                <w:kern w:val="2"/>
                <w:szCs w:val="24"/>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0.003</w:t>
            </w:r>
            <w:r>
              <w:rPr>
                <w:rFonts w:hint="default" w:ascii="Times New Roman" w:hAnsi="Times New Roman" w:cs="Times New Roman" w:eastAsiaTheme="minorEastAsia"/>
                <w:snapToGrid w:val="0"/>
                <w:color w:val="000000" w:themeColor="text1"/>
                <w:kern w:val="21"/>
                <w14:textFill>
                  <w14:solidFill>
                    <w14:schemeClr w14:val="tx1"/>
                  </w14:solidFill>
                </w14:textFill>
              </w:rPr>
              <w:t>t/a</w:t>
            </w:r>
          </w:p>
        </w:tc>
      </w:tr>
      <w:tr w14:paraId="64867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14:paraId="62180FE0">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一般工业</w:t>
            </w:r>
          </w:p>
          <w:p w14:paraId="7AD9AB6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固体废物</w:t>
            </w:r>
          </w:p>
        </w:tc>
        <w:tc>
          <w:tcPr>
            <w:tcW w:w="1417" w:type="dxa"/>
            <w:vAlign w:val="center"/>
          </w:tcPr>
          <w:p w14:paraId="6D7108AB">
            <w:pPr>
              <w:pStyle w:val="63"/>
              <w:rPr>
                <w:rFonts w:hint="default" w:ascii="Times New Roman" w:hAnsi="Times New Roman" w:cs="Times New Roman" w:eastAsiaTheme="minorEastAsia"/>
                <w:snapToGrid w:val="0"/>
                <w:color w:val="000000" w:themeColor="text1"/>
                <w:kern w:val="21"/>
                <w:highlight w:val="none"/>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highlight w:val="none"/>
                <w:lang w:val="en-US" w:eastAsia="zh-CN"/>
                <w14:textFill>
                  <w14:solidFill>
                    <w14:schemeClr w14:val="tx1"/>
                  </w14:solidFill>
                </w14:textFill>
              </w:rPr>
              <w:t>研磨粉尘</w:t>
            </w:r>
          </w:p>
        </w:tc>
        <w:tc>
          <w:tcPr>
            <w:tcW w:w="1701" w:type="dxa"/>
            <w:vAlign w:val="center"/>
          </w:tcPr>
          <w:p w14:paraId="61220EF3">
            <w:pPr>
              <w:pStyle w:val="62"/>
              <w:spacing w:beforeLines="0" w:afterLines="0" w:line="240" w:lineRule="auto"/>
              <w:rPr>
                <w:rFonts w:hint="default" w:ascii="Times New Roman" w:hAnsi="Times New Roman" w:cs="Times New Roman" w:eastAsiaTheme="minorEastAsia"/>
                <w:snapToGrid w:val="0"/>
                <w:color w:val="000000" w:themeColor="text1"/>
                <w:kern w:val="21"/>
                <w:szCs w:val="21"/>
                <w:highlight w:val="none"/>
                <w14:textFill>
                  <w14:solidFill>
                    <w14:schemeClr w14:val="tx1"/>
                  </w14:solidFill>
                </w14:textFill>
              </w:rPr>
            </w:pPr>
          </w:p>
        </w:tc>
        <w:tc>
          <w:tcPr>
            <w:tcW w:w="1276" w:type="dxa"/>
            <w:vAlign w:val="center"/>
          </w:tcPr>
          <w:p w14:paraId="289B33EA">
            <w:pPr>
              <w:pStyle w:val="62"/>
              <w:spacing w:beforeLines="0" w:afterLines="0" w:line="240" w:lineRule="auto"/>
              <w:rPr>
                <w:rFonts w:hint="default" w:ascii="Times New Roman" w:hAnsi="Times New Roman" w:cs="Times New Roman" w:eastAsiaTheme="minorEastAsia"/>
                <w:snapToGrid w:val="0"/>
                <w:color w:val="000000" w:themeColor="text1"/>
                <w:kern w:val="21"/>
                <w:szCs w:val="21"/>
                <w:highlight w:val="none"/>
                <w14:textFill>
                  <w14:solidFill>
                    <w14:schemeClr w14:val="tx1"/>
                  </w14:solidFill>
                </w14:textFill>
              </w:rPr>
            </w:pPr>
          </w:p>
        </w:tc>
        <w:tc>
          <w:tcPr>
            <w:tcW w:w="1701" w:type="dxa"/>
            <w:vAlign w:val="center"/>
          </w:tcPr>
          <w:p w14:paraId="1E20AEE0">
            <w:pPr>
              <w:pStyle w:val="62"/>
              <w:spacing w:beforeLines="0" w:afterLines="0" w:line="240" w:lineRule="auto"/>
              <w:rPr>
                <w:rFonts w:hint="default" w:ascii="Times New Roman" w:hAnsi="Times New Roman" w:cs="Times New Roman" w:eastAsiaTheme="minorEastAsia"/>
                <w:snapToGrid w:val="0"/>
                <w:color w:val="000000" w:themeColor="text1"/>
                <w:kern w:val="21"/>
                <w:szCs w:val="21"/>
                <w:highlight w:val="none"/>
                <w14:textFill>
                  <w14:solidFill>
                    <w14:schemeClr w14:val="tx1"/>
                  </w14:solidFill>
                </w14:textFill>
              </w:rPr>
            </w:pPr>
          </w:p>
        </w:tc>
        <w:tc>
          <w:tcPr>
            <w:tcW w:w="1559" w:type="dxa"/>
            <w:vAlign w:val="center"/>
          </w:tcPr>
          <w:p w14:paraId="3CE5021E">
            <w:pPr>
              <w:pStyle w:val="63"/>
              <w:rPr>
                <w:rFonts w:hint="default" w:ascii="Times New Roman" w:hAnsi="Times New Roman" w:cs="Times New Roman" w:eastAsiaTheme="minorEastAsia"/>
                <w:snapToGrid w:val="0"/>
                <w:color w:val="000000" w:themeColor="text1"/>
                <w:kern w:val="21"/>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21"/>
                <w:highlight w:val="none"/>
                <w:lang w:val="en-US" w:eastAsia="zh-CN"/>
                <w14:textFill>
                  <w14:solidFill>
                    <w14:schemeClr w14:val="tx1"/>
                  </w14:solidFill>
                </w14:textFill>
              </w:rPr>
              <w:t>3.</w:t>
            </w:r>
            <w:r>
              <w:rPr>
                <w:rFonts w:hint="eastAsia" w:cs="Times New Roman" w:eastAsiaTheme="minorEastAsia"/>
                <w:snapToGrid w:val="0"/>
                <w:color w:val="000000" w:themeColor="text1"/>
                <w:kern w:val="21"/>
                <w:highlight w:val="none"/>
                <w:lang w:val="en-US" w:eastAsia="zh-CN"/>
                <w14:textFill>
                  <w14:solidFill>
                    <w14:schemeClr w14:val="tx1"/>
                  </w14:solidFill>
                </w14:textFill>
              </w:rPr>
              <w:t>785</w:t>
            </w:r>
            <w:r>
              <w:rPr>
                <w:rFonts w:hint="default" w:ascii="Times New Roman" w:hAnsi="Times New Roman" w:cs="Times New Roman" w:eastAsiaTheme="minorEastAsia"/>
                <w:snapToGrid w:val="0"/>
                <w:color w:val="000000" w:themeColor="text1"/>
                <w:kern w:val="21"/>
                <w:highlight w:val="none"/>
                <w14:textFill>
                  <w14:solidFill>
                    <w14:schemeClr w14:val="tx1"/>
                  </w14:solidFill>
                </w14:textFill>
              </w:rPr>
              <w:t>t/a</w:t>
            </w:r>
          </w:p>
        </w:tc>
        <w:tc>
          <w:tcPr>
            <w:tcW w:w="1541" w:type="dxa"/>
            <w:vAlign w:val="center"/>
          </w:tcPr>
          <w:p w14:paraId="776B866B">
            <w:pPr>
              <w:pStyle w:val="62"/>
              <w:spacing w:beforeLines="0" w:afterLines="0" w:line="240" w:lineRule="auto"/>
              <w:rPr>
                <w:rFonts w:hint="default" w:ascii="Times New Roman" w:hAnsi="Times New Roman" w:cs="Times New Roman" w:eastAsiaTheme="minorEastAsia"/>
                <w:snapToGrid w:val="0"/>
                <w:color w:val="000000" w:themeColor="text1"/>
                <w:kern w:val="21"/>
                <w:szCs w:val="21"/>
                <w:highlight w:val="none"/>
                <w14:textFill>
                  <w14:solidFill>
                    <w14:schemeClr w14:val="tx1"/>
                  </w14:solidFill>
                </w14:textFill>
              </w:rPr>
            </w:pPr>
          </w:p>
        </w:tc>
        <w:tc>
          <w:tcPr>
            <w:tcW w:w="1719" w:type="dxa"/>
            <w:vAlign w:val="center"/>
          </w:tcPr>
          <w:p w14:paraId="6BAC5863">
            <w:pPr>
              <w:pStyle w:val="63"/>
              <w:rPr>
                <w:rFonts w:hint="default" w:ascii="Times New Roman" w:hAnsi="Times New Roman" w:cs="Times New Roman" w:eastAsiaTheme="minorEastAsia"/>
                <w:snapToGrid w:val="0"/>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snapToGrid w:val="0"/>
                <w:color w:val="000000" w:themeColor="text1"/>
                <w:kern w:val="21"/>
                <w:highlight w:val="none"/>
                <w:lang w:val="en-US" w:eastAsia="zh-CN"/>
                <w14:textFill>
                  <w14:solidFill>
                    <w14:schemeClr w14:val="tx1"/>
                  </w14:solidFill>
                </w14:textFill>
              </w:rPr>
              <w:t>3.</w:t>
            </w:r>
            <w:r>
              <w:rPr>
                <w:rFonts w:hint="eastAsia" w:cs="Times New Roman" w:eastAsiaTheme="minorEastAsia"/>
                <w:snapToGrid w:val="0"/>
                <w:color w:val="000000" w:themeColor="text1"/>
                <w:kern w:val="21"/>
                <w:highlight w:val="none"/>
                <w:lang w:val="en-US" w:eastAsia="zh-CN"/>
                <w14:textFill>
                  <w14:solidFill>
                    <w14:schemeClr w14:val="tx1"/>
                  </w14:solidFill>
                </w14:textFill>
              </w:rPr>
              <w:t>785</w:t>
            </w:r>
            <w:r>
              <w:rPr>
                <w:rFonts w:hint="default" w:ascii="Times New Roman" w:hAnsi="Times New Roman" w:cs="Times New Roman" w:eastAsiaTheme="minorEastAsia"/>
                <w:snapToGrid w:val="0"/>
                <w:color w:val="000000" w:themeColor="text1"/>
                <w:kern w:val="21"/>
                <w:highlight w:val="none"/>
                <w14:textFill>
                  <w14:solidFill>
                    <w14:schemeClr w14:val="tx1"/>
                  </w14:solidFill>
                </w14:textFill>
              </w:rPr>
              <w:t>t/a</w:t>
            </w:r>
          </w:p>
        </w:tc>
        <w:tc>
          <w:tcPr>
            <w:tcW w:w="1286" w:type="dxa"/>
            <w:vAlign w:val="center"/>
          </w:tcPr>
          <w:p w14:paraId="490990E3">
            <w:pPr>
              <w:pStyle w:val="63"/>
              <w:rPr>
                <w:rFonts w:hint="default" w:ascii="Times New Roman" w:hAnsi="Times New Roman" w:cs="Times New Roman" w:eastAsiaTheme="minorEastAsia"/>
                <w:snapToGrid w:val="0"/>
                <w:color w:val="000000" w:themeColor="text1"/>
                <w:kern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kern w:val="21"/>
                <w:highlight w:val="none"/>
                <w:lang w:val="en-US" w:eastAsia="zh-CN"/>
                <w14:textFill>
                  <w14:solidFill>
                    <w14:schemeClr w14:val="tx1"/>
                  </w14:solidFill>
                </w14:textFill>
              </w:rPr>
              <w:t>3.</w:t>
            </w:r>
            <w:r>
              <w:rPr>
                <w:rFonts w:hint="eastAsia" w:cs="Times New Roman" w:eastAsiaTheme="minorEastAsia"/>
                <w:snapToGrid w:val="0"/>
                <w:color w:val="000000" w:themeColor="text1"/>
                <w:kern w:val="21"/>
                <w:highlight w:val="none"/>
                <w:lang w:val="en-US" w:eastAsia="zh-CN"/>
                <w14:textFill>
                  <w14:solidFill>
                    <w14:schemeClr w14:val="tx1"/>
                  </w14:solidFill>
                </w14:textFill>
              </w:rPr>
              <w:t>785</w:t>
            </w:r>
            <w:r>
              <w:rPr>
                <w:rFonts w:hint="default" w:ascii="Times New Roman" w:hAnsi="Times New Roman" w:cs="Times New Roman" w:eastAsiaTheme="minorEastAsia"/>
                <w:snapToGrid w:val="0"/>
                <w:color w:val="000000" w:themeColor="text1"/>
                <w:kern w:val="21"/>
                <w:highlight w:val="none"/>
                <w14:textFill>
                  <w14:solidFill>
                    <w14:schemeClr w14:val="tx1"/>
                  </w14:solidFill>
                </w14:textFill>
              </w:rPr>
              <w:t>t/a</w:t>
            </w:r>
          </w:p>
        </w:tc>
      </w:tr>
      <w:tr w14:paraId="0EAE6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1B86304">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危险废物</w:t>
            </w:r>
          </w:p>
        </w:tc>
        <w:tc>
          <w:tcPr>
            <w:tcW w:w="1417" w:type="dxa"/>
            <w:vAlign w:val="center"/>
          </w:tcPr>
          <w:p w14:paraId="1D359A7E">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废包装桶</w:t>
            </w:r>
          </w:p>
        </w:tc>
        <w:tc>
          <w:tcPr>
            <w:tcW w:w="1701" w:type="dxa"/>
            <w:vAlign w:val="center"/>
          </w:tcPr>
          <w:p w14:paraId="16498A00">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20F0237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4EB7589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40D053D3">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0.15t/a</w:t>
            </w:r>
          </w:p>
        </w:tc>
        <w:tc>
          <w:tcPr>
            <w:tcW w:w="1541" w:type="dxa"/>
            <w:vAlign w:val="center"/>
          </w:tcPr>
          <w:p w14:paraId="0406EE8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29BD411D">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0.15t/a</w:t>
            </w:r>
          </w:p>
        </w:tc>
        <w:tc>
          <w:tcPr>
            <w:tcW w:w="1286" w:type="dxa"/>
            <w:vAlign w:val="center"/>
          </w:tcPr>
          <w:p w14:paraId="21F47FAD">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0.15t/a</w:t>
            </w:r>
          </w:p>
        </w:tc>
      </w:tr>
      <w:tr w14:paraId="06C10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3FC33421">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71C8E5FB">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废切削液</w:t>
            </w:r>
          </w:p>
        </w:tc>
        <w:tc>
          <w:tcPr>
            <w:tcW w:w="1701" w:type="dxa"/>
            <w:vAlign w:val="center"/>
          </w:tcPr>
          <w:p w14:paraId="05A07EDC">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7AB3CFE6">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427E1F33">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638ED0DB">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0.08t/a</w:t>
            </w:r>
          </w:p>
        </w:tc>
        <w:tc>
          <w:tcPr>
            <w:tcW w:w="1541" w:type="dxa"/>
            <w:vAlign w:val="center"/>
          </w:tcPr>
          <w:p w14:paraId="196CEE3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02798FFB">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0.08t/a</w:t>
            </w:r>
          </w:p>
        </w:tc>
        <w:tc>
          <w:tcPr>
            <w:tcW w:w="1286" w:type="dxa"/>
            <w:vAlign w:val="center"/>
          </w:tcPr>
          <w:p w14:paraId="42F1FD01">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0.08t/a</w:t>
            </w:r>
          </w:p>
        </w:tc>
      </w:tr>
      <w:tr w14:paraId="5605E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A61F169">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39F033E9">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废过滤棉</w:t>
            </w:r>
          </w:p>
        </w:tc>
        <w:tc>
          <w:tcPr>
            <w:tcW w:w="1701" w:type="dxa"/>
            <w:vAlign w:val="center"/>
          </w:tcPr>
          <w:p w14:paraId="2EB3BD8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7545C99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043750CD">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491BE1CC">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0.5</w:t>
            </w:r>
            <w:r>
              <w:rPr>
                <w:rFonts w:hint="default" w:ascii="Times New Roman" w:hAnsi="Times New Roman" w:cs="Times New Roman" w:eastAsiaTheme="minorEastAsia"/>
                <w:color w:val="000000" w:themeColor="text1"/>
                <w:lang w:val="en-US" w:eastAsia="zh-CN"/>
                <w14:textFill>
                  <w14:solidFill>
                    <w14:schemeClr w14:val="tx1"/>
                  </w14:solidFill>
                </w14:textFill>
              </w:rPr>
              <w:t>t/a</w:t>
            </w:r>
          </w:p>
        </w:tc>
        <w:tc>
          <w:tcPr>
            <w:tcW w:w="1541" w:type="dxa"/>
            <w:vAlign w:val="center"/>
          </w:tcPr>
          <w:p w14:paraId="081AEB61">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1431CC75">
            <w:pPr>
              <w:pStyle w:val="63"/>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0.5</w:t>
            </w:r>
            <w:r>
              <w:rPr>
                <w:rFonts w:hint="default" w:ascii="Times New Roman" w:hAnsi="Times New Roman" w:cs="Times New Roman" w:eastAsiaTheme="minorEastAsia"/>
                <w:color w:val="000000" w:themeColor="text1"/>
                <w:lang w:val="en-US" w:eastAsia="zh-CN"/>
                <w14:textFill>
                  <w14:solidFill>
                    <w14:schemeClr w14:val="tx1"/>
                  </w14:solidFill>
                </w14:textFill>
              </w:rPr>
              <w:t>t/a</w:t>
            </w:r>
          </w:p>
        </w:tc>
        <w:tc>
          <w:tcPr>
            <w:tcW w:w="1286" w:type="dxa"/>
            <w:vAlign w:val="center"/>
          </w:tcPr>
          <w:p w14:paraId="3165F123">
            <w:pPr>
              <w:pStyle w:val="63"/>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eastAsia" w:cs="Times New Roman" w:eastAsiaTheme="minorEastAsia"/>
                <w:color w:val="000000" w:themeColor="text1"/>
                <w:lang w:val="en-US" w:eastAsia="zh-CN"/>
                <w14:textFill>
                  <w14:solidFill>
                    <w14:schemeClr w14:val="tx1"/>
                  </w14:solidFill>
                </w14:textFill>
              </w:rPr>
              <w:t>0.5</w:t>
            </w:r>
            <w:r>
              <w:rPr>
                <w:rFonts w:hint="default" w:ascii="Times New Roman" w:hAnsi="Times New Roman" w:cs="Times New Roman" w:eastAsiaTheme="minorEastAsia"/>
                <w:color w:val="000000" w:themeColor="text1"/>
                <w:lang w:val="en-US" w:eastAsia="zh-CN"/>
                <w14:textFill>
                  <w14:solidFill>
                    <w14:schemeClr w14:val="tx1"/>
                  </w14:solidFill>
                </w14:textFill>
              </w:rPr>
              <w:t>t/a</w:t>
            </w:r>
          </w:p>
        </w:tc>
      </w:tr>
      <w:tr w14:paraId="1124D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8E314C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vAlign w:val="center"/>
          </w:tcPr>
          <w:p w14:paraId="3BCCE11D">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废活性炭</w:t>
            </w:r>
          </w:p>
        </w:tc>
        <w:tc>
          <w:tcPr>
            <w:tcW w:w="1701" w:type="dxa"/>
            <w:vAlign w:val="center"/>
          </w:tcPr>
          <w:p w14:paraId="3C68271D">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4646B58B">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5D17CF2C">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1A41F601">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3.584</w:t>
            </w:r>
            <w:r>
              <w:rPr>
                <w:rFonts w:hint="default" w:ascii="Times New Roman" w:hAnsi="Times New Roman" w:cs="Times New Roman" w:eastAsiaTheme="minorEastAsia"/>
                <w:color w:val="000000" w:themeColor="text1"/>
                <w14:textFill>
                  <w14:solidFill>
                    <w14:schemeClr w14:val="tx1"/>
                  </w14:solidFill>
                </w14:textFill>
              </w:rPr>
              <w:t>t/a</w:t>
            </w:r>
          </w:p>
        </w:tc>
        <w:tc>
          <w:tcPr>
            <w:tcW w:w="1541" w:type="dxa"/>
            <w:vAlign w:val="center"/>
          </w:tcPr>
          <w:p w14:paraId="1075B85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1AC29551">
            <w:pPr>
              <w:pStyle w:val="63"/>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3.584</w:t>
            </w:r>
            <w:r>
              <w:rPr>
                <w:rFonts w:hint="default" w:ascii="Times New Roman" w:hAnsi="Times New Roman" w:cs="Times New Roman" w:eastAsiaTheme="minorEastAsia"/>
                <w:color w:val="000000" w:themeColor="text1"/>
                <w14:textFill>
                  <w14:solidFill>
                    <w14:schemeClr w14:val="tx1"/>
                  </w14:solidFill>
                </w14:textFill>
              </w:rPr>
              <w:t>t/a</w:t>
            </w:r>
          </w:p>
        </w:tc>
        <w:tc>
          <w:tcPr>
            <w:tcW w:w="1286" w:type="dxa"/>
            <w:vAlign w:val="center"/>
          </w:tcPr>
          <w:p w14:paraId="04183435">
            <w:pPr>
              <w:pStyle w:val="63"/>
              <w:rPr>
                <w:rFonts w:hint="default" w:ascii="Times New Roman" w:hAnsi="Times New Roman" w:cs="Times New Roman" w:eastAsiaTheme="minorEastAsia"/>
                <w:snapToGrid w:val="0"/>
                <w:color w:val="000000" w:themeColor="text1"/>
                <w:kern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3.584</w:t>
            </w:r>
            <w:r>
              <w:rPr>
                <w:rFonts w:hint="default" w:ascii="Times New Roman" w:hAnsi="Times New Roman" w:cs="Times New Roman" w:eastAsiaTheme="minorEastAsia"/>
                <w:color w:val="000000" w:themeColor="text1"/>
                <w14:textFill>
                  <w14:solidFill>
                    <w14:schemeClr w14:val="tx1"/>
                  </w14:solidFill>
                </w14:textFill>
              </w:rPr>
              <w:t>t/a</w:t>
            </w:r>
          </w:p>
        </w:tc>
      </w:tr>
      <w:tr w14:paraId="2DDDF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5196AE2">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417" w:type="dxa"/>
            <w:shd w:val="clear" w:color="auto" w:fill="auto"/>
            <w:vAlign w:val="center"/>
          </w:tcPr>
          <w:p w14:paraId="7CCE7CAC">
            <w:pPr>
              <w:pStyle w:val="63"/>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highlight w:val="none"/>
                <w:lang w:val="en-US" w:eastAsia="zh-CN"/>
                <w14:textFill>
                  <w14:solidFill>
                    <w14:schemeClr w14:val="tx1"/>
                  </w14:solidFill>
                </w14:textFill>
              </w:rPr>
              <w:t>沉淀渣</w:t>
            </w:r>
          </w:p>
        </w:tc>
        <w:tc>
          <w:tcPr>
            <w:tcW w:w="1701" w:type="dxa"/>
            <w:shd w:val="clear" w:color="auto" w:fill="auto"/>
            <w:vAlign w:val="center"/>
          </w:tcPr>
          <w:p w14:paraId="27AC2BEA">
            <w:pPr>
              <w:pStyle w:val="62"/>
              <w:spacing w:beforeLines="0" w:afterLines="0" w:line="240" w:lineRule="auto"/>
              <w:rPr>
                <w:rFonts w:hint="default" w:ascii="Times New Roman" w:hAnsi="Times New Roman" w:cs="Times New Roman" w:eastAsiaTheme="minorEastAsia"/>
                <w:snapToGrid w:val="0"/>
                <w:color w:val="000000" w:themeColor="text1"/>
                <w:kern w:val="21"/>
                <w:sz w:val="21"/>
                <w:szCs w:val="21"/>
                <w:highlight w:val="none"/>
                <w:lang w:val="en-US" w:eastAsia="zh-CN" w:bidi="ar-SA"/>
                <w14:textFill>
                  <w14:solidFill>
                    <w14:schemeClr w14:val="tx1"/>
                  </w14:solidFill>
                </w14:textFill>
              </w:rPr>
            </w:pPr>
          </w:p>
        </w:tc>
        <w:tc>
          <w:tcPr>
            <w:tcW w:w="1276" w:type="dxa"/>
            <w:shd w:val="clear" w:color="auto" w:fill="auto"/>
            <w:vAlign w:val="center"/>
          </w:tcPr>
          <w:p w14:paraId="6BE1A968">
            <w:pPr>
              <w:pStyle w:val="62"/>
              <w:spacing w:beforeLines="0" w:afterLines="0" w:line="240" w:lineRule="auto"/>
              <w:rPr>
                <w:rFonts w:hint="default" w:ascii="Times New Roman" w:hAnsi="Times New Roman" w:cs="Times New Roman" w:eastAsiaTheme="minorEastAsia"/>
                <w:snapToGrid w:val="0"/>
                <w:color w:val="000000" w:themeColor="text1"/>
                <w:kern w:val="21"/>
                <w:sz w:val="21"/>
                <w:szCs w:val="21"/>
                <w:highlight w:val="none"/>
                <w:lang w:val="en-US" w:eastAsia="zh-CN" w:bidi="ar-SA"/>
                <w14:textFill>
                  <w14:solidFill>
                    <w14:schemeClr w14:val="tx1"/>
                  </w14:solidFill>
                </w14:textFill>
              </w:rPr>
            </w:pPr>
          </w:p>
        </w:tc>
        <w:tc>
          <w:tcPr>
            <w:tcW w:w="1701" w:type="dxa"/>
            <w:shd w:val="clear" w:color="auto" w:fill="auto"/>
            <w:vAlign w:val="center"/>
          </w:tcPr>
          <w:p w14:paraId="0472C7BA">
            <w:pPr>
              <w:pStyle w:val="62"/>
              <w:spacing w:beforeLines="0" w:afterLines="0" w:line="240" w:lineRule="auto"/>
              <w:rPr>
                <w:rFonts w:hint="default" w:ascii="Times New Roman" w:hAnsi="Times New Roman" w:cs="Times New Roman" w:eastAsiaTheme="minorEastAsia"/>
                <w:snapToGrid w:val="0"/>
                <w:color w:val="000000" w:themeColor="text1"/>
                <w:kern w:val="21"/>
                <w:sz w:val="21"/>
                <w:szCs w:val="21"/>
                <w:highlight w:val="none"/>
                <w:lang w:val="en-US" w:eastAsia="zh-CN" w:bidi="ar-SA"/>
                <w14:textFill>
                  <w14:solidFill>
                    <w14:schemeClr w14:val="tx1"/>
                  </w14:solidFill>
                </w14:textFill>
              </w:rPr>
            </w:pPr>
          </w:p>
        </w:tc>
        <w:tc>
          <w:tcPr>
            <w:tcW w:w="1559" w:type="dxa"/>
            <w:shd w:val="clear" w:color="auto" w:fill="auto"/>
            <w:vAlign w:val="center"/>
          </w:tcPr>
          <w:p w14:paraId="1C28F1D1">
            <w:pPr>
              <w:pStyle w:val="63"/>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0.6</w:t>
            </w:r>
            <w:r>
              <w:rPr>
                <w:rFonts w:hint="eastAsia" w:cs="Times New Roman" w:eastAsiaTheme="minorEastAsia"/>
                <w:color w:val="000000" w:themeColor="text1"/>
                <w:highlight w:val="none"/>
                <w:lang w:val="en-US" w:eastAsia="zh-CN"/>
                <w14:textFill>
                  <w14:solidFill>
                    <w14:schemeClr w14:val="tx1"/>
                  </w14:solidFill>
                </w14:textFill>
              </w:rPr>
              <w:t>24</w:t>
            </w:r>
            <w:r>
              <w:rPr>
                <w:rFonts w:hint="default" w:ascii="Times New Roman" w:hAnsi="Times New Roman" w:cs="Times New Roman" w:eastAsiaTheme="minorEastAsia"/>
                <w:color w:val="000000" w:themeColor="text1"/>
                <w:highlight w:val="none"/>
                <w14:textFill>
                  <w14:solidFill>
                    <w14:schemeClr w14:val="tx1"/>
                  </w14:solidFill>
                </w14:textFill>
              </w:rPr>
              <w:t>t/a</w:t>
            </w:r>
          </w:p>
        </w:tc>
        <w:tc>
          <w:tcPr>
            <w:tcW w:w="1541" w:type="dxa"/>
            <w:shd w:val="clear" w:color="auto" w:fill="auto"/>
            <w:vAlign w:val="center"/>
          </w:tcPr>
          <w:p w14:paraId="03050E25">
            <w:pPr>
              <w:pStyle w:val="62"/>
              <w:spacing w:beforeLines="0" w:afterLines="0" w:line="240" w:lineRule="auto"/>
              <w:rPr>
                <w:rFonts w:hint="default" w:ascii="Times New Roman" w:hAnsi="Times New Roman" w:cs="Times New Roman" w:eastAsiaTheme="minorEastAsia"/>
                <w:snapToGrid w:val="0"/>
                <w:color w:val="000000" w:themeColor="text1"/>
                <w:kern w:val="21"/>
                <w:sz w:val="21"/>
                <w:szCs w:val="21"/>
                <w:highlight w:val="none"/>
                <w:lang w:val="en-US" w:eastAsia="zh-CN" w:bidi="ar-SA"/>
                <w14:textFill>
                  <w14:solidFill>
                    <w14:schemeClr w14:val="tx1"/>
                  </w14:solidFill>
                </w14:textFill>
              </w:rPr>
            </w:pPr>
          </w:p>
        </w:tc>
        <w:tc>
          <w:tcPr>
            <w:tcW w:w="1719" w:type="dxa"/>
            <w:shd w:val="clear" w:color="auto" w:fill="auto"/>
            <w:vAlign w:val="center"/>
          </w:tcPr>
          <w:p w14:paraId="6E7B7157">
            <w:pPr>
              <w:pStyle w:val="63"/>
              <w:rPr>
                <w:rFonts w:hint="default" w:ascii="Times New Roman" w:hAnsi="Times New Roman" w:cs="Times New Roman" w:eastAsiaTheme="minorEastAsia"/>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0.6</w:t>
            </w:r>
            <w:r>
              <w:rPr>
                <w:rFonts w:hint="eastAsia" w:cs="Times New Roman" w:eastAsiaTheme="minorEastAsia"/>
                <w:color w:val="000000" w:themeColor="text1"/>
                <w:highlight w:val="none"/>
                <w:lang w:val="en-US" w:eastAsia="zh-CN"/>
                <w14:textFill>
                  <w14:solidFill>
                    <w14:schemeClr w14:val="tx1"/>
                  </w14:solidFill>
                </w14:textFill>
              </w:rPr>
              <w:t>24</w:t>
            </w:r>
            <w:r>
              <w:rPr>
                <w:rFonts w:hint="default" w:ascii="Times New Roman" w:hAnsi="Times New Roman" w:cs="Times New Roman" w:eastAsiaTheme="minorEastAsia"/>
                <w:color w:val="000000" w:themeColor="text1"/>
                <w:highlight w:val="none"/>
                <w14:textFill>
                  <w14:solidFill>
                    <w14:schemeClr w14:val="tx1"/>
                  </w14:solidFill>
                </w14:textFill>
              </w:rPr>
              <w:t>t/a</w:t>
            </w:r>
          </w:p>
        </w:tc>
        <w:tc>
          <w:tcPr>
            <w:tcW w:w="1286" w:type="dxa"/>
            <w:shd w:val="clear" w:color="auto" w:fill="auto"/>
            <w:vAlign w:val="center"/>
          </w:tcPr>
          <w:p w14:paraId="74D31D10">
            <w:pPr>
              <w:pStyle w:val="63"/>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0.6</w:t>
            </w:r>
            <w:r>
              <w:rPr>
                <w:rFonts w:hint="eastAsia" w:cs="Times New Roman" w:eastAsiaTheme="minorEastAsia"/>
                <w:color w:val="000000" w:themeColor="text1"/>
                <w:highlight w:val="none"/>
                <w:lang w:val="en-US" w:eastAsia="zh-CN"/>
                <w14:textFill>
                  <w14:solidFill>
                    <w14:schemeClr w14:val="tx1"/>
                  </w14:solidFill>
                </w14:textFill>
              </w:rPr>
              <w:t>24</w:t>
            </w:r>
            <w:r>
              <w:rPr>
                <w:rFonts w:hint="default" w:ascii="Times New Roman" w:hAnsi="Times New Roman" w:cs="Times New Roman" w:eastAsiaTheme="minorEastAsia"/>
                <w:color w:val="000000" w:themeColor="text1"/>
                <w:highlight w:val="none"/>
                <w14:textFill>
                  <w14:solidFill>
                    <w14:schemeClr w14:val="tx1"/>
                  </w14:solidFill>
                </w14:textFill>
              </w:rPr>
              <w:t>t/a</w:t>
            </w:r>
          </w:p>
        </w:tc>
      </w:tr>
      <w:tr w14:paraId="538D8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14:paraId="6ECEF184">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生活垃圾</w:t>
            </w:r>
          </w:p>
        </w:tc>
        <w:tc>
          <w:tcPr>
            <w:tcW w:w="1417" w:type="dxa"/>
            <w:vAlign w:val="center"/>
          </w:tcPr>
          <w:p w14:paraId="7694D29D">
            <w:pPr>
              <w:pStyle w:val="63"/>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snapToGrid w:val="0"/>
                <w:color w:val="000000" w:themeColor="text1"/>
                <w:kern w:val="21"/>
                <w14:textFill>
                  <w14:solidFill>
                    <w14:schemeClr w14:val="tx1"/>
                  </w14:solidFill>
                </w14:textFill>
              </w:rPr>
              <w:t>生活垃圾</w:t>
            </w:r>
          </w:p>
        </w:tc>
        <w:tc>
          <w:tcPr>
            <w:tcW w:w="1701" w:type="dxa"/>
            <w:vAlign w:val="center"/>
          </w:tcPr>
          <w:p w14:paraId="7CBEE7B9">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276" w:type="dxa"/>
            <w:vAlign w:val="center"/>
          </w:tcPr>
          <w:p w14:paraId="467CF38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01" w:type="dxa"/>
            <w:vAlign w:val="center"/>
          </w:tcPr>
          <w:p w14:paraId="554C33F5">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559" w:type="dxa"/>
            <w:vAlign w:val="center"/>
          </w:tcPr>
          <w:p w14:paraId="2452C5F1">
            <w:pPr>
              <w:pStyle w:val="63"/>
              <w:rPr>
                <w:rFonts w:hint="default" w:ascii="Times New Roman" w:hAnsi="Times New Roman" w:cs="Times New Roman" w:eastAsiaTheme="minorEastAsia"/>
                <w:snapToGrid w:val="0"/>
                <w:color w:val="000000" w:themeColor="text1"/>
                <w:kern w:val="18"/>
                <w14:textFill>
                  <w14:solidFill>
                    <w14:schemeClr w14:val="tx1"/>
                  </w14:solidFill>
                </w14:textFill>
              </w:rPr>
            </w:pPr>
            <w:r>
              <w:rPr>
                <w:rFonts w:hint="default" w:ascii="Times New Roman" w:hAnsi="Times New Roman" w:cs="Times New Roman" w:eastAsiaTheme="minorEastAsia"/>
                <w:snapToGrid w:val="0"/>
                <w:color w:val="000000" w:themeColor="text1"/>
                <w:kern w:val="18"/>
                <w:lang w:val="en-US" w:eastAsia="zh-CN"/>
                <w14:textFill>
                  <w14:solidFill>
                    <w14:schemeClr w14:val="tx1"/>
                  </w14:solidFill>
                </w14:textFill>
              </w:rPr>
              <w:t>2.25</w:t>
            </w:r>
            <w:r>
              <w:rPr>
                <w:rFonts w:hint="default" w:ascii="Times New Roman" w:hAnsi="Times New Roman" w:cs="Times New Roman" w:eastAsiaTheme="minorEastAsia"/>
                <w:snapToGrid w:val="0"/>
                <w:color w:val="000000" w:themeColor="text1"/>
                <w:kern w:val="18"/>
                <w14:textFill>
                  <w14:solidFill>
                    <w14:schemeClr w14:val="tx1"/>
                  </w14:solidFill>
                </w14:textFill>
              </w:rPr>
              <w:t>t/a</w:t>
            </w:r>
          </w:p>
        </w:tc>
        <w:tc>
          <w:tcPr>
            <w:tcW w:w="1541" w:type="dxa"/>
            <w:vAlign w:val="center"/>
          </w:tcPr>
          <w:p w14:paraId="019AFA3E">
            <w:pPr>
              <w:pStyle w:val="62"/>
              <w:spacing w:beforeLines="0" w:afterLines="0" w:line="240" w:lineRule="auto"/>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p>
        </w:tc>
        <w:tc>
          <w:tcPr>
            <w:tcW w:w="1719" w:type="dxa"/>
            <w:vAlign w:val="center"/>
          </w:tcPr>
          <w:p w14:paraId="1759DE59">
            <w:pPr>
              <w:pStyle w:val="63"/>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18"/>
                <w:lang w:val="en-US" w:eastAsia="zh-CN"/>
                <w14:textFill>
                  <w14:solidFill>
                    <w14:schemeClr w14:val="tx1"/>
                  </w14:solidFill>
                </w14:textFill>
              </w:rPr>
              <w:t>2.25</w:t>
            </w:r>
            <w:r>
              <w:rPr>
                <w:rFonts w:hint="default" w:ascii="Times New Roman" w:hAnsi="Times New Roman" w:cs="Times New Roman" w:eastAsiaTheme="minorEastAsia"/>
                <w:snapToGrid w:val="0"/>
                <w:color w:val="000000" w:themeColor="text1"/>
                <w:kern w:val="18"/>
                <w14:textFill>
                  <w14:solidFill>
                    <w14:schemeClr w14:val="tx1"/>
                  </w14:solidFill>
                </w14:textFill>
              </w:rPr>
              <w:t>t/a</w:t>
            </w:r>
          </w:p>
        </w:tc>
        <w:tc>
          <w:tcPr>
            <w:tcW w:w="1286" w:type="dxa"/>
            <w:vAlign w:val="center"/>
          </w:tcPr>
          <w:p w14:paraId="5BC5FAD9">
            <w:pPr>
              <w:pStyle w:val="63"/>
              <w:rPr>
                <w:rFonts w:hint="default" w:ascii="Times New Roman" w:hAnsi="Times New Roman" w:cs="Times New Roman" w:eastAsiaTheme="minorEastAsia"/>
                <w:snapToGrid w:val="0"/>
                <w:color w:val="000000" w:themeColor="text1"/>
                <w:kern w:val="21"/>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kern w:val="18"/>
                <w:lang w:val="en-US" w:eastAsia="zh-CN"/>
                <w14:textFill>
                  <w14:solidFill>
                    <w14:schemeClr w14:val="tx1"/>
                  </w14:solidFill>
                </w14:textFill>
              </w:rPr>
              <w:t>2.25</w:t>
            </w:r>
            <w:r>
              <w:rPr>
                <w:rFonts w:hint="default" w:ascii="Times New Roman" w:hAnsi="Times New Roman" w:cs="Times New Roman" w:eastAsiaTheme="minorEastAsia"/>
                <w:snapToGrid w:val="0"/>
                <w:color w:val="000000" w:themeColor="text1"/>
                <w:kern w:val="18"/>
                <w14:textFill>
                  <w14:solidFill>
                    <w14:schemeClr w14:val="tx1"/>
                  </w14:solidFill>
                </w14:textFill>
              </w:rPr>
              <w:t>t/a</w:t>
            </w:r>
          </w:p>
        </w:tc>
      </w:tr>
    </w:tbl>
    <w:p w14:paraId="701420A1">
      <w:pPr>
        <w:pStyle w:val="62"/>
        <w:spacing w:beforeLines="80" w:after="24"/>
        <w:jc w:val="left"/>
        <w:rPr>
          <w:rFonts w:hint="default" w:ascii="Times New Roman" w:hAnsi="Times New Roman" w:cs="Times New Roman" w:eastAsiaTheme="minorEastAsia"/>
          <w:snapToGrid w:val="0"/>
          <w:color w:val="000000" w:themeColor="text1"/>
          <w:kern w:val="21"/>
          <w:szCs w:val="21"/>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注：</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⑥</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①</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3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③</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4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④</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5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⑤</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⑦</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⑥</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t>-</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separate"/>
      </w:r>
      <w:r>
        <w:rPr>
          <w:rFonts w:hint="default" w:ascii="Times New Roman" w:hAnsi="Times New Roman" w:cs="Times New Roman" w:eastAsiaTheme="minorEastAsia"/>
          <w:color w:val="000000" w:themeColor="text1"/>
          <w:kern w:val="21"/>
          <w:szCs w:val="21"/>
          <w14:textFill>
            <w14:solidFill>
              <w14:schemeClr w14:val="tx1"/>
            </w14:solidFill>
          </w14:textFill>
        </w:rPr>
        <w:t>①</w:t>
      </w:r>
      <w:r>
        <w:rPr>
          <w:rFonts w:hint="default" w:ascii="Times New Roman" w:hAnsi="Times New Roman" w:cs="Times New Roman" w:eastAsiaTheme="minorEastAsia"/>
          <w:snapToGrid w:val="0"/>
          <w:color w:val="000000" w:themeColor="text1"/>
          <w:kern w:val="21"/>
          <w:szCs w:val="21"/>
          <w14:textFill>
            <w14:solidFill>
              <w14:schemeClr w14:val="tx1"/>
            </w14:solidFill>
          </w14:textFill>
        </w:rPr>
        <w:fldChar w:fldCharType="end"/>
      </w:r>
    </w:p>
    <w:p w14:paraId="29A436E4">
      <w:pPr>
        <w:rPr>
          <w:rFonts w:hint="default" w:ascii="Times New Roman" w:hAnsi="Times New Roman" w:cs="Times New Roman" w:eastAsiaTheme="minorEastAsia"/>
          <w:color w:val="000000" w:themeColor="text1"/>
          <w:kern w:val="21"/>
          <w14:textFill>
            <w14:solidFill>
              <w14:schemeClr w14:val="tx1"/>
            </w14:solidFill>
          </w14:textFill>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18B2A0">
      <w:pPr>
        <w:bidi w:val="0"/>
        <w:jc w:val="left"/>
        <w:outlineLvl w:val="0"/>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cs="Times New Roman"/>
          <w:b/>
          <w:bCs/>
          <w:color w:val="000000" w:themeColor="text1"/>
          <w:sz w:val="28"/>
          <w:szCs w:val="28"/>
          <w:highlight w:val="none"/>
          <w14:textFill>
            <w14:solidFill>
              <w14:schemeClr w14:val="tx1"/>
            </w14:solidFill>
          </w14:textFill>
        </w:rPr>
        <w:t>附件</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15</w:t>
      </w:r>
      <w:r>
        <w:rPr>
          <w:rFonts w:hint="default" w:ascii="Times New Roman" w:hAnsi="Times New Roman" w:cs="Times New Roman"/>
          <w:b/>
          <w:bCs/>
          <w:color w:val="000000" w:themeColor="text1"/>
          <w:sz w:val="28"/>
          <w:szCs w:val="28"/>
          <w:highlight w:val="none"/>
          <w14:textFill>
            <w14:solidFill>
              <w14:schemeClr w14:val="tx1"/>
            </w14:solidFill>
          </w14:textFill>
        </w:rPr>
        <w:t xml:space="preserve"> </w:t>
      </w:r>
      <w:r>
        <w:rPr>
          <w:rFonts w:hint="default" w:ascii="Times New Roman" w:hAnsi="Times New Roman" w:cs="Times New Roman"/>
          <w:b/>
          <w:bCs/>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z w:val="28"/>
          <w:szCs w:val="28"/>
          <w:highlight w:val="none"/>
          <w:lang w:val="en-US" w:eastAsia="zh-CN"/>
          <w14:textFill>
            <w14:solidFill>
              <w14:schemeClr w14:val="tx1"/>
            </w14:solidFill>
          </w14:textFill>
        </w:rPr>
        <w:t>关于福清市珑诚电子科技有限公司年加工电脑显示器锌合金支架100万个，铝合金支架350万个项目环境影响评价报告表公开文本删除内容、删除依据的说明</w:t>
      </w:r>
    </w:p>
    <w:p w14:paraId="684FACA4">
      <w:pPr>
        <w:pStyle w:val="2"/>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7237730"/>
            <wp:effectExtent l="0" t="0" r="13970" b="127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2"/>
                    <a:stretch>
                      <a:fillRect/>
                    </a:stretch>
                  </pic:blipFill>
                  <pic:spPr>
                    <a:xfrm rot="10800000">
                      <a:off x="0" y="0"/>
                      <a:ext cx="5262880" cy="7237730"/>
                    </a:xfrm>
                    <a:prstGeom prst="rect">
                      <a:avLst/>
                    </a:prstGeom>
                    <a:noFill/>
                    <a:ln>
                      <a:noFill/>
                    </a:ln>
                  </pic:spPr>
                </pic:pic>
              </a:graphicData>
            </a:graphic>
          </wp:inline>
        </w:drawing>
      </w:r>
    </w:p>
    <w:p w14:paraId="2FB75C57">
      <w:pPr>
        <w:jc w:val="center"/>
        <w:rPr>
          <w:rFonts w:hint="default"/>
          <w:color w:val="000000" w:themeColor="text1"/>
          <w:lang w:val="en-US" w:eastAsia="zh-CN"/>
          <w14:textFill>
            <w14:solidFill>
              <w14:schemeClr w14:val="tx1"/>
            </w14:solidFill>
          </w14:textFill>
        </w:rPr>
      </w:pPr>
    </w:p>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B6FFE2-31DE-42AD-9018-1538C37E733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Plotter">
    <w:altName w:val="Arial"/>
    <w:panose1 w:val="00000000000000000000"/>
    <w:charset w:val="00"/>
    <w:family w:val="roman"/>
    <w:pitch w:val="default"/>
    <w:sig w:usb0="00000000" w:usb1="00000000" w:usb2="0000006E" w:usb3="00000000" w:csb0="81620314" w:csb1="BFF7D17E"/>
  </w:font>
  <w:font w:name="楷体_GB2312">
    <w:altName w:val="楷体"/>
    <w:panose1 w:val="00000000000000000000"/>
    <w:charset w:val="86"/>
    <w:family w:val="modern"/>
    <w:pitch w:val="default"/>
    <w:sig w:usb0="00000000" w:usb1="00000000" w:usb2="00000010" w:usb3="00000000" w:csb0="00040000" w:csb1="00000000"/>
  </w:font>
  <w:font w:name="TimesNewRoman">
    <w:altName w:val="微软雅黑"/>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A967">
    <w:pPr>
      <w:pStyle w:val="27"/>
      <w:framePr w:wrap="around" w:vAnchor="text" w:hAnchor="margin" w:xAlign="outside" w:y="1"/>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4</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0939B32C">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2E83">
    <w:pPr>
      <w:pStyle w:val="27"/>
      <w:framePr w:wrap="around" w:vAnchor="text" w:hAnchor="margin" w:xAlign="outside" w:y="1"/>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43</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02C53DFD">
    <w:pPr>
      <w:pStyle w:val="2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9BBD2">
    <w:pPr>
      <w:pStyle w:val="27"/>
      <w:framePr w:wrap="around" w:vAnchor="text" w:hAnchor="margin" w:xAlign="center" w:y="1"/>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71</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5D7FF324">
    <w:pPr>
      <w:pStyle w:val="2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CF31">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F550D"/>
    <w:multiLevelType w:val="singleLevel"/>
    <w:tmpl w:val="A22F550D"/>
    <w:lvl w:ilvl="0" w:tentative="0">
      <w:start w:val="2"/>
      <w:numFmt w:val="decimal"/>
      <w:suff w:val="nothing"/>
      <w:lvlText w:val="%1、"/>
      <w:lvlJc w:val="left"/>
    </w:lvl>
  </w:abstractNum>
  <w:abstractNum w:abstractNumId="1">
    <w:nsid w:val="203E604B"/>
    <w:multiLevelType w:val="singleLevel"/>
    <w:tmpl w:val="203E604B"/>
    <w:lvl w:ilvl="0" w:tentative="0">
      <w:start w:val="1"/>
      <w:numFmt w:val="decimal"/>
      <w:suff w:val="nothing"/>
      <w:lvlText w:val="%1、"/>
      <w:lvlJc w:val="left"/>
    </w:lvl>
  </w:abstractNum>
  <w:abstractNum w:abstractNumId="2">
    <w:nsid w:val="644D3847"/>
    <w:multiLevelType w:val="multilevel"/>
    <w:tmpl w:val="644D3847"/>
    <w:lvl w:ilvl="0" w:tentative="0">
      <w:start w:val="1"/>
      <w:numFmt w:val="none"/>
      <w:pStyle w:val="135"/>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decimal"/>
      <w:suff w:val="nothing"/>
      <w:lvlText w:val="%3、"/>
      <w:lvlJc w:val="left"/>
      <w:pPr>
        <w:ind w:left="0" w:firstLine="0"/>
      </w:pPr>
      <w:rPr>
        <w:rFonts w:hint="eastAsia"/>
        <w:b w:val="0"/>
      </w:rPr>
    </w:lvl>
    <w:lvl w:ilvl="3" w:tentative="0">
      <w:start w:val="1"/>
      <w:numFmt w:val="decimal"/>
      <w:pStyle w:val="129"/>
      <w:suff w:val="space"/>
      <w:lvlText w:val="%3.%4"/>
      <w:lvlJc w:val="left"/>
      <w:pPr>
        <w:ind w:left="0" w:firstLine="0"/>
      </w:pPr>
      <w:rPr>
        <w:rFonts w:hint="eastAsia"/>
      </w:rPr>
    </w:lvl>
    <w:lvl w:ilvl="4" w:tentative="0">
      <w:start w:val="1"/>
      <w:numFmt w:val="decimal"/>
      <w:pStyle w:val="130"/>
      <w:suff w:val="space"/>
      <w:lvlText w:val="%3.%4.%5"/>
      <w:lvlJc w:val="left"/>
      <w:pPr>
        <w:ind w:left="0" w:firstLine="0"/>
      </w:pPr>
      <w:rPr>
        <w:rFonts w:hint="eastAsia"/>
      </w:rPr>
    </w:lvl>
    <w:lvl w:ilvl="5" w:tentative="0">
      <w:start w:val="1"/>
      <w:numFmt w:val="decimal"/>
      <w:lvlRestart w:val="0"/>
      <w:pStyle w:val="133"/>
      <w:suff w:val="space"/>
      <w:lvlText w:val="表%6"/>
      <w:lvlJc w:val="center"/>
      <w:pPr>
        <w:ind w:left="0" w:firstLine="0"/>
      </w:pPr>
      <w:rPr>
        <w:rFonts w:hint="eastAsia"/>
        <w:b w:val="0"/>
        <w:sz w:val="22"/>
        <w:szCs w:val="22"/>
      </w:rPr>
    </w:lvl>
    <w:lvl w:ilvl="6" w:tentative="0">
      <w:start w:val="1"/>
      <w:numFmt w:val="decimal"/>
      <w:lvlRestart w:val="0"/>
      <w:suff w:val="space"/>
      <w:lvlText w:val="图%7"/>
      <w:lvlJc w:val="center"/>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1MDg2NmEyZmNjODNkYTA1NzZmMzhmYTNiZDhmZjQifQ=="/>
  </w:docVars>
  <w:rsids>
    <w:rsidRoot w:val="00172A27"/>
    <w:rsid w:val="00000233"/>
    <w:rsid w:val="000060B3"/>
    <w:rsid w:val="00006C96"/>
    <w:rsid w:val="00010574"/>
    <w:rsid w:val="00010CD3"/>
    <w:rsid w:val="0001393A"/>
    <w:rsid w:val="00014027"/>
    <w:rsid w:val="0001705A"/>
    <w:rsid w:val="00017079"/>
    <w:rsid w:val="000207BE"/>
    <w:rsid w:val="00021550"/>
    <w:rsid w:val="000238AE"/>
    <w:rsid w:val="00026023"/>
    <w:rsid w:val="000317F3"/>
    <w:rsid w:val="000320D1"/>
    <w:rsid w:val="000356CC"/>
    <w:rsid w:val="00035969"/>
    <w:rsid w:val="00036CCC"/>
    <w:rsid w:val="0004364B"/>
    <w:rsid w:val="00045339"/>
    <w:rsid w:val="000468B9"/>
    <w:rsid w:val="00052363"/>
    <w:rsid w:val="00061B1F"/>
    <w:rsid w:val="00061F72"/>
    <w:rsid w:val="00063091"/>
    <w:rsid w:val="00067117"/>
    <w:rsid w:val="000733C4"/>
    <w:rsid w:val="0007427A"/>
    <w:rsid w:val="000746E9"/>
    <w:rsid w:val="00074783"/>
    <w:rsid w:val="00077A50"/>
    <w:rsid w:val="0008070B"/>
    <w:rsid w:val="000810AC"/>
    <w:rsid w:val="00081A02"/>
    <w:rsid w:val="00082231"/>
    <w:rsid w:val="00086C70"/>
    <w:rsid w:val="00087300"/>
    <w:rsid w:val="00091EC4"/>
    <w:rsid w:val="00092861"/>
    <w:rsid w:val="00092A83"/>
    <w:rsid w:val="00092D38"/>
    <w:rsid w:val="0009377B"/>
    <w:rsid w:val="000946A2"/>
    <w:rsid w:val="00097B3A"/>
    <w:rsid w:val="000A133E"/>
    <w:rsid w:val="000A1741"/>
    <w:rsid w:val="000A1CEC"/>
    <w:rsid w:val="000A20C9"/>
    <w:rsid w:val="000B058F"/>
    <w:rsid w:val="000B1E8C"/>
    <w:rsid w:val="000B29C4"/>
    <w:rsid w:val="000B36CF"/>
    <w:rsid w:val="000B4467"/>
    <w:rsid w:val="000B4DB9"/>
    <w:rsid w:val="000B4FDA"/>
    <w:rsid w:val="000B5CD4"/>
    <w:rsid w:val="000C09AC"/>
    <w:rsid w:val="000C348A"/>
    <w:rsid w:val="000C767F"/>
    <w:rsid w:val="000D05A0"/>
    <w:rsid w:val="000D55BA"/>
    <w:rsid w:val="000D5A44"/>
    <w:rsid w:val="000D7113"/>
    <w:rsid w:val="000D7786"/>
    <w:rsid w:val="000E0B20"/>
    <w:rsid w:val="000E13B2"/>
    <w:rsid w:val="000E39D2"/>
    <w:rsid w:val="000E3CEE"/>
    <w:rsid w:val="000E3ED2"/>
    <w:rsid w:val="000E5B57"/>
    <w:rsid w:val="000F090A"/>
    <w:rsid w:val="001004A6"/>
    <w:rsid w:val="0010300A"/>
    <w:rsid w:val="0010377A"/>
    <w:rsid w:val="00104476"/>
    <w:rsid w:val="00104A47"/>
    <w:rsid w:val="001105F7"/>
    <w:rsid w:val="001114F7"/>
    <w:rsid w:val="00112405"/>
    <w:rsid w:val="00114178"/>
    <w:rsid w:val="00116A1B"/>
    <w:rsid w:val="001213C1"/>
    <w:rsid w:val="001228B5"/>
    <w:rsid w:val="0012338E"/>
    <w:rsid w:val="00123AEB"/>
    <w:rsid w:val="00124882"/>
    <w:rsid w:val="00126906"/>
    <w:rsid w:val="00126FBB"/>
    <w:rsid w:val="00131F42"/>
    <w:rsid w:val="00132328"/>
    <w:rsid w:val="00134E55"/>
    <w:rsid w:val="001357F1"/>
    <w:rsid w:val="00135866"/>
    <w:rsid w:val="00136743"/>
    <w:rsid w:val="00136E20"/>
    <w:rsid w:val="0014071F"/>
    <w:rsid w:val="00140FA8"/>
    <w:rsid w:val="00142368"/>
    <w:rsid w:val="00142FEB"/>
    <w:rsid w:val="00143A2D"/>
    <w:rsid w:val="00145A41"/>
    <w:rsid w:val="00151675"/>
    <w:rsid w:val="00151A3E"/>
    <w:rsid w:val="001541BD"/>
    <w:rsid w:val="00155453"/>
    <w:rsid w:val="001572EB"/>
    <w:rsid w:val="00157435"/>
    <w:rsid w:val="001606BA"/>
    <w:rsid w:val="00162E17"/>
    <w:rsid w:val="0016419D"/>
    <w:rsid w:val="00165E9B"/>
    <w:rsid w:val="00167FEE"/>
    <w:rsid w:val="00170859"/>
    <w:rsid w:val="00171E70"/>
    <w:rsid w:val="00172A27"/>
    <w:rsid w:val="001740F9"/>
    <w:rsid w:val="00174E68"/>
    <w:rsid w:val="0017504D"/>
    <w:rsid w:val="00175926"/>
    <w:rsid w:val="0017671A"/>
    <w:rsid w:val="00176BB1"/>
    <w:rsid w:val="00177422"/>
    <w:rsid w:val="00177A15"/>
    <w:rsid w:val="00180EA9"/>
    <w:rsid w:val="00184590"/>
    <w:rsid w:val="00184A1F"/>
    <w:rsid w:val="001858E0"/>
    <w:rsid w:val="001870D1"/>
    <w:rsid w:val="0018721B"/>
    <w:rsid w:val="00187476"/>
    <w:rsid w:val="0018781E"/>
    <w:rsid w:val="00192238"/>
    <w:rsid w:val="001923EF"/>
    <w:rsid w:val="0019262D"/>
    <w:rsid w:val="00194051"/>
    <w:rsid w:val="00194E43"/>
    <w:rsid w:val="001950C5"/>
    <w:rsid w:val="001A10B3"/>
    <w:rsid w:val="001A1B35"/>
    <w:rsid w:val="001A48A2"/>
    <w:rsid w:val="001A6F61"/>
    <w:rsid w:val="001A6F6E"/>
    <w:rsid w:val="001A7CF5"/>
    <w:rsid w:val="001B1621"/>
    <w:rsid w:val="001B2850"/>
    <w:rsid w:val="001B417B"/>
    <w:rsid w:val="001B72B8"/>
    <w:rsid w:val="001C0B05"/>
    <w:rsid w:val="001C16E0"/>
    <w:rsid w:val="001C3032"/>
    <w:rsid w:val="001C69B3"/>
    <w:rsid w:val="001D1F48"/>
    <w:rsid w:val="001D4914"/>
    <w:rsid w:val="001D514C"/>
    <w:rsid w:val="001D5595"/>
    <w:rsid w:val="001D6E11"/>
    <w:rsid w:val="001D7874"/>
    <w:rsid w:val="001D7F22"/>
    <w:rsid w:val="001E4062"/>
    <w:rsid w:val="001F03F0"/>
    <w:rsid w:val="001F0F17"/>
    <w:rsid w:val="001F3347"/>
    <w:rsid w:val="001F3FB8"/>
    <w:rsid w:val="001F51BB"/>
    <w:rsid w:val="001F562C"/>
    <w:rsid w:val="001F589E"/>
    <w:rsid w:val="001F69E4"/>
    <w:rsid w:val="001F7280"/>
    <w:rsid w:val="002017D4"/>
    <w:rsid w:val="002024DF"/>
    <w:rsid w:val="00203A8C"/>
    <w:rsid w:val="0021117F"/>
    <w:rsid w:val="00211C2D"/>
    <w:rsid w:val="002125B4"/>
    <w:rsid w:val="00212810"/>
    <w:rsid w:val="00212CEF"/>
    <w:rsid w:val="002155B8"/>
    <w:rsid w:val="00215FE9"/>
    <w:rsid w:val="00220FB7"/>
    <w:rsid w:val="0022170D"/>
    <w:rsid w:val="00224590"/>
    <w:rsid w:val="00224839"/>
    <w:rsid w:val="002249B2"/>
    <w:rsid w:val="002260AE"/>
    <w:rsid w:val="00226574"/>
    <w:rsid w:val="00227298"/>
    <w:rsid w:val="002278EC"/>
    <w:rsid w:val="0023280E"/>
    <w:rsid w:val="00234671"/>
    <w:rsid w:val="00234954"/>
    <w:rsid w:val="00235690"/>
    <w:rsid w:val="00235D2E"/>
    <w:rsid w:val="002377D1"/>
    <w:rsid w:val="002421A3"/>
    <w:rsid w:val="00245126"/>
    <w:rsid w:val="002506BC"/>
    <w:rsid w:val="0025383D"/>
    <w:rsid w:val="00254345"/>
    <w:rsid w:val="00255D65"/>
    <w:rsid w:val="00262B5B"/>
    <w:rsid w:val="002631D5"/>
    <w:rsid w:val="00264557"/>
    <w:rsid w:val="00265164"/>
    <w:rsid w:val="00265A9C"/>
    <w:rsid w:val="00272C92"/>
    <w:rsid w:val="00274081"/>
    <w:rsid w:val="002805AB"/>
    <w:rsid w:val="002835C0"/>
    <w:rsid w:val="00284204"/>
    <w:rsid w:val="00287AA0"/>
    <w:rsid w:val="00291773"/>
    <w:rsid w:val="00296B7E"/>
    <w:rsid w:val="0029721A"/>
    <w:rsid w:val="002A168C"/>
    <w:rsid w:val="002A255A"/>
    <w:rsid w:val="002A2D75"/>
    <w:rsid w:val="002A3DC7"/>
    <w:rsid w:val="002A3F0F"/>
    <w:rsid w:val="002A4E17"/>
    <w:rsid w:val="002A6AA3"/>
    <w:rsid w:val="002B3490"/>
    <w:rsid w:val="002B421B"/>
    <w:rsid w:val="002B49E2"/>
    <w:rsid w:val="002B5324"/>
    <w:rsid w:val="002B6326"/>
    <w:rsid w:val="002B6661"/>
    <w:rsid w:val="002B6C4E"/>
    <w:rsid w:val="002B7943"/>
    <w:rsid w:val="002B7B00"/>
    <w:rsid w:val="002B7C44"/>
    <w:rsid w:val="002C0909"/>
    <w:rsid w:val="002C13B4"/>
    <w:rsid w:val="002C2B17"/>
    <w:rsid w:val="002C5541"/>
    <w:rsid w:val="002D1897"/>
    <w:rsid w:val="002D3C4D"/>
    <w:rsid w:val="002D3DD0"/>
    <w:rsid w:val="002D7354"/>
    <w:rsid w:val="002D7E57"/>
    <w:rsid w:val="002E1F3A"/>
    <w:rsid w:val="002E298A"/>
    <w:rsid w:val="002E4E24"/>
    <w:rsid w:val="002F1A93"/>
    <w:rsid w:val="002F4439"/>
    <w:rsid w:val="002F50C5"/>
    <w:rsid w:val="002F5E6D"/>
    <w:rsid w:val="00301610"/>
    <w:rsid w:val="00301978"/>
    <w:rsid w:val="00302CFC"/>
    <w:rsid w:val="0030332C"/>
    <w:rsid w:val="003051C2"/>
    <w:rsid w:val="00307251"/>
    <w:rsid w:val="00312164"/>
    <w:rsid w:val="00312296"/>
    <w:rsid w:val="00314F0E"/>
    <w:rsid w:val="0032139B"/>
    <w:rsid w:val="00321D8E"/>
    <w:rsid w:val="00325928"/>
    <w:rsid w:val="00327A07"/>
    <w:rsid w:val="00330FD8"/>
    <w:rsid w:val="00332863"/>
    <w:rsid w:val="0033684D"/>
    <w:rsid w:val="00337B42"/>
    <w:rsid w:val="00340321"/>
    <w:rsid w:val="00341210"/>
    <w:rsid w:val="00341B42"/>
    <w:rsid w:val="0034348F"/>
    <w:rsid w:val="0034578A"/>
    <w:rsid w:val="00346A65"/>
    <w:rsid w:val="00347C19"/>
    <w:rsid w:val="003514DA"/>
    <w:rsid w:val="00352E51"/>
    <w:rsid w:val="00355D90"/>
    <w:rsid w:val="00356032"/>
    <w:rsid w:val="00356653"/>
    <w:rsid w:val="0035743F"/>
    <w:rsid w:val="00357BE2"/>
    <w:rsid w:val="0036170C"/>
    <w:rsid w:val="00362B3F"/>
    <w:rsid w:val="00362E5D"/>
    <w:rsid w:val="0036669D"/>
    <w:rsid w:val="003669C5"/>
    <w:rsid w:val="00366E0F"/>
    <w:rsid w:val="00367CAB"/>
    <w:rsid w:val="00374C7B"/>
    <w:rsid w:val="00374CCE"/>
    <w:rsid w:val="00374E87"/>
    <w:rsid w:val="003757F6"/>
    <w:rsid w:val="003810D2"/>
    <w:rsid w:val="00381A72"/>
    <w:rsid w:val="00384676"/>
    <w:rsid w:val="003855A6"/>
    <w:rsid w:val="003879CD"/>
    <w:rsid w:val="00387CCD"/>
    <w:rsid w:val="00390857"/>
    <w:rsid w:val="003915DB"/>
    <w:rsid w:val="00394893"/>
    <w:rsid w:val="00397AAE"/>
    <w:rsid w:val="00397D0E"/>
    <w:rsid w:val="003A23AC"/>
    <w:rsid w:val="003A4BF3"/>
    <w:rsid w:val="003A527A"/>
    <w:rsid w:val="003A5FC5"/>
    <w:rsid w:val="003B1352"/>
    <w:rsid w:val="003B420D"/>
    <w:rsid w:val="003C0B9A"/>
    <w:rsid w:val="003C3F23"/>
    <w:rsid w:val="003C4660"/>
    <w:rsid w:val="003C51F8"/>
    <w:rsid w:val="003C6948"/>
    <w:rsid w:val="003C6C16"/>
    <w:rsid w:val="003C7A21"/>
    <w:rsid w:val="003D1D45"/>
    <w:rsid w:val="003D3C09"/>
    <w:rsid w:val="003D4C4A"/>
    <w:rsid w:val="003D794D"/>
    <w:rsid w:val="003D7DD9"/>
    <w:rsid w:val="003E12CD"/>
    <w:rsid w:val="003E14AD"/>
    <w:rsid w:val="003E3058"/>
    <w:rsid w:val="003E30A4"/>
    <w:rsid w:val="003E3F7A"/>
    <w:rsid w:val="003E4EBB"/>
    <w:rsid w:val="003E6994"/>
    <w:rsid w:val="003E76A9"/>
    <w:rsid w:val="003F0809"/>
    <w:rsid w:val="003F6A8C"/>
    <w:rsid w:val="003F755C"/>
    <w:rsid w:val="0040051C"/>
    <w:rsid w:val="0040168A"/>
    <w:rsid w:val="0040439B"/>
    <w:rsid w:val="00406F01"/>
    <w:rsid w:val="00406FC5"/>
    <w:rsid w:val="0041181A"/>
    <w:rsid w:val="00416D50"/>
    <w:rsid w:val="00416FD5"/>
    <w:rsid w:val="00417772"/>
    <w:rsid w:val="00417D2B"/>
    <w:rsid w:val="00420E6A"/>
    <w:rsid w:val="00425A9E"/>
    <w:rsid w:val="00426D6B"/>
    <w:rsid w:val="00431E6C"/>
    <w:rsid w:val="00433CE7"/>
    <w:rsid w:val="004349D0"/>
    <w:rsid w:val="00435923"/>
    <w:rsid w:val="00437CEB"/>
    <w:rsid w:val="00440588"/>
    <w:rsid w:val="004405E9"/>
    <w:rsid w:val="00441D98"/>
    <w:rsid w:val="00446FF7"/>
    <w:rsid w:val="00447AE0"/>
    <w:rsid w:val="00450019"/>
    <w:rsid w:val="00452118"/>
    <w:rsid w:val="00452738"/>
    <w:rsid w:val="004537D1"/>
    <w:rsid w:val="004549BD"/>
    <w:rsid w:val="00456091"/>
    <w:rsid w:val="00456E28"/>
    <w:rsid w:val="00457646"/>
    <w:rsid w:val="00457B94"/>
    <w:rsid w:val="00460522"/>
    <w:rsid w:val="004605A6"/>
    <w:rsid w:val="004608B1"/>
    <w:rsid w:val="0046091B"/>
    <w:rsid w:val="00462C08"/>
    <w:rsid w:val="004643CC"/>
    <w:rsid w:val="00464E19"/>
    <w:rsid w:val="00465086"/>
    <w:rsid w:val="00466321"/>
    <w:rsid w:val="00467595"/>
    <w:rsid w:val="00471E6A"/>
    <w:rsid w:val="0047264D"/>
    <w:rsid w:val="00473EC7"/>
    <w:rsid w:val="004757B4"/>
    <w:rsid w:val="004816AD"/>
    <w:rsid w:val="00484B9B"/>
    <w:rsid w:val="004855F6"/>
    <w:rsid w:val="00485B4A"/>
    <w:rsid w:val="0048661E"/>
    <w:rsid w:val="00493D6A"/>
    <w:rsid w:val="00494670"/>
    <w:rsid w:val="004A0DFE"/>
    <w:rsid w:val="004A0FD5"/>
    <w:rsid w:val="004A3823"/>
    <w:rsid w:val="004A3ACC"/>
    <w:rsid w:val="004A7C8A"/>
    <w:rsid w:val="004B2CC6"/>
    <w:rsid w:val="004B2EE1"/>
    <w:rsid w:val="004B45E7"/>
    <w:rsid w:val="004B602B"/>
    <w:rsid w:val="004B7964"/>
    <w:rsid w:val="004B7C05"/>
    <w:rsid w:val="004C3B44"/>
    <w:rsid w:val="004C3BD6"/>
    <w:rsid w:val="004C53EA"/>
    <w:rsid w:val="004C7BA9"/>
    <w:rsid w:val="004D06ED"/>
    <w:rsid w:val="004D1B13"/>
    <w:rsid w:val="004D22DB"/>
    <w:rsid w:val="004D52A6"/>
    <w:rsid w:val="004D7C80"/>
    <w:rsid w:val="004E24A2"/>
    <w:rsid w:val="004E2597"/>
    <w:rsid w:val="004E448C"/>
    <w:rsid w:val="004E6946"/>
    <w:rsid w:val="004F0803"/>
    <w:rsid w:val="004F13C0"/>
    <w:rsid w:val="004F1AD8"/>
    <w:rsid w:val="004F259E"/>
    <w:rsid w:val="004F2629"/>
    <w:rsid w:val="004F362B"/>
    <w:rsid w:val="004F6AE5"/>
    <w:rsid w:val="004F7496"/>
    <w:rsid w:val="005003B6"/>
    <w:rsid w:val="005039CB"/>
    <w:rsid w:val="00504EDE"/>
    <w:rsid w:val="005053C9"/>
    <w:rsid w:val="0050558F"/>
    <w:rsid w:val="00506286"/>
    <w:rsid w:val="00510813"/>
    <w:rsid w:val="005108DE"/>
    <w:rsid w:val="005117F1"/>
    <w:rsid w:val="00511990"/>
    <w:rsid w:val="00511DE0"/>
    <w:rsid w:val="005144F9"/>
    <w:rsid w:val="0051480B"/>
    <w:rsid w:val="00514870"/>
    <w:rsid w:val="00514B9B"/>
    <w:rsid w:val="00515864"/>
    <w:rsid w:val="00517F02"/>
    <w:rsid w:val="00521FCE"/>
    <w:rsid w:val="00524303"/>
    <w:rsid w:val="0052586B"/>
    <w:rsid w:val="005258A2"/>
    <w:rsid w:val="0053398D"/>
    <w:rsid w:val="005360ED"/>
    <w:rsid w:val="00537183"/>
    <w:rsid w:val="005401AE"/>
    <w:rsid w:val="00540395"/>
    <w:rsid w:val="00541D09"/>
    <w:rsid w:val="00542E07"/>
    <w:rsid w:val="00543C20"/>
    <w:rsid w:val="00545424"/>
    <w:rsid w:val="00546220"/>
    <w:rsid w:val="00554A7B"/>
    <w:rsid w:val="00554DDC"/>
    <w:rsid w:val="0055572C"/>
    <w:rsid w:val="005564FD"/>
    <w:rsid w:val="00556D47"/>
    <w:rsid w:val="0055743C"/>
    <w:rsid w:val="00560658"/>
    <w:rsid w:val="00560DB6"/>
    <w:rsid w:val="0056106A"/>
    <w:rsid w:val="005614C0"/>
    <w:rsid w:val="0056384B"/>
    <w:rsid w:val="00564992"/>
    <w:rsid w:val="00566ABD"/>
    <w:rsid w:val="005709EC"/>
    <w:rsid w:val="0057138E"/>
    <w:rsid w:val="005720AE"/>
    <w:rsid w:val="00574761"/>
    <w:rsid w:val="00574A77"/>
    <w:rsid w:val="00575DAD"/>
    <w:rsid w:val="00576C85"/>
    <w:rsid w:val="00577203"/>
    <w:rsid w:val="005828EE"/>
    <w:rsid w:val="005833DE"/>
    <w:rsid w:val="005863A9"/>
    <w:rsid w:val="00587B24"/>
    <w:rsid w:val="00590C8F"/>
    <w:rsid w:val="00594B57"/>
    <w:rsid w:val="00594D77"/>
    <w:rsid w:val="00595CBF"/>
    <w:rsid w:val="00596595"/>
    <w:rsid w:val="005969E4"/>
    <w:rsid w:val="005A06B7"/>
    <w:rsid w:val="005A1759"/>
    <w:rsid w:val="005A2288"/>
    <w:rsid w:val="005A4A00"/>
    <w:rsid w:val="005A68A7"/>
    <w:rsid w:val="005B0524"/>
    <w:rsid w:val="005B1BE2"/>
    <w:rsid w:val="005B2445"/>
    <w:rsid w:val="005B2FA8"/>
    <w:rsid w:val="005B40F2"/>
    <w:rsid w:val="005B75B0"/>
    <w:rsid w:val="005C15A7"/>
    <w:rsid w:val="005C2788"/>
    <w:rsid w:val="005C2B3B"/>
    <w:rsid w:val="005C3732"/>
    <w:rsid w:val="005D2ED0"/>
    <w:rsid w:val="005D36AB"/>
    <w:rsid w:val="005D56A4"/>
    <w:rsid w:val="005D6605"/>
    <w:rsid w:val="005E23AE"/>
    <w:rsid w:val="005E2757"/>
    <w:rsid w:val="005F5277"/>
    <w:rsid w:val="005F6616"/>
    <w:rsid w:val="00605AFE"/>
    <w:rsid w:val="00615135"/>
    <w:rsid w:val="00616B3C"/>
    <w:rsid w:val="00616D25"/>
    <w:rsid w:val="0061704D"/>
    <w:rsid w:val="00617CC3"/>
    <w:rsid w:val="00621939"/>
    <w:rsid w:val="00622D68"/>
    <w:rsid w:val="00626D43"/>
    <w:rsid w:val="0063430F"/>
    <w:rsid w:val="006377A6"/>
    <w:rsid w:val="006379C0"/>
    <w:rsid w:val="00637A3D"/>
    <w:rsid w:val="006411EF"/>
    <w:rsid w:val="006417CF"/>
    <w:rsid w:val="00641E60"/>
    <w:rsid w:val="00641FCA"/>
    <w:rsid w:val="00642743"/>
    <w:rsid w:val="00644A8C"/>
    <w:rsid w:val="00644C98"/>
    <w:rsid w:val="00647B6C"/>
    <w:rsid w:val="006513C1"/>
    <w:rsid w:val="006514F8"/>
    <w:rsid w:val="00651B0D"/>
    <w:rsid w:val="0066210D"/>
    <w:rsid w:val="006629D8"/>
    <w:rsid w:val="00664285"/>
    <w:rsid w:val="00664E3A"/>
    <w:rsid w:val="00665907"/>
    <w:rsid w:val="00667278"/>
    <w:rsid w:val="00674844"/>
    <w:rsid w:val="006748B8"/>
    <w:rsid w:val="006775C3"/>
    <w:rsid w:val="00692079"/>
    <w:rsid w:val="0069290A"/>
    <w:rsid w:val="0069391E"/>
    <w:rsid w:val="0069549E"/>
    <w:rsid w:val="00696FF8"/>
    <w:rsid w:val="0069775A"/>
    <w:rsid w:val="00697813"/>
    <w:rsid w:val="006A0DC0"/>
    <w:rsid w:val="006A1CEF"/>
    <w:rsid w:val="006A3417"/>
    <w:rsid w:val="006A3EE8"/>
    <w:rsid w:val="006A72BF"/>
    <w:rsid w:val="006A7BBE"/>
    <w:rsid w:val="006B03F2"/>
    <w:rsid w:val="006B0AB4"/>
    <w:rsid w:val="006B37DC"/>
    <w:rsid w:val="006B4F68"/>
    <w:rsid w:val="006B51B6"/>
    <w:rsid w:val="006C0592"/>
    <w:rsid w:val="006C0FEB"/>
    <w:rsid w:val="006C13E0"/>
    <w:rsid w:val="006C272E"/>
    <w:rsid w:val="006C5479"/>
    <w:rsid w:val="006C7543"/>
    <w:rsid w:val="006D13B5"/>
    <w:rsid w:val="006D1859"/>
    <w:rsid w:val="006D2A84"/>
    <w:rsid w:val="006D3B98"/>
    <w:rsid w:val="006D7EA1"/>
    <w:rsid w:val="006E12FF"/>
    <w:rsid w:val="006E49B3"/>
    <w:rsid w:val="006E607E"/>
    <w:rsid w:val="006E68EB"/>
    <w:rsid w:val="006F0DEB"/>
    <w:rsid w:val="006F1B81"/>
    <w:rsid w:val="006F1E37"/>
    <w:rsid w:val="00701891"/>
    <w:rsid w:val="007030A5"/>
    <w:rsid w:val="007037C5"/>
    <w:rsid w:val="0070410E"/>
    <w:rsid w:val="007058D1"/>
    <w:rsid w:val="00706445"/>
    <w:rsid w:val="00706C5D"/>
    <w:rsid w:val="00707BED"/>
    <w:rsid w:val="00707CB0"/>
    <w:rsid w:val="00716A65"/>
    <w:rsid w:val="00720173"/>
    <w:rsid w:val="00720D50"/>
    <w:rsid w:val="0072246B"/>
    <w:rsid w:val="00723A1A"/>
    <w:rsid w:val="00723FA6"/>
    <w:rsid w:val="0072779E"/>
    <w:rsid w:val="007304A1"/>
    <w:rsid w:val="007304A7"/>
    <w:rsid w:val="00732540"/>
    <w:rsid w:val="00732922"/>
    <w:rsid w:val="007345AD"/>
    <w:rsid w:val="0074031F"/>
    <w:rsid w:val="00741B08"/>
    <w:rsid w:val="007432DF"/>
    <w:rsid w:val="007470FB"/>
    <w:rsid w:val="00750EC1"/>
    <w:rsid w:val="0075162E"/>
    <w:rsid w:val="00752966"/>
    <w:rsid w:val="00754034"/>
    <w:rsid w:val="007544A6"/>
    <w:rsid w:val="00756556"/>
    <w:rsid w:val="00757508"/>
    <w:rsid w:val="0075790B"/>
    <w:rsid w:val="00757C2F"/>
    <w:rsid w:val="00757C39"/>
    <w:rsid w:val="00760847"/>
    <w:rsid w:val="00760B1A"/>
    <w:rsid w:val="007618C4"/>
    <w:rsid w:val="0076665A"/>
    <w:rsid w:val="00767980"/>
    <w:rsid w:val="0077000F"/>
    <w:rsid w:val="00770891"/>
    <w:rsid w:val="00770B19"/>
    <w:rsid w:val="00770F10"/>
    <w:rsid w:val="00773DF2"/>
    <w:rsid w:val="0077463F"/>
    <w:rsid w:val="00780739"/>
    <w:rsid w:val="00780F69"/>
    <w:rsid w:val="007836EA"/>
    <w:rsid w:val="00784CDA"/>
    <w:rsid w:val="00786252"/>
    <w:rsid w:val="00786484"/>
    <w:rsid w:val="007906C4"/>
    <w:rsid w:val="00792B2F"/>
    <w:rsid w:val="007936A5"/>
    <w:rsid w:val="007940EA"/>
    <w:rsid w:val="00794921"/>
    <w:rsid w:val="00795EA0"/>
    <w:rsid w:val="007967E8"/>
    <w:rsid w:val="007A2170"/>
    <w:rsid w:val="007A22BF"/>
    <w:rsid w:val="007A26AB"/>
    <w:rsid w:val="007A3323"/>
    <w:rsid w:val="007A3E0A"/>
    <w:rsid w:val="007A65BC"/>
    <w:rsid w:val="007B0381"/>
    <w:rsid w:val="007B049F"/>
    <w:rsid w:val="007B216D"/>
    <w:rsid w:val="007B333E"/>
    <w:rsid w:val="007B4041"/>
    <w:rsid w:val="007B4F43"/>
    <w:rsid w:val="007B72B8"/>
    <w:rsid w:val="007B7A58"/>
    <w:rsid w:val="007C08E8"/>
    <w:rsid w:val="007C15DE"/>
    <w:rsid w:val="007C21B5"/>
    <w:rsid w:val="007D00E1"/>
    <w:rsid w:val="007D0379"/>
    <w:rsid w:val="007D0DC2"/>
    <w:rsid w:val="007D43D5"/>
    <w:rsid w:val="007D4A7D"/>
    <w:rsid w:val="007D6757"/>
    <w:rsid w:val="007D71CF"/>
    <w:rsid w:val="007E2A68"/>
    <w:rsid w:val="007E4BD2"/>
    <w:rsid w:val="007F2D1E"/>
    <w:rsid w:val="007F36B7"/>
    <w:rsid w:val="007F3896"/>
    <w:rsid w:val="007F5F94"/>
    <w:rsid w:val="007F7F72"/>
    <w:rsid w:val="00801393"/>
    <w:rsid w:val="00802F88"/>
    <w:rsid w:val="00804DA3"/>
    <w:rsid w:val="00806BFA"/>
    <w:rsid w:val="0081293E"/>
    <w:rsid w:val="00815465"/>
    <w:rsid w:val="008169BA"/>
    <w:rsid w:val="00817E9A"/>
    <w:rsid w:val="00821B34"/>
    <w:rsid w:val="0082257E"/>
    <w:rsid w:val="00822FE8"/>
    <w:rsid w:val="00824A18"/>
    <w:rsid w:val="008274DE"/>
    <w:rsid w:val="008306BD"/>
    <w:rsid w:val="00831A80"/>
    <w:rsid w:val="00833743"/>
    <w:rsid w:val="008340A4"/>
    <w:rsid w:val="00837A28"/>
    <w:rsid w:val="0084058F"/>
    <w:rsid w:val="00840915"/>
    <w:rsid w:val="00845B05"/>
    <w:rsid w:val="00845B6C"/>
    <w:rsid w:val="00851910"/>
    <w:rsid w:val="00860041"/>
    <w:rsid w:val="008613B5"/>
    <w:rsid w:val="008641E0"/>
    <w:rsid w:val="00864404"/>
    <w:rsid w:val="00864FD0"/>
    <w:rsid w:val="00866B4D"/>
    <w:rsid w:val="008707C2"/>
    <w:rsid w:val="0087135F"/>
    <w:rsid w:val="00871C5D"/>
    <w:rsid w:val="00872D94"/>
    <w:rsid w:val="00880364"/>
    <w:rsid w:val="00882D8D"/>
    <w:rsid w:val="00891592"/>
    <w:rsid w:val="00891E9E"/>
    <w:rsid w:val="008926BA"/>
    <w:rsid w:val="00892E93"/>
    <w:rsid w:val="00892F0D"/>
    <w:rsid w:val="008A0C79"/>
    <w:rsid w:val="008A1A33"/>
    <w:rsid w:val="008A2F68"/>
    <w:rsid w:val="008A5B7A"/>
    <w:rsid w:val="008B0EA3"/>
    <w:rsid w:val="008B4C3F"/>
    <w:rsid w:val="008B4FA6"/>
    <w:rsid w:val="008B5282"/>
    <w:rsid w:val="008B7C17"/>
    <w:rsid w:val="008C072F"/>
    <w:rsid w:val="008C2D01"/>
    <w:rsid w:val="008C3986"/>
    <w:rsid w:val="008C40E6"/>
    <w:rsid w:val="008C54D1"/>
    <w:rsid w:val="008C6277"/>
    <w:rsid w:val="008D0B16"/>
    <w:rsid w:val="008D0F7A"/>
    <w:rsid w:val="008D4A90"/>
    <w:rsid w:val="008D68E4"/>
    <w:rsid w:val="008E0506"/>
    <w:rsid w:val="008E0CFF"/>
    <w:rsid w:val="008E1035"/>
    <w:rsid w:val="008E2851"/>
    <w:rsid w:val="008E4E09"/>
    <w:rsid w:val="008E5D6B"/>
    <w:rsid w:val="008E76F0"/>
    <w:rsid w:val="008F0816"/>
    <w:rsid w:val="008F0854"/>
    <w:rsid w:val="008F15FE"/>
    <w:rsid w:val="008F245A"/>
    <w:rsid w:val="008F2B41"/>
    <w:rsid w:val="008F2D29"/>
    <w:rsid w:val="008F2ED0"/>
    <w:rsid w:val="008F4454"/>
    <w:rsid w:val="008F5187"/>
    <w:rsid w:val="008F60D8"/>
    <w:rsid w:val="008F7B97"/>
    <w:rsid w:val="009005F9"/>
    <w:rsid w:val="00902727"/>
    <w:rsid w:val="00902A20"/>
    <w:rsid w:val="00902E6D"/>
    <w:rsid w:val="0090312B"/>
    <w:rsid w:val="00910A3F"/>
    <w:rsid w:val="00915080"/>
    <w:rsid w:val="009167F1"/>
    <w:rsid w:val="0091736D"/>
    <w:rsid w:val="00917519"/>
    <w:rsid w:val="00922B9D"/>
    <w:rsid w:val="00924FD7"/>
    <w:rsid w:val="0093037A"/>
    <w:rsid w:val="00930421"/>
    <w:rsid w:val="00930AB5"/>
    <w:rsid w:val="00936218"/>
    <w:rsid w:val="00937970"/>
    <w:rsid w:val="0094154D"/>
    <w:rsid w:val="0094522B"/>
    <w:rsid w:val="00950A69"/>
    <w:rsid w:val="0095155F"/>
    <w:rsid w:val="009530D7"/>
    <w:rsid w:val="009541AB"/>
    <w:rsid w:val="00954429"/>
    <w:rsid w:val="009563CE"/>
    <w:rsid w:val="00956ABB"/>
    <w:rsid w:val="00960A5F"/>
    <w:rsid w:val="00964FB8"/>
    <w:rsid w:val="00966BBB"/>
    <w:rsid w:val="00967AD0"/>
    <w:rsid w:val="00970C4F"/>
    <w:rsid w:val="00970E38"/>
    <w:rsid w:val="00975AF0"/>
    <w:rsid w:val="00976328"/>
    <w:rsid w:val="0097680D"/>
    <w:rsid w:val="009802D3"/>
    <w:rsid w:val="00982438"/>
    <w:rsid w:val="0098404C"/>
    <w:rsid w:val="00985283"/>
    <w:rsid w:val="0098730C"/>
    <w:rsid w:val="009907C0"/>
    <w:rsid w:val="0099142C"/>
    <w:rsid w:val="00993168"/>
    <w:rsid w:val="00995992"/>
    <w:rsid w:val="009A029C"/>
    <w:rsid w:val="009A03C6"/>
    <w:rsid w:val="009A03E5"/>
    <w:rsid w:val="009A0F3B"/>
    <w:rsid w:val="009A1BB4"/>
    <w:rsid w:val="009A2628"/>
    <w:rsid w:val="009A3200"/>
    <w:rsid w:val="009A4ABA"/>
    <w:rsid w:val="009A4D14"/>
    <w:rsid w:val="009A4FF5"/>
    <w:rsid w:val="009A51F9"/>
    <w:rsid w:val="009A55EE"/>
    <w:rsid w:val="009A5790"/>
    <w:rsid w:val="009A585A"/>
    <w:rsid w:val="009B0897"/>
    <w:rsid w:val="009B2B80"/>
    <w:rsid w:val="009B2BAE"/>
    <w:rsid w:val="009B55BC"/>
    <w:rsid w:val="009B7BD9"/>
    <w:rsid w:val="009C0CA3"/>
    <w:rsid w:val="009C40BA"/>
    <w:rsid w:val="009C76E2"/>
    <w:rsid w:val="009C7DD5"/>
    <w:rsid w:val="009D040D"/>
    <w:rsid w:val="009D2AFA"/>
    <w:rsid w:val="009D2CE7"/>
    <w:rsid w:val="009D3885"/>
    <w:rsid w:val="009D4B9F"/>
    <w:rsid w:val="009D53E8"/>
    <w:rsid w:val="009D7894"/>
    <w:rsid w:val="009D7A7D"/>
    <w:rsid w:val="009E227D"/>
    <w:rsid w:val="009E5019"/>
    <w:rsid w:val="009E57A6"/>
    <w:rsid w:val="009E5CFB"/>
    <w:rsid w:val="009F44C8"/>
    <w:rsid w:val="00A0078F"/>
    <w:rsid w:val="00A049FC"/>
    <w:rsid w:val="00A04F1B"/>
    <w:rsid w:val="00A0501B"/>
    <w:rsid w:val="00A060E1"/>
    <w:rsid w:val="00A07580"/>
    <w:rsid w:val="00A14734"/>
    <w:rsid w:val="00A14947"/>
    <w:rsid w:val="00A15E01"/>
    <w:rsid w:val="00A179AC"/>
    <w:rsid w:val="00A20FD1"/>
    <w:rsid w:val="00A22BDD"/>
    <w:rsid w:val="00A254E2"/>
    <w:rsid w:val="00A3194D"/>
    <w:rsid w:val="00A31C5B"/>
    <w:rsid w:val="00A32A83"/>
    <w:rsid w:val="00A335DE"/>
    <w:rsid w:val="00A34A8E"/>
    <w:rsid w:val="00A353B8"/>
    <w:rsid w:val="00A368DB"/>
    <w:rsid w:val="00A423AA"/>
    <w:rsid w:val="00A42AA8"/>
    <w:rsid w:val="00A43245"/>
    <w:rsid w:val="00A433E9"/>
    <w:rsid w:val="00A467DE"/>
    <w:rsid w:val="00A50E99"/>
    <w:rsid w:val="00A5120C"/>
    <w:rsid w:val="00A533F3"/>
    <w:rsid w:val="00A53EC6"/>
    <w:rsid w:val="00A55C0F"/>
    <w:rsid w:val="00A57CAA"/>
    <w:rsid w:val="00A6796E"/>
    <w:rsid w:val="00A67F88"/>
    <w:rsid w:val="00A710EF"/>
    <w:rsid w:val="00A71311"/>
    <w:rsid w:val="00A76C8C"/>
    <w:rsid w:val="00A77893"/>
    <w:rsid w:val="00A800EC"/>
    <w:rsid w:val="00A8051E"/>
    <w:rsid w:val="00A823B4"/>
    <w:rsid w:val="00A8279D"/>
    <w:rsid w:val="00A840EB"/>
    <w:rsid w:val="00A8713F"/>
    <w:rsid w:val="00A90BA1"/>
    <w:rsid w:val="00A928FD"/>
    <w:rsid w:val="00A936D2"/>
    <w:rsid w:val="00A97A9A"/>
    <w:rsid w:val="00AA0500"/>
    <w:rsid w:val="00AA0671"/>
    <w:rsid w:val="00AA2531"/>
    <w:rsid w:val="00AA743C"/>
    <w:rsid w:val="00AB1E09"/>
    <w:rsid w:val="00AB5330"/>
    <w:rsid w:val="00AB7747"/>
    <w:rsid w:val="00AC14CE"/>
    <w:rsid w:val="00AC15FF"/>
    <w:rsid w:val="00AC2A56"/>
    <w:rsid w:val="00AC4EB8"/>
    <w:rsid w:val="00AC60AA"/>
    <w:rsid w:val="00AC7E61"/>
    <w:rsid w:val="00AD055E"/>
    <w:rsid w:val="00AD47A7"/>
    <w:rsid w:val="00AD580C"/>
    <w:rsid w:val="00AD7112"/>
    <w:rsid w:val="00AD7954"/>
    <w:rsid w:val="00AE3D1E"/>
    <w:rsid w:val="00AE3FD0"/>
    <w:rsid w:val="00AE4C30"/>
    <w:rsid w:val="00AE51DF"/>
    <w:rsid w:val="00AE6EEF"/>
    <w:rsid w:val="00AF0391"/>
    <w:rsid w:val="00AF0396"/>
    <w:rsid w:val="00AF0CBF"/>
    <w:rsid w:val="00AF257F"/>
    <w:rsid w:val="00AF33CF"/>
    <w:rsid w:val="00AF4D50"/>
    <w:rsid w:val="00AF53B8"/>
    <w:rsid w:val="00AF6179"/>
    <w:rsid w:val="00AF7F17"/>
    <w:rsid w:val="00B0062E"/>
    <w:rsid w:val="00B037E9"/>
    <w:rsid w:val="00B07E2F"/>
    <w:rsid w:val="00B10E19"/>
    <w:rsid w:val="00B1295A"/>
    <w:rsid w:val="00B20A45"/>
    <w:rsid w:val="00B22C5C"/>
    <w:rsid w:val="00B230A1"/>
    <w:rsid w:val="00B24F30"/>
    <w:rsid w:val="00B3053D"/>
    <w:rsid w:val="00B31978"/>
    <w:rsid w:val="00B31ABF"/>
    <w:rsid w:val="00B32946"/>
    <w:rsid w:val="00B33BE3"/>
    <w:rsid w:val="00B33C8D"/>
    <w:rsid w:val="00B40214"/>
    <w:rsid w:val="00B409CE"/>
    <w:rsid w:val="00B42C77"/>
    <w:rsid w:val="00B44E8A"/>
    <w:rsid w:val="00B46B0C"/>
    <w:rsid w:val="00B53B5D"/>
    <w:rsid w:val="00B54D90"/>
    <w:rsid w:val="00B5536A"/>
    <w:rsid w:val="00B55474"/>
    <w:rsid w:val="00B560BB"/>
    <w:rsid w:val="00B57D3E"/>
    <w:rsid w:val="00B6055E"/>
    <w:rsid w:val="00B605C9"/>
    <w:rsid w:val="00B62B02"/>
    <w:rsid w:val="00B62CCB"/>
    <w:rsid w:val="00B6317D"/>
    <w:rsid w:val="00B648E0"/>
    <w:rsid w:val="00B6507B"/>
    <w:rsid w:val="00B7095E"/>
    <w:rsid w:val="00B72210"/>
    <w:rsid w:val="00B72D31"/>
    <w:rsid w:val="00B7723F"/>
    <w:rsid w:val="00B778CA"/>
    <w:rsid w:val="00B80534"/>
    <w:rsid w:val="00B81E71"/>
    <w:rsid w:val="00B832C2"/>
    <w:rsid w:val="00B8433C"/>
    <w:rsid w:val="00B84389"/>
    <w:rsid w:val="00B87491"/>
    <w:rsid w:val="00B93308"/>
    <w:rsid w:val="00B93566"/>
    <w:rsid w:val="00B93611"/>
    <w:rsid w:val="00B95124"/>
    <w:rsid w:val="00B96327"/>
    <w:rsid w:val="00B96C72"/>
    <w:rsid w:val="00B97AB4"/>
    <w:rsid w:val="00BA0F6E"/>
    <w:rsid w:val="00BA175F"/>
    <w:rsid w:val="00BA2962"/>
    <w:rsid w:val="00BA29E9"/>
    <w:rsid w:val="00BA6560"/>
    <w:rsid w:val="00BA6DC8"/>
    <w:rsid w:val="00BA7142"/>
    <w:rsid w:val="00BB237C"/>
    <w:rsid w:val="00BB34EA"/>
    <w:rsid w:val="00BB3A2D"/>
    <w:rsid w:val="00BB41A3"/>
    <w:rsid w:val="00BB4861"/>
    <w:rsid w:val="00BB49CB"/>
    <w:rsid w:val="00BC32DC"/>
    <w:rsid w:val="00BC35B6"/>
    <w:rsid w:val="00BC6E80"/>
    <w:rsid w:val="00BC750B"/>
    <w:rsid w:val="00BC7D6A"/>
    <w:rsid w:val="00BD12E8"/>
    <w:rsid w:val="00BD132B"/>
    <w:rsid w:val="00BD1B51"/>
    <w:rsid w:val="00BD4596"/>
    <w:rsid w:val="00BD4689"/>
    <w:rsid w:val="00BD48B9"/>
    <w:rsid w:val="00BD5894"/>
    <w:rsid w:val="00BE0B5C"/>
    <w:rsid w:val="00BE1405"/>
    <w:rsid w:val="00BE29B7"/>
    <w:rsid w:val="00BE312D"/>
    <w:rsid w:val="00BE68AE"/>
    <w:rsid w:val="00BF1C20"/>
    <w:rsid w:val="00BF23F2"/>
    <w:rsid w:val="00BF44E4"/>
    <w:rsid w:val="00C006FB"/>
    <w:rsid w:val="00C01551"/>
    <w:rsid w:val="00C019F7"/>
    <w:rsid w:val="00C063AE"/>
    <w:rsid w:val="00C06A6E"/>
    <w:rsid w:val="00C10578"/>
    <w:rsid w:val="00C12470"/>
    <w:rsid w:val="00C135BC"/>
    <w:rsid w:val="00C13C92"/>
    <w:rsid w:val="00C15C95"/>
    <w:rsid w:val="00C2228B"/>
    <w:rsid w:val="00C230F6"/>
    <w:rsid w:val="00C244B2"/>
    <w:rsid w:val="00C2596A"/>
    <w:rsid w:val="00C27397"/>
    <w:rsid w:val="00C27537"/>
    <w:rsid w:val="00C27F1B"/>
    <w:rsid w:val="00C31476"/>
    <w:rsid w:val="00C328FE"/>
    <w:rsid w:val="00C33507"/>
    <w:rsid w:val="00C34CB9"/>
    <w:rsid w:val="00C43AFD"/>
    <w:rsid w:val="00C4409D"/>
    <w:rsid w:val="00C44395"/>
    <w:rsid w:val="00C4497A"/>
    <w:rsid w:val="00C44E72"/>
    <w:rsid w:val="00C456CF"/>
    <w:rsid w:val="00C45A06"/>
    <w:rsid w:val="00C4777F"/>
    <w:rsid w:val="00C47E5B"/>
    <w:rsid w:val="00C60A25"/>
    <w:rsid w:val="00C61E4B"/>
    <w:rsid w:val="00C61FDB"/>
    <w:rsid w:val="00C64BFF"/>
    <w:rsid w:val="00C67FAF"/>
    <w:rsid w:val="00C704E9"/>
    <w:rsid w:val="00C71084"/>
    <w:rsid w:val="00C74EE5"/>
    <w:rsid w:val="00C7565D"/>
    <w:rsid w:val="00C763C9"/>
    <w:rsid w:val="00C80057"/>
    <w:rsid w:val="00C81443"/>
    <w:rsid w:val="00C81642"/>
    <w:rsid w:val="00C82034"/>
    <w:rsid w:val="00C82232"/>
    <w:rsid w:val="00C82913"/>
    <w:rsid w:val="00C85FC1"/>
    <w:rsid w:val="00C92B8F"/>
    <w:rsid w:val="00C9313E"/>
    <w:rsid w:val="00C972B1"/>
    <w:rsid w:val="00CA0DF7"/>
    <w:rsid w:val="00CA2AFD"/>
    <w:rsid w:val="00CA2CCE"/>
    <w:rsid w:val="00CA43FD"/>
    <w:rsid w:val="00CA4901"/>
    <w:rsid w:val="00CA7083"/>
    <w:rsid w:val="00CA7EF8"/>
    <w:rsid w:val="00CB391A"/>
    <w:rsid w:val="00CC2AD4"/>
    <w:rsid w:val="00CC2E0F"/>
    <w:rsid w:val="00CC489B"/>
    <w:rsid w:val="00CC7719"/>
    <w:rsid w:val="00CC7D0B"/>
    <w:rsid w:val="00CD2BCD"/>
    <w:rsid w:val="00CD3A4C"/>
    <w:rsid w:val="00CD3F6B"/>
    <w:rsid w:val="00CD62A5"/>
    <w:rsid w:val="00CD75C1"/>
    <w:rsid w:val="00CE10E9"/>
    <w:rsid w:val="00CE2910"/>
    <w:rsid w:val="00CE2EE0"/>
    <w:rsid w:val="00CE5393"/>
    <w:rsid w:val="00CE6B07"/>
    <w:rsid w:val="00CE71A4"/>
    <w:rsid w:val="00CF0338"/>
    <w:rsid w:val="00CF096F"/>
    <w:rsid w:val="00CF10B7"/>
    <w:rsid w:val="00CF27CB"/>
    <w:rsid w:val="00CF2D29"/>
    <w:rsid w:val="00CF36BE"/>
    <w:rsid w:val="00CF514D"/>
    <w:rsid w:val="00CF6000"/>
    <w:rsid w:val="00D003F3"/>
    <w:rsid w:val="00D0364F"/>
    <w:rsid w:val="00D04D9E"/>
    <w:rsid w:val="00D05F0D"/>
    <w:rsid w:val="00D06655"/>
    <w:rsid w:val="00D06834"/>
    <w:rsid w:val="00D07B9A"/>
    <w:rsid w:val="00D211D5"/>
    <w:rsid w:val="00D22A2F"/>
    <w:rsid w:val="00D239AB"/>
    <w:rsid w:val="00D278EB"/>
    <w:rsid w:val="00D308D7"/>
    <w:rsid w:val="00D308ED"/>
    <w:rsid w:val="00D311AF"/>
    <w:rsid w:val="00D36D86"/>
    <w:rsid w:val="00D375E9"/>
    <w:rsid w:val="00D4208E"/>
    <w:rsid w:val="00D428AA"/>
    <w:rsid w:val="00D43304"/>
    <w:rsid w:val="00D50A34"/>
    <w:rsid w:val="00D530DB"/>
    <w:rsid w:val="00D53EFA"/>
    <w:rsid w:val="00D563DE"/>
    <w:rsid w:val="00D6160D"/>
    <w:rsid w:val="00D638B3"/>
    <w:rsid w:val="00D63D6C"/>
    <w:rsid w:val="00D641CA"/>
    <w:rsid w:val="00D65816"/>
    <w:rsid w:val="00D71555"/>
    <w:rsid w:val="00D74B27"/>
    <w:rsid w:val="00D80856"/>
    <w:rsid w:val="00D84444"/>
    <w:rsid w:val="00D86DD9"/>
    <w:rsid w:val="00D87A6E"/>
    <w:rsid w:val="00D94A7C"/>
    <w:rsid w:val="00D95896"/>
    <w:rsid w:val="00DA506C"/>
    <w:rsid w:val="00DB01F4"/>
    <w:rsid w:val="00DB2983"/>
    <w:rsid w:val="00DB309E"/>
    <w:rsid w:val="00DB59B3"/>
    <w:rsid w:val="00DB634D"/>
    <w:rsid w:val="00DB6526"/>
    <w:rsid w:val="00DB674F"/>
    <w:rsid w:val="00DC1257"/>
    <w:rsid w:val="00DC2978"/>
    <w:rsid w:val="00DC3DC0"/>
    <w:rsid w:val="00DC3DFF"/>
    <w:rsid w:val="00DC5B2B"/>
    <w:rsid w:val="00DC5B36"/>
    <w:rsid w:val="00DC7F7A"/>
    <w:rsid w:val="00DD033A"/>
    <w:rsid w:val="00DD318D"/>
    <w:rsid w:val="00DD32D0"/>
    <w:rsid w:val="00DE02CA"/>
    <w:rsid w:val="00DE0EC1"/>
    <w:rsid w:val="00DE27D6"/>
    <w:rsid w:val="00DE4352"/>
    <w:rsid w:val="00DE6425"/>
    <w:rsid w:val="00DF282B"/>
    <w:rsid w:val="00DF2E12"/>
    <w:rsid w:val="00DF514A"/>
    <w:rsid w:val="00DF65D7"/>
    <w:rsid w:val="00DF6690"/>
    <w:rsid w:val="00DF6804"/>
    <w:rsid w:val="00E0037D"/>
    <w:rsid w:val="00E01EC8"/>
    <w:rsid w:val="00E020AE"/>
    <w:rsid w:val="00E021E0"/>
    <w:rsid w:val="00E02BAE"/>
    <w:rsid w:val="00E0358D"/>
    <w:rsid w:val="00E042E3"/>
    <w:rsid w:val="00E04323"/>
    <w:rsid w:val="00E04B7E"/>
    <w:rsid w:val="00E070A2"/>
    <w:rsid w:val="00E14BE3"/>
    <w:rsid w:val="00E151A9"/>
    <w:rsid w:val="00E22419"/>
    <w:rsid w:val="00E22D65"/>
    <w:rsid w:val="00E25AB0"/>
    <w:rsid w:val="00E2656A"/>
    <w:rsid w:val="00E412D0"/>
    <w:rsid w:val="00E42310"/>
    <w:rsid w:val="00E434D2"/>
    <w:rsid w:val="00E47A3E"/>
    <w:rsid w:val="00E47C47"/>
    <w:rsid w:val="00E51D3A"/>
    <w:rsid w:val="00E53EBD"/>
    <w:rsid w:val="00E53FCD"/>
    <w:rsid w:val="00E54964"/>
    <w:rsid w:val="00E56322"/>
    <w:rsid w:val="00E60982"/>
    <w:rsid w:val="00E62C62"/>
    <w:rsid w:val="00E654C1"/>
    <w:rsid w:val="00E65832"/>
    <w:rsid w:val="00E65D97"/>
    <w:rsid w:val="00E66E16"/>
    <w:rsid w:val="00E71D38"/>
    <w:rsid w:val="00E71DB3"/>
    <w:rsid w:val="00E72A5A"/>
    <w:rsid w:val="00E73354"/>
    <w:rsid w:val="00E73D1C"/>
    <w:rsid w:val="00E762E6"/>
    <w:rsid w:val="00E9242D"/>
    <w:rsid w:val="00E96E27"/>
    <w:rsid w:val="00EA297C"/>
    <w:rsid w:val="00EA2CE2"/>
    <w:rsid w:val="00EB28D4"/>
    <w:rsid w:val="00EB3125"/>
    <w:rsid w:val="00EB4844"/>
    <w:rsid w:val="00EB5255"/>
    <w:rsid w:val="00EB5C47"/>
    <w:rsid w:val="00EC1958"/>
    <w:rsid w:val="00EC20A5"/>
    <w:rsid w:val="00EC31B1"/>
    <w:rsid w:val="00EC4056"/>
    <w:rsid w:val="00EC493C"/>
    <w:rsid w:val="00ED0639"/>
    <w:rsid w:val="00ED12D3"/>
    <w:rsid w:val="00ED1CB8"/>
    <w:rsid w:val="00ED4D10"/>
    <w:rsid w:val="00ED5698"/>
    <w:rsid w:val="00ED6E45"/>
    <w:rsid w:val="00EE42D3"/>
    <w:rsid w:val="00EE5FD3"/>
    <w:rsid w:val="00EF055F"/>
    <w:rsid w:val="00EF2907"/>
    <w:rsid w:val="00EF3555"/>
    <w:rsid w:val="00EF4755"/>
    <w:rsid w:val="00EF54FE"/>
    <w:rsid w:val="00EF57D8"/>
    <w:rsid w:val="00EF7135"/>
    <w:rsid w:val="00EF71DB"/>
    <w:rsid w:val="00F027DB"/>
    <w:rsid w:val="00F10CF2"/>
    <w:rsid w:val="00F14261"/>
    <w:rsid w:val="00F14A7A"/>
    <w:rsid w:val="00F15731"/>
    <w:rsid w:val="00F15FC7"/>
    <w:rsid w:val="00F21A69"/>
    <w:rsid w:val="00F22985"/>
    <w:rsid w:val="00F24406"/>
    <w:rsid w:val="00F25F6C"/>
    <w:rsid w:val="00F26790"/>
    <w:rsid w:val="00F3083C"/>
    <w:rsid w:val="00F3383E"/>
    <w:rsid w:val="00F35DDA"/>
    <w:rsid w:val="00F36491"/>
    <w:rsid w:val="00F40708"/>
    <w:rsid w:val="00F465A7"/>
    <w:rsid w:val="00F50B7C"/>
    <w:rsid w:val="00F52ADF"/>
    <w:rsid w:val="00F54E6D"/>
    <w:rsid w:val="00F550E6"/>
    <w:rsid w:val="00F6303B"/>
    <w:rsid w:val="00F679FE"/>
    <w:rsid w:val="00F67E71"/>
    <w:rsid w:val="00F70A8E"/>
    <w:rsid w:val="00F730F1"/>
    <w:rsid w:val="00F7370E"/>
    <w:rsid w:val="00F74345"/>
    <w:rsid w:val="00F74C6F"/>
    <w:rsid w:val="00F7534E"/>
    <w:rsid w:val="00F75827"/>
    <w:rsid w:val="00F809CF"/>
    <w:rsid w:val="00F80A0A"/>
    <w:rsid w:val="00F82B19"/>
    <w:rsid w:val="00F82F01"/>
    <w:rsid w:val="00F8305F"/>
    <w:rsid w:val="00F8585A"/>
    <w:rsid w:val="00F870E4"/>
    <w:rsid w:val="00F9212D"/>
    <w:rsid w:val="00F9487B"/>
    <w:rsid w:val="00F9513F"/>
    <w:rsid w:val="00F95488"/>
    <w:rsid w:val="00F965DA"/>
    <w:rsid w:val="00F96786"/>
    <w:rsid w:val="00F96957"/>
    <w:rsid w:val="00F97E1B"/>
    <w:rsid w:val="00FA3A9D"/>
    <w:rsid w:val="00FA406A"/>
    <w:rsid w:val="00FA470E"/>
    <w:rsid w:val="00FA6869"/>
    <w:rsid w:val="00FA780A"/>
    <w:rsid w:val="00FB503A"/>
    <w:rsid w:val="00FB516C"/>
    <w:rsid w:val="00FB51ED"/>
    <w:rsid w:val="00FC1B9A"/>
    <w:rsid w:val="00FC2C3A"/>
    <w:rsid w:val="00FC3F6B"/>
    <w:rsid w:val="00FD0236"/>
    <w:rsid w:val="00FD18F4"/>
    <w:rsid w:val="00FD33BE"/>
    <w:rsid w:val="00FD492D"/>
    <w:rsid w:val="00FD5212"/>
    <w:rsid w:val="00FD54DB"/>
    <w:rsid w:val="00FD619F"/>
    <w:rsid w:val="00FE0382"/>
    <w:rsid w:val="00FE1B10"/>
    <w:rsid w:val="00FE1FA5"/>
    <w:rsid w:val="00FE2CA8"/>
    <w:rsid w:val="00FE2F09"/>
    <w:rsid w:val="00FE679C"/>
    <w:rsid w:val="00FE740C"/>
    <w:rsid w:val="00FF2FCA"/>
    <w:rsid w:val="00FF33A8"/>
    <w:rsid w:val="00FF39B7"/>
    <w:rsid w:val="00FF4068"/>
    <w:rsid w:val="00FF4DD5"/>
    <w:rsid w:val="01290F7E"/>
    <w:rsid w:val="012D2A2A"/>
    <w:rsid w:val="0150576A"/>
    <w:rsid w:val="015D1E09"/>
    <w:rsid w:val="02697903"/>
    <w:rsid w:val="02A93B2F"/>
    <w:rsid w:val="02F96569"/>
    <w:rsid w:val="03144F12"/>
    <w:rsid w:val="0350168C"/>
    <w:rsid w:val="03EA7B21"/>
    <w:rsid w:val="03EB4B18"/>
    <w:rsid w:val="041673AC"/>
    <w:rsid w:val="04275CE4"/>
    <w:rsid w:val="044B5A13"/>
    <w:rsid w:val="04883E48"/>
    <w:rsid w:val="04A07544"/>
    <w:rsid w:val="04B62C72"/>
    <w:rsid w:val="04C3540B"/>
    <w:rsid w:val="04E616FC"/>
    <w:rsid w:val="05133111"/>
    <w:rsid w:val="05F83EAE"/>
    <w:rsid w:val="063E7D85"/>
    <w:rsid w:val="069F2421"/>
    <w:rsid w:val="0708572D"/>
    <w:rsid w:val="07293586"/>
    <w:rsid w:val="07295285"/>
    <w:rsid w:val="076334A9"/>
    <w:rsid w:val="07636392"/>
    <w:rsid w:val="07770C56"/>
    <w:rsid w:val="078D2B6C"/>
    <w:rsid w:val="08125054"/>
    <w:rsid w:val="081A528B"/>
    <w:rsid w:val="08310E91"/>
    <w:rsid w:val="08884694"/>
    <w:rsid w:val="092217DD"/>
    <w:rsid w:val="093A7294"/>
    <w:rsid w:val="09B91E5B"/>
    <w:rsid w:val="09D91B8A"/>
    <w:rsid w:val="09E63BFD"/>
    <w:rsid w:val="0A263993"/>
    <w:rsid w:val="0A2D3AC2"/>
    <w:rsid w:val="0A3E1B7E"/>
    <w:rsid w:val="0A491FAC"/>
    <w:rsid w:val="0A60368D"/>
    <w:rsid w:val="0AA755DF"/>
    <w:rsid w:val="0B120D44"/>
    <w:rsid w:val="0BAA5B77"/>
    <w:rsid w:val="0BB14DA8"/>
    <w:rsid w:val="0BD27BF6"/>
    <w:rsid w:val="0C0B13B7"/>
    <w:rsid w:val="0C3B3C7D"/>
    <w:rsid w:val="0C9A7529"/>
    <w:rsid w:val="0CAB2EAE"/>
    <w:rsid w:val="0CAD024B"/>
    <w:rsid w:val="0CE14EC2"/>
    <w:rsid w:val="0D000AE0"/>
    <w:rsid w:val="0D621C7D"/>
    <w:rsid w:val="0D752A99"/>
    <w:rsid w:val="0E55232D"/>
    <w:rsid w:val="0E5A1395"/>
    <w:rsid w:val="0E6321B2"/>
    <w:rsid w:val="0E73034D"/>
    <w:rsid w:val="0EA32032"/>
    <w:rsid w:val="0EFD76F2"/>
    <w:rsid w:val="0F13775A"/>
    <w:rsid w:val="0F225B97"/>
    <w:rsid w:val="0F573383"/>
    <w:rsid w:val="0F585CB3"/>
    <w:rsid w:val="0F5F45FE"/>
    <w:rsid w:val="0F77299F"/>
    <w:rsid w:val="0F7B4AA5"/>
    <w:rsid w:val="0F95746B"/>
    <w:rsid w:val="0F9A112B"/>
    <w:rsid w:val="10327341"/>
    <w:rsid w:val="104618C4"/>
    <w:rsid w:val="106D2F64"/>
    <w:rsid w:val="10926BE4"/>
    <w:rsid w:val="10B011A1"/>
    <w:rsid w:val="10B63710"/>
    <w:rsid w:val="10C76BB2"/>
    <w:rsid w:val="10F10820"/>
    <w:rsid w:val="1109528C"/>
    <w:rsid w:val="111C2F7A"/>
    <w:rsid w:val="11665CA1"/>
    <w:rsid w:val="116B7817"/>
    <w:rsid w:val="11757502"/>
    <w:rsid w:val="122C67AF"/>
    <w:rsid w:val="12E50BB3"/>
    <w:rsid w:val="13631AD8"/>
    <w:rsid w:val="1376509A"/>
    <w:rsid w:val="13951726"/>
    <w:rsid w:val="13B660AC"/>
    <w:rsid w:val="13F34F01"/>
    <w:rsid w:val="14396509"/>
    <w:rsid w:val="145722C0"/>
    <w:rsid w:val="14BA600C"/>
    <w:rsid w:val="14DD2C3C"/>
    <w:rsid w:val="14FA73A9"/>
    <w:rsid w:val="15B125CD"/>
    <w:rsid w:val="16087E1D"/>
    <w:rsid w:val="16910069"/>
    <w:rsid w:val="16FA3301"/>
    <w:rsid w:val="17654071"/>
    <w:rsid w:val="17701D14"/>
    <w:rsid w:val="17735226"/>
    <w:rsid w:val="18717F69"/>
    <w:rsid w:val="189F624C"/>
    <w:rsid w:val="18C20160"/>
    <w:rsid w:val="18CA0F93"/>
    <w:rsid w:val="18E226B4"/>
    <w:rsid w:val="19992209"/>
    <w:rsid w:val="19AA6313"/>
    <w:rsid w:val="19D41C1B"/>
    <w:rsid w:val="1A1C66C0"/>
    <w:rsid w:val="1A42393B"/>
    <w:rsid w:val="1AAD45DE"/>
    <w:rsid w:val="1B046F80"/>
    <w:rsid w:val="1B1825F6"/>
    <w:rsid w:val="1B1C0922"/>
    <w:rsid w:val="1B3267B5"/>
    <w:rsid w:val="1B40161D"/>
    <w:rsid w:val="1B441859"/>
    <w:rsid w:val="1B6606B1"/>
    <w:rsid w:val="1B860E42"/>
    <w:rsid w:val="1B862808"/>
    <w:rsid w:val="1B9F4FD4"/>
    <w:rsid w:val="1BA84A19"/>
    <w:rsid w:val="1C0A51E7"/>
    <w:rsid w:val="1C5E7925"/>
    <w:rsid w:val="1CB761B2"/>
    <w:rsid w:val="1CFD070F"/>
    <w:rsid w:val="1D0F1DF3"/>
    <w:rsid w:val="1D5F6196"/>
    <w:rsid w:val="1D6132A5"/>
    <w:rsid w:val="1D8E56D5"/>
    <w:rsid w:val="1DC27766"/>
    <w:rsid w:val="1DDD7D99"/>
    <w:rsid w:val="1E5E766A"/>
    <w:rsid w:val="1E7A43DA"/>
    <w:rsid w:val="1E7E36AB"/>
    <w:rsid w:val="1E900C2C"/>
    <w:rsid w:val="1F247CF9"/>
    <w:rsid w:val="1FE16E37"/>
    <w:rsid w:val="1FE7539E"/>
    <w:rsid w:val="1FEA2A6F"/>
    <w:rsid w:val="2001351B"/>
    <w:rsid w:val="2046754D"/>
    <w:rsid w:val="20671BE0"/>
    <w:rsid w:val="20963CB8"/>
    <w:rsid w:val="209A66E1"/>
    <w:rsid w:val="20A4696D"/>
    <w:rsid w:val="20A81A1B"/>
    <w:rsid w:val="20B07FB6"/>
    <w:rsid w:val="20B646FB"/>
    <w:rsid w:val="20FF70FF"/>
    <w:rsid w:val="211F197D"/>
    <w:rsid w:val="213B74B1"/>
    <w:rsid w:val="215A2310"/>
    <w:rsid w:val="2161556B"/>
    <w:rsid w:val="216C7BE6"/>
    <w:rsid w:val="21D27FE9"/>
    <w:rsid w:val="21DE318A"/>
    <w:rsid w:val="21EF5B80"/>
    <w:rsid w:val="2201708C"/>
    <w:rsid w:val="220D5C32"/>
    <w:rsid w:val="224F1BA5"/>
    <w:rsid w:val="22576990"/>
    <w:rsid w:val="22A03D3F"/>
    <w:rsid w:val="22AC1FCB"/>
    <w:rsid w:val="22C96B94"/>
    <w:rsid w:val="22F47480"/>
    <w:rsid w:val="23BD5497"/>
    <w:rsid w:val="23C50D2A"/>
    <w:rsid w:val="23DE1C48"/>
    <w:rsid w:val="240210CD"/>
    <w:rsid w:val="246765FC"/>
    <w:rsid w:val="24BF09F7"/>
    <w:rsid w:val="24D20223"/>
    <w:rsid w:val="252D53FE"/>
    <w:rsid w:val="254E4396"/>
    <w:rsid w:val="25BC4129"/>
    <w:rsid w:val="25D010D8"/>
    <w:rsid w:val="25EC2D81"/>
    <w:rsid w:val="26406ACF"/>
    <w:rsid w:val="269B60B2"/>
    <w:rsid w:val="273C35D0"/>
    <w:rsid w:val="275D221F"/>
    <w:rsid w:val="277057A2"/>
    <w:rsid w:val="27766813"/>
    <w:rsid w:val="27D77F60"/>
    <w:rsid w:val="283B207E"/>
    <w:rsid w:val="286B1BB5"/>
    <w:rsid w:val="2885352B"/>
    <w:rsid w:val="28BC00F7"/>
    <w:rsid w:val="28D0457F"/>
    <w:rsid w:val="28F463CD"/>
    <w:rsid w:val="29206EB8"/>
    <w:rsid w:val="29595666"/>
    <w:rsid w:val="297974EE"/>
    <w:rsid w:val="297D72A0"/>
    <w:rsid w:val="29874881"/>
    <w:rsid w:val="29E325E0"/>
    <w:rsid w:val="29F97C5F"/>
    <w:rsid w:val="2A452503"/>
    <w:rsid w:val="2A45762F"/>
    <w:rsid w:val="2A5F094B"/>
    <w:rsid w:val="2AC10D1E"/>
    <w:rsid w:val="2B146082"/>
    <w:rsid w:val="2B265FFB"/>
    <w:rsid w:val="2BA936A8"/>
    <w:rsid w:val="2C1D3897"/>
    <w:rsid w:val="2C315A5A"/>
    <w:rsid w:val="2C4B1C25"/>
    <w:rsid w:val="2CC55DD5"/>
    <w:rsid w:val="2D2F6CBA"/>
    <w:rsid w:val="2D6C6E43"/>
    <w:rsid w:val="2D9E56F5"/>
    <w:rsid w:val="2DBD1075"/>
    <w:rsid w:val="2DC94839"/>
    <w:rsid w:val="2DFD1E2C"/>
    <w:rsid w:val="2E667F96"/>
    <w:rsid w:val="2E8226AB"/>
    <w:rsid w:val="2EFF4E4D"/>
    <w:rsid w:val="2FD065E6"/>
    <w:rsid w:val="2FD96870"/>
    <w:rsid w:val="30580BC9"/>
    <w:rsid w:val="30A423FB"/>
    <w:rsid w:val="30E31880"/>
    <w:rsid w:val="311E2ED7"/>
    <w:rsid w:val="315619EE"/>
    <w:rsid w:val="315C449C"/>
    <w:rsid w:val="31B82709"/>
    <w:rsid w:val="31D05482"/>
    <w:rsid w:val="31E5313B"/>
    <w:rsid w:val="321159DF"/>
    <w:rsid w:val="32400B34"/>
    <w:rsid w:val="329464F9"/>
    <w:rsid w:val="329E6876"/>
    <w:rsid w:val="32AC69A4"/>
    <w:rsid w:val="333015F2"/>
    <w:rsid w:val="334B6320"/>
    <w:rsid w:val="33635DA1"/>
    <w:rsid w:val="33D77BDB"/>
    <w:rsid w:val="33D934D4"/>
    <w:rsid w:val="33FE2F6A"/>
    <w:rsid w:val="340E07E5"/>
    <w:rsid w:val="34235BF7"/>
    <w:rsid w:val="34926C13"/>
    <w:rsid w:val="3506666C"/>
    <w:rsid w:val="35681FE9"/>
    <w:rsid w:val="358C5FA8"/>
    <w:rsid w:val="35AD4F53"/>
    <w:rsid w:val="35C15DF1"/>
    <w:rsid w:val="35E4182E"/>
    <w:rsid w:val="35EB3E55"/>
    <w:rsid w:val="36074A7F"/>
    <w:rsid w:val="365C7C0E"/>
    <w:rsid w:val="36923549"/>
    <w:rsid w:val="36B75FBF"/>
    <w:rsid w:val="36BD0C45"/>
    <w:rsid w:val="378533C6"/>
    <w:rsid w:val="37B96AF9"/>
    <w:rsid w:val="37E00298"/>
    <w:rsid w:val="38212B86"/>
    <w:rsid w:val="38B302F9"/>
    <w:rsid w:val="38E224AE"/>
    <w:rsid w:val="38F12CD3"/>
    <w:rsid w:val="38F94775"/>
    <w:rsid w:val="392971ED"/>
    <w:rsid w:val="39325651"/>
    <w:rsid w:val="39F56939"/>
    <w:rsid w:val="39F91761"/>
    <w:rsid w:val="39FA7D2B"/>
    <w:rsid w:val="3A273DAB"/>
    <w:rsid w:val="3A872856"/>
    <w:rsid w:val="3AAF56B5"/>
    <w:rsid w:val="3AB75076"/>
    <w:rsid w:val="3B3763D1"/>
    <w:rsid w:val="3B563BA8"/>
    <w:rsid w:val="3B626CC4"/>
    <w:rsid w:val="3C2F6E1E"/>
    <w:rsid w:val="3C4F64BA"/>
    <w:rsid w:val="3C614F2B"/>
    <w:rsid w:val="3C6A020C"/>
    <w:rsid w:val="3CB6466C"/>
    <w:rsid w:val="3CDA245A"/>
    <w:rsid w:val="3CEA28CC"/>
    <w:rsid w:val="3D1E06B7"/>
    <w:rsid w:val="3E2674B5"/>
    <w:rsid w:val="3E646581"/>
    <w:rsid w:val="3E806DD1"/>
    <w:rsid w:val="3EDA0523"/>
    <w:rsid w:val="3FF54D77"/>
    <w:rsid w:val="407A6407"/>
    <w:rsid w:val="40821BE4"/>
    <w:rsid w:val="40ED0C87"/>
    <w:rsid w:val="40FF5BB5"/>
    <w:rsid w:val="41332ABD"/>
    <w:rsid w:val="41662416"/>
    <w:rsid w:val="41B9630E"/>
    <w:rsid w:val="41F73F72"/>
    <w:rsid w:val="4200449D"/>
    <w:rsid w:val="42270CEC"/>
    <w:rsid w:val="423A3BCC"/>
    <w:rsid w:val="424E57D2"/>
    <w:rsid w:val="4269756B"/>
    <w:rsid w:val="426E3AE8"/>
    <w:rsid w:val="42755FD2"/>
    <w:rsid w:val="42B26C49"/>
    <w:rsid w:val="432A01C1"/>
    <w:rsid w:val="433A6FE6"/>
    <w:rsid w:val="43480868"/>
    <w:rsid w:val="4350713C"/>
    <w:rsid w:val="43656B79"/>
    <w:rsid w:val="436653E0"/>
    <w:rsid w:val="43920B33"/>
    <w:rsid w:val="43C4431A"/>
    <w:rsid w:val="446172CD"/>
    <w:rsid w:val="44AC6468"/>
    <w:rsid w:val="44B951CC"/>
    <w:rsid w:val="44CD14E0"/>
    <w:rsid w:val="44F20B0B"/>
    <w:rsid w:val="452E5F4C"/>
    <w:rsid w:val="45612018"/>
    <w:rsid w:val="458946E9"/>
    <w:rsid w:val="45A47C0E"/>
    <w:rsid w:val="45DC7BC1"/>
    <w:rsid w:val="46577FD6"/>
    <w:rsid w:val="469736C4"/>
    <w:rsid w:val="469C05C0"/>
    <w:rsid w:val="46D955A7"/>
    <w:rsid w:val="46E87AAC"/>
    <w:rsid w:val="47032078"/>
    <w:rsid w:val="4707615E"/>
    <w:rsid w:val="47133957"/>
    <w:rsid w:val="47632DE6"/>
    <w:rsid w:val="47A07E0C"/>
    <w:rsid w:val="481C620A"/>
    <w:rsid w:val="483B778E"/>
    <w:rsid w:val="484726B8"/>
    <w:rsid w:val="4870272E"/>
    <w:rsid w:val="490E0416"/>
    <w:rsid w:val="49221512"/>
    <w:rsid w:val="49DC7715"/>
    <w:rsid w:val="4A023139"/>
    <w:rsid w:val="4A520A07"/>
    <w:rsid w:val="4A7B576F"/>
    <w:rsid w:val="4A9F0092"/>
    <w:rsid w:val="4AC60109"/>
    <w:rsid w:val="4AF2320F"/>
    <w:rsid w:val="4AF561A9"/>
    <w:rsid w:val="4B217660"/>
    <w:rsid w:val="4B2F7AAF"/>
    <w:rsid w:val="4B431B7A"/>
    <w:rsid w:val="4B495A58"/>
    <w:rsid w:val="4BC724F8"/>
    <w:rsid w:val="4C485734"/>
    <w:rsid w:val="4C4A0649"/>
    <w:rsid w:val="4C7E5ECA"/>
    <w:rsid w:val="4C876AA5"/>
    <w:rsid w:val="4CA6320E"/>
    <w:rsid w:val="4CD314A1"/>
    <w:rsid w:val="4D0C0810"/>
    <w:rsid w:val="4D0E00FB"/>
    <w:rsid w:val="4D1350D4"/>
    <w:rsid w:val="4D176606"/>
    <w:rsid w:val="4D59036B"/>
    <w:rsid w:val="4DEC4FB0"/>
    <w:rsid w:val="4E075D8A"/>
    <w:rsid w:val="4E483DF6"/>
    <w:rsid w:val="4E781CA4"/>
    <w:rsid w:val="4EC00FAD"/>
    <w:rsid w:val="4F451F5D"/>
    <w:rsid w:val="4F9843DC"/>
    <w:rsid w:val="4FAF668E"/>
    <w:rsid w:val="4FC62A8C"/>
    <w:rsid w:val="4FE20F0D"/>
    <w:rsid w:val="4FE51552"/>
    <w:rsid w:val="50243DC2"/>
    <w:rsid w:val="50504C4B"/>
    <w:rsid w:val="50693B44"/>
    <w:rsid w:val="5076627F"/>
    <w:rsid w:val="509C6E7C"/>
    <w:rsid w:val="50A17FF1"/>
    <w:rsid w:val="50AA6921"/>
    <w:rsid w:val="50C76EAB"/>
    <w:rsid w:val="50CA3310"/>
    <w:rsid w:val="50E40203"/>
    <w:rsid w:val="515B2080"/>
    <w:rsid w:val="5162104E"/>
    <w:rsid w:val="519A261A"/>
    <w:rsid w:val="52023E49"/>
    <w:rsid w:val="5223111D"/>
    <w:rsid w:val="522400A9"/>
    <w:rsid w:val="523E7C1D"/>
    <w:rsid w:val="528E37DC"/>
    <w:rsid w:val="53583FD3"/>
    <w:rsid w:val="53A039CC"/>
    <w:rsid w:val="53A1505A"/>
    <w:rsid w:val="53B56E1C"/>
    <w:rsid w:val="54063E08"/>
    <w:rsid w:val="543437E8"/>
    <w:rsid w:val="5442778C"/>
    <w:rsid w:val="54A749AC"/>
    <w:rsid w:val="54E21058"/>
    <w:rsid w:val="54F00EA3"/>
    <w:rsid w:val="54F73313"/>
    <w:rsid w:val="54F80955"/>
    <w:rsid w:val="555170A7"/>
    <w:rsid w:val="5587536D"/>
    <w:rsid w:val="559B174B"/>
    <w:rsid w:val="55CE0CF4"/>
    <w:rsid w:val="55CE7EBE"/>
    <w:rsid w:val="55E9004B"/>
    <w:rsid w:val="562224A8"/>
    <w:rsid w:val="56300A26"/>
    <w:rsid w:val="56B22A9C"/>
    <w:rsid w:val="572F215E"/>
    <w:rsid w:val="57AF00A0"/>
    <w:rsid w:val="57B72A76"/>
    <w:rsid w:val="57C3426C"/>
    <w:rsid w:val="57CE1F93"/>
    <w:rsid w:val="58386F93"/>
    <w:rsid w:val="584E7DB8"/>
    <w:rsid w:val="588743D1"/>
    <w:rsid w:val="5887701A"/>
    <w:rsid w:val="589065D8"/>
    <w:rsid w:val="58CB3A2F"/>
    <w:rsid w:val="594C2BCF"/>
    <w:rsid w:val="59A234BF"/>
    <w:rsid w:val="59C0439F"/>
    <w:rsid w:val="5A1F3524"/>
    <w:rsid w:val="5A7A2181"/>
    <w:rsid w:val="5ABE2233"/>
    <w:rsid w:val="5B8C61D5"/>
    <w:rsid w:val="5BA64E35"/>
    <w:rsid w:val="5BAE57EB"/>
    <w:rsid w:val="5BC07A19"/>
    <w:rsid w:val="5BDF5D95"/>
    <w:rsid w:val="5BFE7528"/>
    <w:rsid w:val="5C2D5E56"/>
    <w:rsid w:val="5CA93FCD"/>
    <w:rsid w:val="5CCA2BCC"/>
    <w:rsid w:val="5DEE1A0E"/>
    <w:rsid w:val="5E0652C3"/>
    <w:rsid w:val="5E2467F1"/>
    <w:rsid w:val="5E273154"/>
    <w:rsid w:val="5E3700ED"/>
    <w:rsid w:val="5F1A2B43"/>
    <w:rsid w:val="5F3245FF"/>
    <w:rsid w:val="5F5A1152"/>
    <w:rsid w:val="5FB61D20"/>
    <w:rsid w:val="5FB837BB"/>
    <w:rsid w:val="5FE91459"/>
    <w:rsid w:val="60533491"/>
    <w:rsid w:val="60630DE6"/>
    <w:rsid w:val="60CC405A"/>
    <w:rsid w:val="6138446C"/>
    <w:rsid w:val="61D23532"/>
    <w:rsid w:val="61DB6B32"/>
    <w:rsid w:val="61E215D8"/>
    <w:rsid w:val="621B3775"/>
    <w:rsid w:val="62364782"/>
    <w:rsid w:val="62890B0B"/>
    <w:rsid w:val="629E7A04"/>
    <w:rsid w:val="629F6FB6"/>
    <w:rsid w:val="62AC6566"/>
    <w:rsid w:val="62B15989"/>
    <w:rsid w:val="630D7B05"/>
    <w:rsid w:val="635E29CD"/>
    <w:rsid w:val="6389364A"/>
    <w:rsid w:val="6394356A"/>
    <w:rsid w:val="63C61B2C"/>
    <w:rsid w:val="63D40BE9"/>
    <w:rsid w:val="64102431"/>
    <w:rsid w:val="643418BF"/>
    <w:rsid w:val="6439070D"/>
    <w:rsid w:val="643A3DB8"/>
    <w:rsid w:val="645910F4"/>
    <w:rsid w:val="645B5FD7"/>
    <w:rsid w:val="64A5243A"/>
    <w:rsid w:val="64F531DE"/>
    <w:rsid w:val="65373578"/>
    <w:rsid w:val="65A75ABB"/>
    <w:rsid w:val="65D7623F"/>
    <w:rsid w:val="65F84E82"/>
    <w:rsid w:val="670D46E1"/>
    <w:rsid w:val="671F124A"/>
    <w:rsid w:val="677A33C6"/>
    <w:rsid w:val="67A61335"/>
    <w:rsid w:val="681F6961"/>
    <w:rsid w:val="68610A2F"/>
    <w:rsid w:val="68712FA8"/>
    <w:rsid w:val="68805514"/>
    <w:rsid w:val="68B44968"/>
    <w:rsid w:val="69316E2F"/>
    <w:rsid w:val="694E2071"/>
    <w:rsid w:val="695F3822"/>
    <w:rsid w:val="6964112D"/>
    <w:rsid w:val="69766163"/>
    <w:rsid w:val="697A3B33"/>
    <w:rsid w:val="69D44760"/>
    <w:rsid w:val="6A1C4030"/>
    <w:rsid w:val="6A46768E"/>
    <w:rsid w:val="6A520EC7"/>
    <w:rsid w:val="6A726B41"/>
    <w:rsid w:val="6AF87E20"/>
    <w:rsid w:val="6B2B0324"/>
    <w:rsid w:val="6B322639"/>
    <w:rsid w:val="6BCE2E4D"/>
    <w:rsid w:val="6C636C38"/>
    <w:rsid w:val="6C65205B"/>
    <w:rsid w:val="6C934F86"/>
    <w:rsid w:val="6CBA721A"/>
    <w:rsid w:val="6DB34098"/>
    <w:rsid w:val="6DB545B6"/>
    <w:rsid w:val="6DE02FB4"/>
    <w:rsid w:val="6DE84C7F"/>
    <w:rsid w:val="6E514CED"/>
    <w:rsid w:val="6EA44932"/>
    <w:rsid w:val="6EB563D5"/>
    <w:rsid w:val="6EC12E29"/>
    <w:rsid w:val="6ED92677"/>
    <w:rsid w:val="6F055FB3"/>
    <w:rsid w:val="6F225983"/>
    <w:rsid w:val="6F323C88"/>
    <w:rsid w:val="6FDB0577"/>
    <w:rsid w:val="6FFC5590"/>
    <w:rsid w:val="700953A5"/>
    <w:rsid w:val="705D39B8"/>
    <w:rsid w:val="706D1DD0"/>
    <w:rsid w:val="70856B87"/>
    <w:rsid w:val="70A35689"/>
    <w:rsid w:val="70D527EE"/>
    <w:rsid w:val="7103290C"/>
    <w:rsid w:val="712F5E96"/>
    <w:rsid w:val="71327C95"/>
    <w:rsid w:val="713B5B7B"/>
    <w:rsid w:val="715B5300"/>
    <w:rsid w:val="71B561D8"/>
    <w:rsid w:val="71D27F8A"/>
    <w:rsid w:val="720D4B64"/>
    <w:rsid w:val="72553024"/>
    <w:rsid w:val="725B07ED"/>
    <w:rsid w:val="727B545A"/>
    <w:rsid w:val="73122968"/>
    <w:rsid w:val="73126768"/>
    <w:rsid w:val="731F5D5E"/>
    <w:rsid w:val="73B74C9B"/>
    <w:rsid w:val="73C51AD5"/>
    <w:rsid w:val="73E443E6"/>
    <w:rsid w:val="73FB5021"/>
    <w:rsid w:val="740C66F7"/>
    <w:rsid w:val="741E793C"/>
    <w:rsid w:val="745E3944"/>
    <w:rsid w:val="749432B8"/>
    <w:rsid w:val="74D476E4"/>
    <w:rsid w:val="752779A3"/>
    <w:rsid w:val="7635099D"/>
    <w:rsid w:val="76423C8A"/>
    <w:rsid w:val="76B9143D"/>
    <w:rsid w:val="770800AD"/>
    <w:rsid w:val="774A73FA"/>
    <w:rsid w:val="77633904"/>
    <w:rsid w:val="77762421"/>
    <w:rsid w:val="77B56B1F"/>
    <w:rsid w:val="77D0645A"/>
    <w:rsid w:val="780F09F4"/>
    <w:rsid w:val="78122AD0"/>
    <w:rsid w:val="78533453"/>
    <w:rsid w:val="78867C55"/>
    <w:rsid w:val="78997A19"/>
    <w:rsid w:val="78A90480"/>
    <w:rsid w:val="790032BC"/>
    <w:rsid w:val="7A364017"/>
    <w:rsid w:val="7A8265E1"/>
    <w:rsid w:val="7A8846FC"/>
    <w:rsid w:val="7A8E6B48"/>
    <w:rsid w:val="7B686D42"/>
    <w:rsid w:val="7B841746"/>
    <w:rsid w:val="7BCC2C40"/>
    <w:rsid w:val="7C6C5AC7"/>
    <w:rsid w:val="7CC6544B"/>
    <w:rsid w:val="7D0239FF"/>
    <w:rsid w:val="7D1A68B3"/>
    <w:rsid w:val="7D302E5A"/>
    <w:rsid w:val="7D31799A"/>
    <w:rsid w:val="7D3D6B05"/>
    <w:rsid w:val="7D5E40CD"/>
    <w:rsid w:val="7D644029"/>
    <w:rsid w:val="7DCD56F2"/>
    <w:rsid w:val="7E326B90"/>
    <w:rsid w:val="7E510931"/>
    <w:rsid w:val="7E5A73CA"/>
    <w:rsid w:val="7F001CE7"/>
    <w:rsid w:val="7F1C02DC"/>
    <w:rsid w:val="7F3B240A"/>
    <w:rsid w:val="7F6404F2"/>
    <w:rsid w:val="7F64745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qFormat/>
    <w:locked/>
    <w:uiPriority w:val="9"/>
    <w:pPr>
      <w:keepNext/>
      <w:keepLines/>
      <w:spacing w:line="360" w:lineRule="auto"/>
      <w:outlineLvl w:val="1"/>
    </w:pPr>
    <w:rPr>
      <w:b/>
      <w:bCs/>
      <w:sz w:val="32"/>
      <w:szCs w:val="30"/>
    </w:rPr>
  </w:style>
  <w:style w:type="paragraph" w:styleId="5">
    <w:name w:val="heading 3"/>
    <w:basedOn w:val="1"/>
    <w:next w:val="1"/>
    <w:qFormat/>
    <w:locked/>
    <w:uiPriority w:val="0"/>
    <w:pPr>
      <w:keepNext/>
      <w:keepLines/>
      <w:spacing w:line="360" w:lineRule="auto"/>
      <w:outlineLvl w:val="2"/>
    </w:pPr>
    <w:rPr>
      <w:b/>
      <w:sz w:val="30"/>
      <w:szCs w:val="30"/>
    </w:rPr>
  </w:style>
  <w:style w:type="paragraph" w:styleId="6">
    <w:name w:val="heading 4"/>
    <w:basedOn w:val="1"/>
    <w:next w:val="1"/>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unhideWhenUsed/>
    <w:qFormat/>
    <w:locked/>
    <w:uiPriority w:val="9"/>
    <w:pPr>
      <w:keepNext/>
      <w:keepLines/>
      <w:spacing w:before="280" w:after="290" w:line="376" w:lineRule="auto"/>
      <w:outlineLvl w:val="4"/>
    </w:pPr>
    <w:rPr>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4">
    <w:name w:val="报告表正文"/>
    <w:basedOn w:val="1"/>
    <w:qFormat/>
    <w:uiPriority w:val="0"/>
    <w:pPr>
      <w:widowControl w:val="0"/>
      <w:jc w:val="both"/>
    </w:pPr>
  </w:style>
  <w:style w:type="paragraph" w:styleId="8">
    <w:name w:val="Note Heading"/>
    <w:basedOn w:val="1"/>
    <w:next w:val="1"/>
    <w:qFormat/>
    <w:locked/>
    <w:uiPriority w:val="0"/>
    <w:pPr>
      <w:jc w:val="center"/>
    </w:pPr>
  </w:style>
  <w:style w:type="paragraph" w:styleId="9">
    <w:name w:val="E-mail Signature"/>
    <w:basedOn w:val="1"/>
    <w:next w:val="10"/>
    <w:unhideWhenUsed/>
    <w:qFormat/>
    <w:locked/>
    <w:uiPriority w:val="99"/>
    <w:pPr>
      <w:widowControl w:val="0"/>
      <w:spacing w:line="460" w:lineRule="exact"/>
      <w:ind w:firstLine="200"/>
      <w:jc w:val="both"/>
    </w:pPr>
    <w:rPr>
      <w:rFonts w:ascii="Times New Roman" w:hAnsi="Times New Roman" w:eastAsia="宋体" w:cs="Times New Roman"/>
      <w:kern w:val="2"/>
      <w:sz w:val="21"/>
      <w:szCs w:val="144"/>
      <w:lang w:val="en-US" w:eastAsia="zh-CN" w:bidi="ar-SA"/>
    </w:rPr>
  </w:style>
  <w:style w:type="paragraph" w:customStyle="1" w:styleId="10">
    <w:name w:val="文章"/>
    <w:next w:val="11"/>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1">
    <w:name w:val="List"/>
    <w:basedOn w:val="1"/>
    <w:next w:val="1"/>
    <w:qFormat/>
    <w:locked/>
    <w:uiPriority w:val="0"/>
    <w:pPr>
      <w:widowControl w:val="0"/>
      <w:ind w:left="200" w:hanging="200" w:hangingChars="200"/>
      <w:jc w:val="both"/>
    </w:pPr>
    <w:rPr>
      <w:rFonts w:ascii="Calibri" w:hAnsi="Calibri" w:eastAsia="宋体" w:cs="Times New Roman"/>
      <w:kern w:val="2"/>
      <w:sz w:val="24"/>
      <w:szCs w:val="144"/>
      <w:lang w:val="en-US" w:eastAsia="zh-CN" w:bidi="ar-SA"/>
    </w:rPr>
  </w:style>
  <w:style w:type="paragraph" w:styleId="12">
    <w:name w:val="Normal Indent"/>
    <w:basedOn w:val="1"/>
    <w:link w:val="40"/>
    <w:qFormat/>
    <w:locked/>
    <w:uiPriority w:val="0"/>
    <w:pPr>
      <w:spacing w:beforeLines="50"/>
      <w:jc w:val="center"/>
    </w:pPr>
    <w:rPr>
      <w:rFonts w:ascii="黑体" w:eastAsia="黑体"/>
      <w:sz w:val="24"/>
      <w:szCs w:val="20"/>
    </w:rPr>
  </w:style>
  <w:style w:type="paragraph" w:styleId="13">
    <w:name w:val="Document Map"/>
    <w:basedOn w:val="1"/>
    <w:link w:val="41"/>
    <w:qFormat/>
    <w:locked/>
    <w:uiPriority w:val="0"/>
    <w:rPr>
      <w:rFonts w:ascii="宋体"/>
      <w:sz w:val="18"/>
      <w:szCs w:val="18"/>
    </w:rPr>
  </w:style>
  <w:style w:type="paragraph" w:styleId="14">
    <w:name w:val="annotation text"/>
    <w:basedOn w:val="1"/>
    <w:link w:val="42"/>
    <w:semiHidden/>
    <w:qFormat/>
    <w:uiPriority w:val="0"/>
    <w:pPr>
      <w:jc w:val="left"/>
    </w:pPr>
    <w:rPr>
      <w:kern w:val="0"/>
      <w:sz w:val="24"/>
      <w:szCs w:val="20"/>
    </w:rPr>
  </w:style>
  <w:style w:type="paragraph" w:styleId="15">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6">
    <w:name w:val="Body Text"/>
    <w:basedOn w:val="1"/>
    <w:next w:val="1"/>
    <w:link w:val="43"/>
    <w:qFormat/>
    <w:uiPriority w:val="0"/>
    <w:pPr>
      <w:widowControl/>
      <w:spacing w:before="60" w:after="160" w:line="259" w:lineRule="auto"/>
      <w:ind w:right="113"/>
    </w:pPr>
    <w:rPr>
      <w:kern w:val="0"/>
      <w:sz w:val="18"/>
      <w:szCs w:val="20"/>
    </w:rPr>
  </w:style>
  <w:style w:type="paragraph" w:styleId="17">
    <w:name w:val="Body Text Indent"/>
    <w:basedOn w:val="1"/>
    <w:next w:val="1"/>
    <w:link w:val="44"/>
    <w:qFormat/>
    <w:uiPriority w:val="0"/>
    <w:pPr>
      <w:spacing w:after="120"/>
      <w:ind w:left="420" w:leftChars="200"/>
    </w:pPr>
    <w:rPr>
      <w:kern w:val="0"/>
      <w:sz w:val="24"/>
      <w:szCs w:val="20"/>
    </w:rPr>
  </w:style>
  <w:style w:type="paragraph" w:styleId="18">
    <w:name w:val="Block Text"/>
    <w:basedOn w:val="1"/>
    <w:qFormat/>
    <w:locked/>
    <w:uiPriority w:val="0"/>
    <w:pPr>
      <w:adjustRightInd/>
      <w:snapToGrid/>
      <w:spacing w:line="440" w:lineRule="exact"/>
      <w:ind w:left="113" w:right="113" w:firstLine="567"/>
    </w:pPr>
    <w:rPr>
      <w:rFonts w:ascii="仿宋_GB2312" w:eastAsia="仿宋_GB2312"/>
      <w:sz w:val="28"/>
    </w:rPr>
  </w:style>
  <w:style w:type="paragraph" w:styleId="19">
    <w:name w:val="Plain Text"/>
    <w:basedOn w:val="1"/>
    <w:next w:val="20"/>
    <w:link w:val="45"/>
    <w:qFormat/>
    <w:locked/>
    <w:uiPriority w:val="0"/>
    <w:pPr>
      <w:spacing w:line="240" w:lineRule="exact"/>
      <w:jc w:val="center"/>
    </w:pPr>
    <w:rPr>
      <w:rFonts w:ascii="宋体" w:hAnsi="Courier New"/>
      <w:szCs w:val="20"/>
    </w:rPr>
  </w:style>
  <w:style w:type="paragraph" w:customStyle="1" w:styleId="20">
    <w:name w:val="Default"/>
    <w:basedOn w:val="21"/>
    <w:next w:val="22"/>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paragraph" w:customStyle="1" w:styleId="21">
    <w:name w:val="纯文本1"/>
    <w:basedOn w:val="1"/>
    <w:qFormat/>
    <w:uiPriority w:val="0"/>
    <w:pPr>
      <w:adjustRightInd w:val="0"/>
    </w:pPr>
    <w:rPr>
      <w:rFonts w:ascii="宋体" w:hAnsi="Courier New"/>
    </w:rPr>
  </w:style>
  <w:style w:type="paragraph" w:customStyle="1" w:styleId="22">
    <w:name w:val="样式35"/>
    <w:next w:val="23"/>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23">
    <w:name w:val="font6"/>
    <w:next w:val="24"/>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styleId="24">
    <w:name w:val="toc 2"/>
    <w:basedOn w:val="1"/>
    <w:next w:val="9"/>
    <w:qFormat/>
    <w:locked/>
    <w:uiPriority w:val="0"/>
    <w:pPr>
      <w:widowControl w:val="0"/>
      <w:tabs>
        <w:tab w:val="right" w:leader="dot" w:pos="9060"/>
      </w:tabs>
      <w:spacing w:line="360" w:lineRule="auto"/>
      <w:ind w:left="420" w:leftChars="200"/>
      <w:jc w:val="both"/>
    </w:pPr>
    <w:rPr>
      <w:rFonts w:ascii="Calibri" w:hAnsi="Calibri" w:eastAsia="宋体" w:cs="Times New Roman"/>
      <w:kern w:val="2"/>
      <w:sz w:val="21"/>
      <w:szCs w:val="144"/>
      <w:lang w:val="en-US" w:eastAsia="zh-CN" w:bidi="ar-SA"/>
    </w:rPr>
  </w:style>
  <w:style w:type="paragraph" w:styleId="25">
    <w:name w:val="Date"/>
    <w:basedOn w:val="1"/>
    <w:next w:val="1"/>
    <w:link w:val="46"/>
    <w:qFormat/>
    <w:uiPriority w:val="0"/>
    <w:pPr>
      <w:ind w:left="100" w:leftChars="2500"/>
    </w:pPr>
    <w:rPr>
      <w:kern w:val="0"/>
      <w:sz w:val="24"/>
      <w:szCs w:val="20"/>
    </w:rPr>
  </w:style>
  <w:style w:type="paragraph" w:styleId="26">
    <w:name w:val="Balloon Text"/>
    <w:basedOn w:val="1"/>
    <w:link w:val="47"/>
    <w:semiHidden/>
    <w:qFormat/>
    <w:uiPriority w:val="0"/>
    <w:rPr>
      <w:kern w:val="0"/>
      <w:sz w:val="18"/>
      <w:szCs w:val="20"/>
    </w:rPr>
  </w:style>
  <w:style w:type="paragraph" w:styleId="27">
    <w:name w:val="footer"/>
    <w:basedOn w:val="1"/>
    <w:link w:val="48"/>
    <w:qFormat/>
    <w:uiPriority w:val="99"/>
    <w:pPr>
      <w:tabs>
        <w:tab w:val="center" w:pos="4153"/>
        <w:tab w:val="right" w:pos="8306"/>
      </w:tabs>
      <w:jc w:val="left"/>
    </w:pPr>
    <w:rPr>
      <w:kern w:val="0"/>
      <w:sz w:val="18"/>
      <w:szCs w:val="20"/>
    </w:rPr>
  </w:style>
  <w:style w:type="paragraph" w:styleId="28">
    <w:name w:val="header"/>
    <w:basedOn w:val="1"/>
    <w:link w:val="49"/>
    <w:qFormat/>
    <w:uiPriority w:val="0"/>
    <w:pPr>
      <w:pBdr>
        <w:bottom w:val="single" w:color="auto" w:sz="6" w:space="1"/>
      </w:pBdr>
      <w:tabs>
        <w:tab w:val="center" w:pos="4153"/>
        <w:tab w:val="right" w:pos="8306"/>
      </w:tabs>
      <w:jc w:val="center"/>
    </w:pPr>
    <w:rPr>
      <w:kern w:val="0"/>
      <w:sz w:val="18"/>
      <w:szCs w:val="20"/>
    </w:rPr>
  </w:style>
  <w:style w:type="paragraph" w:styleId="29">
    <w:name w:val="toc 1"/>
    <w:basedOn w:val="1"/>
    <w:next w:val="1"/>
    <w:unhideWhenUsed/>
    <w:qFormat/>
    <w:locked/>
    <w:uiPriority w:val="39"/>
  </w:style>
  <w:style w:type="paragraph" w:styleId="30">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link w:val="51"/>
    <w:qFormat/>
    <w:locked/>
    <w:uiPriority w:val="0"/>
    <w:pPr>
      <w:adjustRightInd/>
      <w:snapToGrid/>
      <w:spacing w:before="240" w:after="60" w:line="360" w:lineRule="auto"/>
      <w:ind w:firstLine="200" w:firstLineChars="200"/>
      <w:jc w:val="center"/>
      <w:outlineLvl w:val="0"/>
    </w:pPr>
    <w:rPr>
      <w:rFonts w:ascii="等线 Light" w:hAnsi="等线 Light"/>
      <w:b/>
      <w:bCs/>
      <w:sz w:val="32"/>
      <w:szCs w:val="32"/>
    </w:rPr>
  </w:style>
  <w:style w:type="paragraph" w:styleId="32">
    <w:name w:val="annotation subject"/>
    <w:basedOn w:val="14"/>
    <w:next w:val="14"/>
    <w:link w:val="52"/>
    <w:semiHidden/>
    <w:qFormat/>
    <w:uiPriority w:val="0"/>
    <w:rPr>
      <w:b/>
      <w:kern w:val="2"/>
    </w:rPr>
  </w:style>
  <w:style w:type="paragraph" w:styleId="33">
    <w:name w:val="Body Text First Indent"/>
    <w:basedOn w:val="16"/>
    <w:next w:val="1"/>
    <w:qFormat/>
    <w:locked/>
    <w:uiPriority w:val="0"/>
    <w:pPr>
      <w:widowControl w:val="0"/>
      <w:tabs>
        <w:tab w:val="left" w:pos="1620"/>
        <w:tab w:val="left" w:pos="2700"/>
      </w:tabs>
      <w:spacing w:line="240" w:lineRule="exact"/>
      <w:ind w:firstLine="420" w:firstLineChars="100"/>
      <w:jc w:val="center"/>
    </w:pPr>
    <w:rPr>
      <w:kern w:val="2"/>
      <w:sz w:val="28"/>
    </w:rPr>
  </w:style>
  <w:style w:type="paragraph" w:styleId="34">
    <w:name w:val="Body Text First Indent 2"/>
    <w:basedOn w:val="17"/>
    <w:next w:val="1"/>
    <w:qFormat/>
    <w:locked/>
    <w:uiPriority w:val="0"/>
    <w:pPr>
      <w:spacing w:after="0" w:line="360" w:lineRule="auto"/>
      <w:ind w:left="0" w:firstLine="420" w:firstLineChars="200"/>
    </w:pPr>
    <w:rPr>
      <w:kern w:val="2"/>
      <w:szCs w:val="24"/>
    </w:rPr>
  </w:style>
  <w:style w:type="table" w:styleId="36">
    <w:name w:val="Table Grid"/>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qFormat/>
    <w:locked/>
    <w:uiPriority w:val="0"/>
  </w:style>
  <w:style w:type="character" w:styleId="39">
    <w:name w:val="annotation reference"/>
    <w:semiHidden/>
    <w:qFormat/>
    <w:uiPriority w:val="0"/>
    <w:rPr>
      <w:sz w:val="21"/>
    </w:rPr>
  </w:style>
  <w:style w:type="character" w:customStyle="1" w:styleId="40">
    <w:name w:val="正文缩进 Char"/>
    <w:link w:val="12"/>
    <w:qFormat/>
    <w:uiPriority w:val="0"/>
    <w:rPr>
      <w:rFonts w:ascii="黑体" w:eastAsia="黑体" w:cs="Plotter"/>
      <w:kern w:val="2"/>
      <w:sz w:val="24"/>
    </w:rPr>
  </w:style>
  <w:style w:type="character" w:customStyle="1" w:styleId="41">
    <w:name w:val="文档结构图 Char"/>
    <w:link w:val="13"/>
    <w:qFormat/>
    <w:uiPriority w:val="0"/>
    <w:rPr>
      <w:rFonts w:ascii="宋体"/>
      <w:kern w:val="2"/>
      <w:sz w:val="18"/>
      <w:szCs w:val="18"/>
    </w:rPr>
  </w:style>
  <w:style w:type="character" w:customStyle="1" w:styleId="42">
    <w:name w:val="批注文字 Char"/>
    <w:link w:val="14"/>
    <w:qFormat/>
    <w:locked/>
    <w:uiPriority w:val="0"/>
    <w:rPr>
      <w:rFonts w:ascii="Times New Roman" w:hAnsi="Times New Roman" w:eastAsia="宋体"/>
      <w:sz w:val="24"/>
    </w:rPr>
  </w:style>
  <w:style w:type="character" w:customStyle="1" w:styleId="43">
    <w:name w:val="正文文本 Char"/>
    <w:link w:val="16"/>
    <w:qFormat/>
    <w:locked/>
    <w:uiPriority w:val="0"/>
    <w:rPr>
      <w:sz w:val="18"/>
    </w:rPr>
  </w:style>
  <w:style w:type="character" w:customStyle="1" w:styleId="44">
    <w:name w:val="正文文本缩进 Char"/>
    <w:link w:val="17"/>
    <w:semiHidden/>
    <w:qFormat/>
    <w:locked/>
    <w:uiPriority w:val="0"/>
    <w:rPr>
      <w:rFonts w:ascii="Times New Roman" w:hAnsi="Times New Roman" w:eastAsia="宋体"/>
      <w:sz w:val="24"/>
    </w:rPr>
  </w:style>
  <w:style w:type="character" w:customStyle="1" w:styleId="45">
    <w:name w:val="纯文本 Char"/>
    <w:link w:val="19"/>
    <w:qFormat/>
    <w:uiPriority w:val="0"/>
    <w:rPr>
      <w:rFonts w:ascii="宋体" w:hAnsi="Courier New"/>
      <w:kern w:val="2"/>
      <w:sz w:val="21"/>
    </w:rPr>
  </w:style>
  <w:style w:type="character" w:customStyle="1" w:styleId="46">
    <w:name w:val="日期 Char"/>
    <w:link w:val="25"/>
    <w:qFormat/>
    <w:locked/>
    <w:uiPriority w:val="0"/>
    <w:rPr>
      <w:rFonts w:ascii="Times New Roman" w:hAnsi="Times New Roman" w:eastAsia="宋体"/>
      <w:sz w:val="24"/>
    </w:rPr>
  </w:style>
  <w:style w:type="character" w:customStyle="1" w:styleId="47">
    <w:name w:val="批注框文本 Char"/>
    <w:link w:val="26"/>
    <w:semiHidden/>
    <w:qFormat/>
    <w:locked/>
    <w:uiPriority w:val="0"/>
    <w:rPr>
      <w:rFonts w:ascii="Times New Roman" w:hAnsi="Times New Roman" w:eastAsia="宋体"/>
      <w:sz w:val="18"/>
    </w:rPr>
  </w:style>
  <w:style w:type="character" w:customStyle="1" w:styleId="48">
    <w:name w:val="页脚 Char"/>
    <w:link w:val="27"/>
    <w:qFormat/>
    <w:locked/>
    <w:uiPriority w:val="99"/>
    <w:rPr>
      <w:sz w:val="18"/>
    </w:rPr>
  </w:style>
  <w:style w:type="character" w:customStyle="1" w:styleId="49">
    <w:name w:val="页眉 Char"/>
    <w:link w:val="28"/>
    <w:qFormat/>
    <w:locked/>
    <w:uiPriority w:val="0"/>
    <w:rPr>
      <w:sz w:val="18"/>
    </w:rPr>
  </w:style>
  <w:style w:type="character" w:customStyle="1" w:styleId="50">
    <w:name w:val="普通(网站) Char"/>
    <w:link w:val="30"/>
    <w:qFormat/>
    <w:locked/>
    <w:uiPriority w:val="0"/>
    <w:rPr>
      <w:rFonts w:ascii="宋体" w:hAnsi="宋体" w:eastAsia="宋体"/>
      <w:sz w:val="24"/>
    </w:rPr>
  </w:style>
  <w:style w:type="character" w:customStyle="1" w:styleId="51">
    <w:name w:val="标题 Char"/>
    <w:link w:val="31"/>
    <w:qFormat/>
    <w:uiPriority w:val="0"/>
    <w:rPr>
      <w:rFonts w:ascii="等线 Light" w:hAnsi="等线 Light"/>
      <w:b/>
      <w:bCs/>
      <w:kern w:val="2"/>
      <w:sz w:val="32"/>
      <w:szCs w:val="32"/>
    </w:rPr>
  </w:style>
  <w:style w:type="character" w:customStyle="1" w:styleId="52">
    <w:name w:val="批注主题 Char"/>
    <w:link w:val="32"/>
    <w:semiHidden/>
    <w:qFormat/>
    <w:locked/>
    <w:uiPriority w:val="0"/>
    <w:rPr>
      <w:rFonts w:ascii="Times New Roman" w:hAnsi="Times New Roman" w:eastAsia="宋体"/>
      <w:b/>
      <w:kern w:val="2"/>
      <w:sz w:val="24"/>
    </w:rPr>
  </w:style>
  <w:style w:type="paragraph" w:customStyle="1" w:styleId="53">
    <w:name w:val="样式 标题 1 + 首行缩进:  0 字符"/>
    <w:basedOn w:val="2"/>
    <w:next w:val="54"/>
    <w:qFormat/>
    <w:uiPriority w:val="0"/>
    <w:pPr>
      <w:adjustRightInd/>
      <w:spacing w:before="0" w:after="0" w:line="520" w:lineRule="exact"/>
      <w:ind w:firstLine="0"/>
    </w:pPr>
    <w:rPr>
      <w:rFonts w:ascii="Arial" w:hAnsi="Arial" w:cs="宋体"/>
      <w:color w:val="auto"/>
      <w:szCs w:val="20"/>
    </w:rPr>
  </w:style>
  <w:style w:type="paragraph" w:customStyle="1" w:styleId="54">
    <w:name w:val="xl57"/>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textAlignment w:val="center"/>
    </w:pPr>
    <w:rPr>
      <w:b/>
      <w:bCs/>
      <w:kern w:val="0"/>
      <w:sz w:val="20"/>
      <w:szCs w:val="20"/>
    </w:rPr>
  </w:style>
  <w:style w:type="character" w:customStyle="1" w:styleId="55">
    <w:name w:val="页脚 字符"/>
    <w:qFormat/>
    <w:uiPriority w:val="99"/>
  </w:style>
  <w:style w:type="character" w:customStyle="1" w:styleId="56">
    <w:name w:val="批注文字 字符1"/>
    <w:semiHidden/>
    <w:qFormat/>
    <w:uiPriority w:val="0"/>
    <w:rPr>
      <w:rFonts w:ascii="Times New Roman" w:hAnsi="Times New Roman" w:eastAsia="宋体"/>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日期 字符"/>
    <w:semiHidden/>
    <w:qFormat/>
    <w:uiPriority w:val="0"/>
    <w:rPr>
      <w:rFonts w:ascii="Times New Roman" w:hAnsi="Times New Roman" w:eastAsia="宋体"/>
      <w:sz w:val="24"/>
    </w:rPr>
  </w:style>
  <w:style w:type="character" w:customStyle="1" w:styleId="59">
    <w:name w:val="足乐正文 Char"/>
    <w:link w:val="60"/>
    <w:qFormat/>
    <w:uiPriority w:val="0"/>
    <w:rPr>
      <w:rFonts w:ascii="Times New Roman" w:hAnsi="Times New Roman"/>
    </w:rPr>
  </w:style>
  <w:style w:type="paragraph" w:customStyle="1" w:styleId="60">
    <w:name w:val="足乐正文"/>
    <w:basedOn w:val="1"/>
    <w:link w:val="59"/>
    <w:qFormat/>
    <w:uiPriority w:val="0"/>
    <w:pPr>
      <w:spacing w:line="360" w:lineRule="auto"/>
      <w:ind w:firstLine="720" w:firstLineChars="200"/>
    </w:pPr>
    <w:rPr>
      <w:kern w:val="0"/>
      <w:sz w:val="20"/>
      <w:szCs w:val="20"/>
    </w:rPr>
  </w:style>
  <w:style w:type="character" w:customStyle="1" w:styleId="61">
    <w:name w:val="表格 Char"/>
    <w:link w:val="62"/>
    <w:qFormat/>
    <w:locked/>
    <w:uiPriority w:val="0"/>
    <w:rPr>
      <w:rFonts w:ascii="宋体"/>
      <w:sz w:val="21"/>
    </w:rPr>
  </w:style>
  <w:style w:type="paragraph" w:customStyle="1" w:styleId="62">
    <w:name w:val="表格"/>
    <w:basedOn w:val="1"/>
    <w:next w:val="1"/>
    <w:link w:val="61"/>
    <w:qFormat/>
    <w:uiPriority w:val="0"/>
    <w:pPr>
      <w:spacing w:beforeLines="10" w:afterLines="10" w:line="259" w:lineRule="auto"/>
      <w:jc w:val="center"/>
    </w:pPr>
    <w:rPr>
      <w:rFonts w:ascii="宋体"/>
      <w:kern w:val="0"/>
      <w:szCs w:val="20"/>
    </w:rPr>
  </w:style>
  <w:style w:type="paragraph" w:customStyle="1" w:styleId="63">
    <w:name w:val="表内容"/>
    <w:basedOn w:val="1"/>
    <w:qFormat/>
    <w:uiPriority w:val="0"/>
    <w:pPr>
      <w:jc w:val="center"/>
    </w:pPr>
    <w:rPr>
      <w:szCs w:val="21"/>
    </w:rPr>
  </w:style>
  <w:style w:type="paragraph" w:customStyle="1" w:styleId="64">
    <w:name w:val="规范正文L"/>
    <w:basedOn w:val="1"/>
    <w:qFormat/>
    <w:uiPriority w:val="0"/>
    <w:pPr>
      <w:topLinePunct/>
      <w:spacing w:line="420" w:lineRule="auto"/>
      <w:ind w:firstLine="480" w:firstLineChars="200"/>
      <w:textAlignment w:val="baseline"/>
    </w:pPr>
    <w:rPr>
      <w:rFonts w:cs="宋体"/>
      <w:color w:val="000000"/>
    </w:rPr>
  </w:style>
  <w:style w:type="paragraph" w:customStyle="1" w:styleId="65">
    <w:name w:val="表格内容"/>
    <w:basedOn w:val="1"/>
    <w:next w:val="1"/>
    <w:link w:val="66"/>
    <w:qFormat/>
    <w:uiPriority w:val="0"/>
    <w:pPr>
      <w:jc w:val="center"/>
    </w:pPr>
    <w:rPr>
      <w:iCs/>
      <w:szCs w:val="21"/>
    </w:rPr>
  </w:style>
  <w:style w:type="character" w:customStyle="1" w:styleId="66">
    <w:name w:val="表格内容 字符"/>
    <w:link w:val="65"/>
    <w:qFormat/>
    <w:uiPriority w:val="0"/>
    <w:rPr>
      <w:iCs/>
      <w:kern w:val="2"/>
      <w:sz w:val="21"/>
      <w:szCs w:val="21"/>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表格名称1"/>
    <w:basedOn w:val="1"/>
    <w:qFormat/>
    <w:uiPriority w:val="0"/>
    <w:pPr>
      <w:jc w:val="center"/>
    </w:pPr>
    <w:rPr>
      <w:b/>
    </w:rPr>
  </w:style>
  <w:style w:type="paragraph" w:customStyle="1" w:styleId="69">
    <w:name w:val="样式6"/>
    <w:basedOn w:val="19"/>
    <w:qFormat/>
    <w:uiPriority w:val="0"/>
    <w:pPr>
      <w:autoSpaceDE w:val="0"/>
      <w:autoSpaceDN w:val="0"/>
      <w:spacing w:line="500" w:lineRule="exact"/>
      <w:jc w:val="left"/>
      <w:outlineLvl w:val="0"/>
    </w:pPr>
    <w:rPr>
      <w:color w:val="000000"/>
      <w:szCs w:val="24"/>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表格名称"/>
    <w:basedOn w:val="1"/>
    <w:next w:val="1"/>
    <w:qFormat/>
    <w:uiPriority w:val="0"/>
    <w:pPr>
      <w:jc w:val="center"/>
    </w:pPr>
    <w:rPr>
      <w:b/>
      <w:kern w:val="0"/>
      <w:szCs w:val="21"/>
    </w:rPr>
  </w:style>
  <w:style w:type="paragraph" w:customStyle="1" w:styleId="72">
    <w:name w:val="足乐表格"/>
    <w:basedOn w:val="1"/>
    <w:qFormat/>
    <w:uiPriority w:val="0"/>
    <w:pPr>
      <w:jc w:val="center"/>
    </w:pPr>
  </w:style>
  <w:style w:type="paragraph" w:customStyle="1" w:styleId="73">
    <w:name w:val="样式 样式 样式 首行缩进:  2 字符 + 居中 + 行距: 固定值 17 磅"/>
    <w:basedOn w:val="1"/>
    <w:qFormat/>
    <w:uiPriority w:val="0"/>
    <w:pPr>
      <w:spacing w:line="340" w:lineRule="exact"/>
      <w:jc w:val="center"/>
    </w:pPr>
    <w:rPr>
      <w:rFonts w:cs="宋体"/>
      <w:color w:val="000000"/>
    </w:rPr>
  </w:style>
  <w:style w:type="paragraph" w:customStyle="1" w:styleId="74">
    <w:name w:val="Table Paragraph"/>
    <w:basedOn w:val="1"/>
    <w:qFormat/>
    <w:uiPriority w:val="0"/>
    <w:pPr>
      <w:widowControl/>
      <w:jc w:val="left"/>
    </w:pPr>
    <w:rPr>
      <w:rFonts w:ascii="Calibri" w:hAnsi="Calibri"/>
      <w:kern w:val="0"/>
      <w:sz w:val="22"/>
      <w:szCs w:val="22"/>
    </w:rPr>
  </w:style>
  <w:style w:type="paragraph" w:customStyle="1" w:styleId="75">
    <w:name w:val="zhang正文"/>
    <w:basedOn w:val="17"/>
    <w:link w:val="76"/>
    <w:qFormat/>
    <w:uiPriority w:val="0"/>
    <w:pPr>
      <w:autoSpaceDE w:val="0"/>
      <w:autoSpaceDN w:val="0"/>
      <w:spacing w:line="500" w:lineRule="exact"/>
      <w:ind w:firstLine="539"/>
      <w:textAlignment w:val="baseline"/>
    </w:pPr>
    <w:rPr>
      <w:rFonts w:eastAsia="楷体_GB2312"/>
    </w:rPr>
  </w:style>
  <w:style w:type="character" w:customStyle="1" w:styleId="76">
    <w:name w:val="zhang正文 Char1"/>
    <w:link w:val="75"/>
    <w:qFormat/>
    <w:locked/>
    <w:uiPriority w:val="0"/>
    <w:rPr>
      <w:rFonts w:eastAsia="楷体_GB2312"/>
      <w:sz w:val="24"/>
    </w:rPr>
  </w:style>
  <w:style w:type="paragraph" w:customStyle="1" w:styleId="77">
    <w:name w:val="图表标题"/>
    <w:basedOn w:val="1"/>
    <w:qFormat/>
    <w:uiPriority w:val="0"/>
    <w:pPr>
      <w:jc w:val="center"/>
    </w:pPr>
    <w:rPr>
      <w:b/>
      <w:bCs/>
    </w:rPr>
  </w:style>
  <w:style w:type="paragraph" w:customStyle="1" w:styleId="78">
    <w:name w:val="a表格"/>
    <w:basedOn w:val="1"/>
    <w:qFormat/>
    <w:uiPriority w:val="0"/>
    <w:pPr>
      <w:jc w:val="center"/>
    </w:pPr>
  </w:style>
  <w:style w:type="paragraph" w:customStyle="1" w:styleId="79">
    <w:name w:val="表名"/>
    <w:basedOn w:val="1"/>
    <w:qFormat/>
    <w:uiPriority w:val="0"/>
    <w:pPr>
      <w:jc w:val="center"/>
    </w:pPr>
    <w:rPr>
      <w:b/>
      <w:bCs/>
      <w:sz w:val="24"/>
    </w:rPr>
  </w:style>
  <w:style w:type="paragraph" w:customStyle="1" w:styleId="80">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table" w:customStyle="1" w:styleId="81">
    <w:name w:val="sungp"/>
    <w:basedOn w:val="35"/>
    <w:qFormat/>
    <w:uiPriority w:val="0"/>
    <w:pPr>
      <w:jc w:val="center"/>
    </w:pPr>
    <w:rPr>
      <w:color w:val="000000"/>
    </w:rPr>
    <w:tblPr>
      <w:jc w:val="center"/>
      <w:tblBorders>
        <w:top w:val="single" w:color="auto" w:sz="12" w:space="0"/>
        <w:bottom w:val="single" w:color="auto" w:sz="12" w:space="0"/>
        <w:insideH w:val="single" w:color="auto" w:sz="4" w:space="0"/>
        <w:insideV w:val="single" w:color="auto" w:sz="4" w:space="0"/>
      </w:tblBorders>
      <w:tblCellMar>
        <w:top w:w="0" w:type="dxa"/>
        <w:left w:w="57" w:type="dxa"/>
        <w:bottom w:w="0" w:type="dxa"/>
        <w:right w:w="57" w:type="dxa"/>
      </w:tblCellMar>
    </w:tblPr>
    <w:trPr>
      <w:jc w:val="center"/>
    </w:trPr>
    <w:tcPr>
      <w:vAlign w:val="center"/>
    </w:tcPr>
  </w:style>
  <w:style w:type="paragraph" w:customStyle="1" w:styleId="82">
    <w:name w:val="样式 样式 样式 样式 首行缩进:  2 字符 + 居中 + (中文) 黑体 五号 首行缩进:  2 字符 + 首行缩进:  2..."/>
    <w:basedOn w:val="1"/>
    <w:qFormat/>
    <w:uiPriority w:val="0"/>
    <w:pPr>
      <w:spacing w:beforeLines="50" w:line="360" w:lineRule="auto"/>
      <w:jc w:val="center"/>
    </w:pPr>
    <w:rPr>
      <w:rFonts w:eastAsia="黑体" w:cs="宋体"/>
      <w:sz w:val="24"/>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character" w:customStyle="1" w:styleId="85">
    <w:name w:val="表格标题 Char"/>
    <w:link w:val="86"/>
    <w:qFormat/>
    <w:uiPriority w:val="0"/>
    <w:rPr>
      <w:rFonts w:eastAsia="黑体"/>
      <w:b/>
      <w:sz w:val="24"/>
    </w:rPr>
  </w:style>
  <w:style w:type="paragraph" w:customStyle="1" w:styleId="86">
    <w:name w:val="表格标题"/>
    <w:basedOn w:val="1"/>
    <w:next w:val="1"/>
    <w:link w:val="85"/>
    <w:qFormat/>
    <w:uiPriority w:val="0"/>
    <w:pPr>
      <w:adjustRightInd/>
      <w:snapToGrid/>
      <w:spacing w:line="360" w:lineRule="auto"/>
      <w:jc w:val="center"/>
    </w:pPr>
    <w:rPr>
      <w:rFonts w:eastAsia="黑体"/>
      <w:b/>
      <w:kern w:val="0"/>
      <w:sz w:val="24"/>
      <w:szCs w:val="20"/>
    </w:rPr>
  </w:style>
  <w:style w:type="paragraph" w:customStyle="1" w:styleId="87">
    <w:name w:val="Char Char Char Char Char Char Char Char Char1 Char"/>
    <w:basedOn w:val="1"/>
    <w:semiHidden/>
    <w:qFormat/>
    <w:uiPriority w:val="0"/>
    <w:pPr>
      <w:adjustRightInd/>
      <w:snapToGrid/>
    </w:pPr>
    <w:rPr>
      <w:rFonts w:ascii="宋体" w:hAnsi="宋体" w:cs="Courier New"/>
      <w:sz w:val="32"/>
      <w:szCs w:val="32"/>
    </w:rPr>
  </w:style>
  <w:style w:type="paragraph" w:customStyle="1" w:styleId="88">
    <w:name w:val="_Style 75"/>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表格内容Q Char"/>
    <w:link w:val="90"/>
    <w:qFormat/>
    <w:uiPriority w:val="0"/>
    <w:rPr>
      <w:sz w:val="21"/>
      <w:szCs w:val="21"/>
    </w:rPr>
  </w:style>
  <w:style w:type="paragraph" w:customStyle="1" w:styleId="90">
    <w:name w:val="表格内容Q"/>
    <w:basedOn w:val="1"/>
    <w:link w:val="89"/>
    <w:qFormat/>
    <w:uiPriority w:val="0"/>
    <w:pPr>
      <w:adjustRightInd/>
      <w:snapToGrid/>
      <w:jc w:val="center"/>
    </w:pPr>
    <w:rPr>
      <w:kern w:val="0"/>
      <w:szCs w:val="21"/>
    </w:rPr>
  </w:style>
  <w:style w:type="character" w:customStyle="1" w:styleId="91">
    <w:name w:val="表格标题CCW Char"/>
    <w:link w:val="92"/>
    <w:qFormat/>
    <w:locked/>
    <w:uiPriority w:val="0"/>
    <w:rPr>
      <w:b/>
      <w:sz w:val="24"/>
      <w:lang w:val="en-US" w:eastAsia="zh-CN" w:bidi="ar-SA"/>
    </w:rPr>
  </w:style>
  <w:style w:type="paragraph" w:customStyle="1" w:styleId="92">
    <w:name w:val="表格标题CCW"/>
    <w:link w:val="91"/>
    <w:qFormat/>
    <w:uiPriority w:val="0"/>
    <w:pPr>
      <w:jc w:val="center"/>
    </w:pPr>
    <w:rPr>
      <w:rFonts w:ascii="Times New Roman" w:hAnsi="Times New Roman" w:eastAsia="宋体" w:cs="Times New Roman"/>
      <w:b/>
      <w:sz w:val="24"/>
      <w:lang w:val="en-US" w:eastAsia="zh-CN" w:bidi="ar-SA"/>
    </w:rPr>
  </w:style>
  <w:style w:type="paragraph" w:customStyle="1" w:styleId="93">
    <w:name w:val="表头（图表题）"/>
    <w:basedOn w:val="1"/>
    <w:next w:val="1"/>
    <w:qFormat/>
    <w:uiPriority w:val="9"/>
    <w:pPr>
      <w:adjustRightInd/>
      <w:snapToGrid/>
      <w:jc w:val="center"/>
    </w:pPr>
    <w:rPr>
      <w:b/>
      <w:sz w:val="24"/>
      <w:szCs w:val="21"/>
    </w:rPr>
  </w:style>
  <w:style w:type="paragraph" w:customStyle="1" w:styleId="94">
    <w:name w:val="样式 Arial 小四 行距: 固定值 30 磅 首行缩进:  2 字符"/>
    <w:basedOn w:val="1"/>
    <w:qFormat/>
    <w:uiPriority w:val="0"/>
    <w:pPr>
      <w:adjustRightInd/>
      <w:snapToGrid/>
      <w:spacing w:line="360" w:lineRule="auto"/>
      <w:ind w:firstLine="480" w:firstLineChars="200"/>
    </w:pPr>
    <w:rPr>
      <w:rFonts w:ascii="宋体" w:hAnsi="宋体" w:cs="宋体"/>
      <w:sz w:val="24"/>
    </w:rPr>
  </w:style>
  <w:style w:type="character" w:customStyle="1" w:styleId="95">
    <w:name w:val="Q表格内容 Char"/>
    <w:link w:val="96"/>
    <w:qFormat/>
    <w:uiPriority w:val="0"/>
    <w:rPr>
      <w:sz w:val="21"/>
      <w:szCs w:val="21"/>
    </w:rPr>
  </w:style>
  <w:style w:type="paragraph" w:customStyle="1" w:styleId="96">
    <w:name w:val="Q表格内容"/>
    <w:basedOn w:val="1"/>
    <w:link w:val="95"/>
    <w:qFormat/>
    <w:uiPriority w:val="0"/>
    <w:pPr>
      <w:adjustRightInd/>
      <w:snapToGrid/>
      <w:jc w:val="center"/>
    </w:pPr>
    <w:rPr>
      <w:kern w:val="0"/>
      <w:szCs w:val="21"/>
    </w:rPr>
  </w:style>
  <w:style w:type="paragraph" w:customStyle="1" w:styleId="97">
    <w:name w:val="Q表格标题"/>
    <w:basedOn w:val="1"/>
    <w:link w:val="98"/>
    <w:qFormat/>
    <w:uiPriority w:val="0"/>
    <w:pPr>
      <w:adjustRightInd/>
      <w:snapToGrid/>
      <w:spacing w:line="360" w:lineRule="auto"/>
      <w:jc w:val="center"/>
      <w:outlineLvl w:val="4"/>
    </w:pPr>
    <w:rPr>
      <w:b/>
      <w:sz w:val="24"/>
    </w:rPr>
  </w:style>
  <w:style w:type="character" w:customStyle="1" w:styleId="98">
    <w:name w:val="Q表格标题 Char"/>
    <w:link w:val="97"/>
    <w:qFormat/>
    <w:uiPriority w:val="0"/>
    <w:rPr>
      <w:b/>
      <w:kern w:val="2"/>
      <w:sz w:val="24"/>
      <w:szCs w:val="24"/>
    </w:rPr>
  </w:style>
  <w:style w:type="paragraph" w:customStyle="1" w:styleId="99">
    <w:name w:val="表正文"/>
    <w:basedOn w:val="1"/>
    <w:qFormat/>
    <w:uiPriority w:val="0"/>
    <w:pPr>
      <w:adjustRightInd/>
      <w:snapToGrid/>
      <w:spacing w:line="360" w:lineRule="auto"/>
      <w:ind w:firstLine="200" w:firstLineChars="200"/>
    </w:pPr>
    <w:rPr>
      <w:sz w:val="24"/>
    </w:rPr>
  </w:style>
  <w:style w:type="paragraph" w:customStyle="1" w:styleId="100">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character" w:customStyle="1" w:styleId="101">
    <w:name w:val="正文文本缩进 字符"/>
    <w:semiHidden/>
    <w:qFormat/>
    <w:locked/>
    <w:uiPriority w:val="0"/>
    <w:rPr>
      <w:rFonts w:ascii="Times New Roman" w:hAnsi="Times New Roman" w:eastAsia="宋体"/>
      <w:sz w:val="24"/>
    </w:rPr>
  </w:style>
  <w:style w:type="character" w:customStyle="1" w:styleId="102">
    <w:name w:val="书籍标题1"/>
    <w:qFormat/>
    <w:uiPriority w:val="33"/>
    <w:rPr>
      <w:b/>
      <w:bCs/>
      <w:i/>
      <w:iCs/>
      <w:spacing w:val="5"/>
    </w:rPr>
  </w:style>
  <w:style w:type="character" w:customStyle="1" w:styleId="103">
    <w:name w:val="普通(网站) 字符"/>
    <w:qFormat/>
    <w:locked/>
    <w:uiPriority w:val="0"/>
    <w:rPr>
      <w:rFonts w:ascii="宋体" w:hAnsi="宋体" w:eastAsia="宋体"/>
      <w:sz w:val="24"/>
    </w:rPr>
  </w:style>
  <w:style w:type="character" w:customStyle="1" w:styleId="104">
    <w:name w:val="表格标题 Char1"/>
    <w:qFormat/>
    <w:uiPriority w:val="0"/>
    <w:rPr>
      <w:b/>
      <w:sz w:val="24"/>
      <w:szCs w:val="24"/>
    </w:rPr>
  </w:style>
  <w:style w:type="character" w:customStyle="1" w:styleId="105">
    <w:name w:val="表格内容 Char1"/>
    <w:qFormat/>
    <w:uiPriority w:val="0"/>
    <w:rPr>
      <w:rFonts w:ascii="宋体" w:hAnsi="宋体" w:eastAsia="宋体"/>
      <w:kern w:val="0"/>
      <w:sz w:val="21"/>
    </w:rPr>
  </w:style>
  <w:style w:type="character" w:customStyle="1" w:styleId="106">
    <w:name w:val="表格内容 Char"/>
    <w:qFormat/>
    <w:uiPriority w:val="0"/>
    <w:rPr>
      <w:kern w:val="2"/>
      <w:sz w:val="21"/>
      <w:szCs w:val="22"/>
    </w:rPr>
  </w:style>
  <w:style w:type="paragraph" w:customStyle="1" w:styleId="107">
    <w:name w:val="标题3"/>
    <w:basedOn w:val="1"/>
    <w:qFormat/>
    <w:uiPriority w:val="0"/>
    <w:pPr>
      <w:adjustRightInd/>
      <w:snapToGrid/>
      <w:spacing w:line="360" w:lineRule="auto"/>
      <w:outlineLvl w:val="2"/>
    </w:pPr>
    <w:rPr>
      <w:b/>
      <w:sz w:val="24"/>
    </w:rPr>
  </w:style>
  <w:style w:type="paragraph" w:customStyle="1" w:styleId="108">
    <w:name w:val="5段落"/>
    <w:basedOn w:val="1"/>
    <w:qFormat/>
    <w:uiPriority w:val="0"/>
    <w:pPr>
      <w:adjustRightInd/>
      <w:snapToGrid/>
    </w:pPr>
    <w:rPr>
      <w:szCs w:val="28"/>
    </w:rPr>
  </w:style>
  <w:style w:type="paragraph" w:customStyle="1" w:styleId="109">
    <w:name w:val="5 正文"/>
    <w:basedOn w:val="1"/>
    <w:qFormat/>
    <w:uiPriority w:val="0"/>
    <w:pPr>
      <w:widowControl/>
      <w:tabs>
        <w:tab w:val="left" w:pos="1980"/>
        <w:tab w:val="left" w:pos="3825"/>
        <w:tab w:val="left" w:pos="4680"/>
      </w:tabs>
      <w:adjustRightInd/>
      <w:snapToGrid/>
      <w:spacing w:line="360" w:lineRule="auto"/>
      <w:ind w:firstLine="480" w:firstLineChars="200"/>
    </w:pPr>
    <w:rPr>
      <w:kern w:val="0"/>
      <w:sz w:val="24"/>
      <w:szCs w:val="21"/>
      <w:lang w:eastAsia="en-US" w:bidi="en-US"/>
    </w:rPr>
  </w:style>
  <w:style w:type="paragraph" w:customStyle="1" w:styleId="110">
    <w:name w:val="样式 首行缩进:  2 字符1"/>
    <w:basedOn w:val="1"/>
    <w:qFormat/>
    <w:uiPriority w:val="0"/>
    <w:pPr>
      <w:spacing w:line="360" w:lineRule="auto"/>
      <w:ind w:firstLine="480" w:firstLineChars="200"/>
    </w:pPr>
    <w:rPr>
      <w:rFonts w:hint="eastAsia" w:ascii="宋体" w:hAnsi="宋体"/>
      <w:sz w:val="24"/>
      <w:szCs w:val="20"/>
    </w:rPr>
  </w:style>
  <w:style w:type="paragraph" w:customStyle="1" w:styleId="111">
    <w:name w:val="6表格"/>
    <w:basedOn w:val="1"/>
    <w:qFormat/>
    <w:uiPriority w:val="0"/>
    <w:pPr>
      <w:adjustRightInd/>
      <w:snapToGrid/>
      <w:jc w:val="center"/>
    </w:pPr>
  </w:style>
  <w:style w:type="character" w:customStyle="1" w:styleId="112">
    <w:name w:val="正文（小四） Char"/>
    <w:link w:val="113"/>
    <w:qFormat/>
    <w:uiPriority w:val="0"/>
    <w:rPr>
      <w:bCs/>
      <w:color w:val="000000"/>
      <w:kern w:val="2"/>
      <w:sz w:val="24"/>
      <w:szCs w:val="32"/>
    </w:rPr>
  </w:style>
  <w:style w:type="paragraph" w:customStyle="1" w:styleId="113">
    <w:name w:val="正文（小四）"/>
    <w:link w:val="112"/>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14">
    <w:name w:val="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1"/>
    </w:rPr>
  </w:style>
  <w:style w:type="paragraph" w:customStyle="1" w:styleId="115">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paragraph" w:customStyle="1" w:styleId="116">
    <w:name w:val="常用"/>
    <w:basedOn w:val="1"/>
    <w:qFormat/>
    <w:uiPriority w:val="0"/>
    <w:pPr>
      <w:spacing w:line="360" w:lineRule="auto"/>
      <w:ind w:firstLine="200" w:firstLineChars="200"/>
    </w:pPr>
    <w:rPr>
      <w:rFonts w:ascii="宋体" w:hAnsi="宋体"/>
      <w:kern w:val="0"/>
      <w:sz w:val="28"/>
      <w:szCs w:val="28"/>
    </w:rPr>
  </w:style>
  <w:style w:type="paragraph" w:customStyle="1" w:styleId="117">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18">
    <w:name w:val="表头"/>
    <w:basedOn w:val="62"/>
    <w:next w:val="1"/>
    <w:qFormat/>
    <w:uiPriority w:val="0"/>
    <w:pPr>
      <w:spacing w:before="50" w:beforeLines="50" w:after="50" w:afterLines="50" w:line="240" w:lineRule="auto"/>
    </w:pPr>
    <w:rPr>
      <w:rFonts w:ascii="Times New Roman" w:hAnsi="Times New Roman" w:eastAsia="宋体"/>
      <w:b/>
      <w:sz w:val="24"/>
    </w:rPr>
  </w:style>
  <w:style w:type="paragraph" w:customStyle="1" w:styleId="119">
    <w:name w:val="样式 正文缩进正文缩进2正文缩进 Char Char正文缩进 Char Char Char Char正文缩进 Char ..."/>
    <w:basedOn w:val="12"/>
    <w:qFormat/>
    <w:uiPriority w:val="0"/>
    <w:pPr>
      <w:spacing w:line="360" w:lineRule="auto"/>
      <w:ind w:firstLine="200"/>
    </w:pPr>
    <w:rPr>
      <w:rFonts w:ascii="Calibri" w:hAnsi="Calibri" w:cs="宋体"/>
      <w:sz w:val="24"/>
      <w:szCs w:val="22"/>
    </w:rPr>
  </w:style>
  <w:style w:type="paragraph" w:customStyle="1" w:styleId="120">
    <w:name w:val="正文123"/>
    <w:basedOn w:val="1"/>
    <w:next w:val="19"/>
    <w:qFormat/>
    <w:uiPriority w:val="0"/>
    <w:pPr>
      <w:keepNext w:val="0"/>
      <w:keepLines w:val="0"/>
      <w:widowControl w:val="0"/>
      <w:suppressLineNumbers w:val="0"/>
      <w:wordWrap w:val="0"/>
      <w:snapToGrid w:val="0"/>
      <w:spacing w:before="0" w:beforeAutospacing="0" w:after="0" w:afterAutospacing="0" w:line="360" w:lineRule="auto"/>
      <w:ind w:left="0" w:right="0" w:firstLine="480" w:firstLineChars="200"/>
      <w:jc w:val="both"/>
    </w:pPr>
    <w:rPr>
      <w:rFonts w:hint="default" w:ascii="Times New Roman" w:hAnsi="Times New Roman" w:eastAsia="宋体" w:cs="宋体"/>
      <w:kern w:val="2"/>
      <w:sz w:val="24"/>
      <w:szCs w:val="24"/>
      <w:lang w:val="en-US" w:eastAsia="zh-CN" w:bidi="ar"/>
    </w:rPr>
  </w:style>
  <w:style w:type="paragraph" w:customStyle="1" w:styleId="121">
    <w:name w:val="正文(首行缩进)"/>
    <w:basedOn w:val="1"/>
    <w:qFormat/>
    <w:uiPriority w:val="0"/>
    <w:pPr>
      <w:widowControl/>
      <w:adjustRightInd w:val="0"/>
      <w:snapToGrid w:val="0"/>
      <w:spacing w:line="360" w:lineRule="auto"/>
      <w:ind w:firstLine="200" w:firstLineChars="200"/>
      <w:jc w:val="left"/>
    </w:pPr>
    <w:rPr>
      <w:rFonts w:ascii="宋体" w:hAnsi="宋体" w:cs="宋体"/>
      <w:snapToGrid w:val="0"/>
      <w:kern w:val="0"/>
      <w:sz w:val="24"/>
    </w:rPr>
  </w:style>
  <w:style w:type="paragraph" w:customStyle="1" w:styleId="122">
    <w:name w:val="0.正文内容"/>
    <w:basedOn w:val="1"/>
    <w:qFormat/>
    <w:uiPriority w:val="0"/>
    <w:pPr>
      <w:widowControl/>
      <w:spacing w:line="360" w:lineRule="auto"/>
      <w:ind w:firstLine="200" w:firstLineChars="200"/>
      <w:jc w:val="left"/>
    </w:pPr>
    <w:rPr>
      <w:rFonts w:ascii="TimesNewRoman" w:hAnsi="TimesNewRoman"/>
      <w:kern w:val="0"/>
      <w:sz w:val="24"/>
      <w:szCs w:val="20"/>
    </w:rPr>
  </w:style>
  <w:style w:type="paragraph" w:customStyle="1" w:styleId="123">
    <w:name w:val="正文1"/>
    <w:basedOn w:val="17"/>
    <w:qFormat/>
    <w:uiPriority w:val="0"/>
    <w:pPr>
      <w:ind w:firstLine="200" w:firstLineChars="200"/>
    </w:pPr>
    <w:rPr>
      <w:rFonts w:eastAsia="宋体" w:cs="宋体"/>
      <w:sz w:val="24"/>
    </w:rPr>
  </w:style>
  <w:style w:type="table" w:customStyle="1" w:styleId="124">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25">
    <w:name w:val="11111表土"/>
    <w:basedOn w:val="1"/>
    <w:qFormat/>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黑体" w:cs="Times New Roman"/>
      <w:kern w:val="0"/>
      <w:sz w:val="24"/>
      <w:szCs w:val="24"/>
      <w:lang w:val="en-US" w:eastAsia="zh-CN" w:bidi="ar"/>
    </w:rPr>
  </w:style>
  <w:style w:type="paragraph" w:customStyle="1" w:styleId="126">
    <w:name w:val="正文11111111111"/>
    <w:basedOn w:val="1"/>
    <w:qFormat/>
    <w:uiPriority w:val="0"/>
    <w:pPr>
      <w:spacing w:line="360" w:lineRule="auto"/>
      <w:ind w:firstLine="480" w:firstLineChars="200"/>
    </w:pPr>
    <w:rPr>
      <w:rFonts w:ascii="宋体" w:hAnsi="宋体"/>
      <w:sz w:val="24"/>
    </w:rPr>
  </w:style>
  <w:style w:type="paragraph" w:customStyle="1" w:styleId="127">
    <w:name w:val="报告正文"/>
    <w:basedOn w:val="1"/>
    <w:qFormat/>
    <w:uiPriority w:val="0"/>
    <w:pPr>
      <w:widowControl w:val="0"/>
      <w:adjustRightInd w:val="0"/>
      <w:snapToGrid w:val="0"/>
      <w:spacing w:line="360" w:lineRule="auto"/>
      <w:ind w:firstLine="200" w:firstLineChars="200"/>
    </w:pPr>
    <w:rPr>
      <w:snapToGrid w:val="0"/>
      <w:sz w:val="24"/>
      <w14:ligatures w14:val="standardContextual"/>
    </w:rPr>
  </w:style>
  <w:style w:type="paragraph" w:customStyle="1" w:styleId="128">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29">
    <w:name w:val="【】4级"/>
    <w:basedOn w:val="6"/>
    <w:next w:val="130"/>
    <w:qFormat/>
    <w:uiPriority w:val="0"/>
    <w:pPr>
      <w:numPr>
        <w:ilvl w:val="3"/>
        <w:numId w:val="1"/>
      </w:numPr>
      <w:spacing w:before="0" w:after="0" w:line="500" w:lineRule="exact"/>
      <w:outlineLvl w:val="9"/>
    </w:pPr>
    <w:rPr>
      <w:rFonts w:ascii="Times New Roman" w:hAnsi="Times New Roman" w:eastAsia="黑体"/>
      <w:b w:val="0"/>
      <w:sz w:val="24"/>
    </w:rPr>
  </w:style>
  <w:style w:type="paragraph" w:customStyle="1" w:styleId="130">
    <w:name w:val="【】5级"/>
    <w:basedOn w:val="7"/>
    <w:next w:val="131"/>
    <w:qFormat/>
    <w:uiPriority w:val="0"/>
    <w:pPr>
      <w:numPr>
        <w:ilvl w:val="4"/>
        <w:numId w:val="1"/>
      </w:numPr>
      <w:spacing w:before="0" w:after="0" w:line="500" w:lineRule="exact"/>
      <w:outlineLvl w:val="9"/>
    </w:pPr>
    <w:rPr>
      <w:rFonts w:eastAsia="黑体"/>
      <w:b w:val="0"/>
      <w:sz w:val="24"/>
    </w:rPr>
  </w:style>
  <w:style w:type="paragraph" w:customStyle="1" w:styleId="131">
    <w:name w:val="A0正文"/>
    <w:basedOn w:val="1"/>
    <w:link w:val="132"/>
    <w:qFormat/>
    <w:uiPriority w:val="0"/>
    <w:pPr>
      <w:spacing w:line="560" w:lineRule="exact"/>
      <w:ind w:firstLine="200" w:firstLineChars="200"/>
    </w:pPr>
    <w:rPr>
      <w:rFonts w:cs="宋体"/>
      <w:sz w:val="24"/>
      <w:szCs w:val="20"/>
      <w:lang w:val="zh-CN"/>
    </w:rPr>
  </w:style>
  <w:style w:type="character" w:customStyle="1" w:styleId="132">
    <w:name w:val="A0正文 Char"/>
    <w:link w:val="131"/>
    <w:qFormat/>
    <w:uiPriority w:val="0"/>
    <w:rPr>
      <w:rFonts w:cs="宋体"/>
      <w:sz w:val="24"/>
      <w:szCs w:val="20"/>
      <w:lang w:val="zh-CN"/>
    </w:rPr>
  </w:style>
  <w:style w:type="paragraph" w:customStyle="1" w:styleId="133">
    <w:name w:val="【】表头"/>
    <w:basedOn w:val="1"/>
    <w:next w:val="134"/>
    <w:qFormat/>
    <w:uiPriority w:val="0"/>
    <w:pPr>
      <w:numPr>
        <w:ilvl w:val="5"/>
        <w:numId w:val="1"/>
      </w:numPr>
      <w:spacing w:before="50" w:beforeLines="50" w:line="240" w:lineRule="atLeast"/>
      <w:jc w:val="center"/>
      <w:outlineLvl w:val="5"/>
    </w:pPr>
    <w:rPr>
      <w:rFonts w:eastAsia="黑体" w:cs="宋体"/>
      <w:sz w:val="22"/>
      <w:szCs w:val="20"/>
    </w:rPr>
  </w:style>
  <w:style w:type="paragraph" w:customStyle="1" w:styleId="134">
    <w:name w:val="A表内"/>
    <w:basedOn w:val="1"/>
    <w:qFormat/>
    <w:uiPriority w:val="0"/>
    <w:pPr>
      <w:spacing w:line="0" w:lineRule="atLeast"/>
      <w:jc w:val="center"/>
    </w:pPr>
    <w:rPr>
      <w:rFonts w:cs="宋体"/>
      <w:szCs w:val="20"/>
    </w:rPr>
  </w:style>
  <w:style w:type="paragraph" w:customStyle="1" w:styleId="135">
    <w:name w:val="【】1级"/>
    <w:basedOn w:val="2"/>
    <w:next w:val="136"/>
    <w:qFormat/>
    <w:uiPriority w:val="0"/>
    <w:pPr>
      <w:pageBreakBefore/>
      <w:numPr>
        <w:ilvl w:val="0"/>
        <w:numId w:val="1"/>
      </w:numPr>
      <w:spacing w:before="50" w:beforeLines="50" w:after="0" w:line="240" w:lineRule="auto"/>
      <w:jc w:val="left"/>
    </w:pPr>
    <w:rPr>
      <w:rFonts w:eastAsia="黑体" w:cs="宋体"/>
      <w:kern w:val="2"/>
      <w:sz w:val="32"/>
      <w:szCs w:val="20"/>
    </w:rPr>
  </w:style>
  <w:style w:type="paragraph" w:customStyle="1" w:styleId="136">
    <w:name w:val="【】正文"/>
    <w:basedOn w:val="131"/>
    <w:qFormat/>
    <w:uiPriority w:val="0"/>
    <w:pPr>
      <w:spacing w:line="240" w:lineRule="auto"/>
      <w:ind w:firstLine="0" w:firstLineChars="0"/>
      <w:jc w:val="left"/>
    </w:pPr>
    <w:rPr>
      <w:lang w:val="en-US"/>
    </w:rPr>
  </w:style>
  <w:style w:type="character" w:styleId="137">
    <w:name w:val="Placeholder Text"/>
    <w:basedOn w:val="37"/>
    <w:semiHidden/>
    <w:qFormat/>
    <w:uiPriority w:val="99"/>
    <w:rPr>
      <w:color w:val="808080"/>
    </w:rPr>
  </w:style>
  <w:style w:type="paragraph" w:customStyle="1" w:styleId="138">
    <w:name w:val="A注明"/>
    <w:basedOn w:val="1"/>
    <w:qFormat/>
    <w:uiPriority w:val="0"/>
    <w:rPr>
      <w:rFonts w:cs="Times New Roman"/>
      <w:b/>
      <w:color w:val="000000"/>
      <w:sz w:val="18"/>
      <w:szCs w:val="18"/>
    </w:rPr>
  </w:style>
  <w:style w:type="paragraph" w:customStyle="1" w:styleId="139">
    <w:name w:val="9表格内容"/>
    <w:basedOn w:val="1"/>
    <w:next w:val="1"/>
    <w:qFormat/>
    <w:uiPriority w:val="0"/>
    <w:pPr>
      <w:jc w:val="center"/>
    </w:pPr>
    <w:rPr>
      <w:szCs w:val="28"/>
    </w:rPr>
  </w:style>
  <w:style w:type="paragraph" w:customStyle="1" w:styleId="140">
    <w:name w:val="D报告正文"/>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41">
    <w:name w:val="CM11"/>
    <w:basedOn w:val="1"/>
    <w:next w:val="1"/>
    <w:qFormat/>
    <w:uiPriority w:val="0"/>
    <w:pPr>
      <w:autoSpaceDE w:val="0"/>
      <w:autoSpaceDN w:val="0"/>
      <w:adjustRightInd w:val="0"/>
      <w:spacing w:line="520" w:lineRule="atLeast"/>
      <w:jc w:val="left"/>
    </w:pPr>
    <w:rPr>
      <w:rFonts w:asci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69</Pages>
  <Words>15214</Words>
  <Characters>16254</Characters>
  <Lines>238</Lines>
  <Paragraphs>67</Paragraphs>
  <TotalTime>11</TotalTime>
  <ScaleCrop>false</ScaleCrop>
  <LinksUpToDate>false</LinksUpToDate>
  <CharactersWithSpaces>16285</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2022-06-03T10:46:00Z</dcterms:created>
  <dc:creator>环环（微信号：eianet2016）</dc:creator>
  <cp:lastModifiedBy>admin</cp:lastModifiedBy>
  <cp:lastPrinted>2022-06-03T10:47:00Z</cp:lastPrinted>
  <dcterms:modified xsi:type="dcterms:W3CDTF">2025-10-20T04:16:22Z</dcterms:modified>
  <dc:title>建设项目环境影响报告表（污染影响类-填写指南）</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F3409F82A2ED4C86971420D73C984621_13</vt:lpwstr>
  </property>
  <property fmtid="{D5CDD505-2E9C-101B-9397-08002B2CF9AE}" pid="4" name="KSOTemplateDocerSaveRecord">
    <vt:lpwstr>eyJoZGlkIjoiZjlhZmQ3OGE3OTM4ZjVkNzliMDlkOTI2ODU3NWI1ZDciLCJ1c2VySWQiOiI3MDQyNDUxODUifQ==</vt:lpwstr>
  </property>
</Properties>
</file>